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both"/>
        <w:textAlignment w:val="auto"/>
        <w:outlineLvl w:val="9"/>
        <w:rPr>
          <w:rFonts w:hint="eastAsia" w:ascii="方正小标宋简体" w:hAnsi="方正小标宋简体" w:eastAsia="方正小标宋简体" w:cs="方正小标宋简体"/>
          <w:snapToGrid w:val="0"/>
          <w:color w:val="auto"/>
          <w:kern w:val="0"/>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9"/>
        <w:rPr>
          <w:rFonts w:hint="default" w:ascii="方正小标宋简体" w:hAnsi="方正小标宋简体" w:eastAsia="方正小标宋简体" w:cs="方正小标宋简体"/>
          <w:b w:val="0"/>
          <w:bCs w:val="0"/>
          <w:snapToGrid w:val="0"/>
          <w:color w:val="auto"/>
          <w:spacing w:val="57"/>
          <w:kern w:val="0"/>
          <w:sz w:val="52"/>
          <w:szCs w:val="52"/>
          <w:lang w:eastAsia="zh-CN"/>
        </w:rPr>
      </w:pPr>
      <w:r>
        <w:rPr>
          <w:rFonts w:hint="eastAsia" w:ascii="方正小标宋简体" w:hAnsi="方正小标宋简体" w:eastAsia="方正小标宋简体" w:cs="方正小标宋简体"/>
          <w:b w:val="0"/>
          <w:bCs w:val="0"/>
          <w:snapToGrid w:val="0"/>
          <w:color w:val="auto"/>
          <w:spacing w:val="57"/>
          <w:kern w:val="0"/>
          <w:sz w:val="52"/>
          <w:szCs w:val="52"/>
          <w:lang w:val="en-US" w:eastAsia="zh-CN"/>
        </w:rPr>
        <w:t>永州市</w:t>
      </w:r>
      <w:r>
        <w:rPr>
          <w:rFonts w:hint="default" w:ascii="方正小标宋简体" w:hAnsi="方正小标宋简体" w:eastAsia="方正小标宋简体" w:cs="方正小标宋简体"/>
          <w:b w:val="0"/>
          <w:bCs w:val="0"/>
          <w:snapToGrid w:val="0"/>
          <w:color w:val="auto"/>
          <w:spacing w:val="57"/>
          <w:kern w:val="0"/>
          <w:sz w:val="52"/>
          <w:szCs w:val="52"/>
          <w:lang w:eastAsia="zh-CN"/>
        </w:rPr>
        <w:t>行政执法</w:t>
      </w: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9"/>
        <w:rPr>
          <w:rFonts w:hint="eastAsia" w:ascii="方正小标宋简体" w:hAnsi="方正小标宋简体" w:eastAsia="方正小标宋简体" w:cs="方正小标宋简体"/>
          <w:b/>
          <w:bCs/>
          <w:snapToGrid w:val="0"/>
          <w:color w:val="auto"/>
          <w:kern w:val="0"/>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典</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型</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案</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bCs/>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例</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9"/>
        <w:rPr>
          <w:rFonts w:hint="eastAsia" w:eastAsia="方正小标宋_GBK" w:cs="Times New Roman"/>
          <w:b/>
          <w:bCs/>
          <w:snapToGrid w:val="0"/>
          <w:color w:val="auto"/>
          <w:kern w:val="0"/>
          <w:sz w:val="72"/>
          <w:szCs w:val="72"/>
          <w:lang w:val="en-US" w:eastAsia="zh-CN"/>
        </w:rPr>
      </w:pPr>
    </w:p>
    <w:p>
      <w:pPr>
        <w:keepNext w:val="0"/>
        <w:keepLines w:val="0"/>
        <w:pageBreakBefore w:val="0"/>
        <w:kinsoku/>
        <w:wordWrap/>
        <w:overflowPunct/>
        <w:topLinePunct w:val="0"/>
        <w:bidi w:val="0"/>
        <w:jc w:val="both"/>
        <w:textAlignment w:val="auto"/>
        <w:rPr>
          <w:rFonts w:hint="eastAsia" w:eastAsia="方正小标宋_GBK" w:cs="Times New Roman"/>
          <w:b/>
          <w:bCs/>
          <w:snapToGrid w:val="0"/>
          <w:color w:val="auto"/>
          <w:kern w:val="0"/>
          <w:sz w:val="72"/>
          <w:szCs w:val="72"/>
          <w:lang w:val="en-US" w:eastAsia="zh-CN"/>
        </w:rPr>
      </w:pPr>
    </w:p>
    <w:p>
      <w:pPr>
        <w:pStyle w:val="3"/>
        <w:keepNext w:val="0"/>
        <w:keepLines w:val="0"/>
        <w:pageBreakBefore w:val="0"/>
        <w:kinsoku/>
        <w:wordWrap/>
        <w:overflowPunct/>
        <w:topLinePunct w:val="0"/>
        <w:bidi w:val="0"/>
        <w:jc w:val="both"/>
        <w:textAlignment w:val="auto"/>
        <w:rPr>
          <w:rFonts w:hint="eastAsia"/>
          <w:lang w:val="en-US" w:eastAsia="zh-CN"/>
        </w:rPr>
      </w:pPr>
    </w:p>
    <w:p>
      <w:pPr>
        <w:pStyle w:val="3"/>
        <w:keepNext w:val="0"/>
        <w:keepLines w:val="0"/>
        <w:pageBreakBefore w:val="0"/>
        <w:kinsoku/>
        <w:wordWrap/>
        <w:overflowPunct/>
        <w:topLinePunct w:val="0"/>
        <w:bidi w:val="0"/>
        <w:jc w:val="both"/>
        <w:textAlignment w:val="auto"/>
        <w:rPr>
          <w:rFonts w:hint="eastAsia"/>
          <w:lang w:val="en-US" w:eastAsia="zh-CN"/>
        </w:rPr>
      </w:pPr>
    </w:p>
    <w:p>
      <w:pPr>
        <w:pStyle w:val="2"/>
        <w:keepNext w:val="0"/>
        <w:keepLines w:val="0"/>
        <w:pageBreakBefore w:val="0"/>
        <w:kinsoku/>
        <w:wordWrap/>
        <w:overflowPunct/>
        <w:topLinePunct w:val="0"/>
        <w:bidi w:val="0"/>
        <w:jc w:val="center"/>
        <w:textAlignment w:val="auto"/>
        <w:rPr>
          <w:rFonts w:hint="eastAsia" w:ascii="楷体_GB2312" w:hAnsi="楷体_GB2312" w:eastAsia="楷体_GB2312" w:cs="楷体_GB2312"/>
          <w:b/>
          <w:bCs/>
          <w:snapToGrid w:val="0"/>
          <w:color w:val="auto"/>
          <w:kern w:val="0"/>
          <w:sz w:val="36"/>
          <w:szCs w:val="36"/>
          <w:lang w:val="en-US" w:eastAsia="zh-CN"/>
        </w:rPr>
      </w:pPr>
      <w:r>
        <w:rPr>
          <w:rFonts w:hint="eastAsia" w:ascii="楷体_GB2312" w:hAnsi="楷体_GB2312" w:eastAsia="楷体_GB2312" w:cs="楷体_GB2312"/>
          <w:b/>
          <w:bCs/>
          <w:snapToGrid w:val="0"/>
          <w:color w:val="auto"/>
          <w:kern w:val="0"/>
          <w:sz w:val="36"/>
          <w:szCs w:val="36"/>
          <w:lang w:val="en-US" w:eastAsia="zh-CN"/>
        </w:rPr>
        <w:t>永州市司法局</w:t>
      </w:r>
    </w:p>
    <w:p>
      <w:pPr>
        <w:pStyle w:val="3"/>
        <w:keepNext w:val="0"/>
        <w:keepLines w:val="0"/>
        <w:pageBreakBefore w:val="0"/>
        <w:kinsoku/>
        <w:wordWrap/>
        <w:overflowPunct/>
        <w:topLinePunct w:val="0"/>
        <w:bidi w:val="0"/>
        <w:ind w:left="0" w:leftChars="0" w:firstLine="0" w:firstLineChars="0"/>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2023年10月</w:t>
      </w: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default"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目  录</w:t>
      </w:r>
    </w:p>
    <w:p>
      <w:pPr>
        <w:pStyle w:val="2"/>
        <w:keepNext w:val="0"/>
        <w:keepLines w:val="0"/>
        <w:pageBreakBefore w:val="0"/>
        <w:widowControl w:val="0"/>
        <w:kinsoku/>
        <w:wordWrap/>
        <w:overflowPunct/>
        <w:topLinePunct w:val="0"/>
        <w:autoSpaceDE/>
        <w:autoSpaceDN/>
        <w:bidi w:val="0"/>
        <w:spacing w:line="240" w:lineRule="auto"/>
        <w:jc w:val="both"/>
        <w:textAlignment w:val="auto"/>
        <w:rPr>
          <w:rFonts w:hint="eastAsia" w:eastAsia="方正小标宋_GBK" w:cs="Times New Roman"/>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240" w:lineRule="auto"/>
        <w:jc w:val="distribute"/>
        <w:textAlignment w:val="auto"/>
        <w:outlineLvl w:val="9"/>
        <w:rPr>
          <w:rFonts w:hint="default"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val="en-US" w:eastAsia="zh-CN"/>
        </w:rPr>
        <w:t>1.</w:t>
      </w:r>
      <w:r>
        <w:rPr>
          <w:rFonts w:hint="eastAsia" w:ascii="仿宋_GB2312" w:hAnsi="仿宋_GB2312" w:eastAsia="仿宋_GB2312" w:cs="仿宋_GB2312"/>
          <w:b w:val="0"/>
          <w:bCs w:val="0"/>
          <w:snapToGrid w:val="0"/>
          <w:color w:val="auto"/>
          <w:kern w:val="0"/>
          <w:sz w:val="32"/>
          <w:szCs w:val="32"/>
          <w:lang w:val="en" w:eastAsia="zh-CN"/>
        </w:rPr>
        <w:t>案例一：蒋</w:t>
      </w:r>
      <w:r>
        <w:rPr>
          <w:rFonts w:hint="eastAsia" w:ascii="仿宋_GB2312" w:hAnsi="仿宋_GB2312" w:eastAsia="仿宋_GB2312" w:cs="仿宋_GB2312"/>
          <w:b w:val="0"/>
          <w:bCs w:val="0"/>
          <w:snapToGrid w:val="0"/>
          <w:color w:val="auto"/>
          <w:spacing w:val="-17"/>
          <w:kern w:val="0"/>
          <w:sz w:val="32"/>
          <w:szCs w:val="32"/>
          <w:lang w:val="en" w:eastAsia="zh-CN"/>
        </w:rPr>
        <w:t>某宇等人无危险废物经营许可证处置危险废物案</w:t>
      </w:r>
      <w:r>
        <w:rPr>
          <w:rFonts w:hint="eastAsia" w:ascii="仿宋_GB2312" w:hAnsi="仿宋_GB2312" w:eastAsia="仿宋_GB2312" w:cs="仿宋_GB2312"/>
          <w:b w:val="0"/>
          <w:bCs w:val="0"/>
          <w:snapToGrid w:val="0"/>
          <w:color w:val="auto"/>
          <w:kern w:val="0"/>
          <w:sz w:val="32"/>
          <w:szCs w:val="32"/>
          <w:lang w:val="en-US" w:eastAsia="zh-CN"/>
        </w:rPr>
        <w:t>3-</w:t>
      </w:r>
      <w:r>
        <w:rPr>
          <w:rFonts w:hint="default" w:ascii="仿宋_GB2312" w:hAnsi="仿宋_GB2312" w:eastAsia="仿宋_GB2312" w:cs="仿宋_GB2312"/>
          <w:b w:val="0"/>
          <w:bCs w:val="0"/>
          <w:snapToGrid w:val="0"/>
          <w:color w:val="auto"/>
          <w:kern w:val="0"/>
          <w:sz w:val="32"/>
          <w:szCs w:val="32"/>
          <w:lang w:eastAsia="zh-CN"/>
        </w:rPr>
        <w:t>6</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distribute"/>
        <w:textAlignment w:val="auto"/>
        <w:rPr>
          <w:rFonts w:hint="default"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案例二：</w:t>
      </w:r>
      <w:r>
        <w:rPr>
          <w:rFonts w:hint="eastAsia" w:ascii="仿宋_GB2312" w:hAnsi="仿宋_GB2312" w:eastAsia="仿宋_GB2312" w:cs="仿宋_GB2312"/>
          <w:b w:val="0"/>
          <w:bCs w:val="0"/>
          <w:color w:val="auto"/>
          <w:sz w:val="32"/>
          <w:szCs w:val="32"/>
        </w:rPr>
        <w:t>江华某医院使用过期药品案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pacing w:val="45"/>
          <w:sz w:val="32"/>
          <w:szCs w:val="32"/>
          <w:lang w:eastAsia="zh-CN"/>
        </w:rPr>
        <w:t>…</w:t>
      </w:r>
      <w:r>
        <w:rPr>
          <w:rFonts w:hint="default" w:ascii="仿宋_GB2312" w:hAnsi="仿宋_GB2312" w:eastAsia="仿宋_GB2312" w:cs="仿宋_GB2312"/>
          <w:b w:val="0"/>
          <w:bCs w:val="0"/>
          <w:color w:val="auto"/>
          <w:sz w:val="32"/>
          <w:szCs w:val="32"/>
          <w:lang w:eastAsia="zh-CN"/>
        </w:rPr>
        <w:t>7</w:t>
      </w: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distribute"/>
        <w:textAlignment w:val="auto"/>
        <w:rPr>
          <w:rFonts w:hint="default" w:ascii="仿宋_GB2312" w:hAnsi="仿宋_GB2312" w:eastAsia="仿宋_GB2312" w:cs="仿宋_GB2312"/>
          <w:b w:val="0"/>
          <w:bCs w:val="0"/>
          <w:color w:val="auto"/>
          <w:spacing w:val="-11"/>
          <w:sz w:val="32"/>
          <w:szCs w:val="32"/>
          <w:lang w:eastAsia="zh-CN"/>
        </w:rPr>
      </w:pPr>
      <w:r>
        <w:rPr>
          <w:rFonts w:hint="eastAsia" w:ascii="仿宋_GB2312" w:hAnsi="仿宋_GB2312" w:eastAsia="仿宋_GB2312" w:cs="仿宋_GB2312"/>
          <w:b w:val="0"/>
          <w:bCs w:val="0"/>
          <w:color w:val="auto"/>
          <w:spacing w:val="-11"/>
          <w:sz w:val="32"/>
          <w:szCs w:val="32"/>
          <w:lang w:val="en-US" w:eastAsia="zh-CN"/>
        </w:rPr>
        <w:t>3.案例三：永州市某实业发展有限公司对商品作引人误解的商业宣传和信息不明确的有奖销售案………………………1</w:t>
      </w:r>
      <w:r>
        <w:rPr>
          <w:rFonts w:hint="default" w:ascii="仿宋_GB2312" w:hAnsi="仿宋_GB2312" w:eastAsia="仿宋_GB2312" w:cs="仿宋_GB2312"/>
          <w:b w:val="0"/>
          <w:bCs w:val="0"/>
          <w:color w:val="auto"/>
          <w:spacing w:val="-11"/>
          <w:sz w:val="32"/>
          <w:szCs w:val="32"/>
          <w:lang w:eastAsia="zh-CN"/>
        </w:rPr>
        <w:t>3</w:t>
      </w:r>
      <w:r>
        <w:rPr>
          <w:rFonts w:hint="eastAsia" w:ascii="仿宋_GB2312" w:hAnsi="仿宋_GB2312" w:eastAsia="仿宋_GB2312" w:cs="仿宋_GB2312"/>
          <w:b w:val="0"/>
          <w:bCs w:val="0"/>
          <w:color w:val="auto"/>
          <w:spacing w:val="-11"/>
          <w:sz w:val="32"/>
          <w:szCs w:val="32"/>
          <w:lang w:val="en-US" w:eastAsia="zh-CN"/>
        </w:rPr>
        <w:t>-1</w:t>
      </w:r>
      <w:r>
        <w:rPr>
          <w:rFonts w:hint="default" w:ascii="仿宋_GB2312" w:hAnsi="仿宋_GB2312" w:eastAsia="仿宋_GB2312" w:cs="仿宋_GB2312"/>
          <w:b w:val="0"/>
          <w:bCs w:val="0"/>
          <w:color w:val="auto"/>
          <w:spacing w:val="-11"/>
          <w:sz w:val="32"/>
          <w:szCs w:val="32"/>
          <w:lang w:eastAsia="zh-CN"/>
        </w:rPr>
        <w:t>7</w:t>
      </w:r>
    </w:p>
    <w:p>
      <w:pPr>
        <w:pStyle w:val="8"/>
        <w:keepNext w:val="0"/>
        <w:keepLines w:val="0"/>
        <w:pageBreakBefore w:val="0"/>
        <w:kinsoku/>
        <w:wordWrap/>
        <w:overflowPunct/>
        <w:topLinePunct w:val="0"/>
        <w:autoSpaceDE/>
        <w:autoSpaceDN/>
        <w:bidi w:val="0"/>
        <w:spacing w:before="0" w:beforeAutospacing="0" w:after="0" w:afterAutospacing="0" w:line="580" w:lineRule="exact"/>
        <w:ind w:right="0" w:rightChars="0"/>
        <w:jc w:val="distribute"/>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snapToGrid w:val="0"/>
          <w:color w:val="auto"/>
          <w:kern w:val="0"/>
          <w:sz w:val="44"/>
          <w:szCs w:val="44"/>
          <w:lang w:val="en" w:eastAsia="zh-CN"/>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方正小标宋简体" w:hAnsi="方正小标宋简体" w:eastAsia="方正小标宋简体" w:cs="方正小标宋简体"/>
          <w:snapToGrid w:val="0"/>
          <w:color w:val="auto"/>
          <w:kern w:val="0"/>
          <w:sz w:val="44"/>
          <w:szCs w:val="44"/>
          <w:lang w:val="en" w:eastAsia="zh-CN"/>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color w:val="auto"/>
          <w:kern w:val="0"/>
          <w:sz w:val="44"/>
          <w:szCs w:val="44"/>
          <w:lang w:val="en" w:eastAsia="zh-CN"/>
        </w:rPr>
        <w:t>案例一：</w:t>
      </w:r>
      <w:r>
        <w:rPr>
          <w:rFonts w:hint="eastAsia" w:ascii="方正小标宋简体" w:hAnsi="方正小标宋简体" w:eastAsia="方正小标宋简体" w:cs="方正小标宋简体"/>
          <w:sz w:val="44"/>
          <w:szCs w:val="44"/>
          <w:lang w:eastAsia="zh-CN"/>
        </w:rPr>
        <w:t>蒋</w:t>
      </w:r>
      <w:r>
        <w:rPr>
          <w:rFonts w:hint="eastAsia" w:ascii="方正小标宋简体" w:hAnsi="方正小标宋简体" w:eastAsia="方正小标宋简体" w:cs="方正小标宋简体"/>
          <w:sz w:val="44"/>
          <w:szCs w:val="44"/>
        </w:rPr>
        <w:t>某宇等人无危险废物经营许可证处置危险废物案</w:t>
      </w: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ascii="仿宋_GB2312" w:hAnsi="仿宋_GB2312" w:eastAsia="仿宋_GB2312" w:cs="仿宋_GB2312"/>
          <w:sz w:val="28"/>
          <w:szCs w:val="28"/>
        </w:rPr>
      </w:pPr>
      <w:bookmarkStart w:id="0" w:name="_GoBack"/>
      <w:bookmarkEnd w:id="0"/>
    </w:p>
    <w:p>
      <w:pPr>
        <w:pStyle w:val="18"/>
        <w:keepNext w:val="0"/>
        <w:keepLines w:val="0"/>
        <w:pageBreakBefore w:val="0"/>
        <w:numPr>
          <w:ilvl w:val="0"/>
          <w:numId w:val="0"/>
        </w:numPr>
        <w:kinsoku/>
        <w:wordWrap/>
        <w:overflowPunct/>
        <w:topLinePunct w:val="0"/>
        <w:bidi w:val="0"/>
        <w:adjustRightInd w:val="0"/>
        <w:snapToGrid w:val="0"/>
        <w:spacing w:line="580"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基本案情</w:t>
      </w:r>
    </w:p>
    <w:p>
      <w:pPr>
        <w:keepNext w:val="0"/>
        <w:keepLines w:val="0"/>
        <w:pageBreakBefore w:val="0"/>
        <w:kinsoku/>
        <w:wordWrap/>
        <w:overflowPunct/>
        <w:topLinePunct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2022年6月初，永州市生态环境局江华分局接到群众举报：“反映铜山岭矿尾矿库周边可能建有一个铝锭冶炼厂”。接到举报后，江华分局执法人员立即到现场调查，发现铜山岭矿尾矿库周边有烟气排放异常现象，现场执法人员通过走访调查和利用无人机侦查，基本掌握了铝锭厂具体位置和生产经营情况。6月9日下午，江华分局联合江华县森林公安对铝锭厂进行了突击检查。经核实该厂未办理环评手续，也未取得危险废物经营许可证，以铝灰（危险废物代码HW48）为原料，使用地炉进行冶炼，生产成品为铝锭。生产现场堆存原料铝灰约60袋，生产产生固体废物约20袋，生产成品铝锭约10吨。</w:t>
      </w:r>
    </w:p>
    <w:p>
      <w:pPr>
        <w:pStyle w:val="8"/>
        <w:keepNext w:val="0"/>
        <w:keepLines w:val="0"/>
        <w:pageBreakBefore w:val="0"/>
        <w:numPr>
          <w:ilvl w:val="0"/>
          <w:numId w:val="0"/>
        </w:numPr>
        <w:kinsoku/>
        <w:wordWrap/>
        <w:overflowPunct/>
        <w:topLinePunct w:val="0"/>
        <w:bidi w:val="0"/>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val="0"/>
          <w:kern w:val="2"/>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处理结果</w:t>
      </w:r>
    </w:p>
    <w:p>
      <w:pPr>
        <w:pStyle w:val="8"/>
        <w:keepNext w:val="0"/>
        <w:keepLines w:val="0"/>
        <w:pageBreakBefore w:val="0"/>
        <w:kinsoku/>
        <w:wordWrap/>
        <w:overflowPunct/>
        <w:topLinePunct w:val="0"/>
        <w:bidi w:val="0"/>
        <w:spacing w:before="0"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调查，当事人蔡某宇等人存在无危险废物经营许可证处置危险废物环境违法行为，违反了《中华人民共和国固体废物污染环境防治法》第八十条第二款：“禁止无许可证或者未按照许可证规定从事危险废物收集、贮存、利用、处置的经营活动”和《中华人民共和国刑法》第三百三十八条第一款：“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的规定，依据《环境保护主管部门实施查封、扣押办法》第四条第一项：“排污者有下列情形之一的，环境保护主管部门依法实施查封、扣押：（一）违法排放、倾倒或者处置含传染病病原体的废物、危险废物、含重金属污染物或者持久性有机污染物等有毒物质或者其他有害物质的…”的规定。6月9日，江华分局将铝锭厂内原料、生产设备就地查封扣押。县森林公安局当场控制铝锭厂现场生产人员，收集相关证据，连夜突击审讯。6月10日，江华分局将案件</w:t>
      </w:r>
      <w:r>
        <w:rPr>
          <w:rFonts w:hint="eastAsia" w:ascii="仿宋_GB2312" w:hAnsi="仿宋_GB2312" w:eastAsia="仿宋_GB2312" w:cs="仿宋_GB2312"/>
          <w:kern w:val="2"/>
          <w:sz w:val="32"/>
          <w:szCs w:val="32"/>
          <w:lang w:eastAsia="zh-CN"/>
        </w:rPr>
        <w:t>线索</w:t>
      </w:r>
      <w:r>
        <w:rPr>
          <w:rFonts w:hint="eastAsia" w:ascii="仿宋_GB2312" w:hAnsi="仿宋_GB2312" w:eastAsia="仿宋_GB2312" w:cs="仿宋_GB2312"/>
          <w:kern w:val="2"/>
          <w:sz w:val="32"/>
          <w:szCs w:val="32"/>
        </w:rPr>
        <w:t>移送县森林公安局查办，9名涉案人员被刑事拘留。2022年12月30日，江华瑶族自治县人民法院对蔡本宇等9名人员判处三年到三年十个月不等有期徒刑，并处罚金人民币三万五千元到六万元不等，继续追缴蔡本宇等人违法所得合计1904119.75元，由江华瑶族自治县森林公安局依法上缴国库。</w:t>
      </w:r>
    </w:p>
    <w:p>
      <w:pPr>
        <w:pStyle w:val="8"/>
        <w:keepNext w:val="0"/>
        <w:keepLines w:val="0"/>
        <w:pageBreakBefore w:val="0"/>
        <w:kinsoku/>
        <w:wordWrap/>
        <w:overflowPunct/>
        <w:topLinePunct w:val="0"/>
        <w:bidi w:val="0"/>
        <w:spacing w:before="0"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湖南省环境保护科学研究院评估，本次事件损害费用主要为应急处置费用、生态环境损害、事务性费用、司法鉴定工作费用以及其他污染治理费用，共计766702元。目前，现场堆存的原料铝灰已安全处置完毕，受污染的土地已进行了治理修复，生态环境损害赔偿已完成。</w:t>
      </w:r>
    </w:p>
    <w:p>
      <w:pPr>
        <w:pStyle w:val="8"/>
        <w:keepNext w:val="0"/>
        <w:keepLines w:val="0"/>
        <w:pageBreakBefore w:val="0"/>
        <w:kinsoku/>
        <w:wordWrap/>
        <w:overflowPunct/>
        <w:topLinePunct w:val="0"/>
        <w:bidi w:val="0"/>
        <w:spacing w:before="0"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根据《关于对生态环境违法犯罪行为实行有奖举报的通告》和《永州市生态环境局生态环境违法犯罪行为举报奖励实施方案》有关规定，永州市生态环境局对举报人予以5000元的现金奖励，奖励资金已发放到位。</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ascii="Times New Roman" w:hAnsi="Times New Roman" w:eastAsia="仿宋_GB2312" w:cs="Times New Roman"/>
          <w:b/>
          <w:bCs/>
          <w:sz w:val="32"/>
          <w:szCs w:val="32"/>
        </w:rPr>
      </w:pPr>
      <w:r>
        <w:rPr>
          <w:rFonts w:hint="eastAsia" w:ascii="Times New Roman" w:hAnsi="Times New Roman" w:eastAsia="黑体" w:cs="Times New Roman"/>
          <w:sz w:val="32"/>
          <w:szCs w:val="32"/>
        </w:rPr>
        <w:t>三、案情解析</w:t>
      </w:r>
    </w:p>
    <w:p>
      <w:pPr>
        <w:keepNext w:val="0"/>
        <w:keepLines w:val="0"/>
        <w:pageBreakBefore w:val="0"/>
        <w:kinsoku/>
        <w:wordWrap/>
        <w:overflowPunct/>
        <w:topLinePunct w:val="0"/>
        <w:bidi w:val="0"/>
        <w:adjustRightInd w:val="0"/>
        <w:snapToGrid w:val="0"/>
        <w:spacing w:line="580" w:lineRule="exact"/>
        <w:ind w:left="0" w:right="0" w:rightChars="0" w:firstLine="643"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（一）案情分析</w:t>
      </w:r>
    </w:p>
    <w:p>
      <w:pPr>
        <w:keepNext w:val="0"/>
        <w:keepLines w:val="0"/>
        <w:pageBreakBefore w:val="0"/>
        <w:kinsoku/>
        <w:wordWrap/>
        <w:overflowPunct/>
        <w:topLinePunct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rPr>
        <w:t>经认定，生产现场堆存的60吨原料铝灰及20吨固体废物二次铝灰属于《国家危险废物名录》中代码为 321-026-48的危险废物，该铝锭厂未取得危险废物经营许可证从事危险废物处置工作，自铝锭厂生产以来产生成品铝锭约300吨，处理铝灰渣约380吨。</w:t>
      </w:r>
      <w:r>
        <w:rPr>
          <w:rFonts w:hint="eastAsia" w:ascii="仿宋_GB2312" w:hAnsi="仿宋_GB2312" w:eastAsia="仿宋_GB2312" w:cs="仿宋_GB2312"/>
          <w:sz w:val="32"/>
          <w:szCs w:val="32"/>
          <w:highlight w:val="none"/>
        </w:rPr>
        <w:t>当事人蔡某宇等人的行为涉嫌未取得危险废物经营许可证非法处置危险废物</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rPr>
        <w:t>污染环境</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adjustRightInd w:val="0"/>
        <w:snapToGrid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（二）法律适用</w:t>
      </w:r>
    </w:p>
    <w:p>
      <w:pPr>
        <w:keepNext w:val="0"/>
        <w:keepLines w:val="0"/>
        <w:pageBreakBefore w:val="0"/>
        <w:kinsoku/>
        <w:wordWrap/>
        <w:overflowPunct/>
        <w:topLinePunct w:val="0"/>
        <w:bidi w:val="0"/>
        <w:adjustRightInd w:val="0"/>
        <w:snapToGrid w:val="0"/>
        <w:spacing w:line="580" w:lineRule="exact"/>
        <w:ind w:left="0" w:right="0" w:rightChars="0" w:firstLine="640" w:firstLineChars="200"/>
        <w:jc w:val="both"/>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最高人民法院 最高人民检察院</w:t>
      </w:r>
      <w:r>
        <w:rPr>
          <w:rFonts w:ascii="Times New Roman" w:hAnsi="Times New Roman" w:eastAsia="仿宋_GB2312" w:cs="Times New Roman"/>
          <w:sz w:val="32"/>
          <w:szCs w:val="32"/>
        </w:rPr>
        <w:t>关于办理环境污染刑事案件适用法律若干问题的解释》第一条</w:t>
      </w:r>
      <w:r>
        <w:rPr>
          <w:rFonts w:hint="eastAsia" w:ascii="Times New Roman" w:hAnsi="Times New Roman" w:eastAsia="仿宋_GB2312" w:cs="Times New Roman"/>
          <w:sz w:val="32"/>
          <w:szCs w:val="32"/>
        </w:rPr>
        <w:t>第二项：实施刑法第三百三十八条规定的行为，具有下列情形之一的，应当认定为“严重污染环境：（二）非法排放、倾倒、处置危险废物三吨以上</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，蔡某宇等人的行为触犯了《中华人民共和国刑法》第三百三十八条的规定，</w:t>
      </w:r>
      <w:r>
        <w:rPr>
          <w:rFonts w:hint="eastAsia" w:ascii="仿宋_GB2312" w:hAnsi="仿宋_GB2312" w:eastAsia="仿宋_GB2312" w:cs="仿宋_GB2312"/>
          <w:sz w:val="32"/>
          <w:szCs w:val="32"/>
          <w:highlight w:val="none"/>
        </w:rPr>
        <w:t>涉嫌未取得危险废物经营许可证非法处置危险废物</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rPr>
        <w:t>污染环境</w:t>
      </w:r>
      <w:r>
        <w:rPr>
          <w:rFonts w:hint="eastAsia" w:ascii="Times New Roman" w:hAnsi="Times New Roman" w:eastAsia="仿宋_GB2312" w:cs="Times New Roman"/>
          <w:sz w:val="32"/>
          <w:szCs w:val="32"/>
        </w:rPr>
        <w:t>，永州市生态环境局江华分局将该案移送江华县森林公安局刑事拘留。</w:t>
      </w:r>
    </w:p>
    <w:p>
      <w:pPr>
        <w:keepNext w:val="0"/>
        <w:keepLines w:val="0"/>
        <w:pageBreakBefore w:val="0"/>
        <w:kinsoku/>
        <w:wordWrap/>
        <w:overflowPunct/>
        <w:topLinePunct w:val="0"/>
        <w:bidi w:val="0"/>
        <w:adjustRightInd w:val="0"/>
        <w:snapToGrid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（三）执法示范点</w:t>
      </w:r>
    </w:p>
    <w:p>
      <w:pPr>
        <w:keepNext w:val="0"/>
        <w:keepLines w:val="0"/>
        <w:pageBreakBefore w:val="0"/>
        <w:kinsoku/>
        <w:wordWrap/>
        <w:overflowPunct/>
        <w:topLinePunct w:val="0"/>
        <w:bidi w:val="0"/>
        <w:adjustRightInd w:val="0"/>
        <w:snapToGrid w:val="0"/>
        <w:spacing w:line="580" w:lineRule="exact"/>
        <w:ind w:left="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1.建立健全生态环境违法犯罪举报奖励机制，扩宽公众参与环境保护工作渠道。</w:t>
      </w:r>
      <w:r>
        <w:rPr>
          <w:rFonts w:hint="eastAsia" w:ascii="仿宋_GB2312" w:hAnsi="仿宋_GB2312" w:eastAsia="仿宋_GB2312" w:cs="仿宋_GB2312"/>
          <w:sz w:val="32"/>
          <w:szCs w:val="32"/>
        </w:rPr>
        <w:t>永州市生态环境局严格按照“源头治理、联防联控、强化执法”的工作要求，联合检察机关和公安机关印发《关于对生态环境违法犯罪行为实行有奖举报的通告》，鼓励和引导公众积极参与生态环境保护监督管理，及时防范和消除环境安全隐患，对群众举报问题逐项调查处理，严厉打击生态环境违法犯罪行为，保障公众健康，对满足条件的举报人予以现金奖励，进一步发挥公众参与环境保护积极性。</w:t>
      </w:r>
    </w:p>
    <w:p>
      <w:pPr>
        <w:pStyle w:val="8"/>
        <w:keepNext w:val="0"/>
        <w:keepLines w:val="0"/>
        <w:pageBreakBefore w:val="0"/>
        <w:shd w:val="clear" w:color="auto" w:fill="FFFFFF"/>
        <w:kinsoku/>
        <w:wordWrap/>
        <w:overflowPunct/>
        <w:topLinePunct w:val="0"/>
        <w:bidi w:val="0"/>
        <w:spacing w:before="0" w:beforeAutospacing="0" w:after="0" w:afterAutospacing="0" w:line="580" w:lineRule="exact"/>
        <w:ind w:left="0" w:right="0" w:rightChars="0"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rPr>
        <w:t>2.创新执法方式，借力科技提升执法效能。</w:t>
      </w:r>
      <w:r>
        <w:rPr>
          <w:rFonts w:hint="eastAsia" w:ascii="仿宋_GB2312" w:hAnsi="仿宋_GB2312" w:eastAsia="仿宋_GB2312" w:cs="仿宋_GB2312"/>
          <w:kern w:val="2"/>
          <w:sz w:val="32"/>
          <w:szCs w:val="32"/>
        </w:rPr>
        <w:t>充分发挥无人机科技手段优势，助力生态环境执法工作。本案调查过程中通过无人机的侦查，迅速锁定了铝锭厂的具体位置和相关情况，为后续调查取证提供了充分保障。</w:t>
      </w:r>
    </w:p>
    <w:p>
      <w:pPr>
        <w:pStyle w:val="8"/>
        <w:keepNext w:val="0"/>
        <w:keepLines w:val="0"/>
        <w:pageBreakBefore w:val="0"/>
        <w:shd w:val="clear" w:color="auto" w:fill="FFFFFF"/>
        <w:kinsoku/>
        <w:wordWrap/>
        <w:overflowPunct/>
        <w:topLinePunct w:val="0"/>
        <w:bidi w:val="0"/>
        <w:spacing w:before="0" w:beforeAutospacing="0" w:after="0" w:afterAutospacing="0" w:line="580" w:lineRule="exact"/>
        <w:ind w:left="0" w:right="0" w:rightChars="0" w:firstLine="643"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
          <w:bCs/>
          <w:kern w:val="2"/>
          <w:sz w:val="32"/>
          <w:szCs w:val="32"/>
        </w:rPr>
        <w:t>3.两法衔接紧密，形成高效震慑。</w:t>
      </w:r>
      <w:r>
        <w:rPr>
          <w:rFonts w:hint="eastAsia" w:ascii="仿宋_GB2312" w:hAnsi="仿宋_GB2312" w:eastAsia="仿宋_GB2312" w:cs="仿宋_GB2312"/>
          <w:kern w:val="2"/>
          <w:sz w:val="32"/>
          <w:szCs w:val="32"/>
        </w:rPr>
        <w:t>该案件办理过程中，生态环境部门与公安机关密切配合，形成合力，充分发挥了部门联动的力量，公安机关第一时间控制主要当事人，生态环境部门及时开展现场勘查，采取查封扣押措施，固定和保全现场证据，确定当事人</w:t>
      </w:r>
      <w:r>
        <w:rPr>
          <w:rFonts w:hint="eastAsia" w:ascii="仿宋_GB2312" w:hAnsi="仿宋_GB2312" w:eastAsia="仿宋_GB2312" w:cs="仿宋_GB2312"/>
          <w:kern w:val="2"/>
          <w:sz w:val="32"/>
          <w:szCs w:val="32"/>
          <w:lang w:eastAsia="zh-CN"/>
        </w:rPr>
        <w:t>涉嫌污染</w:t>
      </w:r>
      <w:r>
        <w:rPr>
          <w:rFonts w:hint="eastAsia" w:ascii="仿宋_GB2312" w:hAnsi="仿宋_GB2312" w:eastAsia="仿宋_GB2312" w:cs="仿宋_GB2312"/>
          <w:kern w:val="2"/>
          <w:sz w:val="32"/>
          <w:szCs w:val="32"/>
        </w:rPr>
        <w:t>环境违法犯罪行为，有效打击危险废物环境违法犯罪，有效预防环境污染风险。该案件进一步警醒企业和个人必须遵守环境保护法律法规，</w:t>
      </w:r>
      <w:r>
        <w:rPr>
          <w:rFonts w:hint="eastAsia" w:ascii="仿宋_GB2312" w:hAnsi="仿宋_GB2312" w:eastAsia="仿宋_GB2312" w:cs="仿宋_GB2312"/>
          <w:kern w:val="2"/>
          <w:sz w:val="32"/>
          <w:szCs w:val="32"/>
          <w:highlight w:val="none"/>
        </w:rPr>
        <w:t>一旦危害环境触碰法律底线必将受到严惩。</w:t>
      </w:r>
    </w:p>
    <w:p>
      <w:pPr>
        <w:pStyle w:val="8"/>
        <w:keepNext w:val="0"/>
        <w:keepLines w:val="0"/>
        <w:pageBreakBefore w:val="0"/>
        <w:shd w:val="clear" w:color="auto" w:fill="FFFFFF"/>
        <w:kinsoku/>
        <w:wordWrap/>
        <w:overflowPunct/>
        <w:topLinePunct w:val="0"/>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Times New Roman"/>
          <w:kern w:val="2"/>
          <w:sz w:val="32"/>
          <w:szCs w:val="32"/>
        </w:rPr>
      </w:pPr>
    </w:p>
    <w:p>
      <w:pPr>
        <w:pStyle w:val="8"/>
        <w:keepNext w:val="0"/>
        <w:keepLines w:val="0"/>
        <w:pageBreakBefore w:val="0"/>
        <w:shd w:val="clear" w:color="auto" w:fill="FFFFFF"/>
        <w:kinsoku/>
        <w:wordWrap/>
        <w:overflowPunct/>
        <w:topLinePunct w:val="0"/>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Times New Roman"/>
          <w:kern w:val="2"/>
          <w:sz w:val="32"/>
          <w:szCs w:val="32"/>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ascii="仿宋_GB2312" w:hAnsi="仿宋_GB2312" w:eastAsia="仿宋_GB2312" w:cs="仿宋_GB2312"/>
          <w:sz w:val="32"/>
          <w:szCs w:val="32"/>
        </w:rPr>
      </w:pPr>
    </w:p>
    <w:p>
      <w:pPr>
        <w:keepNext w:val="0"/>
        <w:keepLines w:val="0"/>
        <w:pageBreakBefore w:val="0"/>
        <w:kinsoku/>
        <w:wordWrap/>
        <w:overflowPunct/>
        <w:topLinePunct w:val="0"/>
        <w:bidi w:val="0"/>
        <w:spacing w:line="580" w:lineRule="exact"/>
        <w:ind w:right="0" w:rightChars="0"/>
        <w:jc w:val="both"/>
        <w:textAlignment w:val="auto"/>
        <w:rPr>
          <w:rFonts w:hint="eastAsia" w:ascii="方正小标宋简体" w:hAnsi="方正小标宋简体" w:eastAsia="方正小标宋简体" w:cs="方正小标宋简体"/>
          <w:b w:val="0"/>
          <w:bCs/>
          <w:color w:val="auto"/>
          <w:sz w:val="44"/>
          <w:szCs w:val="44"/>
          <w:lang w:eastAsia="zh-CN"/>
        </w:rPr>
      </w:pPr>
    </w:p>
    <w:p>
      <w:pPr>
        <w:keepNext w:val="0"/>
        <w:keepLines w:val="0"/>
        <w:pageBreakBefore w:val="0"/>
        <w:kinsoku/>
        <w:wordWrap/>
        <w:overflowPunct/>
        <w:topLinePunct w:val="0"/>
        <w:bidi w:val="0"/>
        <w:spacing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color w:val="auto"/>
          <w:sz w:val="44"/>
          <w:szCs w:val="44"/>
          <w:lang w:eastAsia="zh-CN"/>
        </w:rPr>
        <w:t>案例二：</w:t>
      </w:r>
      <w:r>
        <w:rPr>
          <w:rFonts w:hint="eastAsia" w:ascii="方正小标宋简体" w:hAnsi="方正小标宋简体" w:eastAsia="方正小标宋简体" w:cs="方正小标宋简体"/>
          <w:sz w:val="44"/>
          <w:szCs w:val="44"/>
        </w:rPr>
        <w:t>江华某医院使用过期药品案</w:t>
      </w:r>
    </w:p>
    <w:p>
      <w:pPr>
        <w:keepNext w:val="0"/>
        <w:keepLines w:val="0"/>
        <w:pageBreakBefore w:val="0"/>
        <w:kinsoku/>
        <w:wordWrap/>
        <w:overflowPunct/>
        <w:topLinePunct w:val="0"/>
        <w:bidi w:val="0"/>
        <w:spacing w:line="580" w:lineRule="exact"/>
        <w:ind w:left="0" w:right="0" w:rightChars="0" w:firstLine="723" w:firstLineChars="200"/>
        <w:jc w:val="both"/>
        <w:textAlignment w:val="auto"/>
        <w:rPr>
          <w:rFonts w:hint="eastAsia"/>
          <w:b/>
          <w:sz w:val="36"/>
          <w:szCs w:val="36"/>
        </w:rPr>
      </w:pP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一、基本案情</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2021年11月5日,卫生监督员在江华某医院检查发现：</w:t>
      </w:r>
    </w:p>
    <w:p>
      <w:pPr>
        <w:keepNext w:val="0"/>
        <w:keepLines w:val="0"/>
        <w:pageBreakBefore w:val="0"/>
        <w:numPr>
          <w:ilvl w:val="0"/>
          <w:numId w:val="0"/>
        </w:numPr>
        <w:kinsoku/>
        <w:wordWrap/>
        <w:overflowPunct/>
        <w:topLinePunct w:val="0"/>
        <w:bidi w:val="0"/>
        <w:spacing w:line="58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某医院使用非卫生技术人员蒋某、何某从事医疗卫生技术工作，包括为患者单独书写病历、值班。</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某医院未按规定填写病历资料。</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某医院使用过期药品。该医院门诊药房精、麻药品保险柜小抽屉中有1盒注射用麻醉药品盐酸瑞芬太尼共5支，生产日期为2019年9月26日，有效期至2021年2月，已超过有效期限。</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二、处理结果</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针对监督检查发现的问题，执法人员现场封存了过期的麻醉药品</w:t>
      </w:r>
      <w:r>
        <w:rPr>
          <w:rFonts w:hint="eastAsia" w:ascii="仿宋_GB2312" w:hAnsi="仿宋_GB2312" w:eastAsia="仿宋_GB2312" w:cs="仿宋_GB2312"/>
          <w:sz w:val="32"/>
          <w:szCs w:val="32"/>
        </w:rPr>
        <w:t>盐酸瑞芬太尼5支</w:t>
      </w:r>
      <w:r>
        <w:rPr>
          <w:rFonts w:hint="eastAsia" w:ascii="仿宋_GB2312" w:hAnsi="仿宋_GB2312" w:eastAsia="仿宋_GB2312" w:cs="仿宋_GB2312"/>
          <w:bCs/>
          <w:sz w:val="32"/>
          <w:szCs w:val="32"/>
        </w:rPr>
        <w:t>并将其作为物证随案移送，制作了《现场笔录》、《询问笔录》、《证据先行保存登记决定书》。依据相关法律法规给予某医院以下行政处罚：</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某医院使用非卫生技术人员蒋某、何某从事医疗卫生技术工作的行为，违反了</w:t>
      </w:r>
      <w:r>
        <w:rPr>
          <w:rFonts w:hint="eastAsia" w:ascii="仿宋_GB2312" w:hAnsi="仿宋_GB2312" w:eastAsia="仿宋_GB2312" w:cs="仿宋_GB2312"/>
          <w:color w:val="000000"/>
          <w:sz w:val="32"/>
          <w:szCs w:val="32"/>
        </w:rPr>
        <w:t>《医疗机构管理条例》第二十八条的规定，依据《医疗机构管理条例》第四十八条、《医疗机构管理条例实施细则》第八十一条的规定，</w:t>
      </w:r>
      <w:r>
        <w:rPr>
          <w:rFonts w:hint="eastAsia" w:ascii="仿宋_GB2312" w:hAnsi="仿宋_GB2312" w:eastAsia="仿宋_GB2312" w:cs="仿宋_GB2312"/>
          <w:sz w:val="32"/>
          <w:szCs w:val="32"/>
        </w:rPr>
        <w:t>给予该医院</w:t>
      </w:r>
      <w:r>
        <w:rPr>
          <w:rFonts w:hint="eastAsia" w:ascii="仿宋_GB2312" w:hAnsi="仿宋_GB2312" w:eastAsia="仿宋_GB2312" w:cs="仿宋_GB2312"/>
          <w:color w:val="000000"/>
          <w:sz w:val="32"/>
          <w:szCs w:val="32"/>
        </w:rPr>
        <w:t>罚款人民币肆仟元（4000.00元）的行政处罚。</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某医院未按规定填写病历资料的行为，违反了《病历书写基本规范》第三条、《医疗纠纷预防和处理条例》</w:t>
      </w:r>
      <w:r>
        <w:rPr>
          <w:rFonts w:hint="eastAsia" w:ascii="仿宋_GB2312" w:hAnsi="仿宋_GB2312" w:eastAsia="仿宋_GB2312" w:cs="仿宋_GB2312"/>
          <w:color w:val="000000"/>
          <w:sz w:val="32"/>
          <w:szCs w:val="32"/>
        </w:rPr>
        <w:t>第十五条第一款</w:t>
      </w:r>
      <w:r>
        <w:rPr>
          <w:rFonts w:hint="eastAsia" w:ascii="仿宋_GB2312" w:hAnsi="仿宋_GB2312" w:eastAsia="仿宋_GB2312" w:cs="仿宋_GB2312"/>
          <w:sz w:val="32"/>
          <w:szCs w:val="32"/>
        </w:rPr>
        <w:t>的规定</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某医院使用过期药品的行为，违反了《医疗机构管理条例实施细则》的五十九条、《医疗纠纷预防和处理条例》第十二条的规定。</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违法行为2、3项合并处罚，依据《医疗纠纷预防和处理条例》第四十七条第（四）（九）项的规定，给予该医院警告、</w:t>
      </w:r>
      <w:r>
        <w:rPr>
          <w:rFonts w:hint="eastAsia" w:ascii="仿宋_GB2312" w:hAnsi="仿宋_GB2312" w:eastAsia="仿宋_GB2312" w:cs="仿宋_GB2312"/>
          <w:color w:val="000000"/>
          <w:sz w:val="32"/>
          <w:szCs w:val="32"/>
        </w:rPr>
        <w:t>罚款人民币贰万伍仟元（25000.00元）的行政处罚。</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综合以上违法行为，给予该医院警告、</w:t>
      </w:r>
      <w:r>
        <w:rPr>
          <w:rFonts w:hint="eastAsia" w:ascii="仿宋_GB2312" w:hAnsi="仿宋_GB2312" w:eastAsia="仿宋_GB2312" w:cs="仿宋_GB2312"/>
          <w:color w:val="000000"/>
          <w:sz w:val="32"/>
          <w:szCs w:val="32"/>
        </w:rPr>
        <w:t>罚款贰万玖仟元（29000.00元）的行政处罚。</w:t>
      </w:r>
    </w:p>
    <w:p>
      <w:pPr>
        <w:keepNext w:val="0"/>
        <w:keepLines w:val="0"/>
        <w:pageBreakBefore w:val="0"/>
        <w:kinsoku/>
        <w:wordWrap/>
        <w:overflowPunct/>
        <w:topLinePunct w:val="0"/>
        <w:bidi w:val="0"/>
        <w:spacing w:line="580" w:lineRule="exact"/>
        <w:ind w:left="0" w:right="0" w:rightChars="0" w:firstLine="616" w:firstLineChars="200"/>
        <w:jc w:val="both"/>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某医院收到《行政处罚事先告知书》后，未提出陈述、申辩和听证申请，2022年1月11日该市卫生健康委员会对某医院下达了《行政处罚决定书》，某医院于2022年1月27日主动缴纳了罚款，履行了行政处罚，2022年3月3日本案结案。</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三、案情解析     </w:t>
      </w:r>
    </w:p>
    <w:p>
      <w:pPr>
        <w:keepNext w:val="0"/>
        <w:keepLines w:val="0"/>
        <w:pageBreakBefore w:val="0"/>
        <w:kinsoku/>
        <w:wordWrap/>
        <w:overflowPunct/>
        <w:topLinePunct w:val="0"/>
        <w:bidi w:val="0"/>
        <w:spacing w:line="580" w:lineRule="exact"/>
        <w:ind w:left="0" w:right="0" w:rightChars="0" w:firstLine="616" w:firstLineChars="200"/>
        <w:jc w:val="both"/>
        <w:textAlignment w:val="auto"/>
        <w:rPr>
          <w:rFonts w:hint="eastAsia" w:ascii="仿宋_GB2312" w:hAnsi="仿宋_GB2312" w:eastAsia="仿宋_GB2312" w:cs="仿宋_GB2312"/>
          <w:bCs/>
          <w:color w:val="FF0000"/>
          <w:spacing w:val="-6"/>
          <w:sz w:val="32"/>
          <w:szCs w:val="32"/>
        </w:rPr>
      </w:pPr>
      <w:r>
        <w:rPr>
          <w:rFonts w:hint="eastAsia" w:ascii="仿宋_GB2312" w:hAnsi="仿宋_GB2312" w:eastAsia="仿宋_GB2312" w:cs="仿宋_GB2312"/>
          <w:bCs/>
          <w:spacing w:val="-6"/>
          <w:sz w:val="32"/>
          <w:szCs w:val="32"/>
        </w:rPr>
        <w:t>本案是该市第一起对于因麻醉药品过期进行行政处罚的案件，对于违法事实的性质及管辖权的认定是该案的核心</w:t>
      </w:r>
      <w:r>
        <w:rPr>
          <w:rFonts w:hint="eastAsia" w:ascii="仿宋_GB2312" w:hAnsi="仿宋_GB2312" w:eastAsia="仿宋_GB2312" w:cs="仿宋_GB2312"/>
          <w:sz w:val="32"/>
          <w:szCs w:val="32"/>
        </w:rPr>
        <w:t>，对</w:t>
      </w:r>
      <w:r>
        <w:rPr>
          <w:rFonts w:hint="eastAsia" w:ascii="仿宋_GB2312" w:hAnsi="仿宋_GB2312" w:eastAsia="仿宋_GB2312" w:cs="仿宋_GB2312"/>
          <w:spacing w:val="-6"/>
          <w:sz w:val="32"/>
          <w:szCs w:val="32"/>
        </w:rPr>
        <w:t>如何查处使用过期麻醉药品的违法行为具有较强的指导意义。</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sz w:val="32"/>
          <w:szCs w:val="32"/>
        </w:rPr>
        <w:t>案情分析</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准确认定医院使用过期麻醉药品是本案的基础。</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2021年11月5日卫生监督员在江华某医院检查发现，某医院</w:t>
      </w:r>
      <w:r>
        <w:rPr>
          <w:rFonts w:hint="eastAsia" w:ascii="仿宋_GB2312" w:hAnsi="仿宋_GB2312" w:eastAsia="仿宋_GB2312" w:cs="仿宋_GB2312"/>
          <w:color w:val="000000"/>
          <w:sz w:val="32"/>
          <w:szCs w:val="32"/>
        </w:rPr>
        <w:t>门诊药房精、麻药品保险柜小抽屉中有1盒注射用麻醉药品盐酸瑞芬太尼共5支，至检查日2021年11月5日，已超过有效期10个月。这5支药品虽然已经过期，但仅仅是保存在药品柜内，并没有销售给患者，这种情形是否可以认定为使用过期药品呢？</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C00000"/>
          <w:sz w:val="32"/>
          <w:szCs w:val="32"/>
          <w:highlight w:val="none"/>
        </w:rPr>
      </w:pPr>
      <w:r>
        <w:rPr>
          <w:rFonts w:hint="eastAsia" w:ascii="仿宋_GB2312" w:hAnsi="仿宋_GB2312" w:eastAsia="仿宋_GB2312" w:cs="仿宋_GB2312"/>
          <w:color w:val="000000"/>
          <w:sz w:val="32"/>
          <w:szCs w:val="32"/>
        </w:rPr>
        <w:t>原卫生部关于对《医疗机构管理条例实施细则》中使用假药劣药蒙骗患者条文的复函（卫医发〔1999〕第77号）一文做出了如下规定：“药品是特殊商品，销售假药、劣药的行为将严重损害患者的生命健康，应该严厉查处。在诊疗活动中，已经知道或应该知道药品为假药、劣药，仍购进、存放的，不管是否已经销售给患者，均应按“使用假药、劣药蒙骗患者”查处。</w:t>
      </w:r>
      <w:r>
        <w:rPr>
          <w:rFonts w:hint="eastAsia" w:ascii="仿宋_GB2312" w:hAnsi="仿宋_GB2312" w:eastAsia="仿宋_GB2312" w:cs="仿宋_GB2312"/>
          <w:color w:val="000000"/>
          <w:sz w:val="32"/>
          <w:szCs w:val="32"/>
          <w:highlight w:val="none"/>
        </w:rPr>
        <w:t>‘已经知道’，是指有证据证明行医者故意购销假药、劣药的情形；‘应该知道’，是指行医者按照其职责应该且能够鉴别药品为假药、劣药的情形，如未取得批准文号生产的药品、变质不能药用的药品、被污染不能用的药品、超过有效期的药品或卫生部规定的其他情形。”按照卫生部的批复，在诊疗活动中，已经知道或应该知道药品为假药、劣药，仍在精麻药品保险柜中存放的，不管是否已经销售给患者，均应按“使用假药、劣药蒙骗患者”查处。因此，依据批复，将某医院上述行为定性为使用过期麻醉药品是准确的。</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sz w:val="32"/>
          <w:szCs w:val="32"/>
        </w:rPr>
        <w:t xml:space="preserve">法律适用 </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正确适用法律法规查处是本案的关键。</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某医院使用过期麻醉药品的行为违反了《医疗纠纷预防和处理条例》第十二条“医疗机构应当依照有关法律、法规的规定，严格执行药品、医疗器械、消毒药剂、血液等的进货查验、保管等制度。禁止使用无合格证明文件、过期等不合格的药品、医疗器械、消毒药剂、血液等。”及《医疗机构管理条例实施细则》第五十九条“医疗机构不得使用假劣药品，过期和失效药品以及违禁药品。”的规定，依据《医疗纠纷预防和处理条例》第四十七条第（九）项“其他未履行本条例规定义务的情形。”对医院进行行政处罚是毫无疑问的。</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sz w:val="32"/>
          <w:szCs w:val="32"/>
        </w:rPr>
        <w:t xml:space="preserve">执法易错点 </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如何确认“管辖权”是本案的核心。</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color w:val="4C4B4B"/>
          <w:sz w:val="32"/>
          <w:szCs w:val="32"/>
          <w:shd w:val="clear" w:color="auto" w:fill="FFFFFF"/>
        </w:rPr>
      </w:pPr>
      <w:r>
        <w:rPr>
          <w:rFonts w:hint="eastAsia" w:ascii="仿宋_GB2312" w:hAnsi="仿宋_GB2312" w:eastAsia="仿宋_GB2312" w:cs="仿宋_GB2312"/>
          <w:bCs/>
          <w:sz w:val="32"/>
          <w:szCs w:val="32"/>
        </w:rPr>
        <w:t>医疗机构使用过期药品的监管，牵涉到市场监管与卫生行政两个部门。《中华人民共和国药品管理法》第八条规定：国务院药品监督管理部门主管全国药品监督管理工作及第一百一十九条规定：药品使用单位使用假药、劣药的，按照销售假药、零售劣药的规定处罚。依据上位法优于下位法的原则，本案是否应当移交给药品监督管理部门进行查处呢？</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过与省卫生监督执法局专家、特聘法律顾问等认真研究，深入探讨，认为本案管辖权应当归属卫生行政部门。理由如下：1、《中华人民共和国药品管理法》第八条规定“国务院药品监督管理部门主管全国药品监督管理工作。国务院有关部门在各自职责范围内负责与药品有关的监督管理工作。”虽然药品监督管理部门主管药品监督管理工作，但是行政卫生部门在职责范围内负责与药品有关的监督管理工作；2、《行政处罚法》第二十五条规定“两个以上行政机关都有管辖权的，由最先立案的行政机关管辖。”依据该条规定卫生行政部门对违法行为进行立案查处</w:t>
      </w:r>
      <w:r>
        <w:rPr>
          <w:rFonts w:hint="eastAsia" w:ascii="仿宋_GB2312" w:hAnsi="仿宋_GB2312" w:eastAsia="仿宋_GB2312" w:cs="仿宋_GB2312"/>
          <w:bCs/>
          <w:sz w:val="32"/>
          <w:szCs w:val="32"/>
          <w:lang w:eastAsia="zh-CN"/>
        </w:rPr>
        <w:t>具有</w:t>
      </w:r>
      <w:r>
        <w:rPr>
          <w:rFonts w:hint="eastAsia" w:ascii="仿宋_GB2312" w:hAnsi="仿宋_GB2312" w:eastAsia="仿宋_GB2312" w:cs="仿宋_GB2312"/>
          <w:bCs/>
          <w:sz w:val="32"/>
          <w:szCs w:val="32"/>
        </w:rPr>
        <w:t>管辖权。</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执法示范点</w:t>
      </w:r>
    </w:p>
    <w:p>
      <w:pPr>
        <w:keepNext w:val="0"/>
        <w:keepLines w:val="0"/>
        <w:pageBreakBefore w:val="0"/>
        <w:numPr>
          <w:ilvl w:val="0"/>
          <w:numId w:val="0"/>
        </w:numPr>
        <w:kinsoku/>
        <w:wordWrap/>
        <w:overflowPunct/>
        <w:topLinePunct w:val="0"/>
        <w:bidi w:val="0"/>
        <w:spacing w:line="58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创新执法、提升成效。</w:t>
      </w:r>
      <w:r>
        <w:rPr>
          <w:rFonts w:hint="eastAsia" w:ascii="仿宋_GB2312" w:hAnsi="仿宋_GB2312" w:eastAsia="仿宋_GB2312" w:cs="仿宋_GB2312"/>
          <w:sz w:val="32"/>
          <w:szCs w:val="32"/>
        </w:rPr>
        <w:t>近年来，市卫健委、市卫生计生综合监督执法局为切实提升执法效能，特别是增强现场发现问题的能力，在全省卫生健康系统首推“一次查清+服务”执法模式，即改变原来按专业划分科室，对同一被检单位分头执法、多次上门的模式，改“散”为“集”“一次查清” 。一次检查涵盖卫生健康行政执法的全部专业，每到一个被监督单位检查，一次集中众多执法骨干精英，既减少了执法“扰民”，又极大的增强了现场发现问题线索的能力，此案就是在此背景下，发现的问题线索。</w:t>
      </w:r>
    </w:p>
    <w:p>
      <w:pPr>
        <w:keepNext w:val="0"/>
        <w:keepLines w:val="0"/>
        <w:pageBreakBefore w:val="0"/>
        <w:numPr>
          <w:ilvl w:val="0"/>
          <w:numId w:val="0"/>
        </w:numPr>
        <w:kinsoku/>
        <w:wordWrap/>
        <w:overflowPunct/>
        <w:topLinePunct w:val="0"/>
        <w:bidi w:val="0"/>
        <w:spacing w:line="58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程序规范、育罚并重。</w:t>
      </w:r>
      <w:r>
        <w:rPr>
          <w:rFonts w:hint="eastAsia" w:ascii="仿宋_GB2312" w:hAnsi="仿宋_GB2312" w:eastAsia="仿宋_GB2312" w:cs="仿宋_GB2312"/>
          <w:sz w:val="32"/>
          <w:szCs w:val="32"/>
        </w:rPr>
        <w:t>本案是近年来我市卫生健康行政执法第一起药品过期相关案件，办案人员严格履行调查取证、证据保存、稽查合议、告知权利、审查决定、送达和执行等法定程序，同时还邀请了律师和相关法律和医学专业人士进行讨论和商议，最终和合议人员一致认为，本案在责令停止违法行为、扣押及没收违法药品、行政处罚法律适用裁量等多个步骤上，手段丰富多样、程序严谨规范。本案还充分了体现了育罚并重，寓服务于执法过程。在执法中体现服务，一方面与被监督单位共同对发现的问题举一反三进行座谈梳理，宣传相关卫生健康法律法规，消除当事人对行政处罚的抵触情绪，及时堵住可能存在的漏洞，另一方面建立追踪机制，确保不走过场，真正做到整改到位。</w:t>
      </w:r>
    </w:p>
    <w:p>
      <w:pPr>
        <w:keepNext w:val="0"/>
        <w:keepLines w:val="0"/>
        <w:pageBreakBefore w:val="0"/>
        <w:numPr>
          <w:ilvl w:val="0"/>
          <w:numId w:val="0"/>
        </w:numPr>
        <w:kinsoku/>
        <w:wordWrap/>
        <w:overflowPunct/>
        <w:topLinePunct w:val="0"/>
        <w:bidi w:val="0"/>
        <w:spacing w:line="58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执法为民，护卫健康。</w:t>
      </w:r>
      <w:r>
        <w:rPr>
          <w:rFonts w:hint="eastAsia" w:ascii="仿宋_GB2312" w:hAnsi="仿宋_GB2312" w:eastAsia="仿宋_GB2312" w:cs="仿宋_GB2312"/>
          <w:sz w:val="32"/>
          <w:szCs w:val="32"/>
        </w:rPr>
        <w:t>近年来，在我市卫生监督执法工作中，聚焦民生重点领域加大了执法力度。本案涉及医疗卫生技术人员和药品安全，与人民群众生命健康安全息息相关。本案的办理及时消除了危害人民健康安全的隐患，对医疗机构起到了震慑作用，切实维护了人民群众健康权益。下一步，全市卫生健康行政执法工作，继续</w:t>
      </w:r>
      <w:r>
        <w:rPr>
          <w:rFonts w:hint="eastAsia" w:ascii="仿宋_GB2312" w:hAnsi="仿宋_GB2312" w:eastAsia="仿宋_GB2312" w:cs="仿宋_GB2312"/>
          <w:color w:val="000000"/>
          <w:sz w:val="32"/>
          <w:szCs w:val="32"/>
        </w:rPr>
        <w:t>以保障人民健康为工作目标，以查办卫生健康领域违法案件为抓手，坚持问题导向，突出工作重点，细化工作措施，增力度、强举措、出重拳，坚决筑牢健康安全防线。</w:t>
      </w: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keepNext w:val="0"/>
        <w:keepLines w:val="0"/>
        <w:pageBreakBefore w:val="0"/>
        <w:kinsoku/>
        <w:wordWrap/>
        <w:overflowPunct/>
        <w:topLinePunct w:val="0"/>
        <w:bidi w:val="0"/>
        <w:spacing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color w:val="auto"/>
          <w:sz w:val="44"/>
          <w:szCs w:val="44"/>
          <w:lang w:eastAsia="zh-CN"/>
        </w:rPr>
        <w:t>案例三：</w:t>
      </w:r>
      <w:r>
        <w:rPr>
          <w:rFonts w:hint="eastAsia" w:ascii="方正小标宋简体" w:hAnsi="方正小标宋简体" w:eastAsia="方正小标宋简体" w:cs="方正小标宋简体"/>
          <w:sz w:val="44"/>
          <w:szCs w:val="44"/>
        </w:rPr>
        <w:t>永州市某实业发展有限公司对商品作引人误解的商业宣传和信息不明确的</w:t>
      </w:r>
    </w:p>
    <w:p>
      <w:pPr>
        <w:keepNext w:val="0"/>
        <w:keepLines w:val="0"/>
        <w:pageBreakBefore w:val="0"/>
        <w:kinsoku/>
        <w:wordWrap/>
        <w:overflowPunct/>
        <w:topLinePunct w:val="0"/>
        <w:bidi w:val="0"/>
        <w:spacing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有奖销售案</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 、基本案情</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案件来源：</w:t>
      </w:r>
      <w:r>
        <w:rPr>
          <w:rFonts w:hint="eastAsia" w:ascii="仿宋_GB2312" w:hAnsi="仿宋_GB2312" w:eastAsia="仿宋_GB2312" w:cs="仿宋_GB2312"/>
          <w:sz w:val="32"/>
          <w:szCs w:val="32"/>
        </w:rPr>
        <w:t>2022年8月，某小区421名购房者通过永州市网络问政平台市长信箱举报，反映永州市某实业发展有限公司（以下称当事人）在销售该小区商品房时进行虚假宣传，误导购房者，要求市场监管部门依法查处。永州市市场监督管理局经初步核查后决定对当事人立案调查。</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仿宋_GB2312" w:hAnsi="宋体" w:eastAsia="仿宋_GB2312" w:cs="宋体"/>
          <w:sz w:val="32"/>
          <w:szCs w:val="32"/>
        </w:rPr>
      </w:pPr>
      <w:r>
        <w:rPr>
          <w:rFonts w:hint="eastAsia" w:ascii="仿宋_GB2312" w:hAnsi="仿宋_GB2312" w:eastAsia="仿宋_GB2312" w:cs="仿宋_GB2312"/>
          <w:b/>
          <w:bCs/>
          <w:sz w:val="32"/>
          <w:szCs w:val="32"/>
        </w:rPr>
        <w:t>经查明：</w:t>
      </w:r>
      <w:r>
        <w:rPr>
          <w:rFonts w:hint="eastAsia" w:ascii="仿宋_GB2312" w:hAnsi="宋体" w:eastAsia="仿宋_GB2312" w:cs="宋体"/>
          <w:sz w:val="32"/>
          <w:szCs w:val="32"/>
        </w:rPr>
        <w:t>当事人为推销其开发的小区商品房，通过折叠宣传彩页和微信公众号</w:t>
      </w:r>
      <w:r>
        <w:rPr>
          <w:rFonts w:hint="eastAsia" w:ascii="仿宋_GB2312" w:hAnsi="宋体" w:eastAsia="仿宋_GB2312" w:cs="___WRD_EMBED_SUB_41"/>
          <w:sz w:val="32"/>
          <w:szCs w:val="32"/>
        </w:rPr>
        <w:t>开展了系列宣传活动。</w:t>
      </w:r>
      <w:r>
        <w:rPr>
          <w:rFonts w:hint="eastAsia" w:ascii="仿宋_GB2312" w:hAnsi="宋体" w:eastAsia="仿宋_GB2312" w:cs="宋体"/>
          <w:sz w:val="32"/>
          <w:szCs w:val="32"/>
        </w:rPr>
        <w:t>折叠宣传彩页</w:t>
      </w:r>
      <w:r>
        <w:rPr>
          <w:rFonts w:hint="eastAsia" w:ascii="仿宋_GB2312" w:hAnsi="宋体" w:eastAsia="仿宋_GB2312" w:cs="___WRD_EMBED_SUB_41"/>
          <w:sz w:val="32"/>
          <w:szCs w:val="32"/>
        </w:rPr>
        <w:t>印有“</w:t>
      </w:r>
      <w:r>
        <w:rPr>
          <w:rFonts w:hint="eastAsia" w:ascii="仿宋_GB2312" w:hAnsi="宋体" w:eastAsia="仿宋_GB2312" w:cs="宋体"/>
          <w:sz w:val="32"/>
          <w:szCs w:val="32"/>
        </w:rPr>
        <w:t>27万平米私</w:t>
      </w:r>
      <w:r>
        <w:rPr>
          <w:rFonts w:hint="eastAsia" w:ascii="仿宋_GB2312" w:hAnsi="宋体" w:eastAsia="仿宋_GB2312" w:cs="___WRD_EMBED_SUB_41"/>
          <w:sz w:val="32"/>
          <w:szCs w:val="32"/>
        </w:rPr>
        <w:t>家湖</w:t>
      </w:r>
      <w:r>
        <w:rPr>
          <w:rFonts w:hint="eastAsia" w:ascii="仿宋_GB2312" w:hAnsi="宋体" w:eastAsia="仿宋_GB2312" w:cs="宋体"/>
          <w:sz w:val="32"/>
          <w:szCs w:val="32"/>
        </w:rPr>
        <w:t>居生</w:t>
      </w:r>
      <w:r>
        <w:rPr>
          <w:rFonts w:hint="eastAsia" w:ascii="仿宋_GB2312" w:hAnsi="宋体" w:eastAsia="仿宋_GB2312" w:cs="___WRD_EMBED_SUB_41"/>
          <w:sz w:val="32"/>
          <w:szCs w:val="32"/>
        </w:rPr>
        <w:t>活</w:t>
      </w:r>
      <w:r>
        <w:rPr>
          <w:rFonts w:hint="eastAsia" w:ascii="仿宋_GB2312" w:hAnsi="宋体" w:eastAsia="仿宋_GB2312" w:cs="宋体"/>
          <w:sz w:val="32"/>
          <w:szCs w:val="32"/>
        </w:rPr>
        <w:t>样</w:t>
      </w:r>
      <w:r>
        <w:rPr>
          <w:rFonts w:hint="eastAsia" w:ascii="仿宋_GB2312" w:hAnsi="宋体" w:eastAsia="仿宋_GB2312" w:cs="___WRD_EMBED_SUB_41"/>
          <w:sz w:val="32"/>
          <w:szCs w:val="32"/>
        </w:rPr>
        <w:t>本”等内容；</w:t>
      </w:r>
      <w:r>
        <w:rPr>
          <w:rFonts w:hint="eastAsia" w:ascii="仿宋_GB2312" w:hAnsi="宋体" w:eastAsia="仿宋_GB2312" w:cs="宋体"/>
          <w:sz w:val="32"/>
          <w:szCs w:val="32"/>
        </w:rPr>
        <w:t>微</w:t>
      </w:r>
      <w:r>
        <w:rPr>
          <w:rFonts w:hint="eastAsia" w:ascii="仿宋_GB2312" w:hAnsi="宋体" w:eastAsia="仿宋_GB2312" w:cs="___WRD_EMBED_SUB_41"/>
          <w:sz w:val="32"/>
          <w:szCs w:val="32"/>
        </w:rPr>
        <w:t>信公</w:t>
      </w:r>
      <w:r>
        <w:rPr>
          <w:rFonts w:hint="eastAsia" w:ascii="仿宋_GB2312" w:hAnsi="宋体" w:eastAsia="仿宋_GB2312" w:cs="宋体"/>
          <w:sz w:val="32"/>
          <w:szCs w:val="32"/>
        </w:rPr>
        <w:t>众</w:t>
      </w:r>
      <w:r>
        <w:rPr>
          <w:rFonts w:hint="eastAsia" w:ascii="仿宋_GB2312" w:hAnsi="宋体" w:eastAsia="仿宋_GB2312" w:cs="___WRD_EMBED_SUB_41"/>
          <w:sz w:val="32"/>
          <w:szCs w:val="32"/>
        </w:rPr>
        <w:t>号</w:t>
      </w:r>
      <w:r>
        <w:rPr>
          <w:rFonts w:hint="eastAsia" w:ascii="仿宋_GB2312" w:hAnsi="宋体" w:eastAsia="仿宋_GB2312" w:cs="宋体"/>
          <w:sz w:val="32"/>
          <w:szCs w:val="32"/>
        </w:rPr>
        <w:t>含有“买</w:t>
      </w:r>
      <w:r>
        <w:rPr>
          <w:rFonts w:hint="eastAsia" w:ascii="仿宋_GB2312" w:hAnsi="宋体" w:eastAsia="仿宋_GB2312" w:cs="___WRD_EMBED_SUB_41"/>
          <w:sz w:val="32"/>
          <w:szCs w:val="32"/>
        </w:rPr>
        <w:t>房送</w:t>
      </w:r>
      <w:r>
        <w:rPr>
          <w:rFonts w:hint="eastAsia" w:ascii="仿宋_GB2312" w:hAnsi="宋体" w:eastAsia="仿宋_GB2312" w:cs="宋体"/>
          <w:sz w:val="32"/>
          <w:szCs w:val="32"/>
        </w:rPr>
        <w:t>车</w:t>
      </w:r>
      <w:r>
        <w:rPr>
          <w:rFonts w:hint="eastAsia" w:ascii="仿宋_GB2312" w:hAnsi="宋体" w:eastAsia="仿宋_GB2312" w:cs="___WRD_EMBED_SUB_41"/>
          <w:sz w:val="32"/>
          <w:szCs w:val="32"/>
        </w:rPr>
        <w:t>位，</w:t>
      </w:r>
      <w:r>
        <w:rPr>
          <w:rFonts w:hint="eastAsia" w:ascii="仿宋_GB2312" w:hAnsi="宋体" w:eastAsia="仿宋_GB2312" w:cs="宋体"/>
          <w:sz w:val="32"/>
          <w:szCs w:val="32"/>
        </w:rPr>
        <w:t>购</w:t>
      </w:r>
      <w:r>
        <w:rPr>
          <w:rFonts w:hint="eastAsia" w:ascii="仿宋_GB2312" w:hAnsi="宋体" w:eastAsia="仿宋_GB2312" w:cs="___WRD_EMBED_SUB_41"/>
          <w:sz w:val="32"/>
          <w:szCs w:val="32"/>
        </w:rPr>
        <w:t>房</w:t>
      </w:r>
      <w:r>
        <w:rPr>
          <w:rFonts w:hint="eastAsia" w:ascii="仿宋_GB2312" w:hAnsi="宋体" w:eastAsia="仿宋_GB2312" w:cs="宋体"/>
          <w:sz w:val="32"/>
          <w:szCs w:val="32"/>
        </w:rPr>
        <w:t>均</w:t>
      </w:r>
      <w:r>
        <w:rPr>
          <w:rFonts w:hint="eastAsia" w:ascii="仿宋_GB2312" w:hAnsi="宋体" w:eastAsia="仿宋_GB2312" w:cs="___WRD_EMBED_SUB_41"/>
          <w:sz w:val="32"/>
          <w:szCs w:val="32"/>
        </w:rPr>
        <w:t>送</w:t>
      </w:r>
      <w:r>
        <w:rPr>
          <w:rFonts w:hint="eastAsia" w:ascii="仿宋_GB2312" w:hAnsi="宋体" w:eastAsia="仿宋_GB2312" w:cs="宋体"/>
          <w:sz w:val="32"/>
          <w:szCs w:val="32"/>
        </w:rPr>
        <w:t>车</w:t>
      </w:r>
      <w:r>
        <w:rPr>
          <w:rFonts w:hint="eastAsia" w:ascii="仿宋_GB2312" w:hAnsi="宋体" w:eastAsia="仿宋_GB2312" w:cs="___WRD_EMBED_SUB_41"/>
          <w:sz w:val="32"/>
          <w:szCs w:val="32"/>
        </w:rPr>
        <w:t>位一个”“</w:t>
      </w:r>
      <w:r>
        <w:rPr>
          <w:rFonts w:hint="eastAsia" w:ascii="仿宋_GB2312" w:hAnsi="宋体" w:eastAsia="仿宋_GB2312" w:cs="宋体"/>
          <w:sz w:val="32"/>
          <w:szCs w:val="32"/>
        </w:rPr>
        <w:t>买</w:t>
      </w:r>
      <w:r>
        <w:rPr>
          <w:rFonts w:hint="eastAsia" w:ascii="仿宋_GB2312" w:hAnsi="宋体" w:eastAsia="仿宋_GB2312" w:cs="___WRD_EMBED_SUB_41"/>
          <w:sz w:val="32"/>
          <w:szCs w:val="32"/>
        </w:rPr>
        <w:t>房送</w:t>
      </w:r>
      <w:r>
        <w:rPr>
          <w:rFonts w:hint="eastAsia" w:ascii="仿宋_GB2312" w:hAnsi="宋体" w:eastAsia="仿宋_GB2312" w:cs="宋体"/>
          <w:sz w:val="32"/>
          <w:szCs w:val="32"/>
        </w:rPr>
        <w:t>车</w:t>
      </w:r>
      <w:r>
        <w:rPr>
          <w:rFonts w:hint="eastAsia" w:ascii="仿宋_GB2312" w:hAnsi="宋体" w:eastAsia="仿宋_GB2312" w:cs="___WRD_EMBED_SUB_41"/>
          <w:sz w:val="32"/>
          <w:szCs w:val="32"/>
        </w:rPr>
        <w:t>位，</w:t>
      </w:r>
      <w:r>
        <w:rPr>
          <w:rFonts w:hint="eastAsia" w:ascii="仿宋_GB2312" w:hAnsi="宋体" w:eastAsia="仿宋_GB2312" w:cs="宋体"/>
          <w:sz w:val="32"/>
          <w:szCs w:val="32"/>
        </w:rPr>
        <w:t>幸福</w:t>
      </w:r>
      <w:r>
        <w:rPr>
          <w:rFonts w:hint="eastAsia" w:ascii="仿宋_GB2312" w:hAnsi="宋体" w:eastAsia="仿宋_GB2312" w:cs="___WRD_EMBED_SUB_41"/>
          <w:sz w:val="32"/>
          <w:szCs w:val="32"/>
        </w:rPr>
        <w:t>一</w:t>
      </w:r>
      <w:r>
        <w:rPr>
          <w:rFonts w:hint="eastAsia" w:ascii="仿宋_GB2312" w:hAnsi="宋体" w:eastAsia="仿宋_GB2312" w:cs="宋体"/>
          <w:sz w:val="32"/>
          <w:szCs w:val="32"/>
        </w:rPr>
        <w:t>步</w:t>
      </w:r>
      <w:r>
        <w:rPr>
          <w:rFonts w:hint="eastAsia" w:ascii="仿宋_GB2312" w:hAnsi="宋体" w:eastAsia="仿宋_GB2312" w:cs="___WRD_EMBED_SUB_41"/>
          <w:sz w:val="32"/>
          <w:szCs w:val="32"/>
        </w:rPr>
        <w:t>到位</w:t>
      </w:r>
      <w:r>
        <w:rPr>
          <w:rFonts w:hint="eastAsia" w:ascii="仿宋_GB2312" w:hAnsi="宋体" w:eastAsia="仿宋_GB2312" w:cs="宋体"/>
          <w:sz w:val="32"/>
          <w:szCs w:val="32"/>
        </w:rPr>
        <w:t>！</w:t>
      </w:r>
      <w:r>
        <w:rPr>
          <w:rFonts w:hint="eastAsia" w:ascii="仿宋_GB2312" w:hAnsi="宋体" w:eastAsia="仿宋_GB2312" w:cs="___WRD_EMBED_SUB_41"/>
          <w:sz w:val="32"/>
          <w:szCs w:val="32"/>
        </w:rPr>
        <w:t>”“</w:t>
      </w:r>
      <w:r>
        <w:rPr>
          <w:rFonts w:hint="eastAsia" w:ascii="仿宋_GB2312" w:hAnsi="宋体" w:eastAsia="仿宋_GB2312" w:cs="宋体"/>
          <w:sz w:val="32"/>
          <w:szCs w:val="32"/>
        </w:rPr>
        <w:t>11.11淘</w:t>
      </w:r>
      <w:r>
        <w:rPr>
          <w:rFonts w:hint="eastAsia" w:ascii="仿宋_GB2312" w:hAnsi="宋体" w:eastAsia="仿宋_GB2312" w:cs="___WRD_EMBED_SUB_41"/>
          <w:sz w:val="32"/>
          <w:szCs w:val="32"/>
        </w:rPr>
        <w:t>房大作</w:t>
      </w:r>
      <w:r>
        <w:rPr>
          <w:rFonts w:hint="eastAsia" w:ascii="仿宋_GB2312" w:hAnsi="宋体" w:eastAsia="仿宋_GB2312" w:cs="宋体"/>
          <w:sz w:val="32"/>
          <w:szCs w:val="32"/>
        </w:rPr>
        <w:t>战</w:t>
      </w:r>
      <w:r>
        <w:rPr>
          <w:rFonts w:hint="eastAsia" w:ascii="仿宋_GB2312" w:hAnsi="宋体" w:eastAsia="仿宋_GB2312" w:cs="___WRD_EMBED_SUB_41"/>
          <w:sz w:val="32"/>
          <w:szCs w:val="32"/>
        </w:rPr>
        <w:t>，</w:t>
      </w:r>
      <w:r>
        <w:rPr>
          <w:rFonts w:hint="eastAsia" w:ascii="仿宋_GB2312" w:hAnsi="宋体" w:eastAsia="仿宋_GB2312" w:cs="宋体"/>
          <w:sz w:val="32"/>
          <w:szCs w:val="32"/>
        </w:rPr>
        <w:t>买</w:t>
      </w:r>
      <w:r>
        <w:rPr>
          <w:rFonts w:hint="eastAsia" w:ascii="仿宋_GB2312" w:hAnsi="宋体" w:eastAsia="仿宋_GB2312" w:cs="___WRD_EMBED_SUB_41"/>
          <w:sz w:val="32"/>
          <w:szCs w:val="32"/>
        </w:rPr>
        <w:t>房送</w:t>
      </w:r>
      <w:r>
        <w:rPr>
          <w:rFonts w:hint="eastAsia" w:ascii="仿宋_GB2312" w:hAnsi="宋体" w:eastAsia="仿宋_GB2312" w:cs="宋体"/>
          <w:sz w:val="32"/>
          <w:szCs w:val="32"/>
        </w:rPr>
        <w:t>车</w:t>
      </w:r>
      <w:r>
        <w:rPr>
          <w:rFonts w:hint="eastAsia" w:ascii="仿宋_GB2312" w:hAnsi="宋体" w:eastAsia="仿宋_GB2312" w:cs="___WRD_EMBED_SUB_41"/>
          <w:sz w:val="32"/>
          <w:szCs w:val="32"/>
        </w:rPr>
        <w:t>位”</w:t>
      </w:r>
      <w:r>
        <w:rPr>
          <w:rFonts w:hint="eastAsia" w:ascii="仿宋_GB2312" w:hAnsi="宋体" w:eastAsia="仿宋_GB2312" w:cs="宋体"/>
          <w:sz w:val="32"/>
          <w:szCs w:val="32"/>
        </w:rPr>
        <w:t>“26万平</w:t>
      </w:r>
      <w:r>
        <w:rPr>
          <w:rFonts w:hint="eastAsia" w:ascii="仿宋_GB2312" w:hAnsi="宋体" w:eastAsia="仿宋_GB2312" w:cs="___WRD_EMBED_SUB_41"/>
          <w:sz w:val="32"/>
          <w:szCs w:val="32"/>
        </w:rPr>
        <w:t>方</w:t>
      </w:r>
      <w:r>
        <w:rPr>
          <w:rFonts w:hint="eastAsia" w:ascii="仿宋_GB2312" w:hAnsi="宋体" w:eastAsia="仿宋_GB2312" w:cs="宋体"/>
          <w:sz w:val="32"/>
          <w:szCs w:val="32"/>
        </w:rPr>
        <w:t>米私</w:t>
      </w:r>
      <w:r>
        <w:rPr>
          <w:rFonts w:hint="eastAsia" w:ascii="仿宋_GB2312" w:hAnsi="宋体" w:eastAsia="仿宋_GB2312" w:cs="___WRD_EMBED_SUB_41"/>
          <w:sz w:val="32"/>
          <w:szCs w:val="32"/>
        </w:rPr>
        <w:t>家湖</w:t>
      </w:r>
      <w:r>
        <w:rPr>
          <w:rFonts w:hint="eastAsia" w:ascii="仿宋_GB2312" w:hAnsi="宋体" w:eastAsia="仿宋_GB2312" w:cs="宋体"/>
          <w:sz w:val="32"/>
          <w:szCs w:val="32"/>
        </w:rPr>
        <w:t>居生</w:t>
      </w:r>
      <w:r>
        <w:rPr>
          <w:rFonts w:hint="eastAsia" w:ascii="仿宋_GB2312" w:hAnsi="宋体" w:eastAsia="仿宋_GB2312" w:cs="___WRD_EMBED_SUB_41"/>
          <w:sz w:val="32"/>
          <w:szCs w:val="32"/>
        </w:rPr>
        <w:t>活</w:t>
      </w:r>
      <w:r>
        <w:rPr>
          <w:rFonts w:hint="eastAsia" w:ascii="仿宋_GB2312" w:hAnsi="宋体" w:eastAsia="仿宋_GB2312" w:cs="宋体"/>
          <w:sz w:val="32"/>
          <w:szCs w:val="32"/>
        </w:rPr>
        <w:t>样</w:t>
      </w:r>
      <w:r>
        <w:rPr>
          <w:rFonts w:hint="eastAsia" w:ascii="仿宋_GB2312" w:hAnsi="宋体" w:eastAsia="仿宋_GB2312" w:cs="___WRD_EMBED_SUB_41"/>
          <w:sz w:val="32"/>
          <w:szCs w:val="32"/>
        </w:rPr>
        <w:t>本”</w:t>
      </w:r>
      <w:r>
        <w:rPr>
          <w:rFonts w:hint="eastAsia" w:ascii="仿宋_GB2312" w:hAnsi="宋体" w:eastAsia="仿宋_GB2312" w:cs="宋体"/>
          <w:sz w:val="32"/>
          <w:szCs w:val="32"/>
        </w:rPr>
        <w:t>等宣传内容。</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b/>
          <w:bCs/>
          <w:sz w:val="32"/>
          <w:szCs w:val="32"/>
        </w:rPr>
        <w:t>还查明：</w:t>
      </w:r>
      <w:r>
        <w:rPr>
          <w:rFonts w:hint="eastAsia" w:ascii="仿宋_GB2312" w:hAnsi="仿宋_GB2312" w:eastAsia="仿宋_GB2312" w:cs="仿宋_GB2312"/>
          <w:sz w:val="32"/>
          <w:szCs w:val="32"/>
        </w:rPr>
        <w:t>当事人所宣传的“私家湖”</w:t>
      </w:r>
      <w:r>
        <w:rPr>
          <w:rFonts w:hint="eastAsia" w:ascii="仿宋_GB2312" w:hAnsi="Microsoft JhengHei" w:eastAsia="仿宋_GB2312" w:cs="Microsoft JhengHei"/>
          <w:spacing w:val="-2"/>
          <w:sz w:val="32"/>
          <w:szCs w:val="32"/>
        </w:rPr>
        <w:t>仅系当事人股东租赁而来</w:t>
      </w:r>
      <w:r>
        <w:rPr>
          <w:rFonts w:hint="eastAsia" w:ascii="仿宋_GB2312" w:hAnsi="仿宋_GB2312" w:eastAsia="仿宋_GB2312" w:cs="仿宋_GB2312"/>
          <w:sz w:val="32"/>
          <w:szCs w:val="32"/>
        </w:rPr>
        <w:t>，土地租赁使用年限为49年，不在其开发的小区规划图设计范围内，并不属于业主共有，且其所在地块用地性质为公共区域的公园绿地。</w:t>
      </w:r>
      <w:r>
        <w:rPr>
          <w:rFonts w:hint="eastAsia" w:ascii="仿宋_GB2312" w:hAnsi="宋体" w:eastAsia="仿宋_GB2312" w:cs="宋体"/>
          <w:color w:val="00000A"/>
          <w:spacing w:val="-2"/>
          <w:sz w:val="32"/>
          <w:szCs w:val="32"/>
        </w:rPr>
        <w:t>当事人宣称的“买房送车位”有奖销售活动，仅对前100名购房者送车位，对100名之后的</w:t>
      </w:r>
      <w:r>
        <w:rPr>
          <w:rFonts w:hint="eastAsia" w:ascii="仿宋_GB2312" w:hAnsi="宋体" w:eastAsia="仿宋_GB2312" w:cs="宋体"/>
          <w:color w:val="00000A"/>
          <w:spacing w:val="-11"/>
          <w:sz w:val="32"/>
          <w:szCs w:val="32"/>
        </w:rPr>
        <w:t>购房者并不送车位，但</w:t>
      </w:r>
      <w:r>
        <w:rPr>
          <w:rFonts w:hint="eastAsia" w:ascii="仿宋_GB2312" w:hAnsi="Microsoft JhengHei" w:eastAsia="仿宋_GB2312" w:cs="Microsoft JhengHei"/>
          <w:spacing w:val="-11"/>
          <w:sz w:val="32"/>
          <w:szCs w:val="32"/>
        </w:rPr>
        <w:t>未在活动相关事项中标明</w:t>
      </w:r>
      <w:r>
        <w:rPr>
          <w:rFonts w:hint="eastAsia" w:ascii="仿宋_GB2312" w:hAnsi="Microsoft JhengHei" w:eastAsia="仿宋_GB2312" w:cs="Microsoft JhengHei"/>
          <w:spacing w:val="-11"/>
          <w:sz w:val="32"/>
          <w:szCs w:val="32"/>
          <w:lang w:eastAsia="zh-CN"/>
        </w:rPr>
        <w:t>“</w:t>
      </w:r>
      <w:r>
        <w:rPr>
          <w:rFonts w:hint="eastAsia" w:ascii="仿宋_GB2312" w:hAnsi="Microsoft JhengHei" w:eastAsia="仿宋_GB2312" w:cs="Microsoft JhengHei"/>
          <w:spacing w:val="-11"/>
          <w:sz w:val="32"/>
          <w:szCs w:val="32"/>
        </w:rPr>
        <w:t>仅限前100名</w:t>
      </w:r>
      <w:r>
        <w:rPr>
          <w:rFonts w:hint="eastAsia" w:ascii="仿宋_GB2312" w:hAnsi="Microsoft JhengHei" w:eastAsia="仿宋_GB2312" w:cs="Microsoft JhengHei"/>
          <w:spacing w:val="-11"/>
          <w:sz w:val="32"/>
          <w:szCs w:val="32"/>
          <w:lang w:eastAsia="zh-CN"/>
        </w:rPr>
        <w:t>”</w:t>
      </w:r>
      <w:r>
        <w:rPr>
          <w:rFonts w:hint="eastAsia" w:ascii="仿宋_GB2312" w:hAnsi="仿宋_GB2312" w:eastAsia="仿宋_GB2312" w:cs="仿宋_GB2312"/>
          <w:spacing w:val="-11"/>
          <w:sz w:val="32"/>
          <w:szCs w:val="32"/>
        </w:rPr>
        <w:t>。</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二、处理结果</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当事人</w:t>
      </w:r>
      <w:r>
        <w:rPr>
          <w:rFonts w:hint="eastAsia" w:ascii="仿宋_GB2312" w:hAnsi="宋体" w:eastAsia="仿宋_GB2312" w:cs="宋体"/>
          <w:sz w:val="32"/>
          <w:szCs w:val="32"/>
        </w:rPr>
        <w:t>通过折叠宣传彩页和微信公众号</w:t>
      </w:r>
      <w:r>
        <w:rPr>
          <w:rFonts w:hint="eastAsia" w:ascii="仿宋_GB2312" w:hAnsi="宋体" w:eastAsia="仿宋_GB2312" w:cs="___WRD_EMBED_SUB_41"/>
          <w:sz w:val="32"/>
          <w:szCs w:val="32"/>
        </w:rPr>
        <w:t>宣传该</w:t>
      </w:r>
      <w:r>
        <w:rPr>
          <w:rFonts w:hint="eastAsia" w:ascii="仿宋_GB2312" w:hAnsi="宋体" w:eastAsia="仿宋_GB2312" w:cs="宋体"/>
          <w:sz w:val="32"/>
          <w:szCs w:val="32"/>
        </w:rPr>
        <w:t>小</w:t>
      </w:r>
      <w:r>
        <w:rPr>
          <w:rFonts w:hint="eastAsia" w:ascii="仿宋_GB2312" w:hAnsi="宋体" w:eastAsia="仿宋_GB2312" w:cs="___WRD_EMBED_SUB_41"/>
          <w:sz w:val="32"/>
          <w:szCs w:val="32"/>
        </w:rPr>
        <w:t>区为“</w:t>
      </w:r>
      <w:r>
        <w:rPr>
          <w:rFonts w:hint="eastAsia" w:ascii="仿宋_GB2312" w:hAnsi="宋体" w:eastAsia="仿宋_GB2312" w:cs="宋体"/>
          <w:sz w:val="32"/>
          <w:szCs w:val="32"/>
        </w:rPr>
        <w:t>27万平米私</w:t>
      </w:r>
      <w:r>
        <w:rPr>
          <w:rFonts w:hint="eastAsia" w:ascii="仿宋_GB2312" w:hAnsi="宋体" w:eastAsia="仿宋_GB2312" w:cs="___WRD_EMBED_SUB_41"/>
          <w:sz w:val="32"/>
          <w:szCs w:val="32"/>
        </w:rPr>
        <w:t>家湖</w:t>
      </w:r>
      <w:r>
        <w:rPr>
          <w:rFonts w:hint="eastAsia" w:ascii="仿宋_GB2312" w:hAnsi="宋体" w:eastAsia="仿宋_GB2312" w:cs="宋体"/>
          <w:sz w:val="32"/>
          <w:szCs w:val="32"/>
        </w:rPr>
        <w:t>居生</w:t>
      </w:r>
      <w:r>
        <w:rPr>
          <w:rFonts w:hint="eastAsia" w:ascii="仿宋_GB2312" w:hAnsi="宋体" w:eastAsia="仿宋_GB2312" w:cs="___WRD_EMBED_SUB_41"/>
          <w:sz w:val="32"/>
          <w:szCs w:val="32"/>
        </w:rPr>
        <w:t>活</w:t>
      </w:r>
      <w:r>
        <w:rPr>
          <w:rFonts w:hint="eastAsia" w:ascii="仿宋_GB2312" w:hAnsi="宋体" w:eastAsia="仿宋_GB2312" w:cs="宋体"/>
          <w:sz w:val="32"/>
          <w:szCs w:val="32"/>
        </w:rPr>
        <w:t>样</w:t>
      </w:r>
      <w:r>
        <w:rPr>
          <w:rFonts w:hint="eastAsia" w:ascii="仿宋_GB2312" w:hAnsi="宋体" w:eastAsia="仿宋_GB2312" w:cs="___WRD_EMBED_SUB_41"/>
          <w:sz w:val="32"/>
          <w:szCs w:val="32"/>
        </w:rPr>
        <w:t>本”的行为，</w:t>
      </w:r>
      <w:r>
        <w:rPr>
          <w:rFonts w:hint="eastAsia" w:ascii="仿宋_GB2312" w:hAnsi="宋体" w:eastAsia="仿宋_GB2312" w:cs="___WRD_EMBED_SUB_41"/>
          <w:color w:val="000000"/>
          <w:kern w:val="0"/>
          <w:sz w:val="32"/>
          <w:szCs w:val="32"/>
          <w:lang w:val="zh-CN"/>
        </w:rPr>
        <w:t>违反了《中华人民共和国反不正当竞争法》第</w:t>
      </w:r>
      <w:r>
        <w:rPr>
          <w:rFonts w:hint="eastAsia" w:ascii="仿宋_GB2312" w:hAnsi="宋体" w:eastAsia="仿宋_GB2312" w:cs="宋体"/>
          <w:color w:val="000000"/>
          <w:kern w:val="0"/>
          <w:sz w:val="32"/>
          <w:szCs w:val="32"/>
          <w:lang w:val="zh-CN"/>
        </w:rPr>
        <w:t>八</w:t>
      </w:r>
      <w:r>
        <w:rPr>
          <w:rFonts w:hint="eastAsia" w:ascii="仿宋_GB2312" w:hAnsi="宋体" w:eastAsia="仿宋_GB2312" w:cs="___WRD_EMBED_SUB_41"/>
          <w:color w:val="000000"/>
          <w:kern w:val="0"/>
          <w:sz w:val="32"/>
          <w:szCs w:val="32"/>
          <w:lang w:val="zh-CN"/>
        </w:rPr>
        <w:t>条第一款的规定，构成对商品作引人误解的商业宣传行为，应依据《中华人民共和国反不正当竞争法》第二十条的规定予以处罚；</w:t>
      </w:r>
      <w:r>
        <w:rPr>
          <w:rFonts w:hint="eastAsia" w:ascii="仿宋_GB2312" w:hAnsi="宋体" w:eastAsia="仿宋_GB2312" w:cs="宋体"/>
          <w:color w:val="00000A"/>
          <w:spacing w:val="-2"/>
          <w:sz w:val="32"/>
          <w:szCs w:val="32"/>
        </w:rPr>
        <w:t>当事人开展的“买房送车位”有奖销售活动，其行为违反了</w:t>
      </w:r>
      <w:r>
        <w:rPr>
          <w:rFonts w:hint="eastAsia" w:ascii="仿宋_GB2312" w:hAnsi="宋体" w:eastAsia="仿宋_GB2312" w:cs="___WRD_EMBED_SUB_41"/>
          <w:color w:val="000000"/>
          <w:kern w:val="0"/>
          <w:sz w:val="32"/>
          <w:szCs w:val="32"/>
          <w:lang w:val="zh-CN"/>
        </w:rPr>
        <w:t>《中华人民共和国反不正当竞争法》第十条第一项的规定，构成信息不明确的有奖销售行为，应当依据《中华人民共和国反不正当竞争法》第二十二条规定予以行政处罚。</w:t>
      </w:r>
      <w:r>
        <w:rPr>
          <w:rFonts w:hint="eastAsia" w:ascii="仿宋_GB2312" w:hAnsi="宋体" w:eastAsia="仿宋_GB2312" w:cs="宋体"/>
          <w:color w:val="000000"/>
          <w:kern w:val="0"/>
          <w:sz w:val="32"/>
          <w:szCs w:val="32"/>
          <w:lang w:val="zh-CN"/>
        </w:rPr>
        <w:t>依据《中华人民共和国行政处罚法》第二十九条“对当事人的同一个违法行为，不得给予两次以上罚款的行政处罚。同一个违法行为违反多个法律规范应当给予罚款处罚的，按照罚款数额高</w:t>
      </w:r>
      <w:r>
        <w:rPr>
          <w:rFonts w:hint="eastAsia" w:ascii="仿宋_GB2312" w:hAnsi="宋体" w:eastAsia="仿宋_GB2312" w:cs="___WRD_EMBED_SUB_41"/>
          <w:color w:val="000000"/>
          <w:kern w:val="0"/>
          <w:sz w:val="32"/>
          <w:szCs w:val="32"/>
          <w:lang w:val="zh-CN"/>
        </w:rPr>
        <w:t>的规定处罚。”的规定，执法单位决定按照《中华人民共和国反不正当竞争法》第二十条的规定对当事人进行处罚</w:t>
      </w:r>
      <w:r>
        <w:rPr>
          <w:rFonts w:hint="eastAsia" w:ascii="仿宋_GB2312" w:hAnsi="宋体" w:eastAsia="仿宋_GB2312" w:cs="宋体"/>
          <w:color w:val="000000"/>
          <w:kern w:val="0"/>
          <w:sz w:val="32"/>
          <w:szCs w:val="32"/>
          <w:lang w:val="zh-CN"/>
        </w:rPr>
        <w:t>：</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宋体" w:eastAsia="仿宋_GB2312" w:cs="___WRD_EMBED_SUB_41"/>
          <w:color w:val="000000"/>
          <w:kern w:val="0"/>
          <w:sz w:val="32"/>
          <w:szCs w:val="32"/>
          <w:lang w:val="zh-CN"/>
        </w:rPr>
      </w:pPr>
      <w:r>
        <w:rPr>
          <w:rFonts w:hint="eastAsia" w:ascii="仿宋_GB2312" w:hAnsi="宋体" w:eastAsia="仿宋_GB2312" w:cs="宋体"/>
          <w:color w:val="000000"/>
          <w:kern w:val="0"/>
          <w:sz w:val="32"/>
          <w:szCs w:val="32"/>
          <w:lang w:val="zh-CN"/>
        </w:rPr>
        <w:t>罚款40万</w:t>
      </w:r>
      <w:r>
        <w:rPr>
          <w:rFonts w:hint="eastAsia" w:ascii="仿宋_GB2312" w:hAnsi="宋体" w:eastAsia="仿宋_GB2312" w:cs="___WRD_EMBED_SUB_41"/>
          <w:color w:val="000000"/>
          <w:kern w:val="0"/>
          <w:sz w:val="32"/>
          <w:szCs w:val="32"/>
          <w:lang w:val="zh-CN"/>
        </w:rPr>
        <w:t>元。</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rPr>
        <w:t>三、案例解</w:t>
      </w:r>
      <w:r>
        <w:rPr>
          <w:rFonts w:hint="eastAsia" w:ascii="黑体" w:hAnsi="黑体" w:eastAsia="黑体" w:cs="黑体"/>
          <w:color w:val="000000"/>
          <w:kern w:val="0"/>
          <w:sz w:val="32"/>
          <w:szCs w:val="32"/>
          <w:lang w:val="zh-CN"/>
        </w:rPr>
        <w:t>析</w:t>
      </w:r>
    </w:p>
    <w:p>
      <w:pPr>
        <w:pStyle w:val="16"/>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（一）案情分析</w:t>
      </w:r>
    </w:p>
    <w:p>
      <w:pPr>
        <w:keepNext w:val="0"/>
        <w:keepLines w:val="0"/>
        <w:pageBreakBefore w:val="0"/>
        <w:kinsoku/>
        <w:wordWrap/>
        <w:overflowPunct/>
        <w:topLinePunct w:val="0"/>
        <w:bidi w:val="0"/>
        <w:spacing w:line="580" w:lineRule="exact"/>
        <w:ind w:left="0" w:right="0" w:rightChars="0" w:firstLine="632" w:firstLineChars="200"/>
        <w:jc w:val="both"/>
        <w:textAlignment w:val="auto"/>
        <w:rPr>
          <w:rFonts w:hint="eastAsia" w:ascii="仿宋_GB2312" w:hAnsi="Microsoft JhengHei" w:eastAsia="仿宋_GB2312" w:cs="Microsoft JhengHei"/>
          <w:spacing w:val="-2"/>
          <w:sz w:val="32"/>
          <w:szCs w:val="32"/>
        </w:rPr>
      </w:pPr>
      <w:r>
        <w:rPr>
          <w:rFonts w:hint="eastAsia" w:ascii="仿宋_GB2312" w:hAnsi="Microsoft JhengHei" w:eastAsia="仿宋_GB2312" w:cs="Microsoft JhengHei"/>
          <w:spacing w:val="-2"/>
          <w:sz w:val="32"/>
          <w:szCs w:val="32"/>
        </w:rPr>
        <w:t>本案争议焦点包括：</w:t>
      </w:r>
    </w:p>
    <w:p>
      <w:pPr>
        <w:pStyle w:val="16"/>
        <w:keepNext w:val="0"/>
        <w:keepLines w:val="0"/>
        <w:pageBreakBefore w:val="0"/>
        <w:kinsoku/>
        <w:wordWrap/>
        <w:overflowPunct/>
        <w:topLinePunct w:val="0"/>
        <w:bidi w:val="0"/>
        <w:spacing w:line="580" w:lineRule="exact"/>
        <w:ind w:left="0" w:right="0" w:rightChars="0" w:firstLine="635" w:firstLineChars="200"/>
        <w:jc w:val="both"/>
        <w:textAlignment w:val="auto"/>
        <w:rPr>
          <w:rFonts w:hint="eastAsia" w:ascii="仿宋_GB2312" w:hAnsi="Microsoft JhengHei" w:eastAsia="仿宋_GB2312" w:cs="Microsoft JhengHei"/>
          <w:spacing w:val="-2"/>
          <w:szCs w:val="32"/>
        </w:rPr>
      </w:pPr>
      <w:r>
        <w:rPr>
          <w:rFonts w:hint="eastAsia" w:ascii="仿宋_GB2312" w:hAnsi="Microsoft JhengHei" w:eastAsia="仿宋_GB2312" w:cs="Microsoft JhengHei"/>
          <w:b/>
          <w:bCs/>
          <w:spacing w:val="-2"/>
          <w:szCs w:val="32"/>
        </w:rPr>
        <w:t>1.宣传用语“27万平米私家湖居生活样本”是否含有引人误解的内容。</w:t>
      </w:r>
    </w:p>
    <w:p>
      <w:pPr>
        <w:pStyle w:val="16"/>
        <w:keepNext w:val="0"/>
        <w:keepLines w:val="0"/>
        <w:pageBreakBefore w:val="0"/>
        <w:kinsoku/>
        <w:wordWrap/>
        <w:overflowPunct/>
        <w:topLinePunct w:val="0"/>
        <w:bidi w:val="0"/>
        <w:spacing w:line="580" w:lineRule="exact"/>
        <w:ind w:left="0" w:right="0" w:rightChars="0" w:firstLine="632" w:firstLineChars="200"/>
        <w:jc w:val="both"/>
        <w:textAlignment w:val="auto"/>
        <w:rPr>
          <w:rFonts w:hint="eastAsia" w:ascii="仿宋_GB2312" w:hAnsi="Microsoft JhengHei" w:eastAsia="仿宋_GB2312" w:cs="Microsoft JhengHei"/>
          <w:spacing w:val="-2"/>
          <w:szCs w:val="32"/>
        </w:rPr>
      </w:pPr>
      <w:r>
        <w:rPr>
          <w:rFonts w:hint="eastAsia" w:ascii="仿宋_GB2312" w:hAnsi="Microsoft JhengHei" w:eastAsia="仿宋_GB2312" w:cs="Microsoft JhengHei"/>
          <w:spacing w:val="-2"/>
          <w:szCs w:val="32"/>
        </w:rPr>
        <w:t>当事人认为，该湖是实际存在的，在租赁期内，该湖是小区业主私家使用的，当事人并</w:t>
      </w:r>
      <w:r>
        <w:rPr>
          <w:rFonts w:hint="eastAsia" w:ascii="仿宋_GB2312" w:hAnsi="仿宋_GB2312" w:eastAsia="仿宋_GB2312" w:cs="仿宋_GB2312"/>
          <w:spacing w:val="-2"/>
          <w:szCs w:val="32"/>
        </w:rPr>
        <w:t>没有因为宣传“</w:t>
      </w:r>
      <w:r>
        <w:rPr>
          <w:rFonts w:hint="eastAsia" w:ascii="仿宋_GB2312" w:hAnsi="Microsoft JhengHei" w:eastAsia="仿宋_GB2312" w:cs="Microsoft JhengHei"/>
          <w:spacing w:val="-2"/>
          <w:szCs w:val="32"/>
        </w:rPr>
        <w:t>27万平私家湖居生活样本”而获取不正当的交易地位或交易机会。</w:t>
      </w:r>
    </w:p>
    <w:p>
      <w:pPr>
        <w:pStyle w:val="16"/>
        <w:keepNext w:val="0"/>
        <w:keepLines w:val="0"/>
        <w:pageBreakBefore w:val="0"/>
        <w:kinsoku/>
        <w:wordWrap/>
        <w:overflowPunct/>
        <w:topLinePunct w:val="0"/>
        <w:bidi w:val="0"/>
        <w:spacing w:line="580" w:lineRule="exact"/>
        <w:ind w:left="0" w:right="0" w:rightChars="0" w:firstLine="632" w:firstLineChars="200"/>
        <w:jc w:val="both"/>
        <w:textAlignment w:val="auto"/>
        <w:rPr>
          <w:rFonts w:hint="eastAsia" w:ascii="仿宋_GB2312" w:hAnsi="宋体" w:eastAsia="仿宋_GB2312" w:cs="宋体"/>
          <w:szCs w:val="32"/>
        </w:rPr>
      </w:pPr>
      <w:r>
        <w:rPr>
          <w:rFonts w:hint="eastAsia" w:ascii="仿宋_GB2312" w:hAnsi="Microsoft JhengHei" w:eastAsia="仿宋_GB2312" w:cs="Microsoft JhengHei"/>
          <w:spacing w:val="-2"/>
          <w:szCs w:val="32"/>
          <w:lang w:eastAsia="zh-CN"/>
        </w:rPr>
        <w:t>执法单位</w:t>
      </w:r>
      <w:r>
        <w:rPr>
          <w:rFonts w:hint="eastAsia" w:ascii="仿宋_GB2312" w:hAnsi="Microsoft JhengHei" w:eastAsia="仿宋_GB2312" w:cs="Microsoft JhengHei"/>
          <w:spacing w:val="-2"/>
          <w:szCs w:val="32"/>
        </w:rPr>
        <w:t>认为，根据生活常识，所谓小区“私家湖”应该属于小区规划图范围内，属于业主所共有，业主对其可以行使使用、处分、收益等权利。但本案所涉“私家湖”，</w:t>
      </w:r>
      <w:r>
        <w:rPr>
          <w:rFonts w:hint="eastAsia" w:ascii="仿宋_GB2312" w:hAnsi="宋体" w:eastAsia="仿宋_GB2312" w:cs="___WRD_EMBED_SUB_41"/>
          <w:szCs w:val="32"/>
        </w:rPr>
        <w:t>业主对其仅有与公众无异的使用权，并不享有处分权和收益权，</w:t>
      </w:r>
      <w:r>
        <w:rPr>
          <w:rFonts w:hint="eastAsia" w:ascii="仿宋_GB2312" w:hAnsi="宋体" w:eastAsia="仿宋_GB2312" w:cs="宋体"/>
          <w:szCs w:val="32"/>
        </w:rPr>
        <w:t>其所在地块用地性质，</w:t>
      </w:r>
      <w:r>
        <w:rPr>
          <w:rFonts w:hint="eastAsia" w:ascii="仿宋_GB2312" w:hAnsi="宋体" w:eastAsia="仿宋_GB2312" w:cs="___WRD_EMBED_SUB_41"/>
          <w:szCs w:val="32"/>
        </w:rPr>
        <w:t>由政府决定。因此，当事人将一个公共区域的水塘宣传为其开发小区的“私家湖”，</w:t>
      </w:r>
      <w:r>
        <w:rPr>
          <w:rFonts w:hint="eastAsia" w:ascii="仿宋_GB2312" w:hAnsi="黑体" w:eastAsia="仿宋_GB2312" w:cs="Microsoft JhengHei"/>
          <w:spacing w:val="-2"/>
          <w:szCs w:val="32"/>
        </w:rPr>
        <w:t xml:space="preserve"> 违反了《反不正当竞争法》规定的诚实信用原则，损害了消费者的合法权益，构成引人误解的商业宣传行为。</w:t>
      </w:r>
    </w:p>
    <w:p>
      <w:pPr>
        <w:keepNext w:val="0"/>
        <w:keepLines w:val="0"/>
        <w:pageBreakBefore w:val="0"/>
        <w:kinsoku/>
        <w:wordWrap/>
        <w:overflowPunct/>
        <w:topLinePunct w:val="0"/>
        <w:bidi w:val="0"/>
        <w:spacing w:line="580" w:lineRule="exact"/>
        <w:ind w:left="0" w:right="0" w:rightChars="0" w:firstLine="643" w:firstLineChars="200"/>
        <w:jc w:val="both"/>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2.引人误解的商业宣传和信息不明确的有奖销售等违法行为，是否以危害后果实际发生为构成要件。</w:t>
      </w:r>
    </w:p>
    <w:p>
      <w:pPr>
        <w:keepNext w:val="0"/>
        <w:keepLines w:val="0"/>
        <w:pageBreakBefore w:val="0"/>
        <w:kinsoku/>
        <w:wordWrap/>
        <w:overflowPunct/>
        <w:topLinePunct w:val="0"/>
        <w:bidi w:val="0"/>
        <w:spacing w:line="580" w:lineRule="exact"/>
        <w:ind w:left="0" w:right="0" w:rightChars="0" w:firstLine="632" w:firstLineChars="200"/>
        <w:jc w:val="both"/>
        <w:textAlignment w:val="auto"/>
        <w:rPr>
          <w:rFonts w:hint="eastAsia" w:ascii="仿宋_GB2312" w:hAnsi="Microsoft JhengHei" w:eastAsia="仿宋_GB2312" w:cs="Microsoft JhengHei"/>
          <w:spacing w:val="-2"/>
          <w:sz w:val="32"/>
          <w:szCs w:val="32"/>
        </w:rPr>
      </w:pPr>
      <w:r>
        <w:rPr>
          <w:rFonts w:hint="eastAsia" w:ascii="仿宋_GB2312" w:hAnsi="Microsoft JhengHei" w:eastAsia="仿宋_GB2312" w:cs="Microsoft JhengHei"/>
          <w:spacing w:val="-2"/>
          <w:sz w:val="32"/>
          <w:szCs w:val="32"/>
        </w:rPr>
        <w:t>当事人认为，购房者对商品房价格是知情且认可的，有奖销售行为并未对消费者是否购房产生决定性的影响，当事人也并未通过有奖销售获取不正当的交易地位和交易机会。</w:t>
      </w:r>
    </w:p>
    <w:p>
      <w:pPr>
        <w:keepNext w:val="0"/>
        <w:keepLines w:val="0"/>
        <w:pageBreakBefore w:val="0"/>
        <w:kinsoku/>
        <w:wordWrap/>
        <w:overflowPunct/>
        <w:topLinePunct w:val="0"/>
        <w:bidi w:val="0"/>
        <w:spacing w:line="580" w:lineRule="exact"/>
        <w:ind w:left="0" w:right="0" w:righ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执法单位</w:t>
      </w:r>
      <w:r>
        <w:rPr>
          <w:rFonts w:hint="eastAsia" w:ascii="仿宋_GB2312" w:hAnsi="宋体" w:eastAsia="仿宋_GB2312" w:cs="宋体"/>
          <w:color w:val="000000"/>
          <w:kern w:val="0"/>
          <w:sz w:val="32"/>
          <w:szCs w:val="32"/>
        </w:rPr>
        <w:t>认为，经营者引人误解的商业宣传，欺骗、误导消费者既包括造成了欺骗、误导消费者的客观后果，也包括有欺骗、误导消费者的可能性；有奖销售信息不明确，影响兑奖既包括对消费者兑奖产生实际影响，也包括影响消费者兑奖的可能性。并且，当事人实施不正当竞争违法行为，以</w:t>
      </w:r>
      <w:r>
        <w:rPr>
          <w:rFonts w:hint="eastAsia" w:ascii="仿宋_GB2312" w:hAnsi="Microsoft JhengHei" w:eastAsia="仿宋_GB2312" w:cs="Microsoft JhengHei"/>
          <w:spacing w:val="-2"/>
          <w:sz w:val="32"/>
          <w:szCs w:val="32"/>
        </w:rPr>
        <w:t>获取不正当的交易地位和交易机会为目的，但是否取得不正当的交易地位和交易机会不是违法行为成立的条件。</w:t>
      </w:r>
    </w:p>
    <w:p>
      <w:pPr>
        <w:keepNext w:val="0"/>
        <w:keepLines w:val="0"/>
        <w:pageBreakBefore w:val="0"/>
        <w:kinsoku/>
        <w:wordWrap/>
        <w:overflowPunct/>
        <w:topLinePunct w:val="0"/>
        <w:bidi w:val="0"/>
        <w:spacing w:line="580" w:lineRule="exact"/>
        <w:ind w:left="0" w:right="0" w:rightChars="0" w:firstLine="635" w:firstLineChars="200"/>
        <w:jc w:val="both"/>
        <w:textAlignment w:val="auto"/>
        <w:rPr>
          <w:rFonts w:hint="eastAsia" w:ascii="仿宋_GB2312" w:hAnsi="Microsoft JhengHei" w:eastAsia="仿宋_GB2312" w:cs="Microsoft JhengHei"/>
          <w:b/>
          <w:bCs/>
          <w:spacing w:val="-2"/>
          <w:sz w:val="32"/>
          <w:szCs w:val="32"/>
        </w:rPr>
      </w:pPr>
      <w:r>
        <w:rPr>
          <w:rFonts w:hint="eastAsia" w:ascii="仿宋_GB2312" w:hAnsi="Microsoft JhengHei" w:eastAsia="仿宋_GB2312" w:cs="Microsoft JhengHei"/>
          <w:b/>
          <w:bCs/>
          <w:spacing w:val="-2"/>
          <w:sz w:val="32"/>
          <w:szCs w:val="32"/>
        </w:rPr>
        <w:t>3.“私家湖”宣传是否属于《反不正当竞争法》第八条所列情形。</w:t>
      </w:r>
    </w:p>
    <w:p>
      <w:pPr>
        <w:keepNext w:val="0"/>
        <w:keepLines w:val="0"/>
        <w:pageBreakBefore w:val="0"/>
        <w:kinsoku/>
        <w:wordWrap/>
        <w:overflowPunct/>
        <w:topLinePunct w:val="0"/>
        <w:bidi w:val="0"/>
        <w:spacing w:line="580" w:lineRule="exact"/>
        <w:ind w:left="0" w:right="0" w:rightChars="0" w:firstLine="632" w:firstLineChars="200"/>
        <w:jc w:val="both"/>
        <w:textAlignment w:val="auto"/>
        <w:rPr>
          <w:rFonts w:hint="eastAsia" w:ascii="仿宋_GB2312" w:hAnsi="Microsoft JhengHei" w:eastAsia="仿宋_GB2312" w:cs="Microsoft JhengHei"/>
          <w:spacing w:val="-2"/>
          <w:sz w:val="32"/>
          <w:szCs w:val="32"/>
        </w:rPr>
      </w:pPr>
      <w:r>
        <w:rPr>
          <w:rFonts w:hint="eastAsia" w:ascii="仿宋_GB2312" w:hAnsi="Microsoft JhengHei" w:eastAsia="仿宋_GB2312" w:cs="Microsoft JhengHei"/>
          <w:spacing w:val="-2"/>
          <w:sz w:val="32"/>
          <w:szCs w:val="32"/>
        </w:rPr>
        <w:t>当事人认为对“私家湖”的宣传，不属于《反不正当竞争法》第八条所列对商品作引人误解的商业宣传的情形。</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Microsoft JhengHei" w:eastAsia="仿宋_GB2312" w:cs="Microsoft JhengHei"/>
          <w:spacing w:val="-2"/>
          <w:sz w:val="32"/>
          <w:szCs w:val="32"/>
        </w:rPr>
      </w:pPr>
      <w:r>
        <w:rPr>
          <w:rFonts w:hint="eastAsia" w:ascii="仿宋_GB2312" w:hAnsi="宋体" w:eastAsia="仿宋_GB2312" w:cs="___WRD_EMBED_SUB_41"/>
          <w:color w:val="000000"/>
          <w:kern w:val="0"/>
          <w:sz w:val="32"/>
          <w:szCs w:val="32"/>
          <w:lang w:val="zh-CN"/>
        </w:rPr>
        <w:t>执法单位认为，根据</w:t>
      </w:r>
      <w:r>
        <w:rPr>
          <w:rFonts w:hint="eastAsia" w:ascii="仿宋_GB2312" w:hAnsi="宋体" w:eastAsia="仿宋_GB2312" w:cs="宋体"/>
          <w:color w:val="000000"/>
          <w:kern w:val="0"/>
          <w:sz w:val="32"/>
          <w:szCs w:val="32"/>
          <w:lang w:val="zh-CN"/>
        </w:rPr>
        <w:t>最高</w:t>
      </w:r>
      <w:r>
        <w:rPr>
          <w:rFonts w:hint="eastAsia" w:ascii="仿宋_GB2312" w:hAnsi="宋体" w:eastAsia="仿宋_GB2312" w:cs="___WRD_EMBED_SUB_41"/>
          <w:color w:val="000000"/>
          <w:kern w:val="0"/>
          <w:sz w:val="32"/>
          <w:szCs w:val="32"/>
          <w:lang w:val="zh-CN"/>
        </w:rPr>
        <w:t>人民法院《关于审理行政案件适用法律规范问</w:t>
      </w:r>
      <w:r>
        <w:rPr>
          <w:rFonts w:hint="eastAsia" w:ascii="仿宋_GB2312" w:hAnsi="宋体" w:eastAsia="仿宋_GB2312" w:cs="宋体"/>
          <w:color w:val="000000"/>
          <w:kern w:val="0"/>
          <w:sz w:val="32"/>
          <w:szCs w:val="32"/>
          <w:lang w:val="zh-CN"/>
        </w:rPr>
        <w:t>题</w:t>
      </w:r>
      <w:r>
        <w:rPr>
          <w:rFonts w:hint="eastAsia" w:ascii="仿宋_GB2312" w:hAnsi="宋体" w:eastAsia="仿宋_GB2312" w:cs="___WRD_EMBED_SUB_41"/>
          <w:color w:val="000000"/>
          <w:kern w:val="0"/>
          <w:sz w:val="32"/>
          <w:szCs w:val="32"/>
          <w:lang w:val="zh-CN"/>
        </w:rPr>
        <w:t>的</w:t>
      </w:r>
      <w:r>
        <w:rPr>
          <w:rFonts w:hint="eastAsia" w:ascii="仿宋_GB2312" w:hAnsi="宋体" w:eastAsia="仿宋_GB2312" w:cs="宋体"/>
          <w:color w:val="000000"/>
          <w:kern w:val="0"/>
          <w:sz w:val="32"/>
          <w:szCs w:val="32"/>
          <w:lang w:val="zh-CN"/>
        </w:rPr>
        <w:t>座谈</w:t>
      </w:r>
      <w:r>
        <w:rPr>
          <w:rFonts w:hint="eastAsia" w:ascii="仿宋_GB2312" w:hAnsi="宋体" w:eastAsia="仿宋_GB2312" w:cs="___WRD_EMBED_SUB_41"/>
          <w:color w:val="000000"/>
          <w:kern w:val="0"/>
          <w:sz w:val="32"/>
          <w:szCs w:val="32"/>
          <w:lang w:val="zh-CN"/>
        </w:rPr>
        <w:t>会</w:t>
      </w:r>
      <w:r>
        <w:rPr>
          <w:rFonts w:hint="eastAsia" w:ascii="仿宋_GB2312" w:hAnsi="宋体" w:eastAsia="仿宋_GB2312" w:cs="宋体"/>
          <w:color w:val="000000"/>
          <w:kern w:val="0"/>
          <w:sz w:val="32"/>
          <w:szCs w:val="32"/>
          <w:lang w:val="zh-CN"/>
        </w:rPr>
        <w:t>纪</w:t>
      </w:r>
      <w:r>
        <w:rPr>
          <w:rFonts w:hint="eastAsia" w:ascii="仿宋_GB2312" w:hAnsi="宋体" w:eastAsia="仿宋_GB2312" w:cs="___WRD_EMBED_SUB_41"/>
          <w:color w:val="000000"/>
          <w:kern w:val="0"/>
          <w:sz w:val="32"/>
          <w:szCs w:val="32"/>
          <w:lang w:val="zh-CN"/>
        </w:rPr>
        <w:t>要》规定，《反不正当竞争法》第八条</w:t>
      </w:r>
      <w:r>
        <w:rPr>
          <w:rFonts w:hint="eastAsia" w:ascii="仿宋_GB2312" w:hAnsi="宋体" w:eastAsia="仿宋_GB2312" w:cs="宋体"/>
          <w:color w:val="000000"/>
          <w:kern w:val="0"/>
          <w:sz w:val="32"/>
          <w:szCs w:val="32"/>
          <w:lang w:val="zh-CN"/>
        </w:rPr>
        <w:t>属</w:t>
      </w:r>
      <w:r>
        <w:rPr>
          <w:rFonts w:hint="eastAsia" w:ascii="仿宋_GB2312" w:hAnsi="宋体" w:eastAsia="仿宋_GB2312" w:cs="___WRD_EMBED_SUB_41"/>
          <w:color w:val="000000"/>
          <w:kern w:val="0"/>
          <w:sz w:val="32"/>
          <w:szCs w:val="32"/>
          <w:lang w:val="zh-CN"/>
        </w:rPr>
        <w:t>于不</w:t>
      </w:r>
      <w:r>
        <w:rPr>
          <w:rFonts w:hint="eastAsia" w:ascii="仿宋_GB2312" w:hAnsi="宋体" w:eastAsia="仿宋_GB2312" w:cs="宋体"/>
          <w:color w:val="000000"/>
          <w:kern w:val="0"/>
          <w:sz w:val="32"/>
          <w:szCs w:val="32"/>
          <w:lang w:val="zh-CN"/>
        </w:rPr>
        <w:t>完</w:t>
      </w:r>
      <w:r>
        <w:rPr>
          <w:rFonts w:hint="eastAsia" w:ascii="仿宋_GB2312" w:hAnsi="宋体" w:eastAsia="仿宋_GB2312" w:cs="___WRD_EMBED_SUB_41"/>
          <w:color w:val="000000"/>
          <w:kern w:val="0"/>
          <w:sz w:val="32"/>
          <w:szCs w:val="32"/>
          <w:lang w:val="zh-CN"/>
        </w:rPr>
        <w:t>全列</w:t>
      </w:r>
      <w:r>
        <w:rPr>
          <w:rFonts w:hint="eastAsia" w:ascii="仿宋_GB2312" w:hAnsi="宋体" w:eastAsia="仿宋_GB2312" w:cs="宋体"/>
          <w:color w:val="000000"/>
          <w:kern w:val="0"/>
          <w:sz w:val="32"/>
          <w:szCs w:val="32"/>
          <w:lang w:val="zh-CN"/>
        </w:rPr>
        <w:t>举</w:t>
      </w:r>
      <w:r>
        <w:rPr>
          <w:rFonts w:hint="eastAsia" w:ascii="仿宋_GB2312" w:hAnsi="宋体" w:eastAsia="仿宋_GB2312" w:cs="___WRD_EMBED_SUB_41"/>
          <w:color w:val="000000"/>
          <w:kern w:val="0"/>
          <w:sz w:val="32"/>
          <w:szCs w:val="32"/>
          <w:lang w:val="zh-CN"/>
        </w:rPr>
        <w:t>的</w:t>
      </w:r>
      <w:r>
        <w:rPr>
          <w:rFonts w:hint="eastAsia" w:ascii="仿宋_GB2312" w:hAnsi="宋体" w:eastAsia="仿宋_GB2312" w:cs="宋体"/>
          <w:color w:val="000000"/>
          <w:kern w:val="0"/>
          <w:sz w:val="32"/>
          <w:szCs w:val="32"/>
          <w:lang w:val="zh-CN"/>
        </w:rPr>
        <w:t>例示</w:t>
      </w:r>
      <w:r>
        <w:rPr>
          <w:rFonts w:hint="eastAsia" w:ascii="仿宋_GB2312" w:hAnsi="宋体" w:eastAsia="仿宋_GB2312" w:cs="___WRD_EMBED_SUB_41"/>
          <w:color w:val="000000"/>
          <w:kern w:val="0"/>
          <w:sz w:val="32"/>
          <w:szCs w:val="32"/>
          <w:lang w:val="zh-CN"/>
        </w:rPr>
        <w:t>性规定。以</w:t>
      </w:r>
      <w:r>
        <w:rPr>
          <w:rFonts w:hint="eastAsia" w:ascii="仿宋_GB2312" w:hAnsi="宋体" w:eastAsia="仿宋_GB2312" w:cs="宋体"/>
          <w:color w:val="000000"/>
          <w:kern w:val="0"/>
          <w:sz w:val="32"/>
          <w:szCs w:val="32"/>
          <w:lang w:val="zh-CN"/>
        </w:rPr>
        <w:t>‘等’</w:t>
      </w:r>
      <w:r>
        <w:rPr>
          <w:rFonts w:hint="eastAsia" w:ascii="仿宋_GB2312" w:hAnsi="宋体" w:eastAsia="仿宋_GB2312" w:cs="___WRD_EMBED_SUB_41"/>
          <w:color w:val="000000"/>
          <w:kern w:val="0"/>
          <w:sz w:val="32"/>
          <w:szCs w:val="32"/>
          <w:lang w:val="zh-CN"/>
        </w:rPr>
        <w:t>表</w:t>
      </w:r>
      <w:r>
        <w:rPr>
          <w:rFonts w:hint="eastAsia" w:ascii="仿宋_GB2312" w:hAnsi="宋体" w:eastAsia="仿宋_GB2312" w:cs="宋体"/>
          <w:color w:val="000000"/>
          <w:kern w:val="0"/>
          <w:sz w:val="32"/>
          <w:szCs w:val="32"/>
          <w:lang w:val="zh-CN"/>
        </w:rPr>
        <w:t>示</w:t>
      </w:r>
      <w:r>
        <w:rPr>
          <w:rFonts w:hint="eastAsia" w:ascii="仿宋_GB2312" w:hAnsi="宋体" w:eastAsia="仿宋_GB2312" w:cs="___WRD_EMBED_SUB_41"/>
          <w:color w:val="000000"/>
          <w:kern w:val="0"/>
          <w:sz w:val="32"/>
          <w:szCs w:val="32"/>
          <w:lang w:val="zh-CN"/>
        </w:rPr>
        <w:t>的事项，</w:t>
      </w:r>
      <w:r>
        <w:rPr>
          <w:rFonts w:hint="eastAsia" w:ascii="仿宋_GB2312" w:hAnsi="宋体" w:eastAsia="仿宋_GB2312" w:cs="宋体"/>
          <w:color w:val="000000"/>
          <w:kern w:val="0"/>
          <w:sz w:val="32"/>
          <w:szCs w:val="32"/>
          <w:lang w:val="zh-CN"/>
        </w:rPr>
        <w:t>均</w:t>
      </w:r>
      <w:r>
        <w:rPr>
          <w:rFonts w:hint="eastAsia" w:ascii="仿宋_GB2312" w:hAnsi="宋体" w:eastAsia="仿宋_GB2312" w:cs="___WRD_EMBED_SUB_41"/>
          <w:color w:val="000000"/>
          <w:kern w:val="0"/>
          <w:sz w:val="32"/>
          <w:szCs w:val="32"/>
          <w:lang w:val="zh-CN"/>
        </w:rPr>
        <w:t>为明文列</w:t>
      </w:r>
      <w:r>
        <w:rPr>
          <w:rFonts w:hint="eastAsia" w:ascii="仿宋_GB2312" w:hAnsi="宋体" w:eastAsia="仿宋_GB2312" w:cs="宋体"/>
          <w:color w:val="000000"/>
          <w:kern w:val="0"/>
          <w:sz w:val="32"/>
          <w:szCs w:val="32"/>
          <w:lang w:val="zh-CN"/>
        </w:rPr>
        <w:t>举</w:t>
      </w:r>
      <w:r>
        <w:rPr>
          <w:rFonts w:hint="eastAsia" w:ascii="仿宋_GB2312" w:hAnsi="宋体" w:eastAsia="仿宋_GB2312" w:cs="___WRD_EMBED_SUB_41"/>
          <w:color w:val="000000"/>
          <w:kern w:val="0"/>
          <w:sz w:val="32"/>
          <w:szCs w:val="32"/>
          <w:lang w:val="zh-CN"/>
        </w:rPr>
        <w:t>的事项以外的类似事项。</w:t>
      </w:r>
      <w:r>
        <w:rPr>
          <w:rFonts w:hint="eastAsia" w:ascii="仿宋_GB2312" w:hAnsi="黑体" w:eastAsia="仿宋_GB2312" w:cs="Microsoft JhengHei"/>
          <w:spacing w:val="-2"/>
          <w:sz w:val="32"/>
          <w:szCs w:val="32"/>
        </w:rPr>
        <w:t>故此，当事人对涉案项目商品房所在小区环境的宣传行为，构成对商品房引人误解的商业宣传行为。</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rPr>
        <w:t>（二）</w:t>
      </w:r>
      <w:r>
        <w:rPr>
          <w:rFonts w:hint="eastAsia" w:ascii="楷体_GB2312" w:hAnsi="楷体_GB2312" w:eastAsia="楷体_GB2312" w:cs="楷体_GB2312"/>
          <w:b/>
          <w:bCs/>
          <w:sz w:val="32"/>
          <w:szCs w:val="32"/>
        </w:rPr>
        <w:t>法律适用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sz w:val="32"/>
          <w:szCs w:val="32"/>
        </w:rPr>
        <w:t>当事人</w:t>
      </w:r>
      <w:r>
        <w:rPr>
          <w:rFonts w:hint="eastAsia" w:ascii="仿宋_GB2312" w:hAnsi="宋体" w:eastAsia="仿宋_GB2312" w:cs="___WRD_EMBED_SUB_41"/>
          <w:sz w:val="32"/>
          <w:szCs w:val="32"/>
        </w:rPr>
        <w:t>宣传内容引人误解，有奖销售信息不明确，</w:t>
      </w:r>
      <w:r>
        <w:rPr>
          <w:rFonts w:hint="eastAsia" w:ascii="仿宋_GB2312" w:hAnsi="宋体" w:eastAsia="仿宋_GB2312" w:cs="宋体"/>
          <w:color w:val="000000"/>
          <w:kern w:val="0"/>
          <w:sz w:val="32"/>
          <w:szCs w:val="32"/>
        </w:rPr>
        <w:t>涉案行为扰乱了市场竞争秩序，损害了消费者合法权益，</w:t>
      </w:r>
      <w:r>
        <w:rPr>
          <w:rFonts w:hint="eastAsia" w:ascii="仿宋_GB2312" w:hAnsi="宋体" w:eastAsia="仿宋_GB2312" w:cs="___WRD_EMBED_SUB_41"/>
          <w:color w:val="000000"/>
          <w:kern w:val="0"/>
          <w:sz w:val="32"/>
          <w:szCs w:val="32"/>
          <w:lang w:val="zh-CN"/>
        </w:rPr>
        <w:t>违</w:t>
      </w:r>
      <w:r>
        <w:rPr>
          <w:rFonts w:hint="eastAsia" w:ascii="仿宋_GB2312" w:hAnsi="宋体" w:eastAsia="仿宋_GB2312" w:cs="宋体"/>
          <w:color w:val="000000"/>
          <w:kern w:val="0"/>
          <w:sz w:val="32"/>
          <w:szCs w:val="32"/>
          <w:lang w:val="zh-CN"/>
        </w:rPr>
        <w:t>背</w:t>
      </w:r>
      <w:r>
        <w:rPr>
          <w:rFonts w:hint="eastAsia" w:ascii="仿宋_GB2312" w:hAnsi="宋体" w:eastAsia="仿宋_GB2312" w:cs="___WRD_EMBED_SUB_41"/>
          <w:color w:val="000000"/>
          <w:kern w:val="0"/>
          <w:sz w:val="32"/>
          <w:szCs w:val="32"/>
          <w:lang w:val="zh-CN"/>
        </w:rPr>
        <w:t>了《反不正当竞争法》规定的</w:t>
      </w:r>
      <w:r>
        <w:rPr>
          <w:rFonts w:hint="eastAsia" w:ascii="仿宋_GB2312" w:hAnsi="宋体" w:eastAsia="仿宋_GB2312" w:cs="宋体"/>
          <w:color w:val="000000"/>
          <w:kern w:val="0"/>
          <w:sz w:val="32"/>
          <w:szCs w:val="32"/>
          <w:lang w:val="zh-CN"/>
        </w:rPr>
        <w:t>诚</w:t>
      </w:r>
      <w:r>
        <w:rPr>
          <w:rFonts w:hint="eastAsia" w:ascii="仿宋_GB2312" w:hAnsi="宋体" w:eastAsia="仿宋_GB2312" w:cs="___WRD_EMBED_SUB_41"/>
          <w:color w:val="000000"/>
          <w:kern w:val="0"/>
          <w:sz w:val="32"/>
          <w:szCs w:val="32"/>
          <w:lang w:val="zh-CN"/>
        </w:rPr>
        <w:t>实信用</w:t>
      </w:r>
      <w:r>
        <w:rPr>
          <w:rFonts w:hint="eastAsia" w:ascii="仿宋_GB2312" w:hAnsi="宋体" w:eastAsia="仿宋_GB2312" w:cs="宋体"/>
          <w:color w:val="000000"/>
          <w:kern w:val="0"/>
          <w:sz w:val="32"/>
          <w:szCs w:val="32"/>
          <w:lang w:val="zh-CN"/>
        </w:rPr>
        <w:t>原则，</w:t>
      </w:r>
      <w:r>
        <w:rPr>
          <w:rFonts w:hint="eastAsia" w:ascii="仿宋_GB2312" w:hAnsi="宋体" w:eastAsia="仿宋_GB2312" w:cs="宋体"/>
          <w:color w:val="000000"/>
          <w:kern w:val="0"/>
          <w:sz w:val="32"/>
          <w:szCs w:val="32"/>
        </w:rPr>
        <w:t>属于不正当竞争行为。因此，本案适用《反不正当竞争法》更加准确、全面。另外，当事人的行为同时违反了《广告法》的相关规定，根据《行政处罚法》第二十九条规定的原则，应该适用处罚上限更高的《反不正当竞争法》予以处罚。因为</w:t>
      </w:r>
      <w:r>
        <w:rPr>
          <w:rFonts w:hint="eastAsia" w:ascii="仿宋_GB2312" w:hAnsi="仿宋_GB2312" w:eastAsia="仿宋_GB2312" w:cs="仿宋_GB2312"/>
          <w:sz w:val="32"/>
          <w:szCs w:val="32"/>
        </w:rPr>
        <w:t>根据《反不正当竞争法》</w:t>
      </w:r>
      <w:r>
        <w:rPr>
          <w:rFonts w:hint="eastAsia" w:ascii="仿宋_GB2312" w:hAnsi="仿宋_GB2312" w:eastAsia="仿宋_GB2312" w:cs="仿宋_GB2312"/>
          <w:color w:val="000000"/>
          <w:sz w:val="32"/>
          <w:szCs w:val="32"/>
          <w:lang w:val="zh-CN"/>
        </w:rPr>
        <w:t>第二十条规定，经营者违反本法第八条规定情节严重的，处一百万元以上二百万元以下的罚款，可以吊销营业执照。而根据</w:t>
      </w:r>
      <w:r>
        <w:rPr>
          <w:rFonts w:hint="eastAsia" w:ascii="仿宋_GB2312" w:hAnsi="仿宋_GB2312" w:eastAsia="仿宋_GB2312" w:cs="仿宋_GB2312"/>
          <w:sz w:val="32"/>
          <w:szCs w:val="32"/>
        </w:rPr>
        <w:t>《广告法》</w:t>
      </w:r>
      <w:r>
        <w:rPr>
          <w:rFonts w:hint="eastAsia" w:ascii="仿宋_GB2312" w:hAnsi="仿宋_GB2312" w:eastAsia="仿宋_GB2312" w:cs="仿宋_GB2312"/>
          <w:color w:val="000000"/>
          <w:sz w:val="32"/>
          <w:szCs w:val="32"/>
          <w:lang w:val="zh-CN"/>
        </w:rPr>
        <w:t>第五十五条规定：发布虚假广告的，两年内有三次以上违法行为或者有其他严重情节的才可</w:t>
      </w:r>
      <w:r>
        <w:rPr>
          <w:rFonts w:hint="eastAsia" w:ascii="仿宋_GB2312" w:hAnsi="仿宋_GB2312" w:eastAsia="仿宋_GB2312" w:cs="仿宋_GB2312"/>
          <w:color w:val="000000"/>
          <w:spacing w:val="-6"/>
          <w:sz w:val="32"/>
          <w:szCs w:val="32"/>
          <w:lang w:val="zh-CN"/>
        </w:rPr>
        <w:t>能处一百万元以上二百万元以下的罚款，可以吊销营业执照。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三、执法示范点</w:t>
      </w:r>
    </w:p>
    <w:p>
      <w:pPr>
        <w:pStyle w:val="16"/>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ascii="仿宋_GB2312" w:hAnsi="仿宋_GB2312" w:eastAsia="仿宋_GB2312" w:cs="仿宋_GB2312"/>
          <w:szCs w:val="32"/>
        </w:rPr>
      </w:pPr>
      <w:r>
        <w:rPr>
          <w:rFonts w:hint="eastAsia" w:ascii="楷体_GB2312" w:hAnsi="楷体_GB2312" w:eastAsia="楷体_GB2312" w:cs="楷体_GB2312"/>
          <w:b/>
          <w:bCs/>
          <w:szCs w:val="32"/>
        </w:rPr>
        <w:t>（一）坚持执法为民的宗旨。</w:t>
      </w:r>
      <w:r>
        <w:rPr>
          <w:rFonts w:hint="eastAsia" w:ascii="仿宋_GB2312" w:hAnsi="宋体" w:eastAsia="仿宋_GB2312" w:cs="___WRD_EMBED_SUB_41"/>
          <w:color w:val="000000"/>
          <w:kern w:val="0"/>
          <w:szCs w:val="32"/>
        </w:rPr>
        <w:t>2021年始房地产市场逐步疲软，房价大幅下降，很多购房户都是处于房价高峰期购房，心生悔意，认为受到当事人的欺骗，因而想通过投诉举报等形式，要求房地产企业退房，而房地产企业因为市场进入寒冬期，价格低迷，库存量大，担心市场监管部门的处罚决定书会成为购房者要求退房的有力证据，想方设法阻扰市场监管部门对案件的查处。在此背景之下，一边是老百姓群体，一边是市场主体，做为市场监管部门既要考虑购房者群体的合理诉求，也要考虑房地产企业现实生存状况，面对两方的压力，</w:t>
      </w:r>
      <w:r>
        <w:rPr>
          <w:rFonts w:hint="eastAsia" w:ascii="仿宋_GB2312" w:hAnsi="宋体" w:eastAsia="仿宋_GB2312" w:cs="___WRD_EMBED_SUB_41"/>
          <w:color w:val="000000"/>
          <w:kern w:val="0"/>
          <w:szCs w:val="32"/>
          <w:lang w:eastAsia="zh-CN"/>
        </w:rPr>
        <w:t>执法单位</w:t>
      </w:r>
      <w:r>
        <w:rPr>
          <w:rFonts w:hint="eastAsia" w:ascii="仿宋_GB2312" w:hAnsi="宋体" w:eastAsia="仿宋_GB2312" w:cs="___WRD_EMBED_SUB_41"/>
          <w:color w:val="000000"/>
          <w:kern w:val="0"/>
          <w:szCs w:val="32"/>
        </w:rPr>
        <w:t>坚守执法为民的底线，最终依法查处了当事人的违法行为。</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（二）坚持说理释法的追求。</w:t>
      </w:r>
      <w:r>
        <w:rPr>
          <w:rFonts w:hint="eastAsia" w:ascii="仿宋_GB2312" w:hAnsi="仿宋_GB2312" w:eastAsia="仿宋_GB2312" w:cs="仿宋_GB2312"/>
          <w:color w:val="000000"/>
          <w:kern w:val="0"/>
          <w:sz w:val="32"/>
          <w:szCs w:val="32"/>
        </w:rPr>
        <w:t>该案经过了听证程序，当事人对本案的三个争议焦点做了充分的陈述和申辩，</w:t>
      </w:r>
      <w:r>
        <w:rPr>
          <w:rFonts w:hint="eastAsia" w:ascii="仿宋_GB2312" w:hAnsi="仿宋_GB2312" w:eastAsia="仿宋_GB2312" w:cs="仿宋_GB2312"/>
          <w:color w:val="000000"/>
          <w:kern w:val="0"/>
          <w:sz w:val="32"/>
          <w:szCs w:val="32"/>
          <w:lang w:eastAsia="zh-CN"/>
        </w:rPr>
        <w:t>执法单位</w:t>
      </w:r>
      <w:r>
        <w:rPr>
          <w:rFonts w:hint="eastAsia" w:ascii="仿宋_GB2312" w:hAnsi="仿宋_GB2312" w:eastAsia="仿宋_GB2312" w:cs="仿宋_GB2312"/>
          <w:color w:val="000000"/>
          <w:kern w:val="0"/>
          <w:sz w:val="32"/>
          <w:szCs w:val="32"/>
        </w:rPr>
        <w:t>在听证会上充分听取了意见，并在处罚决定书对其进行陈述申辩给予一一回复，进行充分的说理释法，用法理说服当事人。</w:t>
      </w:r>
      <w:r>
        <w:rPr>
          <w:rFonts w:hint="eastAsia" w:ascii="仿宋_GB2312" w:hAnsi="仿宋_GB2312" w:eastAsia="仿宋_GB2312" w:cs="仿宋_GB2312"/>
          <w:color w:val="000000"/>
          <w:spacing w:val="-6"/>
          <w:kern w:val="0"/>
          <w:sz w:val="32"/>
          <w:szCs w:val="32"/>
        </w:rPr>
        <w:t>同时，</w:t>
      </w:r>
      <w:r>
        <w:rPr>
          <w:rFonts w:hint="eastAsia" w:ascii="仿宋_GB2312" w:hAnsi="仿宋_GB2312" w:eastAsia="仿宋_GB2312" w:cs="仿宋_GB2312"/>
          <w:color w:val="000000"/>
          <w:spacing w:val="-6"/>
          <w:kern w:val="0"/>
          <w:sz w:val="32"/>
          <w:szCs w:val="32"/>
          <w:lang w:eastAsia="zh-CN"/>
        </w:rPr>
        <w:t>执法单位</w:t>
      </w:r>
      <w:r>
        <w:rPr>
          <w:rFonts w:hint="eastAsia" w:ascii="仿宋_GB2312" w:hAnsi="仿宋_GB2312" w:eastAsia="仿宋_GB2312" w:cs="仿宋_GB2312"/>
          <w:color w:val="000000"/>
          <w:spacing w:val="-6"/>
          <w:kern w:val="0"/>
          <w:sz w:val="32"/>
          <w:szCs w:val="32"/>
        </w:rPr>
        <w:t>邀请相关法律专业人员对本案涉及的合同进行了研究，邀请当事人到单位进行沟通，讲明行政违法与民事违约的区别，让当事人放下心理负担，为案件的圆满结局奠定了基础。</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eastAsia" w:ascii="仿宋_GB2312" w:hAnsi="仿宋_GB2312" w:eastAsia="仿宋_GB2312" w:cs="仿宋_GB2312"/>
          <w:color w:val="000000"/>
          <w:kern w:val="0"/>
          <w:sz w:val="32"/>
          <w:szCs w:val="32"/>
          <w:lang w:val="zh-CN"/>
        </w:rPr>
      </w:pPr>
      <w:r>
        <w:rPr>
          <w:rFonts w:hint="eastAsia" w:ascii="楷体_GB2312" w:hAnsi="楷体_GB2312" w:eastAsia="楷体_GB2312" w:cs="楷体_GB2312"/>
          <w:b/>
          <w:bCs/>
          <w:color w:val="000000"/>
          <w:kern w:val="0"/>
          <w:sz w:val="32"/>
          <w:szCs w:val="32"/>
        </w:rPr>
        <w:t>（三）坚持依法行政的底线。</w:t>
      </w:r>
      <w:r>
        <w:rPr>
          <w:rFonts w:hint="eastAsia" w:ascii="仿宋_GB2312" w:hAnsi="仿宋_GB2312" w:eastAsia="仿宋_GB2312" w:cs="仿宋_GB2312"/>
          <w:color w:val="000000"/>
          <w:kern w:val="0"/>
          <w:sz w:val="32"/>
          <w:szCs w:val="32"/>
        </w:rPr>
        <w:t>该案是</w:t>
      </w:r>
      <w:r>
        <w:rPr>
          <w:rFonts w:hint="eastAsia" w:ascii="仿宋_GB2312" w:hAnsi="仿宋_GB2312" w:eastAsia="仿宋_GB2312" w:cs="仿宋_GB2312"/>
          <w:color w:val="000000"/>
          <w:kern w:val="0"/>
          <w:sz w:val="32"/>
          <w:szCs w:val="32"/>
          <w:lang w:eastAsia="zh-CN"/>
        </w:rPr>
        <w:t>执法单位</w:t>
      </w:r>
      <w:r>
        <w:rPr>
          <w:rFonts w:hint="eastAsia" w:ascii="仿宋_GB2312" w:hAnsi="仿宋_GB2312" w:eastAsia="仿宋_GB2312" w:cs="仿宋_GB2312"/>
          <w:color w:val="000000"/>
          <w:kern w:val="0"/>
          <w:sz w:val="32"/>
          <w:szCs w:val="32"/>
        </w:rPr>
        <w:t>在新的行政处罚法颁布以来首例法律竞合的案件。</w:t>
      </w:r>
      <w:r>
        <w:rPr>
          <w:rFonts w:hint="eastAsia" w:ascii="仿宋_GB2312" w:hAnsi="仿宋_GB2312" w:eastAsia="仿宋_GB2312" w:cs="仿宋_GB2312"/>
          <w:color w:val="000000"/>
          <w:kern w:val="0"/>
          <w:sz w:val="32"/>
          <w:szCs w:val="32"/>
          <w:lang w:val="zh-CN"/>
        </w:rPr>
        <w:t>该案当事人的系列宣传行为同时违反了《中华人民共和国反不正当竞争法》第八条第一款和第十条第一项的规定，构成对商品作引人误解的商业宣传行为和信息不明确的有奖销售行为。依据《中华人民共和国行政处罚法》第二十九条“对当事人的同一个违法行为，不得给予两次以上罚款的行政处罚。同一个违法行为违反多个法律规范应当给予罚款处罚的，按照罚款数额高的规定处罚”的规定，因此，执法单位按照《中华人民共和国反不正当竞争法》第二十条的规定对当事人进行处罚。</w:t>
      </w:r>
    </w:p>
    <w:p>
      <w:pPr>
        <w:keepNext w:val="0"/>
        <w:keepLines w:val="0"/>
        <w:pageBreakBefore w:val="0"/>
        <w:kinsoku/>
        <w:wordWrap/>
        <w:overflowPunct/>
        <w:topLinePunct w:val="0"/>
        <w:bidi w:val="0"/>
        <w:spacing w:line="580" w:lineRule="exact"/>
        <w:ind w:right="0" w:rightChars="0"/>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___WRD_EMBED_SUB_41">
    <w:altName w:val="宋体"/>
    <w:panose1 w:val="00000000000000000000"/>
    <w:charset w:val="86"/>
    <w:family w:val="modern"/>
    <w:pitch w:val="default"/>
    <w:sig w:usb0="00000000" w:usb1="00000000"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DZiNjA4MWI3MzlmYWY3OGZlZTFiNjk1YzFiNjUifQ=="/>
  </w:docVars>
  <w:rsids>
    <w:rsidRoot w:val="0BFA3DD8"/>
    <w:rsid w:val="003778E4"/>
    <w:rsid w:val="003941B5"/>
    <w:rsid w:val="00594166"/>
    <w:rsid w:val="006D44B9"/>
    <w:rsid w:val="007B6AEF"/>
    <w:rsid w:val="00D15AB0"/>
    <w:rsid w:val="00DC4480"/>
    <w:rsid w:val="00DC6EF2"/>
    <w:rsid w:val="02810A37"/>
    <w:rsid w:val="02B97306"/>
    <w:rsid w:val="055010F7"/>
    <w:rsid w:val="08C7264E"/>
    <w:rsid w:val="0BFA3DD8"/>
    <w:rsid w:val="0D7A0468"/>
    <w:rsid w:val="0F361A6F"/>
    <w:rsid w:val="15A06DC9"/>
    <w:rsid w:val="17201E68"/>
    <w:rsid w:val="17B25CD4"/>
    <w:rsid w:val="1CFD391F"/>
    <w:rsid w:val="1FED1F47"/>
    <w:rsid w:val="253B5FA7"/>
    <w:rsid w:val="27254481"/>
    <w:rsid w:val="27670915"/>
    <w:rsid w:val="28FE23F5"/>
    <w:rsid w:val="327B2543"/>
    <w:rsid w:val="3D1D740E"/>
    <w:rsid w:val="3E2A5E12"/>
    <w:rsid w:val="3FF80A1E"/>
    <w:rsid w:val="408D14D1"/>
    <w:rsid w:val="43985003"/>
    <w:rsid w:val="45245ABE"/>
    <w:rsid w:val="46BD0F24"/>
    <w:rsid w:val="46EF4944"/>
    <w:rsid w:val="4AD043F0"/>
    <w:rsid w:val="4BE86A43"/>
    <w:rsid w:val="4C594B25"/>
    <w:rsid w:val="4E613062"/>
    <w:rsid w:val="51FF2DE2"/>
    <w:rsid w:val="54622293"/>
    <w:rsid w:val="55C25238"/>
    <w:rsid w:val="5C870C5A"/>
    <w:rsid w:val="5F7E7B26"/>
    <w:rsid w:val="69C876F7"/>
    <w:rsid w:val="6DB62EAA"/>
    <w:rsid w:val="6E437767"/>
    <w:rsid w:val="70335C2F"/>
    <w:rsid w:val="718F7965"/>
    <w:rsid w:val="75513A8A"/>
    <w:rsid w:val="77935EAD"/>
    <w:rsid w:val="787A65FC"/>
    <w:rsid w:val="78AB6510"/>
    <w:rsid w:val="78C802D6"/>
    <w:rsid w:val="7ACA3634"/>
    <w:rsid w:val="7E3F26FD"/>
    <w:rsid w:val="DC9796B7"/>
    <w:rsid w:val="FBEF47E5"/>
    <w:rsid w:val="FDD7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rPr>
  </w:style>
  <w:style w:type="paragraph" w:customStyle="1" w:styleId="12">
    <w:name w:val="Default"/>
    <w:basedOn w:val="1"/>
    <w:qFormat/>
    <w:uiPriority w:val="0"/>
    <w:pPr>
      <w:autoSpaceDE w:val="0"/>
      <w:autoSpaceDN w:val="0"/>
      <w:adjustRightInd w:val="0"/>
      <w:jc w:val="left"/>
    </w:pPr>
    <w:rPr>
      <w:rFonts w:ascii="Times New Roman" w:hAnsi="Times New Roman"/>
      <w:color w:val="000000"/>
      <w:kern w:val="0"/>
      <w:sz w:val="24"/>
    </w:rPr>
  </w:style>
  <w:style w:type="character" w:customStyle="1" w:styleId="13">
    <w:name w:val="NormalCharacter"/>
    <w:qFormat/>
    <w:uiPriority w:val="0"/>
    <w:rPr>
      <w:rFonts w:ascii="Calibri" w:hAnsi="Calibri" w:eastAsia="宋体" w:cs="Times New Roman"/>
    </w:rPr>
  </w:style>
  <w:style w:type="paragraph" w:customStyle="1" w:styleId="14">
    <w:name w:val="正文(首行缩进)"/>
    <w:basedOn w:val="1"/>
    <w:qFormat/>
    <w:uiPriority w:val="0"/>
    <w:pPr>
      <w:widowControl/>
      <w:spacing w:line="420" w:lineRule="atLeast"/>
      <w:ind w:firstLine="200" w:firstLineChars="200"/>
    </w:pPr>
    <w:rPr>
      <w:rFonts w:cs="宋体"/>
      <w:spacing w:val="2"/>
      <w:kern w:val="24"/>
      <w:sz w:val="24"/>
      <w:szCs w:val="24"/>
    </w:rPr>
  </w:style>
  <w:style w:type="character" w:customStyle="1" w:styleId="15">
    <w:name w:val="批注框文本 Char"/>
    <w:basedOn w:val="10"/>
    <w:link w:val="5"/>
    <w:qFormat/>
    <w:uiPriority w:val="0"/>
    <w:rPr>
      <w:kern w:val="2"/>
      <w:sz w:val="18"/>
      <w:szCs w:val="18"/>
    </w:rPr>
  </w:style>
  <w:style w:type="paragraph" w:customStyle="1" w:styleId="16">
    <w:name w:val="List Paragraph1"/>
    <w:basedOn w:val="1"/>
    <w:qFormat/>
    <w:uiPriority w:val="0"/>
    <w:pPr>
      <w:ind w:firstLine="420" w:firstLineChars="200"/>
    </w:pPr>
    <w:rPr>
      <w:rFonts w:ascii="Calibri" w:hAnsi="Calibri" w:eastAsia="仿宋" w:cs="Calibri"/>
      <w:sz w:val="32"/>
      <w:szCs w:val="21"/>
    </w:rPr>
  </w:style>
  <w:style w:type="character" w:customStyle="1" w:styleId="17">
    <w:name w:val="页脚 Char"/>
    <w:basedOn w:val="10"/>
    <w:link w:val="6"/>
    <w:qFormat/>
    <w:uiPriority w:val="99"/>
    <w:rPr>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ly</Company>
  <Pages>22</Pages>
  <Words>9088</Words>
  <Characters>9280</Characters>
  <Lines>67</Lines>
  <Paragraphs>18</Paragraphs>
  <TotalTime>51</TotalTime>
  <ScaleCrop>false</ScaleCrop>
  <LinksUpToDate>false</LinksUpToDate>
  <CharactersWithSpaces>9319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2023-03-03T08:03:00Z</dcterms:created>
  <dc:creator>廖仔</dc:creator>
  <cp:lastModifiedBy>雨田公主</cp:lastModifiedBy>
  <dcterms:modified xsi:type="dcterms:W3CDTF">2023-10-07T02:52:38Z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0B8753B63A964DA4A6641B1790E15150_13</vt:lpwstr>
  </property>
</Properties>
</file>