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E5EE7">
      <w:pPr>
        <w:jc w:val="center"/>
        <w:rPr>
          <w:rFonts w:hint="eastAsia" w:ascii="黑体" w:eastAsia="黑体" w:cs="黑体"/>
          <w:sz w:val="36"/>
          <w:szCs w:val="36"/>
          <w:lang w:eastAsia="zh-CN" w:bidi="ar-SA"/>
        </w:rPr>
      </w:pPr>
      <w:r>
        <w:rPr>
          <w:rFonts w:hint="eastAsia"/>
          <w:b/>
          <w:bCs/>
          <w:sz w:val="36"/>
          <w:szCs w:val="36"/>
          <w:lang w:eastAsia="zh-CN"/>
        </w:rPr>
        <w:t>《永州市国有土地上房屋征收与补偿实施办法（征求意见稿）》意见采纳情况表</w:t>
      </w:r>
    </w:p>
    <w:tbl>
      <w:tblPr>
        <w:tblStyle w:val="8"/>
        <w:tblW w:w="14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758"/>
        <w:gridCol w:w="4119"/>
        <w:gridCol w:w="791"/>
        <w:gridCol w:w="3231"/>
        <w:gridCol w:w="5496"/>
      </w:tblGrid>
      <w:tr w14:paraId="09968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44" w:type="dxa"/>
            <w:noWrap w:val="0"/>
            <w:vAlign w:val="center"/>
          </w:tcPr>
          <w:p w14:paraId="07693B55">
            <w:pPr>
              <w:jc w:val="center"/>
              <w:rPr>
                <w:rFonts w:hint="eastAsia" w:eastAsia="宋体"/>
                <w:b/>
                <w:bCs/>
                <w:color w:val="auto"/>
                <w:vertAlign w:val="baseline"/>
                <w:lang w:eastAsia="zh-CN"/>
              </w:rPr>
            </w:pPr>
            <w:r>
              <w:rPr>
                <w:rFonts w:hint="eastAsia"/>
                <w:b/>
                <w:bCs/>
                <w:color w:val="auto"/>
                <w:vertAlign w:val="baseline"/>
                <w:lang w:eastAsia="zh-CN"/>
              </w:rPr>
              <w:t>序号</w:t>
            </w:r>
          </w:p>
        </w:tc>
        <w:tc>
          <w:tcPr>
            <w:tcW w:w="758" w:type="dxa"/>
            <w:noWrap w:val="0"/>
            <w:vAlign w:val="center"/>
          </w:tcPr>
          <w:p w14:paraId="2790C5F4">
            <w:pPr>
              <w:jc w:val="center"/>
              <w:rPr>
                <w:rFonts w:hint="eastAsia"/>
                <w:b/>
                <w:bCs/>
                <w:color w:val="auto"/>
                <w:vertAlign w:val="baseline"/>
                <w:lang w:eastAsia="zh-CN"/>
              </w:rPr>
            </w:pPr>
            <w:r>
              <w:rPr>
                <w:rFonts w:hint="eastAsia"/>
                <w:b/>
                <w:bCs/>
                <w:color w:val="auto"/>
                <w:vertAlign w:val="baseline"/>
                <w:lang w:eastAsia="zh-CN"/>
              </w:rPr>
              <w:t>提意见单位</w:t>
            </w:r>
          </w:p>
        </w:tc>
        <w:tc>
          <w:tcPr>
            <w:tcW w:w="4119" w:type="dxa"/>
            <w:noWrap w:val="0"/>
            <w:vAlign w:val="center"/>
          </w:tcPr>
          <w:p w14:paraId="1D04B005">
            <w:pPr>
              <w:jc w:val="center"/>
              <w:rPr>
                <w:rFonts w:hint="eastAsia" w:eastAsia="宋体"/>
                <w:b/>
                <w:bCs/>
                <w:color w:val="auto"/>
                <w:vertAlign w:val="baseline"/>
                <w:lang w:eastAsia="zh-CN"/>
              </w:rPr>
            </w:pPr>
            <w:r>
              <w:rPr>
                <w:rFonts w:hint="eastAsia"/>
                <w:b/>
                <w:bCs/>
                <w:color w:val="auto"/>
                <w:vertAlign w:val="baseline"/>
                <w:lang w:eastAsia="zh-CN"/>
              </w:rPr>
              <w:t>所提意见</w:t>
            </w:r>
          </w:p>
        </w:tc>
        <w:tc>
          <w:tcPr>
            <w:tcW w:w="791" w:type="dxa"/>
            <w:noWrap w:val="0"/>
            <w:vAlign w:val="center"/>
          </w:tcPr>
          <w:p w14:paraId="3C7CCA9E">
            <w:pPr>
              <w:jc w:val="center"/>
              <w:rPr>
                <w:rFonts w:hint="eastAsia" w:eastAsia="宋体"/>
                <w:b/>
                <w:bCs/>
                <w:color w:val="auto"/>
                <w:vertAlign w:val="baseline"/>
                <w:lang w:eastAsia="zh-CN"/>
              </w:rPr>
            </w:pPr>
            <w:r>
              <w:rPr>
                <w:rFonts w:hint="eastAsia"/>
                <w:b/>
                <w:bCs/>
                <w:color w:val="auto"/>
                <w:vertAlign w:val="baseline"/>
                <w:lang w:eastAsia="zh-CN"/>
              </w:rPr>
              <w:t>意见采纳情况</w:t>
            </w:r>
          </w:p>
        </w:tc>
        <w:tc>
          <w:tcPr>
            <w:tcW w:w="3231" w:type="dxa"/>
            <w:noWrap w:val="0"/>
            <w:vAlign w:val="center"/>
          </w:tcPr>
          <w:p w14:paraId="023FDA83">
            <w:pPr>
              <w:jc w:val="center"/>
              <w:rPr>
                <w:rFonts w:hint="default"/>
                <w:b/>
                <w:bCs/>
                <w:color w:val="auto"/>
                <w:vertAlign w:val="baseline"/>
                <w:lang w:eastAsia="zh-CN"/>
              </w:rPr>
            </w:pPr>
            <w:r>
              <w:rPr>
                <w:rFonts w:hint="default"/>
                <w:b/>
                <w:bCs/>
                <w:color w:val="auto"/>
                <w:vertAlign w:val="baseline"/>
                <w:lang w:eastAsia="zh-CN"/>
              </w:rPr>
              <w:t>部分意见采纳后表述</w:t>
            </w:r>
          </w:p>
        </w:tc>
        <w:tc>
          <w:tcPr>
            <w:tcW w:w="5496" w:type="dxa"/>
            <w:noWrap w:val="0"/>
            <w:vAlign w:val="center"/>
          </w:tcPr>
          <w:p w14:paraId="3CF21D8F">
            <w:pPr>
              <w:jc w:val="center"/>
              <w:rPr>
                <w:rFonts w:hint="default" w:eastAsia="宋体"/>
                <w:b/>
                <w:bCs/>
                <w:color w:val="auto"/>
                <w:vertAlign w:val="baseline"/>
                <w:lang w:eastAsia="zh-CN"/>
              </w:rPr>
            </w:pPr>
            <w:r>
              <w:rPr>
                <w:rFonts w:hint="eastAsia"/>
                <w:b/>
                <w:bCs/>
                <w:color w:val="auto"/>
                <w:vertAlign w:val="baseline"/>
                <w:lang w:eastAsia="zh-CN"/>
              </w:rPr>
              <w:t>理由</w:t>
            </w:r>
            <w:r>
              <w:rPr>
                <w:rFonts w:hint="default"/>
                <w:b/>
                <w:bCs/>
                <w:color w:val="auto"/>
                <w:vertAlign w:val="baseline"/>
                <w:lang w:eastAsia="zh-CN"/>
              </w:rPr>
              <w:t>或依据</w:t>
            </w:r>
          </w:p>
        </w:tc>
      </w:tr>
      <w:tr w14:paraId="6603C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444" w:type="dxa"/>
            <w:vMerge w:val="restart"/>
            <w:noWrap w:val="0"/>
            <w:vAlign w:val="center"/>
          </w:tcPr>
          <w:p w14:paraId="0DC8FB31">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val="en-US" w:eastAsia="zh-CN" w:bidi="ar-SA"/>
              </w:rPr>
              <w:t>1</w:t>
            </w:r>
          </w:p>
        </w:tc>
        <w:tc>
          <w:tcPr>
            <w:tcW w:w="758" w:type="dxa"/>
            <w:vMerge w:val="restart"/>
            <w:noWrap w:val="0"/>
            <w:vAlign w:val="center"/>
          </w:tcPr>
          <w:p w14:paraId="54C6F0F2">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市财政局</w:t>
            </w:r>
          </w:p>
        </w:tc>
        <w:tc>
          <w:tcPr>
            <w:tcW w:w="4119" w:type="dxa"/>
            <w:noWrap w:val="0"/>
            <w:vAlign w:val="center"/>
          </w:tcPr>
          <w:p w14:paraId="1A06543A">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对原第四十一条的意见：“财政部门不参与市本级投资国有土地上建设项目房屋征收补偿费用的审核。”</w:t>
            </w:r>
          </w:p>
          <w:p w14:paraId="65630481">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p>
        </w:tc>
        <w:tc>
          <w:tcPr>
            <w:tcW w:w="791" w:type="dxa"/>
            <w:noWrap w:val="0"/>
            <w:vAlign w:val="center"/>
          </w:tcPr>
          <w:p w14:paraId="0985A3AE">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该意见部分采纳</w:t>
            </w:r>
          </w:p>
        </w:tc>
        <w:tc>
          <w:tcPr>
            <w:tcW w:w="3231" w:type="dxa"/>
            <w:noWrap w:val="0"/>
            <w:vAlign w:val="center"/>
          </w:tcPr>
          <w:p w14:paraId="2660A99E">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该内容增加在第二十条第二款中。“永州市房屋征收部门对国有土地上市本级投资建设项目的房屋征收补偿费用进行审核；市财政部门对国有土地上市本级投资建设项目的房屋征收测绘、评估、拆除等专项费用进行审核”。</w:t>
            </w:r>
          </w:p>
        </w:tc>
        <w:tc>
          <w:tcPr>
            <w:tcW w:w="5496" w:type="dxa"/>
            <w:noWrap w:val="0"/>
            <w:vAlign w:val="center"/>
          </w:tcPr>
          <w:p w14:paraId="4ECC9450">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w:t>
            </w:r>
            <w:r>
              <w:rPr>
                <w:rFonts w:hint="eastAsia" w:ascii="仿宋_GB2312" w:eastAsia="仿宋_GB2312" w:cs="仿宋_GB2312"/>
                <w:color w:val="auto"/>
                <w:sz w:val="24"/>
                <w:szCs w:val="24"/>
                <w:lang w:val="en-US" w:eastAsia="zh-CN" w:bidi="ar-SA"/>
              </w:rPr>
              <w:t>1</w:t>
            </w:r>
            <w:r>
              <w:rPr>
                <w:rFonts w:hint="eastAsia" w:ascii="仿宋_GB2312" w:eastAsia="仿宋_GB2312" w:cs="仿宋_GB2312"/>
                <w:color w:val="auto"/>
                <w:sz w:val="24"/>
                <w:szCs w:val="24"/>
                <w:lang w:eastAsia="zh-CN" w:bidi="ar-SA"/>
              </w:rPr>
              <w:t>）上位法有规定。国务院令第590号第十九条。“对被征收房屋价值的补偿，不得低于房屋征收决定公告之日被征收房屋类似房地产的市场价格。被征收房屋的价值，由具有相应资质的房地产价格评估机构按照房屋征收评估办法评估确定”。根据该条规定，我们认为“被征收房屋价值”的确定财政部门可以不参与审核，因此该部分予以采纳。</w:t>
            </w:r>
          </w:p>
          <w:p w14:paraId="39E35A3B">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w:t>
            </w:r>
            <w:r>
              <w:rPr>
                <w:rFonts w:hint="eastAsia" w:ascii="仿宋_GB2312" w:eastAsia="仿宋_GB2312" w:cs="仿宋_GB2312"/>
                <w:color w:val="auto"/>
                <w:sz w:val="24"/>
                <w:szCs w:val="24"/>
                <w:lang w:val="en-US" w:eastAsia="zh-CN" w:bidi="ar-SA"/>
              </w:rPr>
              <w:t>2</w:t>
            </w:r>
            <w:r>
              <w:rPr>
                <w:rFonts w:hint="eastAsia" w:ascii="仿宋_GB2312" w:eastAsia="仿宋_GB2312" w:cs="仿宋_GB2312"/>
                <w:color w:val="auto"/>
                <w:sz w:val="24"/>
                <w:szCs w:val="24"/>
                <w:lang w:eastAsia="zh-CN" w:bidi="ar-SA"/>
              </w:rPr>
              <w:t>）市本级相关文件有规定。按永州市财政局永财办〔2022〕20号文件和永财办〔2024〕10号文件的规定房屋征收涉及的评估费、拆除费、测绘费等相关费用的确定应送财政评审。</w:t>
            </w:r>
          </w:p>
          <w:p w14:paraId="2CC6638F">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本条意见部分采纳已与市财政局沟通协商一致。</w:t>
            </w:r>
          </w:p>
        </w:tc>
      </w:tr>
      <w:tr w14:paraId="5867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444" w:type="dxa"/>
            <w:vMerge w:val="continue"/>
            <w:noWrap w:val="0"/>
            <w:vAlign w:val="center"/>
          </w:tcPr>
          <w:p w14:paraId="13356710">
            <w:pPr>
              <w:rPr>
                <w:color w:val="auto"/>
              </w:rPr>
            </w:pPr>
          </w:p>
        </w:tc>
        <w:tc>
          <w:tcPr>
            <w:tcW w:w="758" w:type="dxa"/>
            <w:vMerge w:val="continue"/>
            <w:noWrap w:val="0"/>
            <w:vAlign w:val="center"/>
          </w:tcPr>
          <w:p w14:paraId="792206E5">
            <w:pPr>
              <w:rPr>
                <w:color w:val="auto"/>
              </w:rPr>
            </w:pPr>
          </w:p>
        </w:tc>
        <w:tc>
          <w:tcPr>
            <w:tcW w:w="4119" w:type="dxa"/>
            <w:noWrap w:val="0"/>
            <w:vAlign w:val="center"/>
          </w:tcPr>
          <w:p w14:paraId="49EF3F90">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对原第二十四条的意见：“征收补偿资金包括上级专项补助资金，由财政部门拨付至房屋征收部门预算一体化账户，由房屋征收部门按程序拨付。”</w:t>
            </w:r>
          </w:p>
        </w:tc>
        <w:tc>
          <w:tcPr>
            <w:tcW w:w="791" w:type="dxa"/>
            <w:noWrap w:val="0"/>
            <w:vAlign w:val="center"/>
          </w:tcPr>
          <w:p w14:paraId="679F72AD">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该意见采纳</w:t>
            </w:r>
          </w:p>
        </w:tc>
        <w:tc>
          <w:tcPr>
            <w:tcW w:w="3231" w:type="dxa"/>
            <w:noWrap w:val="0"/>
            <w:vAlign w:val="center"/>
          </w:tcPr>
          <w:p w14:paraId="5E4DF563">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该内容增加在第二十条第一款中。“征收补偿资金包括上级专项补助资金在房屋征收决定发布前，财政部门或项目建设单位足额拨付至房屋征收部门预算一体化账户，由房屋征收部门按程序拨付。所有项目征收相关资金均应接受纪检、审计等相关部门的监督、检查。”</w:t>
            </w:r>
          </w:p>
        </w:tc>
        <w:tc>
          <w:tcPr>
            <w:tcW w:w="5496" w:type="dxa"/>
            <w:noWrap w:val="0"/>
            <w:vAlign w:val="center"/>
          </w:tcPr>
          <w:p w14:paraId="2E950960">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该表述符合当前财政预算资金管理相关规定。</w:t>
            </w:r>
          </w:p>
          <w:p w14:paraId="0C844E88">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p>
        </w:tc>
      </w:tr>
      <w:tr w14:paraId="2D19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6" w:hRule="atLeast"/>
        </w:trPr>
        <w:tc>
          <w:tcPr>
            <w:tcW w:w="444" w:type="dxa"/>
            <w:noWrap w:val="0"/>
            <w:vAlign w:val="center"/>
          </w:tcPr>
          <w:p w14:paraId="3A437843">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val="en-US" w:eastAsia="zh-CN" w:bidi="ar-SA"/>
              </w:rPr>
              <w:t>2</w:t>
            </w:r>
          </w:p>
        </w:tc>
        <w:tc>
          <w:tcPr>
            <w:tcW w:w="758" w:type="dxa"/>
            <w:noWrap w:val="0"/>
            <w:vAlign w:val="center"/>
          </w:tcPr>
          <w:p w14:paraId="33852A5C">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val="en-US" w:eastAsia="zh-CN" w:bidi="ar-SA"/>
              </w:rPr>
              <w:t>市纪委监委</w:t>
            </w:r>
          </w:p>
        </w:tc>
        <w:tc>
          <w:tcPr>
            <w:tcW w:w="4119" w:type="dxa"/>
            <w:noWrap w:val="0"/>
            <w:vAlign w:val="center"/>
          </w:tcPr>
          <w:p w14:paraId="2C5F3EA0">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对原第二十条的意见：“删除纪检监察部门参与社会稳定风险评估内容。”</w:t>
            </w:r>
          </w:p>
        </w:tc>
        <w:tc>
          <w:tcPr>
            <w:tcW w:w="791" w:type="dxa"/>
            <w:noWrap w:val="0"/>
            <w:vAlign w:val="center"/>
          </w:tcPr>
          <w:p w14:paraId="5E823A8F">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该意见不采纳</w:t>
            </w:r>
          </w:p>
        </w:tc>
        <w:tc>
          <w:tcPr>
            <w:tcW w:w="3231" w:type="dxa"/>
            <w:noWrap w:val="0"/>
            <w:vAlign w:val="center"/>
          </w:tcPr>
          <w:p w14:paraId="105CA5A1">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w:t>
            </w:r>
          </w:p>
        </w:tc>
        <w:tc>
          <w:tcPr>
            <w:tcW w:w="5496" w:type="dxa"/>
            <w:noWrap w:val="0"/>
            <w:vAlign w:val="center"/>
          </w:tcPr>
          <w:p w14:paraId="604A9126">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w:t>
            </w:r>
            <w:r>
              <w:rPr>
                <w:rFonts w:hint="eastAsia" w:ascii="仿宋_GB2312" w:eastAsia="仿宋_GB2312" w:cs="仿宋_GB2312"/>
                <w:color w:val="auto"/>
                <w:sz w:val="24"/>
                <w:szCs w:val="24"/>
                <w:lang w:val="en-US" w:eastAsia="zh-CN" w:bidi="ar-SA"/>
              </w:rPr>
              <w:t>1</w:t>
            </w:r>
            <w:r>
              <w:rPr>
                <w:rFonts w:hint="eastAsia" w:ascii="仿宋_GB2312" w:eastAsia="仿宋_GB2312" w:cs="仿宋_GB2312"/>
                <w:color w:val="auto"/>
                <w:sz w:val="24"/>
                <w:szCs w:val="24"/>
                <w:lang w:eastAsia="zh-CN" w:bidi="ar-SA"/>
              </w:rPr>
              <w:t>）</w:t>
            </w:r>
            <w:r>
              <w:rPr>
                <w:rFonts w:hint="eastAsia" w:ascii="仿宋_GB2312" w:eastAsia="仿宋_GB2312" w:cs="仿宋_GB2312"/>
                <w:color w:val="auto"/>
                <w:sz w:val="24"/>
                <w:szCs w:val="24"/>
                <w:lang w:val="en-US" w:eastAsia="zh-CN" w:bidi="ar-SA"/>
              </w:rPr>
              <w:t>2019版</w:t>
            </w:r>
            <w:r>
              <w:rPr>
                <w:rFonts w:hint="eastAsia" w:ascii="仿宋_GB2312" w:eastAsia="仿宋_GB2312" w:cs="仿宋_GB2312"/>
                <w:color w:val="auto"/>
                <w:sz w:val="24"/>
                <w:szCs w:val="24"/>
                <w:lang w:eastAsia="zh-CN" w:bidi="ar-SA"/>
              </w:rPr>
              <w:t>《永州市国有土地上房屋征收与补偿实施办法》（永政发〔2019〕9号）中明确了纪检监察部门参与这项工作；</w:t>
            </w:r>
          </w:p>
          <w:p w14:paraId="4CAE4F98">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w:t>
            </w:r>
            <w:r>
              <w:rPr>
                <w:rFonts w:hint="eastAsia" w:ascii="仿宋_GB2312" w:eastAsia="仿宋_GB2312" w:cs="仿宋_GB2312"/>
                <w:color w:val="auto"/>
                <w:sz w:val="24"/>
                <w:szCs w:val="24"/>
                <w:lang w:val="en-US" w:eastAsia="zh-CN" w:bidi="ar-SA"/>
              </w:rPr>
              <w:t>2</w:t>
            </w:r>
            <w:r>
              <w:rPr>
                <w:rFonts w:hint="eastAsia" w:ascii="仿宋_GB2312" w:eastAsia="仿宋_GB2312" w:cs="仿宋_GB2312"/>
                <w:color w:val="auto"/>
                <w:sz w:val="24"/>
                <w:szCs w:val="24"/>
                <w:lang w:eastAsia="zh-CN" w:bidi="ar-SA"/>
              </w:rPr>
              <w:t>）上位法有依据：国务院令590号第七条。“监察机关应当加强对参与房屋征收与补偿工作的政府和有关部门或者单位及其工作人员的监察。”</w:t>
            </w:r>
          </w:p>
          <w:p w14:paraId="588C7E27">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w:t>
            </w:r>
            <w:r>
              <w:rPr>
                <w:rFonts w:hint="eastAsia" w:ascii="仿宋_GB2312" w:eastAsia="仿宋_GB2312" w:cs="仿宋_GB2312"/>
                <w:color w:val="auto"/>
                <w:sz w:val="24"/>
                <w:szCs w:val="24"/>
                <w:lang w:val="en-US" w:eastAsia="zh-CN" w:bidi="ar-SA"/>
              </w:rPr>
              <w:t>3</w:t>
            </w:r>
            <w:r>
              <w:rPr>
                <w:rFonts w:hint="eastAsia" w:ascii="仿宋_GB2312" w:eastAsia="仿宋_GB2312" w:cs="仿宋_GB2312"/>
                <w:color w:val="auto"/>
                <w:sz w:val="24"/>
                <w:szCs w:val="24"/>
                <w:lang w:eastAsia="zh-CN" w:bidi="ar-SA"/>
              </w:rPr>
              <w:t>）纪检监察事前参与，可从源头上监督把关，符合“把严的基调、严的措施、严的氛围长期坚持下去”的要求。</w:t>
            </w:r>
          </w:p>
          <w:p w14:paraId="1432F8B0">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本条意见不采纳已与市纪委监委沟通协商一致。</w:t>
            </w:r>
          </w:p>
        </w:tc>
      </w:tr>
      <w:tr w14:paraId="7537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444" w:type="dxa"/>
            <w:noWrap w:val="0"/>
            <w:vAlign w:val="center"/>
          </w:tcPr>
          <w:p w14:paraId="49E1C025">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val="en-US" w:eastAsia="zh-CN" w:bidi="ar-SA"/>
              </w:rPr>
              <w:t>3</w:t>
            </w:r>
          </w:p>
        </w:tc>
        <w:tc>
          <w:tcPr>
            <w:tcW w:w="758" w:type="dxa"/>
            <w:noWrap w:val="0"/>
            <w:vAlign w:val="center"/>
          </w:tcPr>
          <w:p w14:paraId="4170692D">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val="en-US" w:eastAsia="zh-CN" w:bidi="ar-SA"/>
              </w:rPr>
              <w:t>市审计局</w:t>
            </w:r>
          </w:p>
        </w:tc>
        <w:tc>
          <w:tcPr>
            <w:tcW w:w="4119" w:type="dxa"/>
            <w:noWrap w:val="0"/>
            <w:vAlign w:val="center"/>
          </w:tcPr>
          <w:p w14:paraId="7D520C2C">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对原第二十九条、第原三十条、第原三十一条及补助奖励标准。“考虑当前房地产领域下行趋势及地方财力整体情况，建议对各项补偿奖励标准综合评估，适当降低补偿奖励标准，减少征拆成本”。</w:t>
            </w:r>
          </w:p>
        </w:tc>
        <w:tc>
          <w:tcPr>
            <w:tcW w:w="791" w:type="dxa"/>
            <w:noWrap w:val="0"/>
            <w:vAlign w:val="center"/>
          </w:tcPr>
          <w:p w14:paraId="3B166BE0">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该意见部分采纳</w:t>
            </w:r>
          </w:p>
        </w:tc>
        <w:tc>
          <w:tcPr>
            <w:tcW w:w="3231" w:type="dxa"/>
            <w:noWrap w:val="0"/>
            <w:vAlign w:val="center"/>
          </w:tcPr>
          <w:p w14:paraId="4358F2E2">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第二十五条、第二十六条、第二十七条及附件补助奖励标准。</w:t>
            </w:r>
          </w:p>
        </w:tc>
        <w:tc>
          <w:tcPr>
            <w:tcW w:w="5496" w:type="dxa"/>
            <w:noWrap w:val="0"/>
            <w:vAlign w:val="center"/>
          </w:tcPr>
          <w:p w14:paraId="519624D5">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w:t>
            </w:r>
            <w:r>
              <w:rPr>
                <w:rFonts w:hint="eastAsia" w:ascii="仿宋_GB2312" w:eastAsia="仿宋_GB2312" w:cs="仿宋_GB2312"/>
                <w:color w:val="auto"/>
                <w:sz w:val="24"/>
                <w:szCs w:val="24"/>
                <w:lang w:val="en-US" w:eastAsia="zh-CN" w:bidi="ar-SA"/>
              </w:rPr>
              <w:t>1</w:t>
            </w:r>
            <w:r>
              <w:rPr>
                <w:rFonts w:hint="eastAsia" w:ascii="仿宋_GB2312" w:eastAsia="仿宋_GB2312" w:cs="仿宋_GB2312"/>
                <w:color w:val="auto"/>
                <w:sz w:val="24"/>
                <w:szCs w:val="24"/>
                <w:lang w:eastAsia="zh-CN" w:bidi="ar-SA"/>
              </w:rPr>
              <w:t>）对原二十九条降低临时安置费意见不采纳。</w:t>
            </w:r>
          </w:p>
          <w:p w14:paraId="2E1A2DDC">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理由或依据：《实施办法》（征求意见稿）中的表述是“临时安置费为被征收房屋评估值（不含装饰装修）的4‰”。一是当前房地产领域仍然总体低迷，在征收过程中被征收房屋的评估值价肯定有所降低，临时安置费是按被征收房屋评估值的比例计算的，因此会随之降低，不会增加征收成本。二是《实施办法》（征求意见稿）规定了最高不超过2000元的上线。</w:t>
            </w:r>
          </w:p>
          <w:p w14:paraId="3034E954">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w:t>
            </w:r>
            <w:r>
              <w:rPr>
                <w:rFonts w:hint="eastAsia" w:ascii="仿宋_GB2312" w:eastAsia="仿宋_GB2312" w:cs="仿宋_GB2312"/>
                <w:color w:val="auto"/>
                <w:sz w:val="24"/>
                <w:szCs w:val="24"/>
                <w:lang w:val="en-US" w:eastAsia="zh-CN" w:bidi="ar-SA"/>
              </w:rPr>
              <w:t>2</w:t>
            </w:r>
            <w:r>
              <w:rPr>
                <w:rFonts w:hint="eastAsia" w:ascii="仿宋_GB2312" w:eastAsia="仿宋_GB2312" w:cs="仿宋_GB2312"/>
                <w:color w:val="auto"/>
                <w:sz w:val="24"/>
                <w:szCs w:val="24"/>
                <w:lang w:eastAsia="zh-CN" w:bidi="ar-SA"/>
              </w:rPr>
              <w:t>））对原第三十条降低停产停业损失意见不予采纳。</w:t>
            </w:r>
          </w:p>
          <w:p w14:paraId="4067A77D">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理由或依据：一是上位法有规定。省政府令第268号第十四条“征收生产、经营性用房，造成被征收人停产停业直接损失的，每月按照被征收房屋评估价值的7‰给予补偿。停产停业期间，按照实际停产停业的月数计算确定。”二是当前房地产领域仍然总体低迷，在征收过程中被征收房屋的评估值价肯定有所降低，停产停业损失是按被征收房屋评估值的比例计算的，因此会随之降低，不会增加征收成本。</w:t>
            </w:r>
          </w:p>
          <w:p w14:paraId="6411EA7A">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w:t>
            </w:r>
            <w:r>
              <w:rPr>
                <w:rFonts w:hint="eastAsia" w:ascii="仿宋_GB2312" w:eastAsia="仿宋_GB2312" w:cs="仿宋_GB2312"/>
                <w:color w:val="auto"/>
                <w:sz w:val="24"/>
                <w:szCs w:val="24"/>
                <w:lang w:val="en-US" w:eastAsia="zh-CN" w:bidi="ar-SA"/>
              </w:rPr>
              <w:t>3</w:t>
            </w:r>
            <w:r>
              <w:rPr>
                <w:rFonts w:hint="eastAsia" w:ascii="仿宋_GB2312" w:eastAsia="仿宋_GB2312" w:cs="仿宋_GB2312"/>
                <w:color w:val="auto"/>
                <w:sz w:val="24"/>
                <w:szCs w:val="24"/>
                <w:lang w:eastAsia="zh-CN" w:bidi="ar-SA"/>
              </w:rPr>
              <w:t>）对原第三十一条降低被征收人搬迁费意见不予采纳。</w:t>
            </w:r>
          </w:p>
          <w:p w14:paraId="13495E94">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理由或依据：目前虽然当前房地产领域仍然总体低迷，但人工工资仍然很高，搬迁费用没有降低。若再降低被征收人搬迁费，会影响被征收人获得感，增加征收阻力。</w:t>
            </w:r>
          </w:p>
          <w:p w14:paraId="44C090FD">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w:t>
            </w:r>
            <w:r>
              <w:rPr>
                <w:rFonts w:hint="eastAsia" w:ascii="仿宋_GB2312" w:eastAsia="仿宋_GB2312" w:cs="仿宋_GB2312"/>
                <w:color w:val="auto"/>
                <w:sz w:val="24"/>
                <w:szCs w:val="24"/>
                <w:lang w:val="en-US" w:eastAsia="zh-CN" w:bidi="ar-SA"/>
              </w:rPr>
              <w:t>4</w:t>
            </w:r>
            <w:r>
              <w:rPr>
                <w:rFonts w:hint="eastAsia" w:ascii="仿宋_GB2312" w:eastAsia="仿宋_GB2312" w:cs="仿宋_GB2312"/>
                <w:color w:val="auto"/>
                <w:sz w:val="24"/>
                <w:szCs w:val="24"/>
                <w:lang w:eastAsia="zh-CN" w:bidi="ar-SA"/>
              </w:rPr>
              <w:t>）对附件补助奖励标准进行适当调整该意见采纳。</w:t>
            </w:r>
          </w:p>
          <w:p w14:paraId="22BAA7B6">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理由或依据：认真研究汲取了郴州市、衡阳市的经验做法并结合我市实际，适当调整补助奖励标准。</w:t>
            </w:r>
          </w:p>
          <w:p w14:paraId="61B5FC09">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本条意见部分采纳已与市审计局沟通协商一致。</w:t>
            </w:r>
          </w:p>
        </w:tc>
      </w:tr>
      <w:tr w14:paraId="018A3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444" w:type="dxa"/>
            <w:vMerge w:val="restart"/>
            <w:noWrap w:val="0"/>
            <w:vAlign w:val="center"/>
          </w:tcPr>
          <w:p w14:paraId="2E8C0428">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val="en-US" w:eastAsia="zh-CN" w:bidi="ar-SA"/>
              </w:rPr>
              <w:t>4</w:t>
            </w:r>
          </w:p>
        </w:tc>
        <w:tc>
          <w:tcPr>
            <w:tcW w:w="758" w:type="dxa"/>
            <w:vMerge w:val="restart"/>
            <w:noWrap w:val="0"/>
            <w:vAlign w:val="center"/>
          </w:tcPr>
          <w:p w14:paraId="01DAD67D">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val="en-US" w:eastAsia="zh-CN" w:bidi="ar-SA"/>
              </w:rPr>
              <w:t>市城发集团</w:t>
            </w:r>
          </w:p>
        </w:tc>
        <w:tc>
          <w:tcPr>
            <w:tcW w:w="4119" w:type="dxa"/>
            <w:noWrap w:val="0"/>
            <w:vAlign w:val="center"/>
          </w:tcPr>
          <w:p w14:paraId="20FFA6F4">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对原第二十九条意见：“降低临时安置费和超期过渡费补偿标准。”</w:t>
            </w:r>
          </w:p>
        </w:tc>
        <w:tc>
          <w:tcPr>
            <w:tcW w:w="791" w:type="dxa"/>
            <w:noWrap w:val="0"/>
            <w:vAlign w:val="center"/>
          </w:tcPr>
          <w:p w14:paraId="50EE3C75">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该意见不予采纳。</w:t>
            </w:r>
          </w:p>
        </w:tc>
        <w:tc>
          <w:tcPr>
            <w:tcW w:w="3231" w:type="dxa"/>
            <w:noWrap w:val="0"/>
            <w:vAlign w:val="center"/>
          </w:tcPr>
          <w:p w14:paraId="4662C4A3">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w:t>
            </w:r>
          </w:p>
        </w:tc>
        <w:tc>
          <w:tcPr>
            <w:tcW w:w="5496" w:type="dxa"/>
            <w:noWrap w:val="0"/>
            <w:vAlign w:val="center"/>
          </w:tcPr>
          <w:p w14:paraId="682ADE93">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w:t>
            </w:r>
            <w:r>
              <w:rPr>
                <w:rFonts w:hint="eastAsia" w:ascii="仿宋_GB2312" w:eastAsia="仿宋_GB2312" w:cs="仿宋_GB2312"/>
                <w:color w:val="auto"/>
                <w:sz w:val="24"/>
                <w:szCs w:val="24"/>
                <w:lang w:val="en-US" w:eastAsia="zh-CN" w:bidi="ar-SA"/>
              </w:rPr>
              <w:t>1</w:t>
            </w:r>
            <w:r>
              <w:rPr>
                <w:rFonts w:hint="eastAsia" w:ascii="仿宋_GB2312" w:eastAsia="仿宋_GB2312" w:cs="仿宋_GB2312"/>
                <w:color w:val="auto"/>
                <w:sz w:val="24"/>
                <w:szCs w:val="24"/>
                <w:lang w:eastAsia="zh-CN" w:bidi="ar-SA"/>
              </w:rPr>
              <w:t>）降低临时安置费标准的意见与审计局意见相同，不采纳的理由相同。</w:t>
            </w:r>
          </w:p>
          <w:p w14:paraId="7AFBB9F1">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w:t>
            </w:r>
            <w:r>
              <w:rPr>
                <w:rFonts w:hint="eastAsia" w:ascii="仿宋_GB2312" w:eastAsia="仿宋_GB2312" w:cs="仿宋_GB2312"/>
                <w:color w:val="auto"/>
                <w:sz w:val="24"/>
                <w:szCs w:val="24"/>
                <w:lang w:val="en-US" w:eastAsia="zh-CN" w:bidi="ar-SA"/>
              </w:rPr>
              <w:t>2</w:t>
            </w:r>
            <w:r>
              <w:rPr>
                <w:rFonts w:hint="eastAsia" w:ascii="仿宋_GB2312" w:eastAsia="仿宋_GB2312" w:cs="仿宋_GB2312"/>
                <w:color w:val="auto"/>
                <w:sz w:val="24"/>
                <w:szCs w:val="24"/>
                <w:lang w:eastAsia="zh-CN" w:bidi="ar-SA"/>
              </w:rPr>
              <w:t>）降低超期过渡费补偿标准的意见不予采纳。</w:t>
            </w:r>
          </w:p>
          <w:p w14:paraId="023E75C8">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理由或依据：上位法有规定。省政府令第268号二十一条的规定：房屋征收部门未按期交付产权调换房，延长过渡期限的，自逾期之月起，应当按照下列规定每月向被征收人支付临时安置费：（一）被征收人自行解决周转房，过渡期限延期12个月以内的，按照标准的150%支付；过渡期限延期超过12个月的，按照标准的200%支付；（二）向被征收人提供周转用房，除继续提供周转用房外，过渡期限延期12个月以内的，按照标准的50%支付；过渡期限延期超过12个月的，按照标准的100%支付。）</w:t>
            </w:r>
          </w:p>
          <w:p w14:paraId="77F31953">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本条意见不采纳已与市城发集团沟通协商一致。</w:t>
            </w:r>
          </w:p>
        </w:tc>
      </w:tr>
      <w:tr w14:paraId="5EDF5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444" w:type="dxa"/>
            <w:vMerge w:val="continue"/>
            <w:noWrap w:val="0"/>
            <w:vAlign w:val="center"/>
          </w:tcPr>
          <w:p w14:paraId="03A67E11">
            <w:pPr>
              <w:rPr>
                <w:color w:val="auto"/>
              </w:rPr>
            </w:pPr>
          </w:p>
        </w:tc>
        <w:tc>
          <w:tcPr>
            <w:tcW w:w="758" w:type="dxa"/>
            <w:vMerge w:val="continue"/>
            <w:noWrap w:val="0"/>
            <w:vAlign w:val="center"/>
          </w:tcPr>
          <w:p w14:paraId="6994C322">
            <w:pPr>
              <w:rPr>
                <w:color w:val="auto"/>
              </w:rPr>
            </w:pPr>
          </w:p>
        </w:tc>
        <w:tc>
          <w:tcPr>
            <w:tcW w:w="4119" w:type="dxa"/>
            <w:noWrap w:val="0"/>
            <w:vAlign w:val="center"/>
          </w:tcPr>
          <w:p w14:paraId="166FE970">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对原第三十条的意见：降低每月停产停业补偿标准。</w:t>
            </w:r>
          </w:p>
        </w:tc>
        <w:tc>
          <w:tcPr>
            <w:tcW w:w="791" w:type="dxa"/>
            <w:noWrap w:val="0"/>
            <w:vAlign w:val="center"/>
          </w:tcPr>
          <w:p w14:paraId="1A5428E0">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该意见不予采纳</w:t>
            </w:r>
          </w:p>
        </w:tc>
        <w:tc>
          <w:tcPr>
            <w:tcW w:w="3231" w:type="dxa"/>
            <w:noWrap w:val="0"/>
            <w:vAlign w:val="center"/>
          </w:tcPr>
          <w:p w14:paraId="1AAFA7EE">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w:t>
            </w:r>
          </w:p>
        </w:tc>
        <w:tc>
          <w:tcPr>
            <w:tcW w:w="5496" w:type="dxa"/>
            <w:noWrap w:val="0"/>
            <w:vAlign w:val="center"/>
          </w:tcPr>
          <w:p w14:paraId="22F7F2E8">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该意见与市审计局意见相同，不采纳依据也相同。本条意见不采纳已与市城发集团沟通协商一致。</w:t>
            </w:r>
          </w:p>
          <w:p w14:paraId="790274F0">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p>
        </w:tc>
      </w:tr>
      <w:tr w14:paraId="5EAD6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444" w:type="dxa"/>
            <w:vMerge w:val="continue"/>
            <w:noWrap w:val="0"/>
            <w:vAlign w:val="center"/>
          </w:tcPr>
          <w:p w14:paraId="6DBB4BB0">
            <w:pPr>
              <w:rPr>
                <w:color w:val="auto"/>
              </w:rPr>
            </w:pPr>
          </w:p>
        </w:tc>
        <w:tc>
          <w:tcPr>
            <w:tcW w:w="758" w:type="dxa"/>
            <w:vMerge w:val="continue"/>
            <w:noWrap w:val="0"/>
            <w:vAlign w:val="center"/>
          </w:tcPr>
          <w:p w14:paraId="06A686F6">
            <w:pPr>
              <w:rPr>
                <w:color w:val="auto"/>
              </w:rPr>
            </w:pPr>
          </w:p>
        </w:tc>
        <w:tc>
          <w:tcPr>
            <w:tcW w:w="4119" w:type="dxa"/>
            <w:noWrap w:val="0"/>
            <w:vAlign w:val="center"/>
          </w:tcPr>
          <w:p w14:paraId="4C1B5D31">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“调整附件（补助奖励）标准。”</w:t>
            </w:r>
          </w:p>
        </w:tc>
        <w:tc>
          <w:tcPr>
            <w:tcW w:w="791" w:type="dxa"/>
            <w:noWrap w:val="0"/>
            <w:vAlign w:val="center"/>
          </w:tcPr>
          <w:p w14:paraId="6ED3E8B1">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该意见采纳</w:t>
            </w:r>
          </w:p>
        </w:tc>
        <w:tc>
          <w:tcPr>
            <w:tcW w:w="3231" w:type="dxa"/>
            <w:noWrap w:val="0"/>
            <w:vAlign w:val="center"/>
          </w:tcPr>
          <w:p w14:paraId="65161F58">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详见附件补助奖励项目及标准</w:t>
            </w:r>
          </w:p>
        </w:tc>
        <w:tc>
          <w:tcPr>
            <w:tcW w:w="5496" w:type="dxa"/>
            <w:noWrap w:val="0"/>
            <w:vAlign w:val="center"/>
          </w:tcPr>
          <w:p w14:paraId="564EFC35">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理由或依据：认真研究汲取了郴州市、衡阳市的经验做法并结合我市实际，适当调整补助奖励标准。</w:t>
            </w:r>
          </w:p>
        </w:tc>
      </w:tr>
      <w:tr w14:paraId="2F9C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444" w:type="dxa"/>
            <w:noWrap w:val="0"/>
            <w:vAlign w:val="center"/>
          </w:tcPr>
          <w:p w14:paraId="730830EF">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val="en-US" w:eastAsia="zh-CN" w:bidi="ar-SA"/>
              </w:rPr>
              <w:t>5</w:t>
            </w:r>
          </w:p>
        </w:tc>
        <w:tc>
          <w:tcPr>
            <w:tcW w:w="758" w:type="dxa"/>
            <w:noWrap w:val="0"/>
            <w:vAlign w:val="center"/>
          </w:tcPr>
          <w:p w14:paraId="7D1C250C">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val="en-US" w:eastAsia="zh-CN" w:bidi="ar-SA"/>
              </w:rPr>
              <w:t>市经发集团</w:t>
            </w:r>
          </w:p>
        </w:tc>
        <w:tc>
          <w:tcPr>
            <w:tcW w:w="4119" w:type="dxa"/>
            <w:noWrap w:val="0"/>
            <w:vAlign w:val="center"/>
          </w:tcPr>
          <w:p w14:paraId="25F3AAF2">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“永州市中心城区房地产未来</w:t>
            </w:r>
            <w:r>
              <w:rPr>
                <w:rFonts w:hint="eastAsia" w:ascii="仿宋_GB2312" w:eastAsia="仿宋_GB2312" w:cs="仿宋_GB2312"/>
                <w:color w:val="auto"/>
                <w:sz w:val="24"/>
                <w:szCs w:val="24"/>
                <w:lang w:val="en-US" w:eastAsia="zh-CN" w:bidi="ar-SA"/>
              </w:rPr>
              <w:t>5年的主要任务应是消化库存。该部分应</w:t>
            </w:r>
            <w:r>
              <w:rPr>
                <w:rFonts w:hint="eastAsia" w:ascii="仿宋_GB2312" w:eastAsia="仿宋_GB2312" w:cs="仿宋_GB2312"/>
                <w:color w:val="auto"/>
                <w:sz w:val="24"/>
                <w:szCs w:val="24"/>
                <w:lang w:eastAsia="zh-CN" w:bidi="ar-SA"/>
              </w:rPr>
              <w:t>补充房票安置章节，明确具体操作办法，向株洲、长沙等地学习经验，达到去库存的目的”。</w:t>
            </w:r>
          </w:p>
          <w:p w14:paraId="5D34B3D7">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p>
        </w:tc>
        <w:tc>
          <w:tcPr>
            <w:tcW w:w="791" w:type="dxa"/>
            <w:noWrap w:val="0"/>
            <w:vAlign w:val="center"/>
          </w:tcPr>
          <w:p w14:paraId="3C9097D5">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该意见部分采纳</w:t>
            </w:r>
          </w:p>
        </w:tc>
        <w:tc>
          <w:tcPr>
            <w:tcW w:w="3231" w:type="dxa"/>
            <w:noWrap w:val="0"/>
            <w:vAlign w:val="center"/>
          </w:tcPr>
          <w:p w14:paraId="728CCF15">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第二十四条</w:t>
            </w:r>
            <w:r>
              <w:rPr>
                <w:rFonts w:hint="eastAsia" w:ascii="仿宋_GB2312" w:eastAsia="仿宋_GB2312" w:cs="仿宋_GB2312"/>
                <w:color w:val="auto"/>
                <w:sz w:val="24"/>
                <w:szCs w:val="24"/>
                <w:lang w:val="en-US" w:eastAsia="zh-CN" w:bidi="ar-SA"/>
              </w:rPr>
              <w:t xml:space="preserve">  被征收人可以选择货币补偿，也可以选择房屋</w:t>
            </w:r>
            <w:r>
              <w:rPr>
                <w:rFonts w:hint="eastAsia" w:ascii="仿宋_GB2312" w:eastAsia="仿宋_GB2312" w:cs="仿宋_GB2312"/>
                <w:color w:val="auto"/>
                <w:sz w:val="24"/>
                <w:szCs w:val="24"/>
                <w:lang w:eastAsia="zh-CN" w:bidi="ar-SA"/>
              </w:rPr>
              <w:t>产权调换。具备实施条件的项目，被征收人还可选择房票安置，具体补偿安置标准按市政府相关规定执行。</w:t>
            </w:r>
          </w:p>
        </w:tc>
        <w:tc>
          <w:tcPr>
            <w:tcW w:w="5496" w:type="dxa"/>
            <w:noWrap w:val="0"/>
            <w:vAlign w:val="center"/>
          </w:tcPr>
          <w:p w14:paraId="48FC730D">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一是房票安置只是“房屋产权调换”（即实物安置）安置方式的一种特殊形式，不宜也不必补充新的章节。二是我市的房票安置尚处于调研、论证阶段，而</w:t>
            </w:r>
            <w:r>
              <w:rPr>
                <w:rFonts w:hint="eastAsia" w:ascii="仿宋_GB2312" w:eastAsia="仿宋_GB2312" w:cs="仿宋_GB2312"/>
                <w:color w:val="auto"/>
                <w:sz w:val="24"/>
                <w:szCs w:val="24"/>
                <w:lang w:val="en-US" w:eastAsia="zh-CN" w:bidi="ar-SA"/>
              </w:rPr>
              <w:t>2019版</w:t>
            </w:r>
            <w:r>
              <w:rPr>
                <w:rFonts w:hint="eastAsia" w:ascii="仿宋_GB2312" w:eastAsia="仿宋_GB2312" w:cs="仿宋_GB2312"/>
                <w:color w:val="auto"/>
                <w:sz w:val="24"/>
                <w:szCs w:val="24"/>
                <w:lang w:eastAsia="zh-CN" w:bidi="ar-SA"/>
              </w:rPr>
              <w:t>《实施办法》已经超期，新版《实施办法》必须尽快出台，无法再等相关房票安置办法，也无法明确具体操作办法。三是房票安置办法毕竟是兄弟市州探索成功的经验，为达到去库存的目的，促进房地产市场健康发展，在新版《实施办法》第二十四条中增加相关表述，为推行房票安置预留空间。</w:t>
            </w:r>
          </w:p>
          <w:p w14:paraId="174825CD">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本条意见部分采纳已与市经发集团沟通协商一致。</w:t>
            </w:r>
          </w:p>
        </w:tc>
      </w:tr>
      <w:tr w14:paraId="385F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444" w:type="dxa"/>
            <w:vMerge w:val="restart"/>
            <w:noWrap w:val="0"/>
            <w:vAlign w:val="center"/>
          </w:tcPr>
          <w:p w14:paraId="20A5BEC7">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6</w:t>
            </w:r>
          </w:p>
        </w:tc>
        <w:tc>
          <w:tcPr>
            <w:tcW w:w="758" w:type="dxa"/>
            <w:vMerge w:val="restart"/>
            <w:noWrap w:val="0"/>
            <w:vAlign w:val="center"/>
          </w:tcPr>
          <w:p w14:paraId="3AC3FC5E">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val="en-US" w:eastAsia="zh-CN" w:bidi="ar-SA"/>
              </w:rPr>
              <w:t>市资规局</w:t>
            </w:r>
          </w:p>
        </w:tc>
        <w:tc>
          <w:tcPr>
            <w:tcW w:w="4119" w:type="dxa"/>
            <w:noWrap w:val="0"/>
            <w:vAlign w:val="center"/>
          </w:tcPr>
          <w:p w14:paraId="726593B3">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val="en-US" w:eastAsia="zh-CN" w:bidi="ar-SA"/>
              </w:rPr>
              <w:t>原第八条</w:t>
            </w:r>
            <w:r>
              <w:rPr>
                <w:rFonts w:hint="eastAsia" w:ascii="仿宋_GB2312" w:eastAsia="仿宋_GB2312" w:cs="仿宋_GB2312"/>
                <w:color w:val="auto"/>
                <w:sz w:val="24"/>
                <w:szCs w:val="24"/>
                <w:lang w:eastAsia="zh-CN" w:bidi="ar-SA"/>
              </w:rPr>
              <w:t>（一）经发展改革、自然资源和规划等有关部门联合审查符合国民经济和社会发展规划、城乡规划和专项规划、土地利用总体规划的审批意见表；</w:t>
            </w:r>
            <w:r>
              <w:rPr>
                <w:rFonts w:hint="eastAsia" w:ascii="仿宋_GB2312" w:eastAsia="仿宋_GB2312" w:cs="仿宋_GB2312"/>
                <w:color w:val="auto"/>
                <w:sz w:val="24"/>
                <w:szCs w:val="24"/>
                <w:lang w:val="en-US" w:eastAsia="zh-CN" w:bidi="ar-SA"/>
              </w:rPr>
              <w:t>建议改为：</w:t>
            </w:r>
            <w:r>
              <w:rPr>
                <w:rFonts w:hint="eastAsia" w:ascii="仿宋_GB2312" w:eastAsia="仿宋_GB2312" w:cs="仿宋_GB2312"/>
                <w:color w:val="auto"/>
                <w:sz w:val="24"/>
                <w:szCs w:val="24"/>
                <w:lang w:eastAsia="zh-CN" w:bidi="ar-SA"/>
              </w:rPr>
              <w:t>发展改革部门牵头组织各部门联合审查符合国民经济和社会发展规划、国土空间总体规划及各类规划的审批意见表</w:t>
            </w:r>
          </w:p>
        </w:tc>
        <w:tc>
          <w:tcPr>
            <w:tcW w:w="791" w:type="dxa"/>
            <w:noWrap w:val="0"/>
            <w:vAlign w:val="center"/>
          </w:tcPr>
          <w:p w14:paraId="2DB6A23E">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该意见部分采纳</w:t>
            </w:r>
          </w:p>
        </w:tc>
        <w:tc>
          <w:tcPr>
            <w:tcW w:w="3231" w:type="dxa"/>
            <w:noWrap w:val="0"/>
            <w:vAlign w:val="center"/>
          </w:tcPr>
          <w:p w14:paraId="35E4B80A">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val="en-US" w:eastAsia="zh-CN" w:bidi="ar-SA"/>
              </w:rPr>
              <w:t>第六条</w:t>
            </w:r>
            <w:r>
              <w:rPr>
                <w:rFonts w:hint="eastAsia" w:ascii="仿宋_GB2312" w:eastAsia="仿宋_GB2312" w:cs="仿宋_GB2312"/>
                <w:color w:val="auto"/>
                <w:sz w:val="24"/>
                <w:szCs w:val="24"/>
                <w:lang w:bidi="ar-SA"/>
              </w:rPr>
              <w:t>（一）经发展改革、自然资源等有关部门联合审查符合国民经济和社会发展规划、国土空间总体规划及各类专项规划的审批意见表；</w:t>
            </w:r>
          </w:p>
        </w:tc>
        <w:tc>
          <w:tcPr>
            <w:tcW w:w="5496" w:type="dxa"/>
            <w:noWrap w:val="0"/>
            <w:vAlign w:val="center"/>
          </w:tcPr>
          <w:p w14:paraId="19FA7933">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本实施办法中的</w:t>
            </w:r>
            <w:r>
              <w:rPr>
                <w:rFonts w:hint="eastAsia" w:ascii="仿宋_GB2312" w:eastAsia="仿宋_GB2312" w:cs="仿宋_GB2312"/>
                <w:color w:val="auto"/>
                <w:sz w:val="24"/>
                <w:szCs w:val="24"/>
                <w:lang w:val="en-US" w:eastAsia="zh-CN" w:bidi="ar-SA"/>
              </w:rPr>
              <w:t>第六条</w:t>
            </w:r>
            <w:r>
              <w:rPr>
                <w:rFonts w:hint="eastAsia" w:ascii="仿宋_GB2312" w:eastAsia="仿宋_GB2312" w:cs="仿宋_GB2312"/>
                <w:color w:val="auto"/>
                <w:sz w:val="24"/>
                <w:szCs w:val="24"/>
                <w:lang w:eastAsia="zh-CN" w:bidi="ar-SA"/>
              </w:rPr>
              <w:t>（一）款系上位法国务院令第590号第九条原文，</w:t>
            </w:r>
            <w:r>
              <w:rPr>
                <w:rFonts w:hint="eastAsia" w:ascii="仿宋_GB2312" w:eastAsia="仿宋_GB2312" w:cs="仿宋_GB2312"/>
                <w:color w:val="auto"/>
                <w:sz w:val="24"/>
                <w:szCs w:val="24"/>
                <w:lang w:bidi="ar-SA"/>
              </w:rPr>
              <w:t>及《中共中央 国务院关于建立国土空间规划体系并监督实施的若干意见》（中发</w:t>
            </w:r>
            <w:r>
              <w:rPr>
                <w:rFonts w:hint="default" w:ascii="仿宋_GB2312" w:hAnsi="仿宋_GB2312" w:eastAsia="宋体" w:cs="仿宋_GB2312"/>
                <w:color w:val="auto"/>
                <w:sz w:val="24"/>
                <w:szCs w:val="24"/>
                <w:lang w:bidi="ar-SA"/>
              </w:rPr>
              <w:t>〔</w:t>
            </w:r>
            <w:r>
              <w:rPr>
                <w:rFonts w:ascii="仿宋_GB2312" w:hAnsi="仿宋_GB2312" w:eastAsia="宋体" w:cs="仿宋_GB2312"/>
                <w:color w:val="auto"/>
                <w:sz w:val="24"/>
                <w:szCs w:val="24"/>
                <w:lang w:bidi="ar-SA"/>
              </w:rPr>
              <w:t>2019</w:t>
            </w:r>
            <w:r>
              <w:rPr>
                <w:rFonts w:hint="default" w:ascii="仿宋_GB2312" w:hAnsi="仿宋_GB2312" w:eastAsia="宋体" w:cs="仿宋_GB2312"/>
                <w:color w:val="auto"/>
                <w:sz w:val="24"/>
                <w:szCs w:val="24"/>
                <w:lang w:bidi="ar-SA"/>
              </w:rPr>
              <w:t>〕</w:t>
            </w:r>
            <w:r>
              <w:rPr>
                <w:rFonts w:ascii="仿宋_GB2312" w:hAnsi="仿宋_GB2312" w:eastAsia="宋体" w:cs="仿宋_GB2312"/>
                <w:color w:val="auto"/>
                <w:sz w:val="24"/>
                <w:szCs w:val="24"/>
                <w:lang w:bidi="ar-SA"/>
              </w:rPr>
              <w:t>18号</w:t>
            </w:r>
            <w:r>
              <w:rPr>
                <w:rFonts w:hint="eastAsia" w:ascii="仿宋_GB2312" w:eastAsia="仿宋_GB2312" w:cs="仿宋_GB2312"/>
                <w:color w:val="auto"/>
                <w:sz w:val="24"/>
                <w:szCs w:val="24"/>
                <w:lang w:bidi="ar-SA"/>
              </w:rPr>
              <w:t>）</w:t>
            </w:r>
          </w:p>
          <w:p w14:paraId="3468CAB2">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本条意见部分采纳，已与市资规局沟通协商一致。</w:t>
            </w:r>
          </w:p>
          <w:p w14:paraId="0A340ECB">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p>
        </w:tc>
      </w:tr>
      <w:tr w14:paraId="40E3F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444" w:type="dxa"/>
            <w:vMerge w:val="continue"/>
            <w:noWrap w:val="0"/>
            <w:vAlign w:val="center"/>
          </w:tcPr>
          <w:p w14:paraId="66B64E49">
            <w:pPr>
              <w:rPr>
                <w:color w:val="auto"/>
              </w:rPr>
            </w:pPr>
          </w:p>
        </w:tc>
        <w:tc>
          <w:tcPr>
            <w:tcW w:w="758" w:type="dxa"/>
            <w:vMerge w:val="continue"/>
            <w:noWrap w:val="0"/>
            <w:vAlign w:val="center"/>
          </w:tcPr>
          <w:p w14:paraId="036D7698">
            <w:pPr>
              <w:rPr>
                <w:color w:val="auto"/>
              </w:rPr>
            </w:pPr>
          </w:p>
        </w:tc>
        <w:tc>
          <w:tcPr>
            <w:tcW w:w="4119" w:type="dxa"/>
            <w:noWrap w:val="0"/>
            <w:vAlign w:val="center"/>
          </w:tcPr>
          <w:p w14:paraId="6D8B5132">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val="en-US" w:eastAsia="zh-CN" w:bidi="ar-SA"/>
              </w:rPr>
              <w:t>原第八条</w:t>
            </w:r>
            <w:r>
              <w:rPr>
                <w:rFonts w:hint="eastAsia" w:ascii="仿宋_GB2312" w:eastAsia="仿宋_GB2312" w:cs="仿宋_GB2312"/>
                <w:color w:val="auto"/>
                <w:sz w:val="24"/>
                <w:szCs w:val="24"/>
                <w:lang w:eastAsia="zh-CN" w:bidi="ar-SA"/>
              </w:rPr>
              <w:t>（三）自然资源和规划部门划定的项目选址范围蓝线，以及出具的规划意见、土地调查红线图；</w:t>
            </w:r>
            <w:r>
              <w:rPr>
                <w:rFonts w:hint="eastAsia" w:ascii="仿宋_GB2312" w:eastAsia="仿宋_GB2312" w:cs="仿宋_GB2312"/>
                <w:color w:val="auto"/>
                <w:sz w:val="24"/>
                <w:szCs w:val="24"/>
                <w:lang w:val="en-US" w:eastAsia="zh-CN" w:bidi="ar-SA"/>
              </w:rPr>
              <w:t>建议改为：</w:t>
            </w:r>
            <w:r>
              <w:rPr>
                <w:rFonts w:hint="eastAsia" w:ascii="仿宋_GB2312" w:eastAsia="仿宋_GB2312" w:cs="仿宋_GB2312"/>
                <w:color w:val="auto"/>
                <w:sz w:val="24"/>
                <w:szCs w:val="24"/>
                <w:lang w:eastAsia="zh-CN" w:bidi="ar-SA"/>
              </w:rPr>
              <w:t>自然资源部门出具的项目用地预审与选址意见，及土地调查红线图</w:t>
            </w:r>
          </w:p>
        </w:tc>
        <w:tc>
          <w:tcPr>
            <w:tcW w:w="791" w:type="dxa"/>
            <w:noWrap w:val="0"/>
            <w:vAlign w:val="center"/>
          </w:tcPr>
          <w:p w14:paraId="7BD36A44">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该意见采纳</w:t>
            </w:r>
          </w:p>
        </w:tc>
        <w:tc>
          <w:tcPr>
            <w:tcW w:w="3231" w:type="dxa"/>
            <w:noWrap w:val="0"/>
            <w:vAlign w:val="center"/>
          </w:tcPr>
          <w:p w14:paraId="77016B31">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val="en-US" w:eastAsia="zh-CN" w:bidi="ar-SA"/>
              </w:rPr>
              <w:t>第六条</w:t>
            </w:r>
            <w:r>
              <w:rPr>
                <w:rFonts w:hint="eastAsia" w:ascii="仿宋_GB2312" w:eastAsia="仿宋_GB2312" w:cs="仿宋_GB2312"/>
                <w:color w:val="auto"/>
                <w:sz w:val="24"/>
                <w:szCs w:val="24"/>
                <w:lang w:eastAsia="zh-CN" w:bidi="ar-SA"/>
              </w:rPr>
              <w:t>（三）自然资源部门出具的项目用地预审与选址意见，及土地调查红线图；</w:t>
            </w:r>
          </w:p>
        </w:tc>
        <w:tc>
          <w:tcPr>
            <w:tcW w:w="5496" w:type="dxa"/>
            <w:noWrap w:val="0"/>
            <w:vAlign w:val="center"/>
          </w:tcPr>
          <w:p w14:paraId="4501B9DE">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资规部门作为土地和规划的行政主管提出的专业性意见，应当予以采纳。</w:t>
            </w:r>
          </w:p>
        </w:tc>
      </w:tr>
      <w:tr w14:paraId="1E01E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444" w:type="dxa"/>
            <w:vMerge w:val="continue"/>
            <w:noWrap w:val="0"/>
            <w:vAlign w:val="center"/>
          </w:tcPr>
          <w:p w14:paraId="4ECD4AD2">
            <w:pPr>
              <w:rPr>
                <w:color w:val="auto"/>
              </w:rPr>
            </w:pPr>
          </w:p>
        </w:tc>
        <w:tc>
          <w:tcPr>
            <w:tcW w:w="758" w:type="dxa"/>
            <w:vMerge w:val="continue"/>
            <w:noWrap w:val="0"/>
            <w:vAlign w:val="center"/>
          </w:tcPr>
          <w:p w14:paraId="7606C4B7">
            <w:pPr>
              <w:rPr>
                <w:color w:val="auto"/>
              </w:rPr>
            </w:pPr>
          </w:p>
        </w:tc>
        <w:tc>
          <w:tcPr>
            <w:tcW w:w="4119" w:type="dxa"/>
            <w:noWrap w:val="0"/>
            <w:vAlign w:val="center"/>
          </w:tcPr>
          <w:p w14:paraId="248DB6A7">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val="en-US" w:eastAsia="zh-CN" w:bidi="ar-SA"/>
              </w:rPr>
              <w:t>原第二十八条“......</w:t>
            </w:r>
            <w:r>
              <w:rPr>
                <w:rFonts w:hint="eastAsia" w:ascii="仿宋_GB2312" w:eastAsia="仿宋_GB2312" w:cs="仿宋_GB2312"/>
                <w:color w:val="auto"/>
                <w:sz w:val="24"/>
                <w:szCs w:val="24"/>
                <w:lang w:eastAsia="zh-CN" w:bidi="ar-SA"/>
              </w:rPr>
              <w:t>被征收人可选择房票等补充方式安置。</w:t>
            </w:r>
            <w:r>
              <w:rPr>
                <w:rFonts w:hint="eastAsia" w:ascii="仿宋_GB2312" w:eastAsia="仿宋_GB2312" w:cs="仿宋_GB2312"/>
                <w:color w:val="auto"/>
                <w:sz w:val="24"/>
                <w:szCs w:val="24"/>
                <w:lang w:val="en-US" w:eastAsia="zh-CN" w:bidi="ar-SA"/>
              </w:rPr>
              <w:t>”建议：删除,因本市暂未出台相关政策文件.</w:t>
            </w:r>
          </w:p>
        </w:tc>
        <w:tc>
          <w:tcPr>
            <w:tcW w:w="791" w:type="dxa"/>
            <w:noWrap w:val="0"/>
            <w:vAlign w:val="center"/>
          </w:tcPr>
          <w:p w14:paraId="304482DE">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该意见不采纳</w:t>
            </w:r>
          </w:p>
        </w:tc>
        <w:tc>
          <w:tcPr>
            <w:tcW w:w="3231" w:type="dxa"/>
            <w:noWrap w:val="0"/>
            <w:vAlign w:val="center"/>
          </w:tcPr>
          <w:p w14:paraId="3CAED83F">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w:t>
            </w:r>
          </w:p>
        </w:tc>
        <w:tc>
          <w:tcPr>
            <w:tcW w:w="5496" w:type="dxa"/>
            <w:noWrap w:val="0"/>
            <w:vAlign w:val="center"/>
          </w:tcPr>
          <w:p w14:paraId="14F604D8">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当前国家政策层面鼓励房票安置，本办法新增房票安置方式为我市即将开展的城中村改造项目做铺垫。</w:t>
            </w:r>
          </w:p>
          <w:p w14:paraId="7D7EFD08">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本条意见不采纳已与市资规局沟通协商一致。</w:t>
            </w:r>
          </w:p>
        </w:tc>
      </w:tr>
      <w:tr w14:paraId="791D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444" w:type="dxa"/>
            <w:noWrap w:val="0"/>
            <w:vAlign w:val="center"/>
          </w:tcPr>
          <w:p w14:paraId="19A9BFF8">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7</w:t>
            </w:r>
          </w:p>
        </w:tc>
        <w:tc>
          <w:tcPr>
            <w:tcW w:w="758" w:type="dxa"/>
            <w:noWrap w:val="0"/>
            <w:vAlign w:val="center"/>
          </w:tcPr>
          <w:p w14:paraId="4FB91DA8">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val="en-US" w:eastAsia="zh-CN" w:bidi="ar-SA"/>
              </w:rPr>
              <w:t>市城管局</w:t>
            </w:r>
          </w:p>
        </w:tc>
        <w:tc>
          <w:tcPr>
            <w:tcW w:w="4119" w:type="dxa"/>
            <w:noWrap w:val="0"/>
            <w:vAlign w:val="center"/>
          </w:tcPr>
          <w:p w14:paraId="42DC8E34">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val="en-US" w:eastAsia="zh-CN" w:bidi="ar-SA"/>
              </w:rPr>
              <w:t>原第十三条 “......</w:t>
            </w:r>
            <w:r>
              <w:rPr>
                <w:rFonts w:hint="eastAsia" w:ascii="仿宋_GB2312" w:eastAsia="仿宋_GB2312" w:cs="仿宋_GB2312"/>
                <w:color w:val="auto"/>
                <w:sz w:val="24"/>
                <w:szCs w:val="24"/>
                <w:lang w:eastAsia="zh-CN" w:bidi="ar-SA"/>
              </w:rPr>
              <w:t>中心城区征收范围内建筑的合法性认定，由冷水滩区人民政府、零陵区人民政府按各自行政区域划分，会同市自然资源和规划、城管等部门确定。</w:t>
            </w:r>
            <w:r>
              <w:rPr>
                <w:rFonts w:hint="eastAsia" w:ascii="仿宋_GB2312" w:eastAsia="仿宋_GB2312" w:cs="仿宋_GB2312"/>
                <w:color w:val="auto"/>
                <w:sz w:val="24"/>
                <w:szCs w:val="24"/>
                <w:lang w:val="en-US" w:eastAsia="zh-CN" w:bidi="ar-SA"/>
              </w:rPr>
              <w:t>”建议改为：“......</w:t>
            </w:r>
            <w:r>
              <w:rPr>
                <w:rFonts w:hint="eastAsia" w:ascii="仿宋_GB2312" w:eastAsia="仿宋_GB2312" w:cs="仿宋_GB2312"/>
                <w:color w:val="auto"/>
                <w:sz w:val="24"/>
                <w:szCs w:val="24"/>
                <w:lang w:eastAsia="zh-CN" w:bidi="ar-SA"/>
              </w:rPr>
              <w:t>中心城区征收范围内建筑的合法性认定，由冷水滩区人民政府、零陵区人民政府按各自行政区域划分，会同市自然资源和规划等部门确定。</w:t>
            </w:r>
            <w:r>
              <w:rPr>
                <w:rFonts w:hint="eastAsia" w:ascii="仿宋_GB2312" w:eastAsia="仿宋_GB2312" w:cs="仿宋_GB2312"/>
                <w:color w:val="auto"/>
                <w:sz w:val="24"/>
                <w:szCs w:val="24"/>
                <w:lang w:val="en-US" w:eastAsia="zh-CN" w:bidi="ar-SA"/>
              </w:rPr>
              <w:t>”</w:t>
            </w:r>
          </w:p>
        </w:tc>
        <w:tc>
          <w:tcPr>
            <w:tcW w:w="791" w:type="dxa"/>
            <w:noWrap w:val="0"/>
            <w:vAlign w:val="center"/>
          </w:tcPr>
          <w:p w14:paraId="52C75ACF">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该意见不采纳</w:t>
            </w:r>
          </w:p>
        </w:tc>
        <w:tc>
          <w:tcPr>
            <w:tcW w:w="3231" w:type="dxa"/>
            <w:noWrap w:val="0"/>
            <w:vAlign w:val="center"/>
          </w:tcPr>
          <w:p w14:paraId="4E4FA5C7">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w:t>
            </w:r>
          </w:p>
        </w:tc>
        <w:tc>
          <w:tcPr>
            <w:tcW w:w="5496" w:type="dxa"/>
            <w:noWrap w:val="0"/>
            <w:vAlign w:val="center"/>
          </w:tcPr>
          <w:p w14:paraId="4D7EE4ED">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城管局有参与城市管理的职能，应当参与该项工作。</w:t>
            </w:r>
          </w:p>
          <w:p w14:paraId="2D957557">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本条意见不采纳已与市城管局沟通协商一致。</w:t>
            </w:r>
          </w:p>
          <w:p w14:paraId="4C647471">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p>
          <w:p w14:paraId="0F9328E8">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p>
        </w:tc>
      </w:tr>
      <w:tr w14:paraId="1C298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444" w:type="dxa"/>
            <w:vMerge w:val="restart"/>
            <w:noWrap w:val="0"/>
            <w:vAlign w:val="center"/>
          </w:tcPr>
          <w:p w14:paraId="7E1791D4">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8</w:t>
            </w:r>
          </w:p>
        </w:tc>
        <w:tc>
          <w:tcPr>
            <w:tcW w:w="758" w:type="dxa"/>
            <w:vMerge w:val="restart"/>
            <w:noWrap w:val="0"/>
            <w:vAlign w:val="center"/>
          </w:tcPr>
          <w:p w14:paraId="71117313">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val="en-US" w:eastAsia="zh-CN" w:bidi="ar-SA"/>
              </w:rPr>
              <w:t>市中级法院</w:t>
            </w:r>
          </w:p>
        </w:tc>
        <w:tc>
          <w:tcPr>
            <w:tcW w:w="4119" w:type="dxa"/>
            <w:noWrap w:val="0"/>
            <w:vAlign w:val="center"/>
          </w:tcPr>
          <w:p w14:paraId="407014C2">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val="en-US" w:eastAsia="zh-CN" w:bidi="ar-SA"/>
              </w:rPr>
              <w:t>原第一条“</w:t>
            </w:r>
            <w:r>
              <w:rPr>
                <w:rFonts w:hint="eastAsia" w:ascii="仿宋_GB2312" w:eastAsia="仿宋_GB2312" w:cs="仿宋_GB2312"/>
                <w:color w:val="auto"/>
                <w:sz w:val="24"/>
                <w:szCs w:val="24"/>
                <w:lang w:eastAsia="zh-CN" w:bidi="ar-SA"/>
              </w:rPr>
              <w:t>为规范国有土地上房屋征收与补偿行为，维护公共利益，保障被征收房屋所有权人的合法权益，根据《中华人民共和国物权法》......</w:t>
            </w:r>
            <w:r>
              <w:rPr>
                <w:rFonts w:hint="eastAsia" w:ascii="仿宋_GB2312" w:eastAsia="仿宋_GB2312" w:cs="仿宋_GB2312"/>
                <w:color w:val="auto"/>
                <w:sz w:val="24"/>
                <w:szCs w:val="24"/>
                <w:lang w:val="en-US" w:eastAsia="zh-CN" w:bidi="ar-SA"/>
              </w:rPr>
              <w:t>”建议</w:t>
            </w:r>
            <w:r>
              <w:rPr>
                <w:rFonts w:hint="eastAsia" w:ascii="仿宋_GB2312" w:eastAsia="仿宋_GB2312" w:cs="仿宋_GB2312"/>
                <w:color w:val="auto"/>
                <w:sz w:val="24"/>
                <w:szCs w:val="24"/>
                <w:lang w:eastAsia="zh-CN" w:bidi="ar-SA"/>
              </w:rPr>
              <w:t>改为</w:t>
            </w:r>
            <w:r>
              <w:rPr>
                <w:rFonts w:hint="eastAsia" w:ascii="仿宋_GB2312" w:eastAsia="仿宋_GB2312" w:cs="仿宋_GB2312"/>
                <w:color w:val="auto"/>
                <w:sz w:val="24"/>
                <w:szCs w:val="24"/>
                <w:lang w:val="en-US" w:eastAsia="zh-CN" w:bidi="ar-SA"/>
              </w:rPr>
              <w:t>：</w:t>
            </w:r>
            <w:r>
              <w:rPr>
                <w:rFonts w:hint="eastAsia" w:ascii="仿宋_GB2312" w:eastAsia="仿宋_GB2312" w:cs="仿宋_GB2312"/>
                <w:color w:val="auto"/>
                <w:sz w:val="24"/>
                <w:szCs w:val="24"/>
                <w:lang w:eastAsia="zh-CN" w:bidi="ar-SA"/>
              </w:rPr>
              <w:t>《中华人民共和国民法典》。</w:t>
            </w:r>
          </w:p>
        </w:tc>
        <w:tc>
          <w:tcPr>
            <w:tcW w:w="791" w:type="dxa"/>
            <w:noWrap w:val="0"/>
            <w:vAlign w:val="center"/>
          </w:tcPr>
          <w:p w14:paraId="0C2E8324">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该意见采纳</w:t>
            </w:r>
          </w:p>
        </w:tc>
        <w:tc>
          <w:tcPr>
            <w:tcW w:w="3231" w:type="dxa"/>
            <w:noWrap w:val="0"/>
            <w:vAlign w:val="center"/>
          </w:tcPr>
          <w:p w14:paraId="6DD2E9D0">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val="en-US" w:eastAsia="zh-CN" w:bidi="ar-SA"/>
              </w:rPr>
              <w:t>第一条“</w:t>
            </w:r>
            <w:r>
              <w:rPr>
                <w:rFonts w:hint="eastAsia" w:ascii="仿宋_GB2312" w:eastAsia="仿宋_GB2312" w:cs="仿宋_GB2312"/>
                <w:color w:val="auto"/>
                <w:sz w:val="24"/>
                <w:szCs w:val="24"/>
                <w:lang w:eastAsia="zh-CN" w:bidi="ar-SA"/>
              </w:rPr>
              <w:t>为规范国有土地上房屋征收与补偿活动，维护公共利益，保障被征收房屋所有权人（以下简称被征收人）合法权益，根据《中华人民共和国民法典》......</w:t>
            </w:r>
            <w:r>
              <w:rPr>
                <w:rFonts w:hint="eastAsia" w:ascii="仿宋_GB2312" w:eastAsia="仿宋_GB2312" w:cs="仿宋_GB2312"/>
                <w:color w:val="auto"/>
                <w:sz w:val="24"/>
                <w:szCs w:val="24"/>
                <w:lang w:val="en-US" w:eastAsia="zh-CN" w:bidi="ar-SA"/>
              </w:rPr>
              <w:t>”</w:t>
            </w:r>
          </w:p>
        </w:tc>
        <w:tc>
          <w:tcPr>
            <w:tcW w:w="5496" w:type="dxa"/>
            <w:noWrap w:val="0"/>
            <w:vAlign w:val="center"/>
          </w:tcPr>
          <w:p w14:paraId="277D036A">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《中华人民共和国物权法》已于2021年1月1日废止。</w:t>
            </w:r>
          </w:p>
          <w:p w14:paraId="3539185C">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p>
        </w:tc>
      </w:tr>
      <w:tr w14:paraId="5612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444" w:type="dxa"/>
            <w:vMerge w:val="continue"/>
            <w:noWrap w:val="0"/>
            <w:vAlign w:val="center"/>
          </w:tcPr>
          <w:p w14:paraId="664E1962">
            <w:pPr>
              <w:rPr>
                <w:color w:val="auto"/>
              </w:rPr>
            </w:pPr>
          </w:p>
        </w:tc>
        <w:tc>
          <w:tcPr>
            <w:tcW w:w="758" w:type="dxa"/>
            <w:vMerge w:val="continue"/>
            <w:noWrap w:val="0"/>
            <w:vAlign w:val="center"/>
          </w:tcPr>
          <w:p w14:paraId="3606B610">
            <w:pPr>
              <w:rPr>
                <w:color w:val="auto"/>
              </w:rPr>
            </w:pPr>
          </w:p>
        </w:tc>
        <w:tc>
          <w:tcPr>
            <w:tcW w:w="4119" w:type="dxa"/>
            <w:noWrap w:val="0"/>
            <w:vAlign w:val="center"/>
          </w:tcPr>
          <w:p w14:paraId="1D4C6918">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原第十九条  因旧城区改建需要征收房屋，超过50%的被征收人认为征收补偿方案不符合《条例》规定的，县（市、区）人民政府（管委会）应当组织有被征收人和公众代表参加的听证会，听取意见， 修改方案。反馈指出的问题：此处列举的“管委会”是否与县（市、区）人民政府具有同等地位不明确，且其他条款未将管委会列入。建议：进一步明确是否需要列入“管委会”，若确有必要，明确该“管委会”的批准权限。</w:t>
            </w:r>
          </w:p>
        </w:tc>
        <w:tc>
          <w:tcPr>
            <w:tcW w:w="791" w:type="dxa"/>
            <w:noWrap w:val="0"/>
            <w:vAlign w:val="center"/>
          </w:tcPr>
          <w:p w14:paraId="408F384D">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该意见采纳</w:t>
            </w:r>
          </w:p>
        </w:tc>
        <w:tc>
          <w:tcPr>
            <w:tcW w:w="3231" w:type="dxa"/>
            <w:noWrap w:val="0"/>
            <w:vAlign w:val="center"/>
          </w:tcPr>
          <w:p w14:paraId="7ECAAF42">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第十五条  因旧城区改建需要征收房屋，超过50%的被征收人认为征收补偿方案不符合《条例》规定的，县市区人民政府应当组织由被征收人和公众代表参加的听证会，听取意见，修改方案。</w:t>
            </w:r>
          </w:p>
          <w:p w14:paraId="62C62AEB">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 xml:space="preserve">。    </w:t>
            </w:r>
          </w:p>
          <w:p w14:paraId="1D38AF92">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p>
        </w:tc>
        <w:tc>
          <w:tcPr>
            <w:tcW w:w="5496" w:type="dxa"/>
            <w:noWrap w:val="0"/>
            <w:vAlign w:val="center"/>
          </w:tcPr>
          <w:p w14:paraId="31FDDB5E">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根据国务院令第590号第四条 市、县级人民政府负责本行政区域的房屋征收与补偿工作。</w:t>
            </w:r>
          </w:p>
        </w:tc>
      </w:tr>
      <w:tr w14:paraId="3DFF3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444" w:type="dxa"/>
            <w:vMerge w:val="continue"/>
            <w:noWrap w:val="0"/>
            <w:vAlign w:val="center"/>
          </w:tcPr>
          <w:p w14:paraId="1FFC4CEA">
            <w:pPr>
              <w:rPr>
                <w:color w:val="auto"/>
              </w:rPr>
            </w:pPr>
          </w:p>
        </w:tc>
        <w:tc>
          <w:tcPr>
            <w:tcW w:w="758" w:type="dxa"/>
            <w:vMerge w:val="continue"/>
            <w:noWrap w:val="0"/>
            <w:vAlign w:val="center"/>
          </w:tcPr>
          <w:p w14:paraId="72915862">
            <w:pPr>
              <w:rPr>
                <w:color w:val="auto"/>
              </w:rPr>
            </w:pPr>
          </w:p>
        </w:tc>
        <w:tc>
          <w:tcPr>
            <w:tcW w:w="4119" w:type="dxa"/>
            <w:noWrap w:val="0"/>
            <w:vAlign w:val="center"/>
          </w:tcPr>
          <w:p w14:paraId="10D404DC">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原第二十条  县（市、区）人民政府授权房屋征收部门组织征收实施单位、发展改革、公安、城管、纪检监察、信访、维稳等部门对征收工作进行社会稳定风险评估，社会稳定风险评估报告应报同级政法部门备案。反馈指出的问题：此处列举的“政法部门”是指公、检、法、司，还是指同级政法委不明确。建议：明确为“政法委”。</w:t>
            </w:r>
          </w:p>
        </w:tc>
        <w:tc>
          <w:tcPr>
            <w:tcW w:w="791" w:type="dxa"/>
            <w:noWrap w:val="0"/>
            <w:vAlign w:val="center"/>
          </w:tcPr>
          <w:p w14:paraId="39E64EF4">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该意见采纳</w:t>
            </w:r>
          </w:p>
        </w:tc>
        <w:tc>
          <w:tcPr>
            <w:tcW w:w="3231" w:type="dxa"/>
            <w:noWrap w:val="0"/>
            <w:vAlign w:val="center"/>
          </w:tcPr>
          <w:p w14:paraId="1DD59A05">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第十六条  县市区人民政府授权房屋征收部门组织征收实施单位、发展改革、公安、城管、纪检监察、信访、维稳等部门对征收工作进行社会稳定风险评估，社会稳定风险评估报告应报同级政法委备案。</w:t>
            </w:r>
          </w:p>
        </w:tc>
        <w:tc>
          <w:tcPr>
            <w:tcW w:w="5496" w:type="dxa"/>
            <w:noWrap w:val="0"/>
            <w:vAlign w:val="center"/>
          </w:tcPr>
          <w:p w14:paraId="7A15D8EC">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社会稳定风险评估报告明确具体部门备案，有利于工作。</w:t>
            </w:r>
          </w:p>
        </w:tc>
      </w:tr>
      <w:tr w14:paraId="24453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44" w:type="dxa"/>
            <w:vMerge w:val="continue"/>
            <w:noWrap w:val="0"/>
            <w:vAlign w:val="center"/>
          </w:tcPr>
          <w:p w14:paraId="4B7C3FBE">
            <w:pPr>
              <w:rPr>
                <w:color w:val="auto"/>
              </w:rPr>
            </w:pPr>
          </w:p>
        </w:tc>
        <w:tc>
          <w:tcPr>
            <w:tcW w:w="758" w:type="dxa"/>
            <w:vMerge w:val="continue"/>
            <w:noWrap w:val="0"/>
            <w:vAlign w:val="center"/>
          </w:tcPr>
          <w:p w14:paraId="09D3CCEC">
            <w:pPr>
              <w:rPr>
                <w:color w:val="auto"/>
              </w:rPr>
            </w:pPr>
          </w:p>
        </w:tc>
        <w:tc>
          <w:tcPr>
            <w:tcW w:w="4119" w:type="dxa"/>
            <w:noWrap w:val="0"/>
            <w:vAlign w:val="center"/>
          </w:tcPr>
          <w:p w14:paraId="2FA1C02E">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原第二十九条 “......产权调换房屋为多层建筑的过渡期限为18个月，产权调换房屋为高层建筑的过渡期限为30个月。”</w:t>
            </w:r>
          </w:p>
          <w:p w14:paraId="4862B72E">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反馈指出的问题“多层建筑”和“高层建筑”在建筑领域有明确的标准，但是因为有架空层和地面车库等，容易引起争议。建议：分别明确高层建筑、多层建筑的层数或高度。</w:t>
            </w:r>
          </w:p>
        </w:tc>
        <w:tc>
          <w:tcPr>
            <w:tcW w:w="791" w:type="dxa"/>
            <w:noWrap w:val="0"/>
            <w:vAlign w:val="center"/>
          </w:tcPr>
          <w:p w14:paraId="04A6EF40">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该意见不采纳</w:t>
            </w:r>
          </w:p>
        </w:tc>
        <w:tc>
          <w:tcPr>
            <w:tcW w:w="3231" w:type="dxa"/>
            <w:noWrap w:val="0"/>
            <w:vAlign w:val="center"/>
          </w:tcPr>
          <w:p w14:paraId="287D3D66">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w:t>
            </w:r>
          </w:p>
        </w:tc>
        <w:tc>
          <w:tcPr>
            <w:tcW w:w="5496" w:type="dxa"/>
            <w:noWrap w:val="0"/>
            <w:vAlign w:val="center"/>
          </w:tcPr>
          <w:p w14:paraId="06D0B4D6">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eastAsia="zh-CN" w:bidi="ar-SA"/>
              </w:rPr>
              <w:t>本实施办法内容涉及房屋征收补偿安置相关政策，而</w:t>
            </w:r>
            <w:r>
              <w:rPr>
                <w:rFonts w:hint="eastAsia" w:ascii="仿宋_GB2312" w:eastAsia="仿宋_GB2312" w:cs="仿宋_GB2312"/>
                <w:color w:val="auto"/>
                <w:sz w:val="24"/>
                <w:szCs w:val="24"/>
                <w:lang w:val="en-US" w:eastAsia="zh-CN" w:bidi="ar-SA"/>
              </w:rPr>
              <w:t>多层建筑和高层建筑的划分认定标准属建筑规划范畴，不宜在本办法中明确。</w:t>
            </w:r>
          </w:p>
          <w:p w14:paraId="0DC377EE">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本条意见不采纳已与市中级法院沟通协商一致。</w:t>
            </w:r>
          </w:p>
          <w:p w14:paraId="04850DD4">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p>
        </w:tc>
      </w:tr>
      <w:tr w14:paraId="1B03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444" w:type="dxa"/>
            <w:vMerge w:val="restart"/>
            <w:noWrap w:val="0"/>
            <w:vAlign w:val="center"/>
          </w:tcPr>
          <w:p w14:paraId="6315C1AF">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9</w:t>
            </w:r>
          </w:p>
        </w:tc>
        <w:tc>
          <w:tcPr>
            <w:tcW w:w="758" w:type="dxa"/>
            <w:vMerge w:val="restart"/>
            <w:noWrap w:val="0"/>
            <w:vAlign w:val="center"/>
          </w:tcPr>
          <w:p w14:paraId="139DCF07">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val="en-US" w:eastAsia="zh-CN" w:bidi="ar-SA"/>
              </w:rPr>
              <w:t>冷水滩区</w:t>
            </w:r>
            <w:r>
              <w:rPr>
                <w:rFonts w:hint="eastAsia" w:ascii="仿宋_GB2312" w:eastAsia="仿宋_GB2312" w:cs="仿宋_GB2312"/>
                <w:color w:val="auto"/>
                <w:sz w:val="24"/>
                <w:szCs w:val="24"/>
                <w:lang w:eastAsia="zh-CN" w:bidi="ar-SA"/>
              </w:rPr>
              <w:t>人民政府</w:t>
            </w:r>
          </w:p>
        </w:tc>
        <w:tc>
          <w:tcPr>
            <w:tcW w:w="4119" w:type="dxa"/>
            <w:noWrap w:val="0"/>
            <w:vAlign w:val="center"/>
          </w:tcPr>
          <w:p w14:paraId="28EEF913">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对原第九条的意见：“能否确定房屋征收范围的同时依法确认征收时的测绘单位。”</w:t>
            </w:r>
          </w:p>
        </w:tc>
        <w:tc>
          <w:tcPr>
            <w:tcW w:w="791" w:type="dxa"/>
            <w:noWrap w:val="0"/>
            <w:vAlign w:val="center"/>
          </w:tcPr>
          <w:p w14:paraId="680707F3">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该意见不采纳</w:t>
            </w:r>
          </w:p>
        </w:tc>
        <w:tc>
          <w:tcPr>
            <w:tcW w:w="3231" w:type="dxa"/>
            <w:noWrap w:val="0"/>
            <w:vAlign w:val="center"/>
          </w:tcPr>
          <w:p w14:paraId="026F8FD4">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w:t>
            </w:r>
          </w:p>
        </w:tc>
        <w:tc>
          <w:tcPr>
            <w:tcW w:w="5496" w:type="dxa"/>
            <w:noWrap w:val="0"/>
            <w:vAlign w:val="center"/>
          </w:tcPr>
          <w:p w14:paraId="7F2BEF83">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上位法有规定：住建部建房〔2011〕77号第九条明确规定：“对于已经登记的房屋，其性质、用途和建筑面积，一般以房屋权属证书和房屋登记簿的记载为准；房屋权属证书与房屋登记簿记载不一致的，除有证据证明房屋登记簿确有错误外，以房屋登记簿为准。”</w:t>
            </w:r>
          </w:p>
          <w:p w14:paraId="506CF3A1">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本条意见不采纳已与冷水滩区沟通协商一致。</w:t>
            </w:r>
          </w:p>
        </w:tc>
      </w:tr>
      <w:tr w14:paraId="7655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444" w:type="dxa"/>
            <w:vMerge w:val="continue"/>
            <w:noWrap w:val="0"/>
            <w:vAlign w:val="center"/>
          </w:tcPr>
          <w:p w14:paraId="13C78788">
            <w:pPr>
              <w:rPr>
                <w:color w:val="auto"/>
              </w:rPr>
            </w:pPr>
          </w:p>
        </w:tc>
        <w:tc>
          <w:tcPr>
            <w:tcW w:w="758" w:type="dxa"/>
            <w:vMerge w:val="continue"/>
            <w:noWrap w:val="0"/>
            <w:vAlign w:val="center"/>
          </w:tcPr>
          <w:p w14:paraId="1609A3C3">
            <w:pPr>
              <w:rPr>
                <w:color w:val="auto"/>
              </w:rPr>
            </w:pPr>
          </w:p>
        </w:tc>
        <w:tc>
          <w:tcPr>
            <w:tcW w:w="4119" w:type="dxa"/>
            <w:noWrap w:val="0"/>
            <w:vAlign w:val="center"/>
          </w:tcPr>
          <w:p w14:paraId="486CFA38">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对原第十三条的意见：关于征收范围内未经登记房屋合法性认定问题“</w:t>
            </w:r>
            <w:r>
              <w:rPr>
                <w:rFonts w:hint="eastAsia" w:ascii="仿宋_GB2312" w:eastAsia="仿宋_GB2312" w:cs="仿宋_GB2312"/>
                <w:color w:val="auto"/>
                <w:sz w:val="24"/>
                <w:szCs w:val="24"/>
                <w:lang w:val="en-US" w:eastAsia="zh-CN" w:bidi="ar-SA"/>
              </w:rPr>
              <w:t>......。</w:t>
            </w:r>
            <w:r>
              <w:rPr>
                <w:rFonts w:hint="eastAsia" w:ascii="仿宋_GB2312" w:eastAsia="仿宋_GB2312" w:cs="仿宋_GB2312"/>
                <w:color w:val="auto"/>
                <w:sz w:val="24"/>
                <w:szCs w:val="24"/>
                <w:lang w:eastAsia="zh-CN" w:bidi="ar-SA"/>
              </w:rPr>
              <w:t>职能部门难以准确认定其是否合法的，由县（市、区）房屋征收部门汇总意见，报县（市、区）人民政府研究（冷水滩区、零陵区报市人民政府研究）”。</w:t>
            </w:r>
          </w:p>
        </w:tc>
        <w:tc>
          <w:tcPr>
            <w:tcW w:w="791" w:type="dxa"/>
            <w:noWrap w:val="0"/>
            <w:vAlign w:val="center"/>
          </w:tcPr>
          <w:p w14:paraId="49E3EBF5">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该意见部分采纳</w:t>
            </w:r>
          </w:p>
        </w:tc>
        <w:tc>
          <w:tcPr>
            <w:tcW w:w="3231" w:type="dxa"/>
            <w:noWrap w:val="0"/>
            <w:vAlign w:val="center"/>
          </w:tcPr>
          <w:p w14:paraId="0D438344">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 xml:space="preserve">第十条第二款 </w:t>
            </w:r>
            <w:r>
              <w:rPr>
                <w:rFonts w:hint="eastAsia" w:ascii="仿宋_GB2312" w:eastAsia="仿宋_GB2312" w:cs="仿宋_GB2312"/>
                <w:color w:val="auto"/>
                <w:sz w:val="24"/>
                <w:szCs w:val="24"/>
                <w:lang w:val="en-US" w:eastAsia="en-US" w:bidi="ar-SA"/>
              </w:rPr>
              <w:t xml:space="preserve"> </w:t>
            </w:r>
            <w:r>
              <w:rPr>
                <w:rFonts w:hint="eastAsia" w:ascii="仿宋_GB2312" w:eastAsia="仿宋_GB2312" w:cs="仿宋_GB2312"/>
                <w:color w:val="auto"/>
                <w:sz w:val="24"/>
                <w:szCs w:val="24"/>
                <w:lang w:eastAsia="zh-CN" w:bidi="ar-SA"/>
              </w:rPr>
              <w:t>在发布房屋征收决定公告前，县市区人民政府的各职能部门，根据各自职责，对已确定属于房屋征收范围内的建筑进行合法性认定，出具书面认定意见。职能部门难以准确认定其是否合法的，由各县市区房屋征收部门报县市区人民政府研究确定。中心城区征收范围内建筑的合法性认定，由冷水滩区人民政府、零陵区人民政府按各自行政区域划分，会同市自然资源和规划、城管等部门确定。相关认定结果应当在房屋征收范围内予以公布。</w:t>
            </w:r>
          </w:p>
          <w:p w14:paraId="54E1E396">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p>
        </w:tc>
        <w:tc>
          <w:tcPr>
            <w:tcW w:w="5496" w:type="dxa"/>
            <w:noWrap w:val="0"/>
            <w:vAlign w:val="center"/>
          </w:tcPr>
          <w:p w14:paraId="5C6A7491">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依据永政函〔2021〕21号《关于进一步完善中心城区土地和房屋征收工作机制的意见（试行）》第三条工作职责（一）三区职责：冷水滩区、零陵区负责各自辖区内土地及房屋征收工作的实施、协调和管理。根据该条规定，冷水滩区、零陵区作为县（区）级征收部门应当对本辖区内的房屋征收工作履行管理职能；</w:t>
            </w:r>
          </w:p>
          <w:p w14:paraId="258F83DB">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本条意见部分采纳已与冷水滩区沟通协商一致。</w:t>
            </w:r>
          </w:p>
        </w:tc>
      </w:tr>
      <w:tr w14:paraId="5D4F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44" w:type="dxa"/>
            <w:vMerge w:val="continue"/>
            <w:noWrap w:val="0"/>
            <w:vAlign w:val="center"/>
          </w:tcPr>
          <w:p w14:paraId="2E1EEB40">
            <w:pPr>
              <w:rPr>
                <w:color w:val="auto"/>
              </w:rPr>
            </w:pPr>
          </w:p>
        </w:tc>
        <w:tc>
          <w:tcPr>
            <w:tcW w:w="758" w:type="dxa"/>
            <w:vMerge w:val="continue"/>
            <w:noWrap w:val="0"/>
            <w:vAlign w:val="center"/>
          </w:tcPr>
          <w:p w14:paraId="79003B3D">
            <w:pPr>
              <w:rPr>
                <w:color w:val="auto"/>
              </w:rPr>
            </w:pPr>
          </w:p>
        </w:tc>
        <w:tc>
          <w:tcPr>
            <w:tcW w:w="4119" w:type="dxa"/>
            <w:noWrap w:val="0"/>
            <w:vAlign w:val="center"/>
          </w:tcPr>
          <w:p w14:paraId="7A2D8167">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对原第二十四条的意见。“此条中市本级政府投资的项目补偿资金由市房屋征收部门视征收进度拨入区财政专户这句能否删除，并在此条中明确市本级政府投资的项目由建设方（市平台公司）依法履行补偿协议，由建设方、征收人、被征收人三方协商一致，确需变更补偿协议的，报市人民政府批准后方可实施。”</w:t>
            </w:r>
          </w:p>
        </w:tc>
        <w:tc>
          <w:tcPr>
            <w:tcW w:w="791" w:type="dxa"/>
            <w:noWrap w:val="0"/>
            <w:vAlign w:val="center"/>
          </w:tcPr>
          <w:p w14:paraId="374F59EE">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该意见部分采纳</w:t>
            </w:r>
          </w:p>
        </w:tc>
        <w:tc>
          <w:tcPr>
            <w:tcW w:w="3231" w:type="dxa"/>
            <w:noWrap w:val="0"/>
            <w:vAlign w:val="center"/>
          </w:tcPr>
          <w:p w14:paraId="15DDDABC">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意见采纳修改后为第二十条：“征收补偿资金包括上级专项补助资金在房屋征收决定发布前，财政部门或项目建设单位足额拨付至房屋征收部门预算一体化账户……。”；</w:t>
            </w:r>
          </w:p>
          <w:p w14:paraId="5517849D">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和第四条第二款：“各级发展改革、财政、自然资源、国资、城管、公安、民政、市场监管、税务、人力资源和社会保障、教育、信访等部门以及项目建设单位、乡镇街道按照各自职责，积极配合做好国有土地上房屋征收与补偿工作。”</w:t>
            </w:r>
          </w:p>
          <w:p w14:paraId="7488A4F7">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及第五条第二款：“市本级投资的建设项目，市财政和项目建设单位应根据已发生法律效力的征收协议、复议、仲裁、诉讼结果，履行相应的补偿安置责任。</w:t>
            </w:r>
          </w:p>
          <w:p w14:paraId="6584D6C3">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w:t>
            </w:r>
          </w:p>
        </w:tc>
        <w:tc>
          <w:tcPr>
            <w:tcW w:w="5496" w:type="dxa"/>
            <w:noWrap w:val="0"/>
            <w:vAlign w:val="center"/>
          </w:tcPr>
          <w:p w14:paraId="26455039">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w:t>
            </w:r>
            <w:r>
              <w:rPr>
                <w:rFonts w:hint="eastAsia" w:ascii="仿宋_GB2312" w:eastAsia="仿宋_GB2312" w:cs="仿宋_GB2312"/>
                <w:color w:val="auto"/>
                <w:sz w:val="24"/>
                <w:szCs w:val="24"/>
                <w:lang w:val="en-US" w:eastAsia="zh-CN" w:bidi="ar-SA"/>
              </w:rPr>
              <w:t>1</w:t>
            </w:r>
            <w:r>
              <w:rPr>
                <w:rFonts w:hint="eastAsia" w:ascii="仿宋_GB2312" w:eastAsia="仿宋_GB2312" w:cs="仿宋_GB2312"/>
                <w:color w:val="auto"/>
                <w:sz w:val="24"/>
                <w:szCs w:val="24"/>
                <w:lang w:eastAsia="zh-CN" w:bidi="ar-SA"/>
              </w:rPr>
              <w:t>）“此条中市本级政府投资的项目补偿资金由市房屋征收部门视征收进度拨入区财政专户这句能否删除”的意见采纳。</w:t>
            </w:r>
          </w:p>
          <w:p w14:paraId="054E70A6">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理由或依据：为进一步简化办事程序、加强工作效率。依据永政函〔2021〕21号《关于进一步完善中心城区土地和房屋征收工作机制的意见（试行）》</w:t>
            </w:r>
          </w:p>
          <w:p w14:paraId="13DF62DD">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第三条工作职责（一）三区职责：冷水滩区、零陵区负责各自辖区内土地及房屋征收工作的实施、协调和管理。</w:t>
            </w:r>
          </w:p>
          <w:p w14:paraId="194E615D">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w:t>
            </w:r>
            <w:r>
              <w:rPr>
                <w:rFonts w:hint="eastAsia" w:ascii="仿宋_GB2312" w:eastAsia="仿宋_GB2312" w:cs="仿宋_GB2312"/>
                <w:color w:val="auto"/>
                <w:sz w:val="24"/>
                <w:szCs w:val="24"/>
                <w:lang w:val="en-US" w:eastAsia="zh-CN" w:bidi="ar-SA"/>
              </w:rPr>
              <w:t>2</w:t>
            </w:r>
            <w:r>
              <w:rPr>
                <w:rFonts w:hint="eastAsia" w:ascii="仿宋_GB2312" w:eastAsia="仿宋_GB2312" w:cs="仿宋_GB2312"/>
                <w:color w:val="auto"/>
                <w:sz w:val="24"/>
                <w:szCs w:val="24"/>
                <w:lang w:eastAsia="zh-CN" w:bidi="ar-SA"/>
              </w:rPr>
              <w:t>）关于“并在此条中明确市本级政府投资的项目由建设方（市平台公司）依法履行补偿协议的意见部分采纳。</w:t>
            </w:r>
          </w:p>
          <w:p w14:paraId="726E8D7F">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理由或依据：一是征收协议是征收人与被征收人签订的，应由征收双方当事人共同履约，项目建设方（平台公司）虽然不是征收协议的签约方，但也应明确市国有平台公司在我市中心城区国有土地上房屋征收与补偿工作中需承担的相应职责。。</w:t>
            </w:r>
          </w:p>
          <w:p w14:paraId="65663A8A">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3）关于“由建设方、征收人、被征收人三方协商一致，确需变更补偿协议的，报市人民政府批准后方可实施。”的意见，此意见不采纳。因项目建设单位既不是征收部门也不是征收实施单位，不宜参与协商和征收协议的签订工作。</w:t>
            </w:r>
          </w:p>
          <w:p w14:paraId="7E148F8A">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本条意见部分采纳已与冷水滩区沟通协商一致。</w:t>
            </w:r>
          </w:p>
        </w:tc>
      </w:tr>
      <w:tr w14:paraId="674B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444" w:type="dxa"/>
            <w:vMerge w:val="continue"/>
            <w:noWrap w:val="0"/>
            <w:vAlign w:val="center"/>
          </w:tcPr>
          <w:p w14:paraId="4502364E">
            <w:pPr>
              <w:rPr>
                <w:color w:val="auto"/>
              </w:rPr>
            </w:pPr>
          </w:p>
        </w:tc>
        <w:tc>
          <w:tcPr>
            <w:tcW w:w="758" w:type="dxa"/>
            <w:vMerge w:val="continue"/>
            <w:noWrap w:val="0"/>
            <w:vAlign w:val="center"/>
          </w:tcPr>
          <w:p w14:paraId="3AD373A1">
            <w:pPr>
              <w:rPr>
                <w:color w:val="auto"/>
              </w:rPr>
            </w:pPr>
          </w:p>
        </w:tc>
        <w:tc>
          <w:tcPr>
            <w:tcW w:w="4119" w:type="dxa"/>
            <w:noWrap w:val="0"/>
            <w:vAlign w:val="center"/>
          </w:tcPr>
          <w:p w14:paraId="7C09B464">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val="en-US" w:eastAsia="zh-CN" w:bidi="ar-SA"/>
              </w:rPr>
              <w:t>原第六条 永州市中心城区冷水滩区、零陵区负责各自辖区内国有土地上房屋征收工作的实施、协调和管理，负责房屋征收历史遗留问题、矛盾纠纷、信访、复议、仲裁、诉讼等问题的处理，并对处理结果负责。建议：删除上述原第六条中“和管理”三字，因与征求稿原第四条永州市住房和城乡建设部门为市级房屋征收部门，负责本行政区域内国有土地上房屋征收与补偿的监督管理工作相冲突。</w:t>
            </w:r>
          </w:p>
        </w:tc>
        <w:tc>
          <w:tcPr>
            <w:tcW w:w="791" w:type="dxa"/>
            <w:noWrap w:val="0"/>
            <w:vAlign w:val="center"/>
          </w:tcPr>
          <w:p w14:paraId="138EEAAB">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该意见不采纳</w:t>
            </w:r>
          </w:p>
        </w:tc>
        <w:tc>
          <w:tcPr>
            <w:tcW w:w="3231" w:type="dxa"/>
            <w:noWrap w:val="0"/>
            <w:vAlign w:val="center"/>
          </w:tcPr>
          <w:p w14:paraId="0C97C32A">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w:t>
            </w:r>
          </w:p>
        </w:tc>
        <w:tc>
          <w:tcPr>
            <w:tcW w:w="5496" w:type="dxa"/>
            <w:noWrap w:val="0"/>
            <w:vAlign w:val="center"/>
          </w:tcPr>
          <w:p w14:paraId="35EBDC84">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依据永政函〔2021〕21号《关于进一步完善中心城区土地和房屋征收工作机制的意见（试行）》第三条工作职责（一）三区职责：冷水滩区、零陵区负责各自辖区内土地及房屋征收工作的实施、协调和管理。根据该条规定，冷水滩区、零陵区作为县（区）级征收部门应当对本辖区内的房屋征收工作履行管理职能；第五条明确的是冷水滩区和零陵区作为县（区）级房屋征收部门的工作职能，而第四条明确的是市级房屋征收部门的工作职能，因此并不冲突。</w:t>
            </w:r>
          </w:p>
          <w:p w14:paraId="5E45556B">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本条意见不采纳已与冷水滩区沟通协商一致。</w:t>
            </w:r>
          </w:p>
        </w:tc>
      </w:tr>
      <w:tr w14:paraId="41D81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444" w:type="dxa"/>
            <w:vMerge w:val="continue"/>
            <w:noWrap w:val="0"/>
            <w:vAlign w:val="center"/>
          </w:tcPr>
          <w:p w14:paraId="7DE45653">
            <w:pPr>
              <w:rPr>
                <w:color w:val="auto"/>
              </w:rPr>
            </w:pPr>
          </w:p>
        </w:tc>
        <w:tc>
          <w:tcPr>
            <w:tcW w:w="758" w:type="dxa"/>
            <w:vMerge w:val="continue"/>
            <w:noWrap w:val="0"/>
            <w:vAlign w:val="center"/>
          </w:tcPr>
          <w:p w14:paraId="3AFAA772">
            <w:pPr>
              <w:rPr>
                <w:color w:val="auto"/>
              </w:rPr>
            </w:pPr>
          </w:p>
        </w:tc>
        <w:tc>
          <w:tcPr>
            <w:tcW w:w="4119" w:type="dxa"/>
            <w:noWrap w:val="0"/>
            <w:vAlign w:val="center"/>
          </w:tcPr>
          <w:p w14:paraId="603EE65E">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建议：在原第六条后再增加第七条 中心城区所有项目要严格执行经省、市人民政府批准的征地拆迁补偿安置政策，任何单位和个人不得随意提高或降低标准，在实施征收（征用）补偿安置过程中，存在现行规定和政策标准未涵盖项目需要补偿等特殊情况的，由市住房和城乡建设部门报市人民政府研究决定。</w:t>
            </w:r>
          </w:p>
        </w:tc>
        <w:tc>
          <w:tcPr>
            <w:tcW w:w="791" w:type="dxa"/>
            <w:noWrap w:val="0"/>
            <w:vAlign w:val="center"/>
          </w:tcPr>
          <w:p w14:paraId="181CED35">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该意见不采纳</w:t>
            </w:r>
          </w:p>
        </w:tc>
        <w:tc>
          <w:tcPr>
            <w:tcW w:w="3231" w:type="dxa"/>
            <w:noWrap w:val="0"/>
            <w:vAlign w:val="center"/>
          </w:tcPr>
          <w:p w14:paraId="1F0EB521">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w:t>
            </w:r>
          </w:p>
        </w:tc>
        <w:tc>
          <w:tcPr>
            <w:tcW w:w="5496" w:type="dxa"/>
            <w:noWrap w:val="0"/>
            <w:vAlign w:val="center"/>
          </w:tcPr>
          <w:p w14:paraId="57540E5B">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依据永政函〔2021〕21号《关于进一步完善中心城区土地和房屋征收工作机制的意见（试行）》第二条、基本原则：坚持重心下移、权力下放、工作下沉的原则，采取土地及房屋征收总包干模式，实行费用包干、任务包干、责任包干，确保征收工作责任明确、权责对等、精简高效。第三条、工作职责（一）三区职责：冷水滩区、零陵区负责各自辖区内土地及房屋征收工作的实施、协调和管理。</w:t>
            </w:r>
          </w:p>
          <w:p w14:paraId="3A381FB4">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本条意见不采纳已与冷水滩区沟通协商一致。</w:t>
            </w:r>
          </w:p>
        </w:tc>
      </w:tr>
      <w:tr w14:paraId="72076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444" w:type="dxa"/>
            <w:vMerge w:val="continue"/>
            <w:noWrap w:val="0"/>
            <w:vAlign w:val="center"/>
          </w:tcPr>
          <w:p w14:paraId="7574CCD8">
            <w:pPr>
              <w:rPr>
                <w:color w:val="auto"/>
              </w:rPr>
            </w:pPr>
          </w:p>
        </w:tc>
        <w:tc>
          <w:tcPr>
            <w:tcW w:w="758" w:type="dxa"/>
            <w:vMerge w:val="continue"/>
            <w:noWrap w:val="0"/>
            <w:vAlign w:val="center"/>
          </w:tcPr>
          <w:p w14:paraId="7676662B">
            <w:pPr>
              <w:rPr>
                <w:color w:val="auto"/>
              </w:rPr>
            </w:pPr>
          </w:p>
        </w:tc>
        <w:tc>
          <w:tcPr>
            <w:tcW w:w="4119" w:type="dxa"/>
            <w:noWrap w:val="0"/>
            <w:vAlign w:val="center"/>
          </w:tcPr>
          <w:p w14:paraId="1D781DE4">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val="en-US" w:eastAsia="zh-CN" w:bidi="ar-SA"/>
              </w:rPr>
              <w:t>原第十二条 被征收房屋的面积、结构、使用性质等，以不动产权属证书和房屋登记簿的记载为准，不动产权属证书与房屋登记簿不符的，除有证据证明房屋登记簿确有错误外，以房屋登记簿为准。已改变用途的，以自然资源和规划部门和其他有关部门批准文件为依据。建议改为：被征收房屋的面积、结构、使用性质等，以不动产权属证书和房屋登记簿的记载为准，不动产权属证书与房屋登记簿不符的，除有证据证明房屋登记簿确有错误外，以房屋登记簿为准。已改变用途的，由市住房和城乡建设部门组织自然资源和规划部门、城管、房屋所在区域内街道（乡镇）、社区进行调查认定。</w:t>
            </w:r>
          </w:p>
        </w:tc>
        <w:tc>
          <w:tcPr>
            <w:tcW w:w="791" w:type="dxa"/>
            <w:noWrap w:val="0"/>
            <w:vAlign w:val="center"/>
          </w:tcPr>
          <w:p w14:paraId="449D69A1">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该意见不采纳</w:t>
            </w:r>
          </w:p>
        </w:tc>
        <w:tc>
          <w:tcPr>
            <w:tcW w:w="3231" w:type="dxa"/>
            <w:noWrap w:val="0"/>
            <w:vAlign w:val="center"/>
          </w:tcPr>
          <w:p w14:paraId="72AEEC18">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w:t>
            </w:r>
          </w:p>
        </w:tc>
        <w:tc>
          <w:tcPr>
            <w:tcW w:w="5496" w:type="dxa"/>
            <w:noWrap w:val="0"/>
            <w:vAlign w:val="center"/>
          </w:tcPr>
          <w:p w14:paraId="20EBE90A">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val="en-US" w:eastAsia="zh-CN" w:bidi="ar-SA"/>
              </w:rPr>
              <w:t>被征收房屋的面积、结构、使用性质等</w:t>
            </w:r>
            <w:r>
              <w:rPr>
                <w:rFonts w:hint="eastAsia" w:ascii="仿宋_GB2312" w:eastAsia="仿宋_GB2312" w:cs="仿宋_GB2312"/>
                <w:color w:val="auto"/>
                <w:sz w:val="24"/>
                <w:szCs w:val="24"/>
                <w:lang w:eastAsia="zh-CN" w:bidi="ar-SA"/>
              </w:rPr>
              <w:t>认定，其主要职能在规划和土地、房屋发证部门。对改变用途的房屋应当以规划和不动产登记部门及其他有关部门批准文件为准。</w:t>
            </w:r>
          </w:p>
          <w:p w14:paraId="57465DFF">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本条意见不采纳已与冷水滩区沟通协商一致。</w:t>
            </w:r>
          </w:p>
          <w:p w14:paraId="399F56A4">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p>
        </w:tc>
      </w:tr>
      <w:tr w14:paraId="5A1A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444" w:type="dxa"/>
            <w:vMerge w:val="continue"/>
            <w:noWrap w:val="0"/>
            <w:vAlign w:val="center"/>
          </w:tcPr>
          <w:p w14:paraId="214159D7">
            <w:pPr>
              <w:rPr>
                <w:color w:val="auto"/>
              </w:rPr>
            </w:pPr>
          </w:p>
        </w:tc>
        <w:tc>
          <w:tcPr>
            <w:tcW w:w="758" w:type="dxa"/>
            <w:vMerge w:val="continue"/>
            <w:noWrap w:val="0"/>
            <w:vAlign w:val="center"/>
          </w:tcPr>
          <w:p w14:paraId="47755FF7">
            <w:pPr>
              <w:rPr>
                <w:color w:val="auto"/>
              </w:rPr>
            </w:pPr>
          </w:p>
        </w:tc>
        <w:tc>
          <w:tcPr>
            <w:tcW w:w="4119" w:type="dxa"/>
            <w:noWrap w:val="0"/>
            <w:vAlign w:val="center"/>
          </w:tcPr>
          <w:p w14:paraId="7AD41BE5">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val="en-US" w:eastAsia="zh-CN" w:bidi="ar-SA"/>
              </w:rPr>
              <w:t>原第十三条 在发布房屋征收决定公告前，县（市、区）人民政府的各职能部门，根据各自职责，对已确定属于房屋征收范围内的建筑进行合法性认定，出具书面认定意见。职能部门难以准确认定其是否合法的，由各县（市、区）房屋征收部门汇总意见，报县（市、区）人民政府研究决定。中心城区范围内的建筑的合法性认定应当由零冷两区人民政府会同市自然资源和规划、城管等部门确定。对上述建筑的认定结果应当在房屋征收范围内予以公布。建议改为：在发布房屋征收决定公告前，县（市、区）人民政府的各职能部门，根据各自职责，对已确定属于房屋征收范围内的建筑进行合法性认定，出具书面认定意见。职能部门难以准确认定其是否合法的，由各县（市、区）房屋征收部门汇总意见，报县（市、区）人民政府研究决定。中心城区范围内的建筑的合法性认定应当由区人民政府报市住建部门，由市住建部门组织市自然资源和规划、城管、房屋所在区域内街道（乡镇）、社区、房屋征收实施单位等部门确定。对上述建筑的认定结果应当在房屋征收范围内予以公布。</w:t>
            </w:r>
          </w:p>
        </w:tc>
        <w:tc>
          <w:tcPr>
            <w:tcW w:w="791" w:type="dxa"/>
            <w:noWrap w:val="0"/>
            <w:vAlign w:val="center"/>
          </w:tcPr>
          <w:p w14:paraId="4178D725">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val="en-US" w:eastAsia="zh-CN" w:bidi="ar-SA"/>
              </w:rPr>
              <w:t>该意见不采纳</w:t>
            </w:r>
          </w:p>
        </w:tc>
        <w:tc>
          <w:tcPr>
            <w:tcW w:w="3231" w:type="dxa"/>
            <w:noWrap w:val="0"/>
            <w:vAlign w:val="center"/>
          </w:tcPr>
          <w:p w14:paraId="4F364AB2">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eastAsia="zh-CN" w:bidi="ar-SA"/>
              </w:rPr>
              <w:t>/</w:t>
            </w:r>
          </w:p>
        </w:tc>
        <w:tc>
          <w:tcPr>
            <w:tcW w:w="5496" w:type="dxa"/>
            <w:noWrap w:val="0"/>
            <w:vAlign w:val="center"/>
          </w:tcPr>
          <w:p w14:paraId="393F7A21">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val="en-US" w:eastAsia="zh-CN" w:bidi="ar-SA"/>
              </w:rPr>
              <w:t>依据永政函〔2021〕21号《关于进一步完善中心城区土地和房屋征收工作机制的意见（试行）》第二条、基本原则：坚持重心下移、权力下放、工作下沉的原则，采取土地及房屋征收总包干模式，实行费用包干、任务包干、责任包干，确保征收工作责任明确、权责对等、精简高效。第三条、工作职责（一）三区职责：冷水滩区、零陵区负责各自辖区内土地及房屋征收工作的实施、协调和管理。</w:t>
            </w:r>
          </w:p>
          <w:p w14:paraId="72CE1033">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eastAsia="zh-CN" w:bidi="ar-SA"/>
              </w:rPr>
              <w:t>本条意见不采纳已与冷水滩区沟通协商一致。</w:t>
            </w:r>
          </w:p>
          <w:p w14:paraId="5C2AC7F9">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p>
        </w:tc>
      </w:tr>
      <w:tr w14:paraId="7CAF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444" w:type="dxa"/>
            <w:vMerge w:val="continue"/>
            <w:noWrap w:val="0"/>
            <w:vAlign w:val="center"/>
          </w:tcPr>
          <w:p w14:paraId="2474B93A">
            <w:pPr>
              <w:rPr>
                <w:color w:val="auto"/>
              </w:rPr>
            </w:pPr>
          </w:p>
        </w:tc>
        <w:tc>
          <w:tcPr>
            <w:tcW w:w="758" w:type="dxa"/>
            <w:vMerge w:val="continue"/>
            <w:noWrap w:val="0"/>
            <w:vAlign w:val="center"/>
          </w:tcPr>
          <w:p w14:paraId="177E3953">
            <w:pPr>
              <w:rPr>
                <w:color w:val="auto"/>
              </w:rPr>
            </w:pPr>
          </w:p>
        </w:tc>
        <w:tc>
          <w:tcPr>
            <w:tcW w:w="4119" w:type="dxa"/>
            <w:noWrap w:val="0"/>
            <w:vAlign w:val="center"/>
          </w:tcPr>
          <w:p w14:paraId="0C7126A9">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val="en-US" w:eastAsia="zh-CN" w:bidi="ar-SA"/>
              </w:rPr>
              <w:t>原第二十四条 政府财政投资性项目的征收补偿资金由同级财政部门负责筹集，按照房屋征收补偿方案和依法出具的评估报告，将征收补偿资金包括上级专项补助资金在房屋征收决定发布前，财政部门或项目建设单位足额拨付至房屋征收部门预算一体化账户，由房屋征收部门按程序拨付。所有项目征收相关资金均应接受纪检、审计、征收部门等相关部门的监督、检查。建议改为：政府财政投资性项目的征收补偿资金由同级财政部门负责筹集，按照房屋征收补偿方案和依法出具的评估报告，将征收补偿资金包括上级专项补助资金在房屋征收决定发布前，由财政部门或负责项目的建设单位足额拨付至房屋征收部门，由房屋征收部门按程序拨付。所有项目征收相关资金均应接受纪检、审计、征收部门等相关部门的监督、检查。</w:t>
            </w:r>
          </w:p>
          <w:p w14:paraId="1092F2AC">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p>
        </w:tc>
        <w:tc>
          <w:tcPr>
            <w:tcW w:w="791" w:type="dxa"/>
            <w:noWrap w:val="0"/>
            <w:vAlign w:val="center"/>
          </w:tcPr>
          <w:p w14:paraId="36174F87">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val="en-US" w:eastAsia="zh-CN" w:bidi="ar-SA"/>
              </w:rPr>
              <w:t>该意见不采纳</w:t>
            </w:r>
          </w:p>
        </w:tc>
        <w:tc>
          <w:tcPr>
            <w:tcW w:w="3231" w:type="dxa"/>
            <w:noWrap w:val="0"/>
            <w:vAlign w:val="center"/>
          </w:tcPr>
          <w:p w14:paraId="361B3B6B">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eastAsia="zh-CN" w:bidi="ar-SA"/>
              </w:rPr>
              <w:t>/</w:t>
            </w:r>
          </w:p>
        </w:tc>
        <w:tc>
          <w:tcPr>
            <w:tcW w:w="5496" w:type="dxa"/>
            <w:noWrap w:val="0"/>
            <w:vAlign w:val="center"/>
          </w:tcPr>
          <w:p w14:paraId="3C89DD40">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val="en-US" w:eastAsia="zh-CN" w:bidi="ar-SA"/>
              </w:rPr>
              <w:t>财政部门职责含括了征收资金的筹集、拨付及征收相关费用评审等一系列工作。关于征收补偿资金拨付，应以财政部门提出的“拨付至预算一体化账户”意见为准。</w:t>
            </w:r>
          </w:p>
          <w:p w14:paraId="0C4C5A4F">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eastAsia="zh-CN" w:bidi="ar-SA"/>
              </w:rPr>
              <w:t>本条意见不采纳已与冷水滩区沟通协商一致。</w:t>
            </w:r>
          </w:p>
        </w:tc>
      </w:tr>
      <w:tr w14:paraId="5C384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444" w:type="dxa"/>
            <w:vMerge w:val="continue"/>
            <w:noWrap w:val="0"/>
            <w:vAlign w:val="center"/>
          </w:tcPr>
          <w:p w14:paraId="785C65EC">
            <w:pPr>
              <w:rPr>
                <w:color w:val="auto"/>
              </w:rPr>
            </w:pPr>
          </w:p>
        </w:tc>
        <w:tc>
          <w:tcPr>
            <w:tcW w:w="758" w:type="dxa"/>
            <w:vMerge w:val="continue"/>
            <w:noWrap w:val="0"/>
            <w:vAlign w:val="center"/>
          </w:tcPr>
          <w:p w14:paraId="631DF32C">
            <w:pPr>
              <w:rPr>
                <w:color w:val="auto"/>
              </w:rPr>
            </w:pPr>
          </w:p>
        </w:tc>
        <w:tc>
          <w:tcPr>
            <w:tcW w:w="4119" w:type="dxa"/>
            <w:noWrap w:val="0"/>
            <w:vAlign w:val="center"/>
          </w:tcPr>
          <w:p w14:paraId="218AC9F6">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val="en-US" w:eastAsia="zh-CN" w:bidi="ar-SA"/>
              </w:rPr>
              <w:t>原第二十五条 征收决定作出后5个工作日内，县（市、区）房屋征收部门向征收实施单位预拨一定比例的征收启动资金，并根据签订征收补偿协议的进度情况及时拨付征收补偿资金。县（市、区）房屋征收部门应对资金使用情况进行监督检查。建议改为：征收决定作出后5个工作日内，县（市、区）房屋征收部门向征收实施单位预拨一定比例的征收启动资金，并根据签订征收补偿协议的进度情况及时拨付征收补偿资金。市房屋征收部门应对资金使用情况进行监督检查。</w:t>
            </w:r>
          </w:p>
        </w:tc>
        <w:tc>
          <w:tcPr>
            <w:tcW w:w="791" w:type="dxa"/>
            <w:noWrap w:val="0"/>
            <w:vAlign w:val="center"/>
          </w:tcPr>
          <w:p w14:paraId="46EE1940">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val="en-US" w:eastAsia="zh-CN" w:bidi="ar-SA"/>
              </w:rPr>
              <w:t>该意见部分采纳</w:t>
            </w:r>
          </w:p>
        </w:tc>
        <w:tc>
          <w:tcPr>
            <w:tcW w:w="3231" w:type="dxa"/>
            <w:noWrap w:val="0"/>
            <w:vAlign w:val="center"/>
          </w:tcPr>
          <w:p w14:paraId="2F91A7A6">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eastAsia="zh-CN" w:bidi="ar-SA"/>
              </w:rPr>
              <w:t>第二十一条</w:t>
            </w:r>
            <w:r>
              <w:rPr>
                <w:rFonts w:hint="eastAsia" w:ascii="仿宋_GB2312" w:eastAsia="仿宋_GB2312" w:cs="仿宋_GB2312"/>
                <w:color w:val="auto"/>
                <w:sz w:val="24"/>
                <w:szCs w:val="24"/>
                <w:lang w:val="en-US" w:eastAsia="zh-CN" w:bidi="ar-SA"/>
              </w:rPr>
              <w:t xml:space="preserve"> </w:t>
            </w:r>
            <w:r>
              <w:rPr>
                <w:rFonts w:hint="eastAsia" w:ascii="仿宋_GB2312" w:eastAsia="仿宋_GB2312" w:cs="仿宋_GB2312"/>
                <w:color w:val="auto"/>
                <w:sz w:val="24"/>
                <w:szCs w:val="24"/>
                <w:lang w:eastAsia="zh-CN" w:bidi="ar-SA"/>
              </w:rPr>
              <w:t>县市区房屋征收部门应对资金使用情况进行监督检查。市房屋征收部门应当对中心城区市本级投资的建设项目征收资金的使用加强指导和检查。</w:t>
            </w:r>
          </w:p>
        </w:tc>
        <w:tc>
          <w:tcPr>
            <w:tcW w:w="5496" w:type="dxa"/>
            <w:noWrap w:val="0"/>
            <w:vAlign w:val="center"/>
          </w:tcPr>
          <w:p w14:paraId="31A707E8">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val="en-US" w:eastAsia="zh-CN" w:bidi="ar-SA"/>
              </w:rPr>
              <w:t>国务院令第590号第四条市、县级人民政府负责本行政区域内的房屋征收与补偿工作。因此，市级房屋征收部门不宜直接对各县（市、区）的征收资金使用情况监督检查；市房屋征收部门应当对中心城区市本级投资的建设项目征收资金的使用加强指导和检查。</w:t>
            </w:r>
          </w:p>
          <w:p w14:paraId="2FA65877">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eastAsia="zh-CN" w:bidi="ar-SA"/>
              </w:rPr>
              <w:t>本条意见部分采纳已与冷水滩区沟通协商一致。</w:t>
            </w:r>
          </w:p>
        </w:tc>
      </w:tr>
      <w:tr w14:paraId="7A51C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444" w:type="dxa"/>
            <w:vMerge w:val="continue"/>
            <w:noWrap w:val="0"/>
            <w:vAlign w:val="center"/>
          </w:tcPr>
          <w:p w14:paraId="68D84BDA">
            <w:pPr>
              <w:rPr>
                <w:color w:val="auto"/>
              </w:rPr>
            </w:pPr>
          </w:p>
        </w:tc>
        <w:tc>
          <w:tcPr>
            <w:tcW w:w="758" w:type="dxa"/>
            <w:vMerge w:val="continue"/>
            <w:noWrap w:val="0"/>
            <w:vAlign w:val="center"/>
          </w:tcPr>
          <w:p w14:paraId="2327A596">
            <w:pPr>
              <w:rPr>
                <w:color w:val="auto"/>
              </w:rPr>
            </w:pPr>
          </w:p>
        </w:tc>
        <w:tc>
          <w:tcPr>
            <w:tcW w:w="4119" w:type="dxa"/>
            <w:noWrap w:val="0"/>
            <w:vAlign w:val="center"/>
          </w:tcPr>
          <w:p w14:paraId="2039207E">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val="en-US" w:eastAsia="zh-CN" w:bidi="ar-SA"/>
              </w:rPr>
              <w:t>原第四十二条 县（市、区）房屋征收部门对被征收人予以补偿后，被征收人应当在补偿协议约定或者补偿决定确定的搬迁期限完成搬迁。除房屋征收部门（房屋征收实施单位）按规定确定的拆除施工单位外，任何单位和个人不得损坏房屋或者拆卸已按照规定进行了补偿的被征收房屋及附属设施。建议：是否明确私自损坏或拆卸的安全责任。</w:t>
            </w:r>
          </w:p>
        </w:tc>
        <w:tc>
          <w:tcPr>
            <w:tcW w:w="791" w:type="dxa"/>
            <w:noWrap w:val="0"/>
            <w:vAlign w:val="center"/>
          </w:tcPr>
          <w:p w14:paraId="33883363">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val="en-US" w:eastAsia="zh-CN" w:bidi="ar-SA"/>
              </w:rPr>
              <w:t>该意见不采纳</w:t>
            </w:r>
          </w:p>
        </w:tc>
        <w:tc>
          <w:tcPr>
            <w:tcW w:w="3231" w:type="dxa"/>
            <w:noWrap w:val="0"/>
            <w:vAlign w:val="center"/>
          </w:tcPr>
          <w:p w14:paraId="277EB739">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eastAsia="zh-CN" w:bidi="ar-SA"/>
              </w:rPr>
              <w:t>/</w:t>
            </w:r>
          </w:p>
        </w:tc>
        <w:tc>
          <w:tcPr>
            <w:tcW w:w="5496" w:type="dxa"/>
            <w:noWrap w:val="0"/>
            <w:vAlign w:val="center"/>
          </w:tcPr>
          <w:p w14:paraId="75344922">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val="en-US" w:eastAsia="zh-CN" w:bidi="ar-SA"/>
              </w:rPr>
              <w:t>私自拆卸、损坏被征收房屋设施的行为责任不宜在本办法中表述，可在项目征收实施方案中明确。</w:t>
            </w:r>
          </w:p>
          <w:p w14:paraId="7615A55C">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eastAsia="zh-CN" w:bidi="ar-SA"/>
              </w:rPr>
              <w:t>本条意见不采纳已与冷水滩区沟通协商一致。</w:t>
            </w:r>
          </w:p>
        </w:tc>
      </w:tr>
      <w:tr w14:paraId="2F6A3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444" w:type="dxa"/>
            <w:vMerge w:val="continue"/>
            <w:noWrap w:val="0"/>
            <w:vAlign w:val="center"/>
          </w:tcPr>
          <w:p w14:paraId="4D7BD333">
            <w:pPr>
              <w:rPr>
                <w:color w:val="auto"/>
              </w:rPr>
            </w:pPr>
          </w:p>
        </w:tc>
        <w:tc>
          <w:tcPr>
            <w:tcW w:w="758" w:type="dxa"/>
            <w:vMerge w:val="continue"/>
            <w:noWrap w:val="0"/>
            <w:vAlign w:val="center"/>
          </w:tcPr>
          <w:p w14:paraId="46559968">
            <w:pPr>
              <w:rPr>
                <w:color w:val="auto"/>
              </w:rPr>
            </w:pPr>
          </w:p>
        </w:tc>
        <w:tc>
          <w:tcPr>
            <w:tcW w:w="4119" w:type="dxa"/>
            <w:noWrap w:val="0"/>
            <w:vAlign w:val="center"/>
          </w:tcPr>
          <w:p w14:paraId="5B1F39E2">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val="en-US" w:eastAsia="zh-CN" w:bidi="ar-SA"/>
              </w:rPr>
              <w:t>原第四十六条 县（市、区）房屋征收部门和征收实施单位负责本区域内的房屋拆除施工安全监督管理。建议改为：县（市、区）房屋征收部门和征收实施单位各自负责所委托的房屋拆除施工安全监督管理。</w:t>
            </w:r>
          </w:p>
        </w:tc>
        <w:tc>
          <w:tcPr>
            <w:tcW w:w="791" w:type="dxa"/>
            <w:noWrap w:val="0"/>
            <w:vAlign w:val="center"/>
          </w:tcPr>
          <w:p w14:paraId="7FE329FE">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val="en-US" w:eastAsia="zh-CN" w:bidi="ar-SA"/>
              </w:rPr>
              <w:t>该意见不采纳</w:t>
            </w:r>
          </w:p>
        </w:tc>
        <w:tc>
          <w:tcPr>
            <w:tcW w:w="3231" w:type="dxa"/>
            <w:noWrap w:val="0"/>
            <w:vAlign w:val="center"/>
          </w:tcPr>
          <w:p w14:paraId="0D95AB23">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eastAsia="zh-CN" w:bidi="ar-SA"/>
              </w:rPr>
              <w:t>/</w:t>
            </w:r>
          </w:p>
        </w:tc>
        <w:tc>
          <w:tcPr>
            <w:tcW w:w="5496" w:type="dxa"/>
            <w:noWrap w:val="0"/>
            <w:vAlign w:val="center"/>
          </w:tcPr>
          <w:p w14:paraId="5CEBAA77">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val="en-US" w:eastAsia="zh-CN" w:bidi="ar-SA"/>
              </w:rPr>
              <w:t>根据《中华人民共和国安全生产法》第三条之规定：安全生产工作实行管行业必须管安全、管业务必须管安全、管生产经营必须管安全的“三管三必须”原则。依据该条规定对本实施办法原第四十六条进行修改。</w:t>
            </w:r>
          </w:p>
          <w:p w14:paraId="352B60D3">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eastAsia="zh-CN" w:bidi="ar-SA"/>
              </w:rPr>
              <w:t>本条意见不采纳已与冷水滩区沟通协商一致。</w:t>
            </w:r>
          </w:p>
        </w:tc>
      </w:tr>
      <w:tr w14:paraId="2E143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444" w:type="dxa"/>
            <w:vMerge w:val="restart"/>
            <w:noWrap w:val="0"/>
            <w:vAlign w:val="center"/>
          </w:tcPr>
          <w:p w14:paraId="0039E7B4">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p>
          <w:p w14:paraId="6350E9CE">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p>
          <w:p w14:paraId="400772B4">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p>
          <w:p w14:paraId="78B28BA1">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p>
          <w:p w14:paraId="0C9D13E8">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p>
          <w:p w14:paraId="3EB8C209">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p>
          <w:p w14:paraId="190C0C20">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p>
          <w:p w14:paraId="41B4533A">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p>
          <w:p w14:paraId="33CEDF21">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10</w:t>
            </w:r>
          </w:p>
        </w:tc>
        <w:tc>
          <w:tcPr>
            <w:tcW w:w="758" w:type="dxa"/>
            <w:vMerge w:val="restart"/>
            <w:noWrap w:val="0"/>
            <w:vAlign w:val="center"/>
          </w:tcPr>
          <w:p w14:paraId="226AA259">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p>
          <w:p w14:paraId="74C195C1">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p>
          <w:p w14:paraId="15625624">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p>
          <w:p w14:paraId="4377E8F2">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p>
          <w:p w14:paraId="592DC91F">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p>
          <w:p w14:paraId="5BAC75D3">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p>
          <w:p w14:paraId="0AC0F8A3">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p>
          <w:p w14:paraId="3314172C">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val="en-US" w:eastAsia="zh-CN" w:bidi="ar-SA"/>
              </w:rPr>
              <w:t>祁阳市人民政府</w:t>
            </w:r>
          </w:p>
        </w:tc>
        <w:tc>
          <w:tcPr>
            <w:tcW w:w="4119" w:type="dxa"/>
            <w:noWrap w:val="0"/>
            <w:vAlign w:val="center"/>
          </w:tcPr>
          <w:p w14:paraId="1FD3FC71">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val="en-US" w:eastAsia="zh-CN" w:bidi="ar-SA"/>
              </w:rPr>
              <w:t>原第六条.建议在零陵区后增加“各县（市）。理由:明确各县市、职责。</w:t>
            </w:r>
          </w:p>
        </w:tc>
        <w:tc>
          <w:tcPr>
            <w:tcW w:w="791" w:type="dxa"/>
            <w:noWrap w:val="0"/>
            <w:vAlign w:val="center"/>
          </w:tcPr>
          <w:p w14:paraId="74658A42">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val="en-US" w:eastAsia="zh-CN" w:bidi="ar-SA"/>
              </w:rPr>
              <w:t>该意见不采纳</w:t>
            </w:r>
          </w:p>
        </w:tc>
        <w:tc>
          <w:tcPr>
            <w:tcW w:w="3231" w:type="dxa"/>
            <w:noWrap w:val="0"/>
            <w:vAlign w:val="center"/>
          </w:tcPr>
          <w:p w14:paraId="038FB81F">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eastAsia="zh-CN" w:bidi="ar-SA"/>
              </w:rPr>
              <w:t>/</w:t>
            </w:r>
          </w:p>
        </w:tc>
        <w:tc>
          <w:tcPr>
            <w:tcW w:w="5496" w:type="dxa"/>
            <w:noWrap w:val="0"/>
            <w:vAlign w:val="center"/>
          </w:tcPr>
          <w:p w14:paraId="0B7B9C52">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val="en-US" w:eastAsia="zh-CN" w:bidi="ar-SA"/>
              </w:rPr>
              <w:t>《实施办法》的原第五条主要是依据永政函〔2021〕21号文件永州市人民政府印发《关于进一步完善中心城区土地和房屋征收工作机制的意见（试行）》的通知，进一步明确永州市中心城区冷水滩、零陵区国有土地上房屋征收工作职能职责，而各县、市人民政府的房屋征收工作职责，国务院令第590号第四条已有明确规定，本《实施办法》不再重复表述。</w:t>
            </w:r>
          </w:p>
          <w:p w14:paraId="555C5130">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eastAsia="zh-CN" w:bidi="ar-SA"/>
              </w:rPr>
              <w:t>本条意见不采纳已与祁阳市沟通协商一致。</w:t>
            </w:r>
          </w:p>
        </w:tc>
      </w:tr>
      <w:tr w14:paraId="5A4B5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444" w:type="dxa"/>
            <w:vMerge w:val="continue"/>
            <w:noWrap w:val="0"/>
            <w:vAlign w:val="center"/>
          </w:tcPr>
          <w:p w14:paraId="7463EB79">
            <w:pPr>
              <w:rPr>
                <w:color w:val="auto"/>
              </w:rPr>
            </w:pPr>
          </w:p>
        </w:tc>
        <w:tc>
          <w:tcPr>
            <w:tcW w:w="758" w:type="dxa"/>
            <w:vMerge w:val="continue"/>
            <w:noWrap w:val="0"/>
            <w:vAlign w:val="center"/>
          </w:tcPr>
          <w:p w14:paraId="572109D7">
            <w:pPr>
              <w:rPr>
                <w:color w:val="auto"/>
              </w:rPr>
            </w:pPr>
          </w:p>
        </w:tc>
        <w:tc>
          <w:tcPr>
            <w:tcW w:w="4119" w:type="dxa"/>
            <w:noWrap w:val="0"/>
            <w:vAlign w:val="center"/>
          </w:tcPr>
          <w:p w14:paraId="68C6454E">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val="en-US" w:eastAsia="zh-CN" w:bidi="ar-SA"/>
              </w:rPr>
              <w:t>原二十三条.建议增加“涉及项目范围内个别土地性质为集体土地的参照《实施办法》的执行。理由:实际征收工作中确实存在个别集体土地现象，因此应该明确规定。</w:t>
            </w:r>
          </w:p>
        </w:tc>
        <w:tc>
          <w:tcPr>
            <w:tcW w:w="791" w:type="dxa"/>
            <w:noWrap w:val="0"/>
            <w:vAlign w:val="center"/>
          </w:tcPr>
          <w:p w14:paraId="5DB9502A">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val="en-US" w:eastAsia="zh-CN" w:bidi="ar-SA"/>
              </w:rPr>
              <w:t>该意见不采纳</w:t>
            </w:r>
          </w:p>
        </w:tc>
        <w:tc>
          <w:tcPr>
            <w:tcW w:w="3231" w:type="dxa"/>
            <w:noWrap w:val="0"/>
            <w:vAlign w:val="center"/>
          </w:tcPr>
          <w:p w14:paraId="458EA8F9">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eastAsia="zh-CN" w:bidi="ar-SA"/>
              </w:rPr>
              <w:t>/</w:t>
            </w:r>
          </w:p>
        </w:tc>
        <w:tc>
          <w:tcPr>
            <w:tcW w:w="5496" w:type="dxa"/>
            <w:noWrap w:val="0"/>
            <w:vAlign w:val="center"/>
          </w:tcPr>
          <w:p w14:paraId="585F037B">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val="en-US" w:eastAsia="zh-CN" w:bidi="ar-SA"/>
              </w:rPr>
              <w:t>本《实施办法》是依据上位法国务院令第590号、湖南省政府令第268号制定的国有土地上房屋征收工作程序及相关工作事宜，集体土地上的房屋拆迁与国有土地上房屋征收适用的是两种截然不同的政策，有本质上的区别，因此涉及项目范围内个别土地性质为集体土地的不宜参照本《实施办法》执行。</w:t>
            </w:r>
          </w:p>
          <w:p w14:paraId="3B5B70CD">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eastAsia="zh-CN" w:bidi="ar-SA"/>
              </w:rPr>
              <w:t>本条意见不采纳已与祁阳市沟通协商一致。</w:t>
            </w:r>
          </w:p>
        </w:tc>
      </w:tr>
      <w:tr w14:paraId="60FC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444" w:type="dxa"/>
            <w:vMerge w:val="continue"/>
            <w:noWrap w:val="0"/>
            <w:vAlign w:val="center"/>
          </w:tcPr>
          <w:p w14:paraId="21776D07">
            <w:pPr>
              <w:rPr>
                <w:color w:val="auto"/>
              </w:rPr>
            </w:pPr>
          </w:p>
        </w:tc>
        <w:tc>
          <w:tcPr>
            <w:tcW w:w="758" w:type="dxa"/>
            <w:vMerge w:val="continue"/>
            <w:noWrap w:val="0"/>
            <w:vAlign w:val="center"/>
          </w:tcPr>
          <w:p w14:paraId="3BCE5629">
            <w:pPr>
              <w:rPr>
                <w:color w:val="auto"/>
              </w:rPr>
            </w:pPr>
          </w:p>
        </w:tc>
        <w:tc>
          <w:tcPr>
            <w:tcW w:w="4119" w:type="dxa"/>
            <w:noWrap w:val="0"/>
            <w:vAlign w:val="center"/>
          </w:tcPr>
          <w:p w14:paraId="04E1E775">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val="en-US" w:eastAsia="zh-CN" w:bidi="ar-SA"/>
              </w:rPr>
              <w:t>原第二十九条.建议“增加货币补偿过渡安置期限也为6个月”。理由:货币补偿后被征收人购房后需要一定装修时间，应和产权调换现房的过渡期限保持一致。</w:t>
            </w:r>
          </w:p>
        </w:tc>
        <w:tc>
          <w:tcPr>
            <w:tcW w:w="791" w:type="dxa"/>
            <w:noWrap w:val="0"/>
            <w:vAlign w:val="center"/>
          </w:tcPr>
          <w:p w14:paraId="74302F53">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val="en-US" w:eastAsia="zh-CN" w:bidi="ar-SA"/>
              </w:rPr>
              <w:t>该意见不采纳</w:t>
            </w:r>
          </w:p>
        </w:tc>
        <w:tc>
          <w:tcPr>
            <w:tcW w:w="3231" w:type="dxa"/>
            <w:noWrap w:val="0"/>
            <w:vAlign w:val="center"/>
          </w:tcPr>
          <w:p w14:paraId="3E3E4EE9">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eastAsia="zh-CN" w:bidi="ar-SA"/>
              </w:rPr>
              <w:t>/</w:t>
            </w:r>
          </w:p>
        </w:tc>
        <w:tc>
          <w:tcPr>
            <w:tcW w:w="5496" w:type="dxa"/>
            <w:noWrap w:val="0"/>
            <w:vAlign w:val="center"/>
          </w:tcPr>
          <w:p w14:paraId="5F294FFC">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val="en-US" w:eastAsia="zh-CN" w:bidi="ar-SA"/>
              </w:rPr>
              <w:t>不采纳理由或依据:国务院令第590号第二十二条明确规定“……选择产权调换的，产权调换房交付前，征收部门应当向被征收人支付临时安置费或者提供周转用房”。对货币补偿无表述。选择货币补偿的是由征收人一次支付被征收人所有的征收补偿款，至此征收行为已完结。被征收人领取补偿款后也未必会再次购房，因此无需过渡。</w:t>
            </w:r>
          </w:p>
          <w:p w14:paraId="5CC37374">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eastAsia="zh-CN" w:bidi="ar-SA"/>
              </w:rPr>
              <w:t>本条意见不采纳已与祁阳市沟通协商一致。</w:t>
            </w:r>
          </w:p>
        </w:tc>
      </w:tr>
      <w:tr w14:paraId="1240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444" w:type="dxa"/>
            <w:vMerge w:val="continue"/>
            <w:noWrap w:val="0"/>
            <w:vAlign w:val="center"/>
          </w:tcPr>
          <w:p w14:paraId="6D38D616">
            <w:pPr>
              <w:rPr>
                <w:color w:val="auto"/>
              </w:rPr>
            </w:pPr>
          </w:p>
        </w:tc>
        <w:tc>
          <w:tcPr>
            <w:tcW w:w="758" w:type="dxa"/>
            <w:vMerge w:val="continue"/>
            <w:noWrap w:val="0"/>
            <w:vAlign w:val="center"/>
          </w:tcPr>
          <w:p w14:paraId="2876A1E5">
            <w:pPr>
              <w:rPr>
                <w:color w:val="auto"/>
              </w:rPr>
            </w:pPr>
          </w:p>
        </w:tc>
        <w:tc>
          <w:tcPr>
            <w:tcW w:w="4119" w:type="dxa"/>
            <w:noWrap w:val="0"/>
            <w:vAlign w:val="center"/>
          </w:tcPr>
          <w:p w14:paraId="34520D72">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val="en-US" w:eastAsia="zh-CN" w:bidi="ar-SA"/>
              </w:rPr>
              <w:t>原四十七条.建议增加“县（市、区）房屋征收部门应依法建立房屋征收信息平台，做好征收档案资料管理和数据统计”。理由:便于财政、审计部门的检查及被征收人档案信息调阅。</w:t>
            </w:r>
          </w:p>
        </w:tc>
        <w:tc>
          <w:tcPr>
            <w:tcW w:w="791" w:type="dxa"/>
            <w:noWrap w:val="0"/>
            <w:vAlign w:val="center"/>
          </w:tcPr>
          <w:p w14:paraId="02A5BF4F">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val="en-US" w:eastAsia="zh-CN" w:bidi="ar-SA"/>
              </w:rPr>
              <w:t>该意见不采纳</w:t>
            </w:r>
          </w:p>
        </w:tc>
        <w:tc>
          <w:tcPr>
            <w:tcW w:w="3231" w:type="dxa"/>
            <w:noWrap w:val="0"/>
            <w:vAlign w:val="center"/>
          </w:tcPr>
          <w:p w14:paraId="3203F402">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eastAsia="zh-CN" w:bidi="ar-SA"/>
              </w:rPr>
              <w:t>/</w:t>
            </w:r>
          </w:p>
        </w:tc>
        <w:tc>
          <w:tcPr>
            <w:tcW w:w="5496" w:type="dxa"/>
            <w:noWrap w:val="0"/>
            <w:vAlign w:val="center"/>
          </w:tcPr>
          <w:p w14:paraId="14F001BF">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val="en-US" w:eastAsia="zh-CN" w:bidi="ar-SA"/>
              </w:rPr>
              <w:t>县（市、区）房屋征收部门建立信息平台并做好征收资料数据统计工作，应属各级房屋征收部门日常事务性工作，在本《实施办法》不宜赘述。</w:t>
            </w:r>
          </w:p>
          <w:p w14:paraId="60C1EC98">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eastAsia="zh-CN" w:bidi="ar-SA"/>
              </w:rPr>
              <w:t>本条意见不采纳已与祁阳市沟通协商一致。</w:t>
            </w:r>
          </w:p>
        </w:tc>
      </w:tr>
      <w:tr w14:paraId="4A298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444" w:type="dxa"/>
            <w:vMerge w:val="continue"/>
            <w:noWrap w:val="0"/>
            <w:vAlign w:val="center"/>
          </w:tcPr>
          <w:p w14:paraId="3A470119">
            <w:pPr>
              <w:rPr>
                <w:color w:val="auto"/>
              </w:rPr>
            </w:pPr>
          </w:p>
        </w:tc>
        <w:tc>
          <w:tcPr>
            <w:tcW w:w="758" w:type="dxa"/>
            <w:vMerge w:val="continue"/>
            <w:noWrap w:val="0"/>
            <w:vAlign w:val="center"/>
          </w:tcPr>
          <w:p w14:paraId="7D35B5C8">
            <w:pPr>
              <w:rPr>
                <w:color w:val="auto"/>
              </w:rPr>
            </w:pPr>
          </w:p>
        </w:tc>
        <w:tc>
          <w:tcPr>
            <w:tcW w:w="4119" w:type="dxa"/>
            <w:noWrap w:val="0"/>
            <w:vAlign w:val="center"/>
          </w:tcPr>
          <w:p w14:paraId="16D1771A">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val="en-US" w:eastAsia="zh-CN" w:bidi="ar-SA"/>
              </w:rPr>
              <w:t>原第四十八条.建议删除“具体提取办法另行规定”。“增加标准:房屋征收日常工作经费按征收补偿费用的8%计算，其中1%作为房屋征收部门工作经费， 7%为征收实施单位征收经费，征收实施单位经费主要包括2%日常工作经费和5%不可预计费用，征收日常工作经费计入征收补偿总成本。理由:原永政发〔2014 〕2号文件有明确规定，也为征收部门及实施单位的正常运转提供保障。</w:t>
            </w:r>
          </w:p>
        </w:tc>
        <w:tc>
          <w:tcPr>
            <w:tcW w:w="791" w:type="dxa"/>
            <w:noWrap w:val="0"/>
            <w:vAlign w:val="center"/>
          </w:tcPr>
          <w:p w14:paraId="2A690F89">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val="en-US" w:eastAsia="zh-CN" w:bidi="ar-SA"/>
              </w:rPr>
              <w:t>该意见不采纳</w:t>
            </w:r>
          </w:p>
        </w:tc>
        <w:tc>
          <w:tcPr>
            <w:tcW w:w="3231" w:type="dxa"/>
            <w:noWrap w:val="0"/>
            <w:vAlign w:val="center"/>
          </w:tcPr>
          <w:p w14:paraId="57D620C6">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eastAsia="zh-CN" w:bidi="ar-SA"/>
              </w:rPr>
              <w:t>/</w:t>
            </w:r>
          </w:p>
        </w:tc>
        <w:tc>
          <w:tcPr>
            <w:tcW w:w="5496" w:type="dxa"/>
            <w:noWrap w:val="0"/>
            <w:vAlign w:val="center"/>
          </w:tcPr>
          <w:p w14:paraId="180DB790">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val="en-US" w:eastAsia="zh-CN" w:bidi="ar-SA"/>
              </w:rPr>
              <w:t>原永政发〔2014 〕年2号文件早已过期，征收工作经费标准应结合当前工作实际予以调整，具体提取办法另行规定。</w:t>
            </w:r>
          </w:p>
          <w:p w14:paraId="7CD950C8">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eastAsia="zh-CN" w:bidi="ar-SA"/>
              </w:rPr>
              <w:t>本条意见不采纳已与祁阳市沟通协商一致。</w:t>
            </w:r>
          </w:p>
          <w:p w14:paraId="21AF15D6">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p>
        </w:tc>
      </w:tr>
      <w:tr w14:paraId="227DE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444" w:type="dxa"/>
            <w:vMerge w:val="restart"/>
            <w:noWrap w:val="0"/>
            <w:vAlign w:val="center"/>
          </w:tcPr>
          <w:p w14:paraId="6A97EABA">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11</w:t>
            </w:r>
          </w:p>
        </w:tc>
        <w:tc>
          <w:tcPr>
            <w:tcW w:w="758" w:type="dxa"/>
            <w:vMerge w:val="restart"/>
            <w:noWrap w:val="0"/>
            <w:vAlign w:val="center"/>
          </w:tcPr>
          <w:p w14:paraId="3C4C3E76">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p>
          <w:p w14:paraId="2F3427DA">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p>
          <w:p w14:paraId="0C81A8B1">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eastAsia="zh-CN" w:bidi="ar-SA"/>
              </w:rPr>
              <w:t>江永县人民政府</w:t>
            </w:r>
          </w:p>
        </w:tc>
        <w:tc>
          <w:tcPr>
            <w:tcW w:w="4119" w:type="dxa"/>
            <w:noWrap w:val="0"/>
            <w:vAlign w:val="center"/>
          </w:tcPr>
          <w:p w14:paraId="132C00C3">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val="en-US" w:eastAsia="zh-CN" w:bidi="ar-SA"/>
              </w:rPr>
              <w:t>建议：“</w:t>
            </w:r>
            <w:r>
              <w:rPr>
                <w:rFonts w:hint="eastAsia" w:ascii="仿宋_GB2312" w:eastAsia="仿宋_GB2312" w:cs="仿宋_GB2312"/>
                <w:color w:val="auto"/>
                <w:sz w:val="24"/>
                <w:szCs w:val="24"/>
                <w:lang w:eastAsia="zh-CN" w:bidi="ar-SA"/>
              </w:rPr>
              <w:t>单列一章，明确对征收行政事业性单位和国有企业的房屋（如办公楼、商业用房、未进行房改的单位住宅用房等）和政策性房屋（如未衔接全部产权的房改房、政策性以息抵租直管公房等）的补偿进行规定</w:t>
            </w:r>
            <w:r>
              <w:rPr>
                <w:rFonts w:hint="eastAsia" w:ascii="仿宋_GB2312" w:eastAsia="仿宋_GB2312" w:cs="仿宋_GB2312"/>
                <w:color w:val="auto"/>
                <w:sz w:val="24"/>
                <w:szCs w:val="24"/>
                <w:lang w:val="en-US" w:eastAsia="zh-CN" w:bidi="ar-SA"/>
              </w:rPr>
              <w:t>”</w:t>
            </w:r>
            <w:r>
              <w:rPr>
                <w:rFonts w:hint="eastAsia" w:ascii="仿宋_GB2312" w:eastAsia="仿宋_GB2312" w:cs="仿宋_GB2312"/>
                <w:color w:val="auto"/>
                <w:sz w:val="24"/>
                <w:szCs w:val="24"/>
                <w:lang w:eastAsia="zh-CN" w:bidi="ar-SA"/>
              </w:rPr>
              <w:t>。</w:t>
            </w:r>
          </w:p>
        </w:tc>
        <w:tc>
          <w:tcPr>
            <w:tcW w:w="791" w:type="dxa"/>
            <w:noWrap w:val="0"/>
            <w:vAlign w:val="center"/>
          </w:tcPr>
          <w:p w14:paraId="5F275A51">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该意见不采纳</w:t>
            </w:r>
          </w:p>
        </w:tc>
        <w:tc>
          <w:tcPr>
            <w:tcW w:w="3231" w:type="dxa"/>
            <w:noWrap w:val="0"/>
            <w:vAlign w:val="center"/>
          </w:tcPr>
          <w:p w14:paraId="5E019809">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w:t>
            </w:r>
          </w:p>
        </w:tc>
        <w:tc>
          <w:tcPr>
            <w:tcW w:w="5496" w:type="dxa"/>
            <w:noWrap w:val="0"/>
            <w:vAlign w:val="center"/>
          </w:tcPr>
          <w:p w14:paraId="3DBEEFC2">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上位法有依据：国务院令第590号第二条  为了公共利益的需要，征收国有土地上单位、个人的房屋，应当对被征收房屋所有权人（以下称被征收人）给予公平补偿。依据该条规定征收补偿的对象是被征收房屋的所有权人，具体补偿标准应在项目征收补偿方案中表述，本实施办法不宜明确。</w:t>
            </w:r>
          </w:p>
          <w:p w14:paraId="43520FB6">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本条意见不采纳已与江永县沟通协商一致。</w:t>
            </w:r>
          </w:p>
        </w:tc>
      </w:tr>
      <w:tr w14:paraId="53E7E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444" w:type="dxa"/>
            <w:vMerge w:val="continue"/>
            <w:noWrap w:val="0"/>
            <w:vAlign w:val="center"/>
          </w:tcPr>
          <w:p w14:paraId="4A1DDF91">
            <w:pPr>
              <w:rPr>
                <w:color w:val="auto"/>
              </w:rPr>
            </w:pPr>
          </w:p>
        </w:tc>
        <w:tc>
          <w:tcPr>
            <w:tcW w:w="758" w:type="dxa"/>
            <w:vMerge w:val="continue"/>
            <w:noWrap w:val="0"/>
            <w:vAlign w:val="center"/>
          </w:tcPr>
          <w:p w14:paraId="02C42794">
            <w:pPr>
              <w:rPr>
                <w:color w:val="auto"/>
              </w:rPr>
            </w:pPr>
          </w:p>
        </w:tc>
        <w:tc>
          <w:tcPr>
            <w:tcW w:w="4119" w:type="dxa"/>
            <w:noWrap w:val="0"/>
            <w:vAlign w:val="center"/>
          </w:tcPr>
          <w:p w14:paraId="6786BC8C">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建议将原第十条“征收项目一般按现有地块边界划定调查蓝线，依据上位规划下达规划要点，但应当将跨越现有地块边线的房屋整体划入项目规划调查蓝线。”改为“征收项目一般按现有地块边界划定征收范围，但应当将跨越现有地块边线的房屋整体划入项目征收范围红线内”，并将该条合并进征求意见稿第九条，做为第九条的第二款内容。</w:t>
            </w:r>
          </w:p>
        </w:tc>
        <w:tc>
          <w:tcPr>
            <w:tcW w:w="791" w:type="dxa"/>
            <w:noWrap w:val="0"/>
            <w:vAlign w:val="center"/>
          </w:tcPr>
          <w:p w14:paraId="4FACC5DD">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该意见不采纳</w:t>
            </w:r>
          </w:p>
        </w:tc>
        <w:tc>
          <w:tcPr>
            <w:tcW w:w="3231" w:type="dxa"/>
            <w:noWrap w:val="0"/>
            <w:vAlign w:val="center"/>
          </w:tcPr>
          <w:p w14:paraId="1B6A3692">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w:t>
            </w:r>
          </w:p>
        </w:tc>
        <w:tc>
          <w:tcPr>
            <w:tcW w:w="5496" w:type="dxa"/>
            <w:noWrap w:val="0"/>
            <w:vAlign w:val="center"/>
          </w:tcPr>
          <w:p w14:paraId="4131A76D">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项目规划调查蓝线和征收红线行政主管部门是资规部门，该条从2019年9号文件实施至今。主管部门均未提出异议；原第十条的内容表述的是规划职能部门对征收范围的划定，而原第九条第二款的内容表述的是征收部门和征收实施单位对征收范围内被征收房屋权属、用途、建筑面积等情况的调查登记，二者属不同的内容范畴，不能合并。</w:t>
            </w:r>
          </w:p>
          <w:p w14:paraId="6C5E1BAE">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本条意见不采纳已与江永县沟通协商一致。</w:t>
            </w:r>
          </w:p>
        </w:tc>
      </w:tr>
      <w:tr w14:paraId="35627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444" w:type="dxa"/>
            <w:vMerge w:val="continue"/>
            <w:noWrap w:val="0"/>
            <w:vAlign w:val="center"/>
          </w:tcPr>
          <w:p w14:paraId="72F7999C">
            <w:pPr>
              <w:rPr>
                <w:color w:val="auto"/>
              </w:rPr>
            </w:pPr>
          </w:p>
        </w:tc>
        <w:tc>
          <w:tcPr>
            <w:tcW w:w="758" w:type="dxa"/>
            <w:vMerge w:val="continue"/>
            <w:noWrap w:val="0"/>
            <w:vAlign w:val="center"/>
          </w:tcPr>
          <w:p w14:paraId="6588D9FC">
            <w:pPr>
              <w:rPr>
                <w:color w:val="auto"/>
              </w:rPr>
            </w:pPr>
          </w:p>
        </w:tc>
        <w:tc>
          <w:tcPr>
            <w:tcW w:w="4119" w:type="dxa"/>
            <w:noWrap w:val="0"/>
            <w:vAlign w:val="center"/>
          </w:tcPr>
          <w:p w14:paraId="1154BFD4">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原第二十四条特意明确了政府财政投资性项目的征收资金筹集由同级政府部门负责，是意味着有非政府财政投资性项目，那么非政府财政投资性项目的征收资金如何筹集是否也要进行明确，以便更有操作性。</w:t>
            </w:r>
          </w:p>
        </w:tc>
        <w:tc>
          <w:tcPr>
            <w:tcW w:w="791" w:type="dxa"/>
            <w:noWrap w:val="0"/>
            <w:vAlign w:val="center"/>
          </w:tcPr>
          <w:p w14:paraId="3D6CB15D">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该意见不采纳</w:t>
            </w:r>
          </w:p>
        </w:tc>
        <w:tc>
          <w:tcPr>
            <w:tcW w:w="3231" w:type="dxa"/>
            <w:noWrap w:val="0"/>
            <w:vAlign w:val="center"/>
          </w:tcPr>
          <w:p w14:paraId="31CADEE9">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w:t>
            </w:r>
          </w:p>
        </w:tc>
        <w:tc>
          <w:tcPr>
            <w:tcW w:w="5496" w:type="dxa"/>
            <w:noWrap w:val="0"/>
            <w:vAlign w:val="center"/>
          </w:tcPr>
          <w:p w14:paraId="0C648045">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上位法有依据：国务院令第590号第八条 为了保障国家安全、促进国民经济和社会发展等公共利益的需要，有下列情形之一，确需征收房屋的，由市、县级人民政府作出房屋征收决定，该条明确仅因公共利益需要的建设项目，才能由市、县级人民政府作出房屋征收决定，并由相应的市、县级人民政府财政部门筹集征收资金；非政府财政投资性项目未作为因公共利益需要的征收建设项目，不能由市、县级人民政府作出房屋征收决定。</w:t>
            </w:r>
          </w:p>
          <w:p w14:paraId="43EE58EE">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本条意见不采纳已与江永县沟通协商一致。</w:t>
            </w:r>
          </w:p>
        </w:tc>
      </w:tr>
      <w:tr w14:paraId="2422D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444" w:type="dxa"/>
            <w:vMerge w:val="continue"/>
            <w:noWrap w:val="0"/>
            <w:vAlign w:val="center"/>
          </w:tcPr>
          <w:p w14:paraId="678A53DD">
            <w:pPr>
              <w:rPr>
                <w:color w:val="auto"/>
              </w:rPr>
            </w:pPr>
          </w:p>
        </w:tc>
        <w:tc>
          <w:tcPr>
            <w:tcW w:w="758" w:type="dxa"/>
            <w:vMerge w:val="continue"/>
            <w:noWrap w:val="0"/>
            <w:vAlign w:val="center"/>
          </w:tcPr>
          <w:p w14:paraId="29D4BCDE">
            <w:pPr>
              <w:rPr>
                <w:color w:val="auto"/>
              </w:rPr>
            </w:pPr>
          </w:p>
        </w:tc>
        <w:tc>
          <w:tcPr>
            <w:tcW w:w="4119" w:type="dxa"/>
            <w:noWrap w:val="0"/>
            <w:vAlign w:val="center"/>
          </w:tcPr>
          <w:p w14:paraId="3BB2C5BF">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val="en-US" w:eastAsia="zh-CN" w:bidi="ar-SA"/>
              </w:rPr>
              <w:t>原第二十九条中的多层建筑和高层建筑的认定标准，应该进行明确。如明确为总层数为7层以的建筑为多层建筑，总层数为8层（含8层）以上的建筑为高层建筑。”</w:t>
            </w:r>
          </w:p>
        </w:tc>
        <w:tc>
          <w:tcPr>
            <w:tcW w:w="791" w:type="dxa"/>
            <w:noWrap w:val="0"/>
            <w:vAlign w:val="center"/>
          </w:tcPr>
          <w:p w14:paraId="71F64814">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该意见不采纳</w:t>
            </w:r>
          </w:p>
        </w:tc>
        <w:tc>
          <w:tcPr>
            <w:tcW w:w="3231" w:type="dxa"/>
            <w:noWrap w:val="0"/>
            <w:vAlign w:val="center"/>
          </w:tcPr>
          <w:p w14:paraId="5E05AC12">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w:t>
            </w:r>
          </w:p>
        </w:tc>
        <w:tc>
          <w:tcPr>
            <w:tcW w:w="5496" w:type="dxa"/>
            <w:noWrap w:val="0"/>
            <w:vAlign w:val="center"/>
          </w:tcPr>
          <w:p w14:paraId="5B3CB82E">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eastAsia="zh-CN" w:bidi="ar-SA"/>
              </w:rPr>
              <w:t>本实施办法内容涉及房屋征收补偿安置相关政策，而</w:t>
            </w:r>
            <w:r>
              <w:rPr>
                <w:rFonts w:hint="eastAsia" w:ascii="仿宋_GB2312" w:eastAsia="仿宋_GB2312" w:cs="仿宋_GB2312"/>
                <w:color w:val="auto"/>
                <w:sz w:val="24"/>
                <w:szCs w:val="24"/>
                <w:lang w:val="en-US" w:eastAsia="zh-CN" w:bidi="ar-SA"/>
              </w:rPr>
              <w:t>多层建筑和高层建筑的划分认定标准属建筑规划范畴，不宜在本办法中明确。</w:t>
            </w:r>
          </w:p>
          <w:p w14:paraId="5BFA6B0E">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eastAsia="zh-CN" w:bidi="ar-SA"/>
              </w:rPr>
              <w:t>本条意见不采纳已与江永县沟通协商一致。</w:t>
            </w:r>
          </w:p>
        </w:tc>
      </w:tr>
      <w:tr w14:paraId="03FAA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44" w:type="dxa"/>
            <w:vMerge w:val="continue"/>
            <w:noWrap w:val="0"/>
            <w:vAlign w:val="center"/>
          </w:tcPr>
          <w:p w14:paraId="5503244F">
            <w:pPr>
              <w:rPr>
                <w:color w:val="auto"/>
              </w:rPr>
            </w:pPr>
          </w:p>
        </w:tc>
        <w:tc>
          <w:tcPr>
            <w:tcW w:w="758" w:type="dxa"/>
            <w:vMerge w:val="continue"/>
            <w:noWrap w:val="0"/>
            <w:vAlign w:val="center"/>
          </w:tcPr>
          <w:p w14:paraId="19818295">
            <w:pPr>
              <w:rPr>
                <w:color w:val="auto"/>
              </w:rPr>
            </w:pPr>
          </w:p>
        </w:tc>
        <w:tc>
          <w:tcPr>
            <w:tcW w:w="4119" w:type="dxa"/>
            <w:noWrap w:val="0"/>
            <w:vAlign w:val="center"/>
          </w:tcPr>
          <w:p w14:paraId="544F3F91">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val="en-US" w:eastAsia="zh-CN" w:bidi="ar-SA"/>
              </w:rPr>
              <w:t>原第四十一条“县（市、区）房屋征收部门应当将分户补偿结果在房屋征收范围内向被征收人公布”的规定与国务院《国有土地上房屋征收与补偿条例》第二十九条“并将分户补偿情况在房屋征收范围内向被征收人公布”的规定不一致，建议将“补偿结果”修改成“补偿情况”或者修改成其他不侵犯个人隐私的表达方式。</w:t>
            </w:r>
          </w:p>
        </w:tc>
        <w:tc>
          <w:tcPr>
            <w:tcW w:w="791" w:type="dxa"/>
            <w:noWrap w:val="0"/>
            <w:vAlign w:val="center"/>
          </w:tcPr>
          <w:p w14:paraId="43A6FAEC">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val="en-US" w:eastAsia="zh-CN" w:bidi="ar-SA"/>
              </w:rPr>
              <w:t>该意见采纳</w:t>
            </w:r>
          </w:p>
        </w:tc>
        <w:tc>
          <w:tcPr>
            <w:tcW w:w="3231" w:type="dxa"/>
            <w:noWrap w:val="0"/>
            <w:vAlign w:val="center"/>
          </w:tcPr>
          <w:p w14:paraId="4FEBDD23">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eastAsia="zh-CN" w:bidi="ar-SA"/>
              </w:rPr>
              <w:t>第三十三条 “县市区房屋征收部门应当将分户补偿情况在房屋征收范围内向被征收人公布。”</w:t>
            </w:r>
          </w:p>
        </w:tc>
        <w:tc>
          <w:tcPr>
            <w:tcW w:w="5496" w:type="dxa"/>
            <w:noWrap w:val="0"/>
            <w:vAlign w:val="center"/>
          </w:tcPr>
          <w:p w14:paraId="70175E71">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val="en-US" w:eastAsia="zh-CN" w:bidi="ar-SA"/>
              </w:rPr>
              <w:t>国务院令第590号第二十九条 房屋征收部门应当依法建立房屋征收补偿档案，并将分户补偿情况在房屋征收范围内向被征收人公布。”</w:t>
            </w:r>
          </w:p>
          <w:p w14:paraId="03DB71B0">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p>
        </w:tc>
      </w:tr>
      <w:tr w14:paraId="48C0E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44" w:type="dxa"/>
            <w:vMerge w:val="restart"/>
            <w:noWrap w:val="0"/>
            <w:vAlign w:val="center"/>
          </w:tcPr>
          <w:p w14:paraId="263F2B20">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p>
          <w:p w14:paraId="223C16B9">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p>
          <w:p w14:paraId="5D089444">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p>
          <w:p w14:paraId="51BDE35C">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p>
          <w:p w14:paraId="437234BB">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p>
          <w:p w14:paraId="7AE28901">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p>
          <w:p w14:paraId="71E411C7">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p>
          <w:p w14:paraId="643531E0">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p>
          <w:p w14:paraId="44979E27">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p>
          <w:p w14:paraId="3F85736E">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p>
          <w:p w14:paraId="3BE4BE20">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p>
          <w:p w14:paraId="2D9B6607">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p>
          <w:p w14:paraId="4BB5AF57">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p>
          <w:p w14:paraId="0D8C5311">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p>
          <w:p w14:paraId="040155FD">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p>
          <w:p w14:paraId="5FEFFD80">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p>
          <w:p w14:paraId="48344E34">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p>
          <w:p w14:paraId="20164D2B">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p>
          <w:p w14:paraId="636068FF">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p>
          <w:p w14:paraId="70252745">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p>
          <w:p w14:paraId="1EA2E4A7">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p>
          <w:p w14:paraId="48E59BF2">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12</w:t>
            </w:r>
          </w:p>
          <w:p w14:paraId="25BD1578">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p>
        </w:tc>
        <w:tc>
          <w:tcPr>
            <w:tcW w:w="758" w:type="dxa"/>
            <w:noWrap w:val="0"/>
            <w:vAlign w:val="center"/>
          </w:tcPr>
          <w:p w14:paraId="38C6FD55">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基层代表刘荣</w:t>
            </w:r>
          </w:p>
        </w:tc>
        <w:tc>
          <w:tcPr>
            <w:tcW w:w="4119" w:type="dxa"/>
            <w:noWrap w:val="0"/>
            <w:vAlign w:val="center"/>
          </w:tcPr>
          <w:p w14:paraId="1B92D1DE">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eastAsia="zh-CN" w:bidi="ar-SA"/>
              </w:rPr>
              <w:t>对原第二十九条的意见：“选择货币补偿，是否考虑几个月的临时安置费”</w:t>
            </w:r>
          </w:p>
        </w:tc>
        <w:tc>
          <w:tcPr>
            <w:tcW w:w="791" w:type="dxa"/>
            <w:noWrap w:val="0"/>
            <w:vAlign w:val="center"/>
          </w:tcPr>
          <w:p w14:paraId="70CD41F5">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eastAsia="zh-CN" w:bidi="ar-SA"/>
              </w:rPr>
              <w:t>该意见不采纳</w:t>
            </w:r>
          </w:p>
        </w:tc>
        <w:tc>
          <w:tcPr>
            <w:tcW w:w="3231" w:type="dxa"/>
            <w:noWrap w:val="0"/>
            <w:vAlign w:val="center"/>
          </w:tcPr>
          <w:p w14:paraId="76FE915B">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w:t>
            </w:r>
          </w:p>
        </w:tc>
        <w:tc>
          <w:tcPr>
            <w:tcW w:w="5496" w:type="dxa"/>
            <w:noWrap w:val="0"/>
            <w:vAlign w:val="center"/>
          </w:tcPr>
          <w:p w14:paraId="6EBD80B8">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上位法有依据：省人民政府令第268号第二十条 “采取产权调换并实行过渡安置方式的，在过渡安置期间，对自行解决周转用房的被征收人，应当按照设区的市（自治州）、县市人民政府制定的标准支付临时安置费”，选择货币补偿的无须实行过渡安置。</w:t>
            </w:r>
          </w:p>
          <w:p w14:paraId="58609ED0">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本条意见不采纳已与刘荣代表沟通协商一致。</w:t>
            </w:r>
          </w:p>
          <w:p w14:paraId="092990AE">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p>
        </w:tc>
      </w:tr>
      <w:tr w14:paraId="3C98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44" w:type="dxa"/>
            <w:vMerge w:val="continue"/>
            <w:noWrap w:val="0"/>
            <w:vAlign w:val="center"/>
          </w:tcPr>
          <w:p w14:paraId="73C99B5B">
            <w:pPr>
              <w:rPr>
                <w:color w:val="auto"/>
              </w:rPr>
            </w:pPr>
          </w:p>
        </w:tc>
        <w:tc>
          <w:tcPr>
            <w:tcW w:w="758" w:type="dxa"/>
            <w:noWrap w:val="0"/>
            <w:vAlign w:val="center"/>
          </w:tcPr>
          <w:p w14:paraId="36697FB8">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基层代表刘荣</w:t>
            </w:r>
          </w:p>
        </w:tc>
        <w:tc>
          <w:tcPr>
            <w:tcW w:w="4119" w:type="dxa"/>
            <w:noWrap w:val="0"/>
            <w:vAlign w:val="center"/>
          </w:tcPr>
          <w:p w14:paraId="1449F5AA">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eastAsia="zh-CN" w:bidi="ar-SA"/>
              </w:rPr>
              <w:t>对原第三十条的意见：“生产、经营性用房，合法经营租赁户的权益保障未明确”</w:t>
            </w:r>
          </w:p>
        </w:tc>
        <w:tc>
          <w:tcPr>
            <w:tcW w:w="791" w:type="dxa"/>
            <w:noWrap w:val="0"/>
            <w:vAlign w:val="center"/>
          </w:tcPr>
          <w:p w14:paraId="3689B6A3">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eastAsia="zh-CN" w:bidi="ar-SA"/>
              </w:rPr>
              <w:t>该意见不采纳</w:t>
            </w:r>
          </w:p>
        </w:tc>
        <w:tc>
          <w:tcPr>
            <w:tcW w:w="3231" w:type="dxa"/>
            <w:noWrap w:val="0"/>
            <w:vAlign w:val="center"/>
          </w:tcPr>
          <w:p w14:paraId="55C73CCD">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w:t>
            </w:r>
          </w:p>
        </w:tc>
        <w:tc>
          <w:tcPr>
            <w:tcW w:w="5496" w:type="dxa"/>
            <w:noWrap w:val="0"/>
            <w:vAlign w:val="center"/>
          </w:tcPr>
          <w:p w14:paraId="6AEC510B">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上位法有规定。国务院令第590号第二条 “为了公共利益的需要，征收国有土地上单位、个人的房屋，应当对被征收房屋所有权人（以下称被征收人）给予公平补偿”。房屋租赁户不是房屋所有权人，也不是被征收人，不属本实施办法补偿范畴，合法经营租赁户的权益保障可在项目征收补偿安置方案中明确。</w:t>
            </w:r>
          </w:p>
          <w:p w14:paraId="7D37B00A">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本条意见不采纳已与刘荣代表沟通协商一致。</w:t>
            </w:r>
          </w:p>
        </w:tc>
      </w:tr>
      <w:tr w14:paraId="75FC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44" w:type="dxa"/>
            <w:vMerge w:val="continue"/>
            <w:noWrap w:val="0"/>
            <w:vAlign w:val="center"/>
          </w:tcPr>
          <w:p w14:paraId="103B19B2">
            <w:pPr>
              <w:rPr>
                <w:color w:val="auto"/>
              </w:rPr>
            </w:pPr>
          </w:p>
        </w:tc>
        <w:tc>
          <w:tcPr>
            <w:tcW w:w="758" w:type="dxa"/>
            <w:noWrap w:val="0"/>
            <w:vAlign w:val="center"/>
          </w:tcPr>
          <w:p w14:paraId="5E919B9E">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群众代表邓志晖</w:t>
            </w:r>
          </w:p>
        </w:tc>
        <w:tc>
          <w:tcPr>
            <w:tcW w:w="4119" w:type="dxa"/>
            <w:noWrap w:val="0"/>
            <w:vAlign w:val="center"/>
          </w:tcPr>
          <w:p w14:paraId="4A6BE246">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val="en-US" w:eastAsia="zh-CN" w:bidi="ar-SA"/>
              </w:rPr>
              <w:t>建议</w:t>
            </w:r>
            <w:r>
              <w:rPr>
                <w:rFonts w:hint="eastAsia" w:ascii="仿宋_GB2312" w:eastAsia="仿宋_GB2312" w:cs="仿宋_GB2312"/>
                <w:color w:val="auto"/>
                <w:sz w:val="24"/>
                <w:szCs w:val="24"/>
                <w:lang w:eastAsia="zh-CN" w:bidi="ar-SA"/>
              </w:rPr>
              <w:t>“明确征收补偿产权调换及选择房票补偿的具体细化标准。是否因地制宜灵活按统一标准实施”</w:t>
            </w:r>
          </w:p>
          <w:p w14:paraId="238B979D">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p>
        </w:tc>
        <w:tc>
          <w:tcPr>
            <w:tcW w:w="791" w:type="dxa"/>
            <w:noWrap w:val="0"/>
            <w:vAlign w:val="center"/>
          </w:tcPr>
          <w:p w14:paraId="6AE11B5A">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eastAsia="zh-CN" w:bidi="ar-SA"/>
              </w:rPr>
              <w:t>该意见不采纳</w:t>
            </w:r>
          </w:p>
        </w:tc>
        <w:tc>
          <w:tcPr>
            <w:tcW w:w="3231" w:type="dxa"/>
            <w:noWrap w:val="0"/>
            <w:vAlign w:val="center"/>
          </w:tcPr>
          <w:p w14:paraId="39D408BF">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w:t>
            </w:r>
          </w:p>
        </w:tc>
        <w:tc>
          <w:tcPr>
            <w:tcW w:w="5496" w:type="dxa"/>
            <w:noWrap w:val="0"/>
            <w:vAlign w:val="center"/>
          </w:tcPr>
          <w:p w14:paraId="62865D9F">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房票补偿不宜在本实施办法明确，市政府另有具体规定。</w:t>
            </w:r>
          </w:p>
          <w:p w14:paraId="76E85AA9">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本条意见不采纳已与邓志晖代表沟通协商一致。</w:t>
            </w:r>
          </w:p>
          <w:p w14:paraId="356726D7">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p>
        </w:tc>
      </w:tr>
      <w:tr w14:paraId="0BC08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44" w:type="dxa"/>
            <w:vMerge w:val="continue"/>
            <w:noWrap w:val="0"/>
            <w:vAlign w:val="center"/>
          </w:tcPr>
          <w:p w14:paraId="403F2D6D">
            <w:pPr>
              <w:rPr>
                <w:color w:val="auto"/>
              </w:rPr>
            </w:pPr>
          </w:p>
        </w:tc>
        <w:tc>
          <w:tcPr>
            <w:tcW w:w="758" w:type="dxa"/>
            <w:noWrap w:val="0"/>
            <w:vAlign w:val="center"/>
          </w:tcPr>
          <w:p w14:paraId="5D1A5A10">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市政协委员吴祁山</w:t>
            </w:r>
          </w:p>
        </w:tc>
        <w:tc>
          <w:tcPr>
            <w:tcW w:w="4119" w:type="dxa"/>
            <w:noWrap w:val="0"/>
            <w:vAlign w:val="center"/>
          </w:tcPr>
          <w:p w14:paraId="4A782504">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对原第四条意见：“永州市住房和城乡建设部门为市级征收部门”建议改为“永州市建设行政主管部门为市级房屋征收部门”。</w:t>
            </w:r>
          </w:p>
          <w:p w14:paraId="286D78EE">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p>
        </w:tc>
        <w:tc>
          <w:tcPr>
            <w:tcW w:w="791" w:type="dxa"/>
            <w:noWrap w:val="0"/>
            <w:vAlign w:val="center"/>
          </w:tcPr>
          <w:p w14:paraId="232E0B76">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eastAsia="zh-CN" w:bidi="ar-SA"/>
              </w:rPr>
              <w:t>该意见采纳</w:t>
            </w:r>
          </w:p>
        </w:tc>
        <w:tc>
          <w:tcPr>
            <w:tcW w:w="3231" w:type="dxa"/>
            <w:noWrap w:val="0"/>
            <w:vAlign w:val="center"/>
          </w:tcPr>
          <w:p w14:paraId="75BC3E04">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第四条“永州市建设行政主管部门为市级房屋征收部门”。</w:t>
            </w:r>
          </w:p>
          <w:p w14:paraId="2DA88E1E">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p>
        </w:tc>
        <w:tc>
          <w:tcPr>
            <w:tcW w:w="5496" w:type="dxa"/>
            <w:noWrap w:val="0"/>
            <w:vAlign w:val="center"/>
          </w:tcPr>
          <w:p w14:paraId="353ED614">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eastAsia="zh-CN" w:bidi="ar-SA"/>
              </w:rPr>
              <w:t>规范性文件出台有效期为5年，考虑到下一步机构改革住建部门的名称可能会有改变。</w:t>
            </w:r>
          </w:p>
        </w:tc>
      </w:tr>
      <w:tr w14:paraId="72489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44" w:type="dxa"/>
            <w:vMerge w:val="continue"/>
            <w:noWrap w:val="0"/>
            <w:vAlign w:val="center"/>
          </w:tcPr>
          <w:p w14:paraId="0DA03D8C">
            <w:pPr>
              <w:rPr>
                <w:color w:val="auto"/>
              </w:rPr>
            </w:pPr>
          </w:p>
        </w:tc>
        <w:tc>
          <w:tcPr>
            <w:tcW w:w="758" w:type="dxa"/>
            <w:noWrap w:val="0"/>
            <w:vAlign w:val="center"/>
          </w:tcPr>
          <w:p w14:paraId="60A6A45E">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kern w:val="2"/>
                <w:sz w:val="24"/>
                <w:szCs w:val="24"/>
                <w:lang w:val="en-US" w:eastAsia="zh-CN" w:bidi="ar-SA"/>
              </w:rPr>
            </w:pPr>
            <w:r>
              <w:rPr>
                <w:rFonts w:hint="eastAsia" w:ascii="仿宋_GB2312" w:eastAsia="仿宋_GB2312" w:cs="仿宋_GB2312"/>
                <w:color w:val="auto"/>
                <w:sz w:val="24"/>
                <w:szCs w:val="24"/>
                <w:lang w:eastAsia="zh-CN" w:bidi="ar-SA"/>
              </w:rPr>
              <w:t>市政协委员吴祁山</w:t>
            </w:r>
          </w:p>
        </w:tc>
        <w:tc>
          <w:tcPr>
            <w:tcW w:w="4119" w:type="dxa"/>
            <w:noWrap w:val="0"/>
            <w:vAlign w:val="center"/>
          </w:tcPr>
          <w:p w14:paraId="3E1C573F">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val="en-US" w:eastAsia="zh-CN" w:bidi="ar-SA"/>
              </w:rPr>
              <w:t>对原</w:t>
            </w:r>
            <w:r>
              <w:rPr>
                <w:rFonts w:hint="eastAsia" w:ascii="仿宋_GB2312" w:eastAsia="仿宋_GB2312" w:cs="仿宋_GB2312"/>
                <w:color w:val="auto"/>
                <w:sz w:val="24"/>
                <w:szCs w:val="24"/>
                <w:lang w:eastAsia="zh-CN" w:bidi="ar-SA"/>
              </w:rPr>
              <w:t>第六条第二行意见：“征收工作”后面加括号备注（含市级投资建设项目）。</w:t>
            </w:r>
          </w:p>
        </w:tc>
        <w:tc>
          <w:tcPr>
            <w:tcW w:w="791" w:type="dxa"/>
            <w:noWrap w:val="0"/>
            <w:vAlign w:val="center"/>
          </w:tcPr>
          <w:p w14:paraId="1FDA2C0C">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eastAsia="zh-CN" w:bidi="ar-SA"/>
              </w:rPr>
              <w:t>该意见采纳</w:t>
            </w:r>
          </w:p>
        </w:tc>
        <w:tc>
          <w:tcPr>
            <w:tcW w:w="3231" w:type="dxa"/>
            <w:noWrap w:val="0"/>
            <w:vAlign w:val="center"/>
          </w:tcPr>
          <w:p w14:paraId="24B9FEF4">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第六条“永州市中心城区冷水滩区、零陵区全权负责各自辖区内国有土地上房屋征收工作(含市级投资建设项目)的实施、协调和管理，......”</w:t>
            </w:r>
          </w:p>
          <w:p w14:paraId="521E05D7">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p>
        </w:tc>
        <w:tc>
          <w:tcPr>
            <w:tcW w:w="5496" w:type="dxa"/>
            <w:noWrap w:val="0"/>
            <w:vAlign w:val="center"/>
          </w:tcPr>
          <w:p w14:paraId="6BA5B3B7">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增加备注后（含市级投资建设项目）表述更明晰，对冷水滩区和零陵区的征收工作职能表述更准确。</w:t>
            </w:r>
          </w:p>
          <w:p w14:paraId="7F29DF03">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p>
        </w:tc>
      </w:tr>
      <w:tr w14:paraId="1A517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44" w:type="dxa"/>
            <w:vMerge w:val="continue"/>
            <w:noWrap w:val="0"/>
            <w:vAlign w:val="center"/>
          </w:tcPr>
          <w:p w14:paraId="3582B221">
            <w:pPr>
              <w:rPr>
                <w:color w:val="auto"/>
              </w:rPr>
            </w:pPr>
          </w:p>
        </w:tc>
        <w:tc>
          <w:tcPr>
            <w:tcW w:w="758" w:type="dxa"/>
            <w:noWrap w:val="0"/>
            <w:vAlign w:val="center"/>
          </w:tcPr>
          <w:p w14:paraId="727ED5B8">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市政协委员吴祁山</w:t>
            </w:r>
          </w:p>
        </w:tc>
        <w:tc>
          <w:tcPr>
            <w:tcW w:w="4119" w:type="dxa"/>
            <w:noWrap w:val="0"/>
            <w:vAlign w:val="center"/>
          </w:tcPr>
          <w:p w14:paraId="4BAF96CE">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eastAsia="zh-CN" w:bidi="ar-SA"/>
              </w:rPr>
              <w:t>对原第二十八条第三行意见：等补充方式安置后面加“具体补偿办法按市政府相关规定执行”。</w:t>
            </w:r>
          </w:p>
        </w:tc>
        <w:tc>
          <w:tcPr>
            <w:tcW w:w="791" w:type="dxa"/>
            <w:noWrap w:val="0"/>
            <w:vAlign w:val="center"/>
          </w:tcPr>
          <w:p w14:paraId="46C4A456">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eastAsia="zh-CN" w:bidi="ar-SA"/>
              </w:rPr>
              <w:t>该意见采纳</w:t>
            </w:r>
          </w:p>
        </w:tc>
        <w:tc>
          <w:tcPr>
            <w:tcW w:w="3231" w:type="dxa"/>
            <w:noWrap w:val="0"/>
            <w:vAlign w:val="center"/>
          </w:tcPr>
          <w:p w14:paraId="79A236B8">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r>
              <w:rPr>
                <w:rFonts w:hint="eastAsia" w:ascii="仿宋_GB2312" w:eastAsia="仿宋_GB2312" w:cs="仿宋_GB2312"/>
                <w:color w:val="auto"/>
                <w:sz w:val="24"/>
                <w:szCs w:val="24"/>
                <w:lang w:eastAsia="zh-CN" w:bidi="ar-SA"/>
              </w:rPr>
              <w:t>第二十八条“被征收人可以选择货币补偿，也可以选择房屋产权调换。具备实施条件的项目，被征收人可选择房票等补充方式安置，具体补偿安置标准按市政府相关规定执行”</w:t>
            </w:r>
          </w:p>
          <w:p w14:paraId="2A9D6771">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eastAsia="zh-CN" w:bidi="ar-SA"/>
              </w:rPr>
            </w:pPr>
          </w:p>
        </w:tc>
        <w:tc>
          <w:tcPr>
            <w:tcW w:w="5496" w:type="dxa"/>
            <w:noWrap w:val="0"/>
            <w:vAlign w:val="center"/>
          </w:tcPr>
          <w:p w14:paraId="76A5FB51">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auto"/>
                <w:sz w:val="24"/>
                <w:szCs w:val="24"/>
                <w:lang w:val="en-US" w:eastAsia="zh-CN" w:bidi="ar-SA"/>
              </w:rPr>
            </w:pPr>
            <w:r>
              <w:rPr>
                <w:rFonts w:hint="eastAsia" w:ascii="仿宋_GB2312" w:eastAsia="仿宋_GB2312" w:cs="仿宋_GB2312"/>
                <w:color w:val="auto"/>
                <w:sz w:val="24"/>
                <w:szCs w:val="24"/>
                <w:lang w:eastAsia="zh-CN" w:bidi="ar-SA"/>
              </w:rPr>
              <w:t>增加该内容后表述更清晰、更准确。</w:t>
            </w:r>
          </w:p>
        </w:tc>
      </w:tr>
    </w:tbl>
    <w:p w14:paraId="6C5B9AF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eastAsia="仿宋" w:cs="仿宋"/>
          <w:b/>
          <w:bCs/>
          <w:sz w:val="28"/>
          <w:szCs w:val="28"/>
          <w:lang w:bidi="ar-SA"/>
        </w:rPr>
      </w:pPr>
      <w:r>
        <w:rPr>
          <w:rFonts w:hint="eastAsia" w:ascii="仿宋" w:eastAsia="仿宋" w:cs="仿宋"/>
          <w:b/>
          <w:bCs/>
          <w:color w:val="auto"/>
          <w:sz w:val="28"/>
          <w:szCs w:val="28"/>
          <w:lang w:bidi="ar-SA"/>
        </w:rPr>
        <w:t>注：</w:t>
      </w:r>
    </w:p>
    <w:p w14:paraId="2D0A578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eastAsia="仿宋" w:cs="仿宋"/>
          <w:b/>
          <w:bCs/>
          <w:sz w:val="28"/>
          <w:szCs w:val="28"/>
          <w:lang w:bidi="ar-SA"/>
        </w:rPr>
      </w:pPr>
      <w:r>
        <w:rPr>
          <w:rFonts w:hint="eastAsia" w:ascii="仿宋" w:eastAsia="仿宋" w:cs="仿宋"/>
          <w:b/>
          <w:bCs/>
          <w:sz w:val="28"/>
          <w:szCs w:val="28"/>
          <w:lang w:bidi="ar-SA"/>
        </w:rPr>
        <w:t>1、共收到书面意见43条，采纳10条，部分采纳7条，未采纳26条；</w:t>
      </w:r>
    </w:p>
    <w:p w14:paraId="6DA0F7A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eastAsia="仿宋" w:cs="仿宋"/>
          <w:b/>
          <w:bCs/>
          <w:sz w:val="28"/>
          <w:szCs w:val="28"/>
          <w:lang w:bidi="ar-SA"/>
        </w:rPr>
      </w:pPr>
      <w:r>
        <w:rPr>
          <w:rFonts w:hint="eastAsia" w:ascii="仿宋" w:eastAsia="仿宋" w:cs="仿宋"/>
          <w:b/>
          <w:bCs/>
          <w:sz w:val="28"/>
          <w:szCs w:val="28"/>
          <w:lang w:bidi="ar-SA"/>
        </w:rPr>
        <w:t>2、市发改委、市公安局、市民政局、市场监管局、市税务局、市人社局、市教育局、市信访局、市文化局、市卫健委、市司法局、市</w:t>
      </w:r>
      <w:r>
        <w:rPr>
          <w:rFonts w:hint="eastAsia" w:ascii="仿宋" w:eastAsia="仿宋" w:cs="仿宋"/>
          <w:b/>
          <w:bCs/>
          <w:sz w:val="28"/>
          <w:szCs w:val="28"/>
          <w:lang w:eastAsia="zh-CN" w:bidi="ar-SA"/>
        </w:rPr>
        <w:t>委</w:t>
      </w:r>
      <w:bookmarkStart w:id="0" w:name="_GoBack"/>
      <w:bookmarkEnd w:id="0"/>
      <w:r>
        <w:rPr>
          <w:rFonts w:hint="eastAsia" w:ascii="仿宋" w:eastAsia="仿宋" w:cs="仿宋"/>
          <w:b/>
          <w:bCs/>
          <w:sz w:val="28"/>
          <w:szCs w:val="28"/>
          <w:lang w:bidi="ar-SA"/>
        </w:rPr>
        <w:t>政法委、市国资委、市人民银行、零陵区人民政府、东安县人民、双牌县人民政府政府、道县人民政府、宁远县人民政府、新田县人民政府、蓝山县人民政府、江华县人民政府、金洞管理区管委会、回龙圩管理区管委会、永州市经开区管委会等25个市直单位/县市区人民政府反馈无意见；</w:t>
      </w:r>
    </w:p>
    <w:p w14:paraId="7258999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eastAsia="仿宋" w:cs="仿宋"/>
          <w:b/>
          <w:bCs/>
          <w:sz w:val="28"/>
          <w:szCs w:val="28"/>
          <w:lang w:bidi="ar-SA"/>
        </w:rPr>
      </w:pPr>
      <w:r>
        <w:rPr>
          <w:rFonts w:hint="eastAsia" w:ascii="仿宋" w:eastAsia="仿宋" w:cs="仿宋"/>
          <w:b/>
          <w:bCs/>
          <w:sz w:val="28"/>
          <w:szCs w:val="28"/>
          <w:lang w:bidi="ar-SA"/>
        </w:rPr>
        <w:t>3、听证代表黄宏兵、潘水红（人大代表）、高杰、罗军山、颜海军反馈无意见；</w:t>
      </w:r>
    </w:p>
    <w:p w14:paraId="6DBFB63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eastAsia="仿宋" w:cs="仿宋"/>
          <w:b/>
          <w:bCs/>
          <w:sz w:val="28"/>
          <w:szCs w:val="28"/>
          <w:lang w:bidi="ar-SA"/>
        </w:rPr>
      </w:pPr>
      <w:r>
        <w:rPr>
          <w:rFonts w:hint="eastAsia" w:ascii="仿宋" w:eastAsia="仿宋" w:cs="仿宋"/>
          <w:b/>
          <w:bCs/>
          <w:sz w:val="28"/>
          <w:szCs w:val="28"/>
          <w:lang w:bidi="ar-SA"/>
        </w:rPr>
        <w:t>4、公开征求意见及意见公示期间</w:t>
      </w:r>
      <w:r>
        <w:rPr>
          <w:rFonts w:hint="eastAsia" w:ascii="仿宋" w:eastAsia="仿宋" w:cs="仿宋"/>
          <w:b/>
          <w:bCs/>
          <w:sz w:val="28"/>
          <w:szCs w:val="28"/>
          <w:lang w:eastAsia="zh-CN" w:bidi="ar-SA"/>
        </w:rPr>
        <w:t>，</w:t>
      </w:r>
      <w:r>
        <w:rPr>
          <w:rFonts w:hint="eastAsia" w:ascii="仿宋" w:eastAsia="仿宋" w:cs="仿宋"/>
          <w:b/>
          <w:bCs/>
          <w:sz w:val="28"/>
          <w:szCs w:val="28"/>
          <w:lang w:bidi="ar-SA"/>
        </w:rPr>
        <w:t>未收到反馈意见。</w:t>
      </w:r>
    </w:p>
    <w:p w14:paraId="159A2EE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eastAsia="仿宋" w:cs="仿宋"/>
          <w:b/>
          <w:bCs/>
          <w:sz w:val="28"/>
          <w:szCs w:val="28"/>
          <w:lang w:bidi="ar-SA"/>
        </w:rPr>
      </w:pPr>
    </w:p>
    <w:p w14:paraId="3A8DAE72">
      <w:pPr>
        <w:spacing w:line="600" w:lineRule="exact"/>
        <w:ind w:firstLine="640" w:firstLineChars="200"/>
        <w:jc w:val="right"/>
        <w:rPr>
          <w:rFonts w:hint="eastAsia" w:ascii="仿宋" w:eastAsia="仿宋" w:cs="仿宋"/>
          <w:sz w:val="32"/>
          <w:szCs w:val="32"/>
          <w:lang w:bidi="ar-SA"/>
        </w:rPr>
      </w:pPr>
    </w:p>
    <w:p w14:paraId="241BF1CF"/>
    <w:sectPr>
      <w:footerReference r:id="rId3" w:type="default"/>
      <w:pgSz w:w="16838" w:h="11906" w:orient="landscape"/>
      <w:pgMar w:top="1440" w:right="1080" w:bottom="1440" w:left="108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6EBBB">
    <w:pPr>
      <w:pStyle w:val="5"/>
      <w:framePr w:wrap="around" w:vAnchor="text" w:hAnchor="margin" w:xAlign="center" w:y="1"/>
      <w:pBdr>
        <w:top w:val="none" w:color="auto" w:sz="0" w:space="0"/>
        <w:left w:val="none" w:color="auto" w:sz="0" w:space="0"/>
        <w:bottom w:val="none" w:color="auto" w:sz="0" w:space="0"/>
        <w:right w:val="none" w:color="auto" w:sz="0" w:space="0"/>
      </w:pBdr>
    </w:pPr>
    <w:r>
      <w:rPr>
        <w:rStyle w:val="10"/>
      </w:rPr>
      <w:fldChar w:fldCharType="begin"/>
    </w:r>
    <w:r>
      <w:rPr>
        <w:rStyle w:val="10"/>
      </w:rPr>
      <w:instrText xml:space="preserve">Page</w:instrText>
    </w:r>
    <w:r>
      <w:rPr>
        <w:rStyle w:val="10"/>
      </w:rPr>
      <w:fldChar w:fldCharType="separate"/>
    </w:r>
    <w:r>
      <w:rPr>
        <w:rStyle w:val="10"/>
      </w:rPr>
      <w:t>1</w:t>
    </w:r>
    <w:r>
      <w:rPr>
        <w:rStyle w:val="10"/>
      </w:rPr>
      <w:fldChar w:fldCharType="end"/>
    </w:r>
  </w:p>
  <w:p w14:paraId="65FC519C">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90FDF"/>
    <w:rsid w:val="2B7428E7"/>
    <w:rsid w:val="5D7111CF"/>
    <w:rsid w:val="6AFA3199"/>
    <w:rsid w:val="7ED6997E"/>
    <w:rsid w:val="7F3F8326"/>
    <w:rsid w:val="93BDFB61"/>
    <w:rsid w:val="BA7B23C6"/>
    <w:rsid w:val="DFDB383E"/>
    <w:rsid w:val="E7EF5CC4"/>
    <w:rsid w:val="F3FF8FF4"/>
    <w:rsid w:val="F4AFD3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7"/>
      </w:tabs>
      <w:snapToGrid w:val="0"/>
      <w:jc w:val="left"/>
    </w:pPr>
    <w:rPr>
      <w:sz w:val="18"/>
    </w:rPr>
  </w:style>
  <w:style w:type="paragraph" w:styleId="6">
    <w:name w:val="header"/>
    <w:basedOn w:val="1"/>
    <w:uiPriority w:val="0"/>
    <w:pPr>
      <w:pBdr>
        <w:bottom w:val="single" w:color="auto" w:sz="6" w:space="1"/>
      </w:pBdr>
      <w:tabs>
        <w:tab w:val="center" w:pos="4153"/>
        <w:tab w:val="right" w:pos="8307"/>
      </w:tabs>
      <w:snapToGrid w:val="0"/>
      <w:jc w:val="center"/>
    </w:pPr>
    <w:rPr>
      <w:sz w:val="18"/>
    </w:rPr>
  </w:style>
  <w:style w:type="paragraph" w:styleId="7">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cs="宋体"/>
      <w:kern w:val="0"/>
      <w:sz w:val="24"/>
      <w:szCs w:val="24"/>
      <w:lang w:val="en-US" w:eastAsia="zh-CN" w:bidi="ar"/>
    </w:rPr>
  </w:style>
  <w:style w:type="character" w:styleId="10">
    <w:name w:val="page number"/>
    <w:basedOn w:val="9"/>
    <w:uiPriority w:val="0"/>
  </w:style>
  <w:style w:type="character" w:styleId="11">
    <w:name w:val="Hyperlink"/>
    <w:basedOn w:val="9"/>
    <w:uiPriority w:val="0"/>
    <w:rPr>
      <w:color w:val="0000FF"/>
      <w:u w:val="single"/>
    </w:rPr>
  </w:style>
  <w:style w:type="paragraph" w:customStyle="1" w:styleId="12">
    <w:name w:val="批注框文本1"/>
    <w:basedOn w:val="1"/>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Pages>
  <Words>7434</Words>
  <Characters>7553</Characters>
  <TotalTime>15</TotalTime>
  <ScaleCrop>false</ScaleCrop>
  <LinksUpToDate>false</LinksUpToDate>
  <CharactersWithSpaces>7578</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2025-07-20T17:34:00Z</dcterms:created>
  <dc:creator>kylin</dc:creator>
  <cp:lastModifiedBy>唐亚云</cp:lastModifiedBy>
  <dcterms:modified xsi:type="dcterms:W3CDTF">2025-12-10T08:40:00Z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eyJoZGlkIjoiNWJkMDk4MTMzNGNiNmU5OWIyZDkyZTk2ZDNkMzdjZjgifQ==</vt:lpwstr>
  </property>
  <property fmtid="{D5CDD505-2E9C-101B-9397-08002B2CF9AE}" pid="4" name="ICV">
    <vt:lpwstr>7BEB43D253714F6ABC120A219A437B5D_13</vt:lpwstr>
  </property>
</Properties>
</file>