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2FC44">
      <w:pPr>
        <w:pStyle w:val="16"/>
        <w:jc w:val="center"/>
        <w:rPr>
          <w:sz w:val="56"/>
          <w:szCs w:val="56"/>
        </w:rPr>
      </w:pPr>
    </w:p>
    <w:p w14:paraId="4EEF39A8">
      <w:pPr>
        <w:pStyle w:val="16"/>
        <w:jc w:val="center"/>
        <w:rPr>
          <w:sz w:val="56"/>
          <w:szCs w:val="56"/>
        </w:rPr>
      </w:pPr>
    </w:p>
    <w:p w14:paraId="68CCBD98">
      <w:pPr>
        <w:pStyle w:val="16"/>
        <w:jc w:val="both"/>
        <w:rPr>
          <w:sz w:val="84"/>
          <w:szCs w:val="84"/>
        </w:rPr>
      </w:pPr>
    </w:p>
    <w:p w14:paraId="48DFC7EE">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5E346985">
      <w:pPr>
        <w:pStyle w:val="16"/>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永州人民政府国有资产监督管理委员会</w:t>
      </w:r>
    </w:p>
    <w:p w14:paraId="4EB795E8">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35FFF537">
      <w:pPr>
        <w:pStyle w:val="16"/>
        <w:jc w:val="center"/>
        <w:rPr>
          <w:rFonts w:hint="eastAsia" w:ascii="方正小标宋_GBK" w:hAnsi="方正小标宋_GBK" w:eastAsia="方正小标宋_GBK" w:cs="方正小标宋_GBK"/>
          <w:sz w:val="56"/>
          <w:szCs w:val="56"/>
        </w:rPr>
      </w:pPr>
    </w:p>
    <w:p w14:paraId="4E5C40F4">
      <w:pPr>
        <w:pStyle w:val="16"/>
        <w:jc w:val="center"/>
        <w:rPr>
          <w:sz w:val="56"/>
          <w:szCs w:val="56"/>
        </w:rPr>
      </w:pPr>
    </w:p>
    <w:p w14:paraId="63E778A5">
      <w:pPr>
        <w:pStyle w:val="16"/>
        <w:jc w:val="both"/>
        <w:rPr>
          <w:sz w:val="32"/>
          <w:szCs w:val="32"/>
        </w:rPr>
      </w:pPr>
    </w:p>
    <w:p w14:paraId="2540F961">
      <w:pPr>
        <w:pStyle w:val="16"/>
        <w:spacing w:line="540" w:lineRule="exact"/>
        <w:jc w:val="center"/>
        <w:rPr>
          <w:sz w:val="56"/>
          <w:szCs w:val="56"/>
        </w:rPr>
      </w:pPr>
    </w:p>
    <w:p w14:paraId="7879FBE8">
      <w:pPr>
        <w:pStyle w:val="16"/>
        <w:spacing w:line="500" w:lineRule="exact"/>
        <w:jc w:val="both"/>
        <w:rPr>
          <w:b/>
          <w:sz w:val="36"/>
          <w:szCs w:val="28"/>
        </w:rPr>
      </w:pPr>
    </w:p>
    <w:p w14:paraId="7F5E1FB2">
      <w:pPr>
        <w:pStyle w:val="16"/>
        <w:spacing w:line="500" w:lineRule="exact"/>
        <w:jc w:val="center"/>
        <w:rPr>
          <w:rFonts w:hint="eastAsia"/>
          <w:b/>
          <w:sz w:val="36"/>
          <w:szCs w:val="28"/>
        </w:rPr>
      </w:pPr>
    </w:p>
    <w:p w14:paraId="4DDEF1F7">
      <w:pPr>
        <w:pStyle w:val="16"/>
        <w:spacing w:line="500" w:lineRule="exact"/>
        <w:jc w:val="center"/>
        <w:rPr>
          <w:rFonts w:hint="eastAsia"/>
          <w:b/>
          <w:sz w:val="36"/>
          <w:szCs w:val="28"/>
        </w:rPr>
      </w:pPr>
      <w:r>
        <w:rPr>
          <w:rFonts w:hint="eastAsia"/>
          <w:b/>
          <w:sz w:val="36"/>
          <w:szCs w:val="28"/>
        </w:rPr>
        <w:t>目录</w:t>
      </w:r>
    </w:p>
    <w:p w14:paraId="5A5A5A73">
      <w:pPr>
        <w:pStyle w:val="16"/>
        <w:keepNext w:val="0"/>
        <w:keepLines w:val="0"/>
        <w:pageBreakBefore w:val="0"/>
        <w:widowControl w:val="0"/>
        <w:kinsoku/>
        <w:wordWrap/>
        <w:overflowPunct/>
        <w:topLinePunct w:val="0"/>
        <w:bidi w:val="0"/>
        <w:snapToGrid/>
        <w:spacing w:line="620" w:lineRule="exact"/>
        <w:jc w:val="center"/>
        <w:textAlignment w:val="auto"/>
        <w:rPr>
          <w:rFonts w:hint="eastAsia"/>
          <w:b/>
          <w:sz w:val="36"/>
          <w:szCs w:val="28"/>
        </w:rPr>
      </w:pPr>
    </w:p>
    <w:p w14:paraId="5B6FC791">
      <w:pPr>
        <w:pStyle w:val="16"/>
        <w:keepNext w:val="0"/>
        <w:keepLines w:val="0"/>
        <w:pageBreakBefore w:val="0"/>
        <w:widowControl w:val="0"/>
        <w:kinsoku/>
        <w:wordWrap/>
        <w:overflowPunct/>
        <w:topLinePunct w:val="0"/>
        <w:bidi w:val="0"/>
        <w:snapToGrid/>
        <w:spacing w:line="6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b/>
          <w:sz w:val="28"/>
          <w:szCs w:val="28"/>
        </w:rPr>
        <w:t>永州市人民政府国有资产监督管理委员会概况</w:t>
      </w:r>
    </w:p>
    <w:p w14:paraId="032FC59A">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02CC9B9">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EA3419F">
      <w:pPr>
        <w:pStyle w:val="16"/>
        <w:keepNext w:val="0"/>
        <w:keepLines w:val="0"/>
        <w:pageBreakBefore w:val="0"/>
        <w:widowControl w:val="0"/>
        <w:kinsoku/>
        <w:wordWrap/>
        <w:overflowPunct/>
        <w:topLinePunct w:val="0"/>
        <w:bidi w:val="0"/>
        <w:snapToGrid/>
        <w:spacing w:line="6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AAB7C66">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7561F5A">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34D36AB">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EDBB095">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C4DFEC3">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9D968F6">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EA67224">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A90E34D">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A2A0707">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2FF126F">
      <w:pPr>
        <w:pStyle w:val="16"/>
        <w:keepNext w:val="0"/>
        <w:keepLines w:val="0"/>
        <w:pageBreakBefore w:val="0"/>
        <w:widowControl w:val="0"/>
        <w:kinsoku/>
        <w:wordWrap/>
        <w:overflowPunct/>
        <w:topLinePunct w:val="0"/>
        <w:bidi w:val="0"/>
        <w:snapToGrid/>
        <w:spacing w:line="6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912135D">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99E3433">
      <w:pPr>
        <w:keepNext w:val="0"/>
        <w:keepLines w:val="0"/>
        <w:pageBreakBefore w:val="0"/>
        <w:widowControl w:val="0"/>
        <w:kinsoku/>
        <w:wordWrap/>
        <w:overflowPunct/>
        <w:topLinePunct w:val="0"/>
        <w:bidi w:val="0"/>
        <w:snapToGrid/>
        <w:spacing w:line="62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A908963">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DB67C11">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F51FFD6">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104489F">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EACA2D3">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4D82D599">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3EAA7EE">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125033D">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4A14E8D">
      <w:pPr>
        <w:keepNext w:val="0"/>
        <w:keepLines w:val="0"/>
        <w:pageBreakBefore w:val="0"/>
        <w:widowControl w:val="0"/>
        <w:kinsoku/>
        <w:wordWrap/>
        <w:overflowPunct/>
        <w:topLinePunct w:val="0"/>
        <w:autoSpaceDE w:val="0"/>
        <w:autoSpaceDN w:val="0"/>
        <w:bidi w:val="0"/>
        <w:adjustRightInd w:val="0"/>
        <w:snapToGrid/>
        <w:spacing w:line="62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F18BA01">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DFADB8F">
      <w:pPr>
        <w:pStyle w:val="16"/>
        <w:keepNext w:val="0"/>
        <w:keepLines w:val="0"/>
        <w:pageBreakBefore w:val="0"/>
        <w:widowControl w:val="0"/>
        <w:kinsoku/>
        <w:wordWrap/>
        <w:overflowPunct/>
        <w:topLinePunct w:val="0"/>
        <w:bidi w:val="0"/>
        <w:snapToGrid/>
        <w:spacing w:line="62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76CE64B1">
      <w:pPr>
        <w:pStyle w:val="16"/>
        <w:keepNext w:val="0"/>
        <w:keepLines w:val="0"/>
        <w:pageBreakBefore w:val="0"/>
        <w:widowControl w:val="0"/>
        <w:kinsoku/>
        <w:wordWrap/>
        <w:overflowPunct/>
        <w:topLinePunct w:val="0"/>
        <w:bidi w:val="0"/>
        <w:snapToGrid/>
        <w:spacing w:line="62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18F0BE9">
      <w:pPr>
        <w:jc w:val="center"/>
        <w:rPr>
          <w:sz w:val="72"/>
          <w:szCs w:val="72"/>
        </w:rPr>
      </w:pPr>
    </w:p>
    <w:p w14:paraId="11D084E9">
      <w:pPr>
        <w:jc w:val="center"/>
        <w:rPr>
          <w:sz w:val="72"/>
          <w:szCs w:val="72"/>
        </w:rPr>
      </w:pPr>
    </w:p>
    <w:p w14:paraId="50C72C07">
      <w:pPr>
        <w:jc w:val="center"/>
        <w:rPr>
          <w:sz w:val="72"/>
          <w:szCs w:val="72"/>
        </w:rPr>
      </w:pPr>
    </w:p>
    <w:p w14:paraId="0DA7C3DD">
      <w:pPr>
        <w:jc w:val="center"/>
        <w:rPr>
          <w:sz w:val="72"/>
          <w:szCs w:val="72"/>
        </w:rPr>
      </w:pPr>
    </w:p>
    <w:p w14:paraId="5079FCCD">
      <w:pPr>
        <w:jc w:val="center"/>
        <w:rPr>
          <w:sz w:val="72"/>
          <w:szCs w:val="72"/>
        </w:rPr>
      </w:pPr>
    </w:p>
    <w:p w14:paraId="3D38A200">
      <w:pPr>
        <w:jc w:val="center"/>
        <w:rPr>
          <w:sz w:val="72"/>
          <w:szCs w:val="72"/>
        </w:rPr>
      </w:pPr>
    </w:p>
    <w:p w14:paraId="110BD48A">
      <w:pPr>
        <w:jc w:val="center"/>
        <w:rPr>
          <w:sz w:val="72"/>
          <w:szCs w:val="72"/>
        </w:rPr>
      </w:pPr>
    </w:p>
    <w:p w14:paraId="655BDF01">
      <w:pPr>
        <w:jc w:val="center"/>
        <w:rPr>
          <w:sz w:val="72"/>
          <w:szCs w:val="72"/>
        </w:rPr>
      </w:pPr>
    </w:p>
    <w:p w14:paraId="63B07C75">
      <w:pPr>
        <w:pStyle w:val="16"/>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 </w:t>
      </w:r>
    </w:p>
    <w:p w14:paraId="3C706A40">
      <w:pPr>
        <w:pStyle w:val="16"/>
        <w:jc w:val="center"/>
        <w:rPr>
          <w:rFonts w:hint="eastAsia" w:ascii="方正小标宋_GBK" w:hAnsi="方正小标宋_GBK" w:eastAsia="方正小标宋_GBK" w:cs="方正小标宋_GBK"/>
          <w:sz w:val="84"/>
          <w:szCs w:val="84"/>
        </w:rPr>
      </w:pPr>
    </w:p>
    <w:p w14:paraId="0A60F7F3">
      <w:pPr>
        <w:jc w:val="center"/>
        <w:rPr>
          <w:rFonts w:ascii="黑体" w:eastAsia="黑体" w:cs="黑体"/>
          <w:color w:val="000000"/>
          <w:spacing w:val="-4"/>
          <w:kern w:val="0"/>
          <w:sz w:val="70"/>
          <w:szCs w:val="70"/>
        </w:rPr>
      </w:pPr>
      <w:r>
        <w:rPr>
          <w:rFonts w:hint="eastAsia" w:ascii="黑体" w:eastAsia="黑体" w:cs="黑体"/>
          <w:color w:val="000000"/>
          <w:spacing w:val="-4"/>
          <w:kern w:val="0"/>
          <w:sz w:val="70"/>
          <w:szCs w:val="70"/>
        </w:rPr>
        <w:t>第一部分</w:t>
      </w:r>
    </w:p>
    <w:p w14:paraId="371C920D">
      <w:pPr>
        <w:jc w:val="center"/>
        <w:rPr>
          <w:rFonts w:ascii="黑体" w:eastAsia="黑体" w:cs="黑体"/>
          <w:color w:val="000000"/>
          <w:spacing w:val="-4"/>
          <w:kern w:val="0"/>
          <w:sz w:val="70"/>
          <w:szCs w:val="70"/>
        </w:rPr>
      </w:pPr>
    </w:p>
    <w:p w14:paraId="2D635A11">
      <w:pPr>
        <w:jc w:val="center"/>
        <w:rPr>
          <w:rFonts w:ascii="黑体" w:eastAsia="黑体" w:cs="黑体"/>
          <w:color w:val="000000"/>
          <w:spacing w:val="-4"/>
          <w:kern w:val="0"/>
          <w:sz w:val="70"/>
          <w:szCs w:val="70"/>
        </w:rPr>
      </w:pPr>
      <w:r>
        <w:rPr>
          <w:rFonts w:hint="eastAsia" w:ascii="黑体" w:eastAsia="黑体" w:cs="黑体"/>
          <w:color w:val="000000"/>
          <w:spacing w:val="-4"/>
          <w:kern w:val="0"/>
          <w:sz w:val="70"/>
          <w:szCs w:val="70"/>
        </w:rPr>
        <w:t>永州市人民政府国有资产监督管理委员会概况</w:t>
      </w:r>
    </w:p>
    <w:p w14:paraId="5E9AE6CA">
      <w:pPr>
        <w:widowControl/>
        <w:jc w:val="left"/>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br w:type="page"/>
      </w:r>
    </w:p>
    <w:p w14:paraId="23177B01">
      <w:pPr>
        <w:snapToGri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一、部门职责</w:t>
      </w:r>
    </w:p>
    <w:p w14:paraId="6398E409">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依照《中华人民共和国公司法》、《企业国有资产监督管理暂行条例》等法律、行政法规履行出资人职责，承担监督所监管企业国有资产保值增值的责任，指导和推进市属国有企业改革和重组；</w:t>
      </w:r>
    </w:p>
    <w:p w14:paraId="3F119581">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推进国有企业的现代企业制度建设，完善公司治理结构；</w:t>
      </w:r>
    </w:p>
    <w:p w14:paraId="763F66B1">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组织协调全市与中央、省属企业对接合作工作；</w:t>
      </w:r>
    </w:p>
    <w:p w14:paraId="6F673FD6">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通过法定程序，对所监管企业的负责人进行任免、考核、奖惩；</w:t>
      </w:r>
    </w:p>
    <w:p w14:paraId="4B1FCF66">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负责组织所监管企业上交国有资本收益；</w:t>
      </w:r>
    </w:p>
    <w:p w14:paraId="2D003DE9">
      <w:pPr>
        <w:adjustRightInd w:val="0"/>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负责企业国有资产基础管理，起草有关国有资产管理的规范性文件；根据市政府授权，代表国家对市属国有企业履行国有资产出资人职责，并进行监督管理。</w:t>
      </w:r>
    </w:p>
    <w:p w14:paraId="08702CCB">
      <w:pPr>
        <w:snapToGri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二、机构设置及决算单位构成</w:t>
      </w:r>
    </w:p>
    <w:p w14:paraId="23D8236E">
      <w:pPr>
        <w:snapToGrid w:val="0"/>
        <w:spacing w:line="360" w:lineRule="auto"/>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（一）内设机构设置。</w:t>
      </w:r>
    </w:p>
    <w:p w14:paraId="439164A9">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永州市人民政府国有资产监督管理委员会</w:t>
      </w:r>
      <w:r>
        <w:rPr>
          <w:rFonts w:hint="eastAsia" w:ascii="仿宋_GB2312" w:hAnsi="仿宋_GB2312" w:eastAsia="仿宋_GB2312" w:cs="仿宋_GB2312"/>
          <w:bCs/>
          <w:sz w:val="32"/>
          <w:szCs w:val="32"/>
        </w:rPr>
        <w:t>内设</w:t>
      </w:r>
      <w:r>
        <w:rPr>
          <w:rFonts w:hint="eastAsia" w:ascii="仿宋_GB2312" w:hAnsi="仿宋_GB2312" w:eastAsia="仿宋_GB2312" w:cs="仿宋_GB2312"/>
          <w:bCs/>
          <w:sz w:val="32"/>
          <w:szCs w:val="32"/>
          <w:lang w:val="en-US" w:eastAsia="zh-CN"/>
        </w:rPr>
        <w:t>机构包括：</w:t>
      </w:r>
      <w:r>
        <w:rPr>
          <w:rFonts w:hint="eastAsia" w:ascii="仿宋_GB2312" w:hAnsi="仿宋_GB2312" w:eastAsia="仿宋_GB2312" w:cs="仿宋_GB2312"/>
          <w:bCs/>
          <w:sz w:val="32"/>
          <w:szCs w:val="32"/>
        </w:rPr>
        <w:t>办公室（加挂党委办公室、政策法规科）、</w:t>
      </w:r>
      <w:r>
        <w:rPr>
          <w:rFonts w:hint="eastAsia" w:ascii="仿宋_GB2312" w:hAnsi="仿宋_GB2312" w:eastAsia="仿宋_GB2312" w:cs="仿宋_GB2312"/>
          <w:bCs/>
          <w:sz w:val="32"/>
          <w:szCs w:val="32"/>
          <w:lang w:val="en-US" w:eastAsia="zh-CN"/>
        </w:rPr>
        <w:t>监督与考核科</w:t>
      </w:r>
      <w:r>
        <w:rPr>
          <w:rFonts w:hint="eastAsia" w:ascii="仿宋_GB2312" w:hAnsi="仿宋_GB2312" w:eastAsia="仿宋_GB2312" w:cs="仿宋_GB2312"/>
          <w:bCs/>
          <w:sz w:val="32"/>
          <w:szCs w:val="32"/>
        </w:rPr>
        <w:t>、产权管理科、规划发展和改革改制科、人事科、</w:t>
      </w:r>
      <w:r>
        <w:rPr>
          <w:rFonts w:hint="eastAsia" w:ascii="仿宋_GB2312" w:hAnsi="仿宋_GB2312" w:eastAsia="仿宋_GB2312" w:cs="仿宋_GB2312"/>
          <w:bCs/>
          <w:sz w:val="32"/>
          <w:szCs w:val="32"/>
          <w:lang w:val="en-US" w:eastAsia="zh-CN"/>
        </w:rPr>
        <w:t>社会责任</w:t>
      </w:r>
      <w:r>
        <w:rPr>
          <w:rFonts w:hint="eastAsia" w:ascii="仿宋_GB2312" w:hAnsi="仿宋_GB2312" w:eastAsia="仿宋_GB2312" w:cs="仿宋_GB2312"/>
          <w:bCs/>
          <w:sz w:val="32"/>
          <w:szCs w:val="32"/>
        </w:rPr>
        <w:t>科、</w:t>
      </w:r>
      <w:r>
        <w:rPr>
          <w:rFonts w:hint="eastAsia" w:ascii="仿宋_GB2312" w:hAnsi="仿宋_GB2312" w:eastAsia="仿宋_GB2312" w:cs="仿宋_GB2312"/>
          <w:bCs/>
          <w:sz w:val="32"/>
          <w:szCs w:val="32"/>
          <w:lang w:val="en-US" w:eastAsia="zh-CN"/>
        </w:rPr>
        <w:t>对外合作科、</w:t>
      </w:r>
      <w:r>
        <w:rPr>
          <w:rFonts w:hint="eastAsia" w:ascii="仿宋_GB2312" w:hAnsi="仿宋_GB2312" w:eastAsia="仿宋_GB2312" w:cs="仿宋_GB2312"/>
          <w:bCs/>
          <w:sz w:val="32"/>
          <w:szCs w:val="32"/>
        </w:rPr>
        <w:t>党建科</w:t>
      </w:r>
      <w:r>
        <w:rPr>
          <w:rFonts w:hint="eastAsia" w:ascii="仿宋_GB2312" w:hAnsi="仿宋_GB2312" w:eastAsia="仿宋_GB2312" w:cs="仿宋_GB2312"/>
          <w:bCs/>
          <w:sz w:val="32"/>
          <w:szCs w:val="32"/>
          <w:lang w:val="en-US" w:eastAsia="zh-CN"/>
        </w:rPr>
        <w:t>等8</w:t>
      </w:r>
      <w:r>
        <w:rPr>
          <w:rFonts w:hint="eastAsia" w:ascii="仿宋_GB2312" w:hAnsi="仿宋_GB2312" w:eastAsia="仿宋_GB2312" w:cs="仿宋_GB2312"/>
          <w:bCs/>
          <w:sz w:val="32"/>
          <w:szCs w:val="32"/>
        </w:rPr>
        <w:t>个职能科室；归口管理市国有资产运营服务中心、市医药产业发展服务中心、市铜山岭有色金属矿社区服务中心。</w:t>
      </w:r>
    </w:p>
    <w:p w14:paraId="6936381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人员编制共32名，其中行政编制17名，工勤编制2名，全额拨款事业编制13名，现有干部职工3</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人。车辆编制1台，实有车辆0台</w:t>
      </w:r>
      <w:r>
        <w:rPr>
          <w:rFonts w:hint="eastAsia" w:ascii="仿宋_GB2312" w:hAnsi="仿宋_GB2312" w:eastAsia="仿宋_GB2312" w:cs="仿宋_GB2312"/>
          <w:sz w:val="32"/>
          <w:szCs w:val="32"/>
        </w:rPr>
        <w:t>。</w:t>
      </w:r>
    </w:p>
    <w:p w14:paraId="54A732F6">
      <w:pPr>
        <w:numPr>
          <w:ilvl w:val="0"/>
          <w:numId w:val="1"/>
        </w:numPr>
        <w:snapToGrid w:val="0"/>
        <w:spacing w:line="360" w:lineRule="auto"/>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决算单位构成</w:t>
      </w:r>
    </w:p>
    <w:p w14:paraId="438DD2B7">
      <w:pPr>
        <w:snapToGrid w:val="0"/>
        <w:spacing w:line="360" w:lineRule="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en-US" w:eastAsia="zh-CN"/>
        </w:rPr>
        <w:t>永州市人民政府国有资产监督管理委员会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年度部门决算汇总公开单位构成包括：</w:t>
      </w:r>
      <w:r>
        <w:rPr>
          <w:rFonts w:hint="eastAsia" w:ascii="仿宋_GB2312" w:hAnsi="仿宋_GB2312" w:eastAsia="仿宋_GB2312" w:cs="仿宋_GB2312"/>
          <w:bCs/>
          <w:sz w:val="32"/>
          <w:szCs w:val="32"/>
        </w:rPr>
        <w:t>永州市人民政府国有资产监督管理委员会本级以及下属管理的两个事业单位：永州市国有资产运营服务中心、永州市医药产业发展服务中心。</w:t>
      </w:r>
      <w:r>
        <w:rPr>
          <w:rFonts w:hint="eastAsia" w:ascii="仿宋_GB2312" w:hAnsi="仿宋_GB2312" w:eastAsia="仿宋_GB2312" w:cs="仿宋_GB2312"/>
          <w:bCs/>
          <w:sz w:val="32"/>
          <w:szCs w:val="32"/>
          <w:lang w:val="en-US" w:eastAsia="zh-CN"/>
        </w:rPr>
        <w:t>市政府临时机构--市国企改革办（由于市国企改革办工作经费预算在财政大预算中，支出由国资委转拨，本年度决算支出合并在委机关公开）。</w:t>
      </w:r>
    </w:p>
    <w:p w14:paraId="01AD5B90">
      <w:pPr>
        <w:jc w:val="both"/>
        <w:rPr>
          <w:sz w:val="72"/>
          <w:szCs w:val="72"/>
        </w:rPr>
      </w:pPr>
    </w:p>
    <w:p w14:paraId="7B64C808">
      <w:pPr>
        <w:pStyle w:val="16"/>
        <w:jc w:val="center"/>
        <w:rPr>
          <w:rFonts w:hint="eastAsia" w:ascii="方正小标宋_GBK" w:hAnsi="方正小标宋_GBK" w:eastAsia="方正小标宋_GBK" w:cs="方正小标宋_GBK"/>
          <w:sz w:val="84"/>
          <w:szCs w:val="84"/>
        </w:rPr>
      </w:pPr>
    </w:p>
    <w:p w14:paraId="7754A393">
      <w:pPr>
        <w:pStyle w:val="16"/>
        <w:jc w:val="center"/>
        <w:rPr>
          <w:rFonts w:hint="eastAsia" w:ascii="方正小标宋_GBK" w:hAnsi="方正小标宋_GBK" w:eastAsia="方正小标宋_GBK" w:cs="方正小标宋_GBK"/>
          <w:sz w:val="84"/>
          <w:szCs w:val="84"/>
        </w:rPr>
      </w:pPr>
    </w:p>
    <w:p w14:paraId="6E8C99CD">
      <w:pPr>
        <w:pStyle w:val="16"/>
        <w:jc w:val="center"/>
        <w:rPr>
          <w:rFonts w:hint="eastAsia" w:ascii="方正小标宋_GBK" w:hAnsi="方正小标宋_GBK" w:eastAsia="方正小标宋_GBK" w:cs="方正小标宋_GBK"/>
          <w:sz w:val="84"/>
          <w:szCs w:val="84"/>
        </w:rPr>
      </w:pPr>
    </w:p>
    <w:p w14:paraId="72A3A022">
      <w:pPr>
        <w:pStyle w:val="16"/>
        <w:jc w:val="center"/>
        <w:rPr>
          <w:rFonts w:hint="eastAsia" w:ascii="方正小标宋_GBK" w:hAnsi="方正小标宋_GBK" w:eastAsia="方正小标宋_GBK" w:cs="方正小标宋_GBK"/>
          <w:sz w:val="84"/>
          <w:szCs w:val="84"/>
        </w:rPr>
      </w:pPr>
    </w:p>
    <w:p w14:paraId="0901DDA2">
      <w:pPr>
        <w:pStyle w:val="16"/>
        <w:jc w:val="center"/>
        <w:rPr>
          <w:rFonts w:hint="eastAsia" w:ascii="方正小标宋_GBK" w:hAnsi="方正小标宋_GBK" w:eastAsia="方正小标宋_GBK" w:cs="方正小标宋_GBK"/>
          <w:sz w:val="84"/>
          <w:szCs w:val="84"/>
        </w:rPr>
      </w:pPr>
    </w:p>
    <w:p w14:paraId="5C9A77FB">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D35395F">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974A505">
      <w:pPr>
        <w:pStyle w:val="16"/>
        <w:jc w:val="center"/>
        <w:rPr>
          <w:rFonts w:hint="default"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72"/>
          <w:szCs w:val="72"/>
          <w:lang w:eastAsia="zh-CN"/>
        </w:rPr>
        <w:t>（</w:t>
      </w:r>
      <w:r>
        <w:rPr>
          <w:rFonts w:hint="eastAsia" w:ascii="方正小标宋_GBK" w:hAnsi="方正小标宋_GBK" w:eastAsia="方正小标宋_GBK" w:cs="方正小标宋_GBK"/>
          <w:sz w:val="72"/>
          <w:szCs w:val="72"/>
          <w:lang w:val="en-US" w:eastAsia="zh-CN"/>
        </w:rPr>
        <w:t>详见附表）</w:t>
      </w:r>
    </w:p>
    <w:p w14:paraId="24AE9628">
      <w:pPr>
        <w:jc w:val="center"/>
        <w:rPr>
          <w:sz w:val="72"/>
          <w:szCs w:val="72"/>
        </w:rPr>
      </w:pPr>
    </w:p>
    <w:p w14:paraId="7F774680">
      <w:pPr>
        <w:jc w:val="center"/>
        <w:rPr>
          <w:sz w:val="72"/>
          <w:szCs w:val="72"/>
        </w:rPr>
      </w:pPr>
    </w:p>
    <w:p w14:paraId="72FF14A4">
      <w:pPr>
        <w:jc w:val="center"/>
        <w:rPr>
          <w:sz w:val="72"/>
          <w:szCs w:val="72"/>
        </w:rPr>
      </w:pPr>
    </w:p>
    <w:p w14:paraId="56C19BCA">
      <w:pPr>
        <w:jc w:val="center"/>
        <w:rPr>
          <w:sz w:val="72"/>
          <w:szCs w:val="72"/>
        </w:rPr>
      </w:pPr>
    </w:p>
    <w:p w14:paraId="756ABC5E">
      <w:pPr>
        <w:jc w:val="center"/>
        <w:rPr>
          <w:sz w:val="72"/>
          <w:szCs w:val="72"/>
        </w:rPr>
      </w:pPr>
    </w:p>
    <w:p w14:paraId="47EA0A3E">
      <w:pPr>
        <w:bidi w:val="0"/>
        <w:sectPr>
          <w:pgSz w:w="11906" w:h="16838"/>
          <w:pgMar w:top="1440" w:right="1803" w:bottom="1440" w:left="1803" w:header="851" w:footer="992" w:gutter="0"/>
          <w:cols w:space="425" w:num="1"/>
          <w:docGrid w:type="lines" w:linePitch="312" w:charSpace="0"/>
        </w:sectPr>
      </w:pPr>
    </w:p>
    <w:p w14:paraId="17ED576F">
      <w:pPr>
        <w:pStyle w:val="16"/>
        <w:rPr>
          <w:sz w:val="72"/>
          <w:szCs w:val="72"/>
        </w:rPr>
      </w:pPr>
    </w:p>
    <w:p w14:paraId="278E7531">
      <w:pPr>
        <w:pStyle w:val="16"/>
        <w:rPr>
          <w:sz w:val="72"/>
          <w:szCs w:val="72"/>
        </w:rPr>
      </w:pPr>
    </w:p>
    <w:p w14:paraId="29619006">
      <w:pPr>
        <w:pStyle w:val="16"/>
        <w:rPr>
          <w:sz w:val="72"/>
          <w:szCs w:val="72"/>
        </w:rPr>
      </w:pPr>
    </w:p>
    <w:p w14:paraId="3B4E5BA0">
      <w:pPr>
        <w:pStyle w:val="16"/>
        <w:jc w:val="both"/>
        <w:rPr>
          <w:rFonts w:hint="eastAsia" w:ascii="方正小标宋_GBK" w:hAnsi="方正小标宋_GBK" w:eastAsia="方正小标宋_GBK" w:cs="方正小标宋_GBK"/>
          <w:sz w:val="72"/>
          <w:szCs w:val="72"/>
        </w:rPr>
      </w:pPr>
    </w:p>
    <w:p w14:paraId="236A1702">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D7C5094">
      <w:pPr>
        <w:pStyle w:val="16"/>
        <w:jc w:val="center"/>
        <w:rPr>
          <w:rFonts w:hint="eastAsia" w:ascii="方正小标宋_GBK" w:hAnsi="方正小标宋_GBK" w:eastAsia="方正小标宋_GBK" w:cs="方正小标宋_GBK"/>
          <w:sz w:val="70"/>
          <w:szCs w:val="70"/>
        </w:rPr>
      </w:pPr>
    </w:p>
    <w:p w14:paraId="326B66EE">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w:t>
      </w:r>
    </w:p>
    <w:p w14:paraId="20B6F2D5">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情况说明</w:t>
      </w:r>
    </w:p>
    <w:p w14:paraId="36AC86C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829395C">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A756313">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2241.35</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246.74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12.37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增加和补发了2021-2022年在职人员工资福利和新增其他收入。</w:t>
      </w:r>
    </w:p>
    <w:p w14:paraId="5FD38A9B">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2241.35</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246.74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12.37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 xml:space="preserve">增加和补发了2021-2022年在职人员工资福利支出和新增其他支出。             </w:t>
      </w:r>
      <w:r>
        <w:rPr>
          <w:rFonts w:hint="eastAsia" w:ascii="Times New Roman" w:hAnsi="Times New Roman" w:eastAsia="仿宋_GB2312"/>
          <w:sz w:val="32"/>
          <w:szCs w:val="32"/>
          <w:lang w:val="en-US" w:eastAsia="zh-CN"/>
        </w:rPr>
        <w:t xml:space="preserve">                                                                                                                                                                                                                                                                                                                                                                                                                                                                                                                                                                                                                                                                                                                                                                                                                                                                                                                                                                                                                                                                                                                                                                                                                                                                                                                                   </w:t>
      </w:r>
    </w:p>
    <w:p w14:paraId="35F82D41">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255F217">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2241.35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2189.48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97.69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51.87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w:t>
      </w:r>
    </w:p>
    <w:p w14:paraId="585B222A">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6853D13">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2241.35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2181.35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97.32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2.68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F0F0AA5">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F6791DB">
      <w:pPr>
        <w:pStyle w:val="16"/>
        <w:keepNext w:val="0"/>
        <w:keepLines w:val="0"/>
        <w:pageBreakBefore w:val="0"/>
        <w:widowControl w:val="0"/>
        <w:kinsoku/>
        <w:wordWrap/>
        <w:overflowPunct/>
        <w:topLinePunct w:val="0"/>
        <w:bidi w:val="0"/>
        <w:snapToGrid/>
        <w:spacing w:line="600" w:lineRule="exact"/>
        <w:ind w:firstLine="64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2189.48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194.87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增加和补发了2021-2022年在职人员工资福利支出。</w:t>
      </w:r>
    </w:p>
    <w:p w14:paraId="00B1E37F">
      <w:pPr>
        <w:pStyle w:val="16"/>
        <w:keepNext w:val="0"/>
        <w:keepLines w:val="0"/>
        <w:pageBreakBefore w:val="0"/>
        <w:widowControl w:val="0"/>
        <w:kinsoku/>
        <w:wordWrap/>
        <w:overflowPunct/>
        <w:topLinePunct w:val="0"/>
        <w:bidi w:val="0"/>
        <w:snapToGrid/>
        <w:spacing w:line="600" w:lineRule="exact"/>
        <w:ind w:firstLine="64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2189.48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194.87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增加和补发了2021-2022年在职人员工资福利支出。</w:t>
      </w:r>
    </w:p>
    <w:p w14:paraId="422162C6">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3740847">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bCs w:val="0"/>
          <w:sz w:val="32"/>
          <w:szCs w:val="32"/>
        </w:rPr>
        <w:t>（一）财政拨款支出决算总体情况</w:t>
      </w:r>
    </w:p>
    <w:p w14:paraId="7DD9A632">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2189.48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97.69</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194.87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9.77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增加和补发了2021-2022年在职人员工资福利支出。</w:t>
      </w:r>
    </w:p>
    <w:p w14:paraId="2A468F04">
      <w:pPr>
        <w:pStyle w:val="16"/>
        <w:keepNext w:val="0"/>
        <w:keepLines w:val="0"/>
        <w:pageBreakBefore w:val="0"/>
        <w:widowControl w:val="0"/>
        <w:kinsoku/>
        <w:wordWrap/>
        <w:overflowPunct/>
        <w:topLinePunct w:val="0"/>
        <w:bidi w:val="0"/>
        <w:snapToGrid/>
        <w:spacing w:line="600" w:lineRule="exact"/>
        <w:ind w:firstLine="480" w:firstLineChars="15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14:paraId="5C4AE45C">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2189.48</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社会保障和就业（类）支出1631.49万元，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74.51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卫生健康（类）支出22.39万元，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资源勘探工业信息等（类）支出507.39万元，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23.17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住房保障（类）支出28.21万元，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9FE5F53">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14:paraId="36F84471">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2272.75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2189.48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96.34</w:t>
      </w:r>
      <w:r>
        <w:rPr>
          <w:rFonts w:hint="eastAsia" w:ascii="仿宋_GB2312" w:hAnsi="仿宋_GB2312" w:eastAsia="仿宋_GB2312" w:cs="仿宋_GB2312"/>
          <w:sz w:val="32"/>
          <w:szCs w:val="32"/>
        </w:rPr>
        <w:t>%，其中：</w:t>
      </w:r>
    </w:p>
    <w:p w14:paraId="5C897C54">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社会保障和就业支出（类）行政事业单位养老支出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14:paraId="6DFEB018">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39.18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39.18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7A4802C8">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社会保障和就业支出（类）行政事业单位养老支出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其他行政事业单位养老支出</w:t>
      </w:r>
      <w:r>
        <w:rPr>
          <w:rFonts w:hint="eastAsia" w:ascii="仿宋_GB2312" w:hAnsi="仿宋_GB2312" w:eastAsia="仿宋_GB2312" w:cs="仿宋_GB2312"/>
          <w:sz w:val="32"/>
          <w:szCs w:val="32"/>
        </w:rPr>
        <w:t>（项）。</w:t>
      </w:r>
      <w:bookmarkStart w:id="0" w:name="_GoBack"/>
      <w:bookmarkEnd w:id="0"/>
    </w:p>
    <w:p w14:paraId="52A20B63">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val="en-US" w:eastAsia="zh-CN"/>
        </w:rPr>
        <w:t>年中财政补发了2021年退休人员生活补贴。</w:t>
      </w:r>
    </w:p>
    <w:p w14:paraId="212CD6D3">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3、社会保障和就业支出（类）抚恤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死亡抚恤</w:t>
      </w:r>
      <w:r>
        <w:rPr>
          <w:rFonts w:hint="eastAsia" w:ascii="仿宋_GB2312" w:hAnsi="仿宋_GB2312" w:eastAsia="仿宋_GB2312" w:cs="仿宋_GB2312"/>
          <w:sz w:val="32"/>
          <w:szCs w:val="32"/>
        </w:rPr>
        <w:t>（项）。</w:t>
      </w:r>
    </w:p>
    <w:p w14:paraId="79E6730F">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Times New Roman" w:hAnsi="Times New Roman" w:eastAsia="仿宋_GB2312"/>
          <w:sz w:val="32"/>
          <w:szCs w:val="32"/>
        </w:rPr>
        <w:t>财政统一安排，未列入单位预算</w:t>
      </w:r>
      <w:r>
        <w:rPr>
          <w:rFonts w:hint="eastAsia" w:ascii="Times New Roman" w:hAnsi="Times New Roman" w:eastAsia="仿宋_GB2312"/>
          <w:sz w:val="32"/>
          <w:szCs w:val="32"/>
          <w:lang w:eastAsia="zh-CN"/>
        </w:rPr>
        <w:t>。</w:t>
      </w:r>
    </w:p>
    <w:p w14:paraId="3C01ABF8">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4、社会保障和就业支出（类）其他社会保障和就业支出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（项）。</w:t>
      </w:r>
    </w:p>
    <w:p w14:paraId="2514BCBF">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1749.99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1588.55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90.77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2022年改制企业市管干部有15名退休人员以及人员增资等综合原因减少了人员经费。</w:t>
      </w:r>
    </w:p>
    <w:p w14:paraId="189634AE">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（项）。</w:t>
      </w:r>
    </w:p>
    <w:p w14:paraId="3D8E7197">
      <w:pPr>
        <w:pStyle w:val="16"/>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0C254F3F">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公务员医疗补助</w:t>
      </w:r>
      <w:r>
        <w:rPr>
          <w:rFonts w:hint="eastAsia" w:ascii="仿宋_GB2312" w:hAnsi="仿宋_GB2312" w:eastAsia="仿宋_GB2312" w:cs="仿宋_GB2312"/>
          <w:sz w:val="32"/>
          <w:szCs w:val="32"/>
        </w:rPr>
        <w:t>（项）。</w:t>
      </w:r>
    </w:p>
    <w:p w14:paraId="5399EA00">
      <w:pPr>
        <w:pStyle w:val="16"/>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%，决算数大于年初预算数的主要原因是：年中追加安排的公务员医疗补助资金。</w:t>
      </w:r>
    </w:p>
    <w:p w14:paraId="5657615B">
      <w:pPr>
        <w:pStyle w:val="16"/>
        <w:ind w:firstLine="640" w:firstLineChars="200"/>
        <w:jc w:val="both"/>
        <w:rPr>
          <w:rFonts w:hint="eastAsia" w:ascii="仿宋_GB2312" w:hAnsi="仿宋_GB2312" w:eastAsia="仿宋_GB2312" w:cs="仿宋_GB2312"/>
          <w:sz w:val="32"/>
          <w:szCs w:val="32"/>
        </w:rPr>
      </w:pPr>
    </w:p>
    <w:p w14:paraId="169A5E15">
      <w:pPr>
        <w:pStyle w:val="16"/>
        <w:ind w:firstLine="640" w:firstLineChars="200"/>
        <w:jc w:val="both"/>
        <w:rPr>
          <w:rFonts w:hint="eastAsia" w:ascii="仿宋_GB2312" w:hAnsi="仿宋_GB2312" w:eastAsia="仿宋_GB2312" w:cs="仿宋_GB2312"/>
          <w:sz w:val="32"/>
          <w:szCs w:val="32"/>
        </w:rPr>
      </w:pPr>
    </w:p>
    <w:p w14:paraId="20C114D1">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7、资源勘探工业信息等（类）国有资产监管（款）行政运行（项）。</w:t>
      </w:r>
    </w:p>
    <w:p w14:paraId="0F27736B">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416.88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493.25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118.32</w:t>
      </w:r>
      <w:r>
        <w:rPr>
          <w:rFonts w:hint="eastAsia" w:ascii="仿宋_GB2312" w:hAnsi="仿宋_GB2312" w:eastAsia="仿宋_GB2312" w:cs="仿宋_GB2312"/>
          <w:sz w:val="32"/>
          <w:szCs w:val="32"/>
        </w:rPr>
        <w:t>%，决算数大于年初预算数的主要原因是：主要是因为</w:t>
      </w:r>
      <w:r>
        <w:rPr>
          <w:rFonts w:hint="eastAsia" w:ascii="仿宋_GB2312" w:hAnsi="仿宋_GB2312" w:eastAsia="仿宋_GB2312" w:cs="仿宋_GB2312"/>
          <w:sz w:val="32"/>
          <w:szCs w:val="32"/>
          <w:lang w:val="en-US" w:eastAsia="zh-CN"/>
        </w:rPr>
        <w:t>增加和补发了2021-2022年在职人员工资福利支出。</w:t>
      </w:r>
    </w:p>
    <w:p w14:paraId="32530EEA">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8、资源勘探工业信息等（类）国有资产监管（款）其他国有资产监管支出（项）。</w:t>
      </w:r>
    </w:p>
    <w:p w14:paraId="1C688D6F">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76.25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于年初预算数的主要原因是：主要是</w:t>
      </w:r>
      <w:r>
        <w:rPr>
          <w:rFonts w:hint="eastAsia" w:ascii="仿宋_GB2312" w:hAnsi="仿宋_GB2312" w:eastAsia="仿宋_GB2312" w:cs="仿宋_GB2312"/>
          <w:sz w:val="32"/>
          <w:szCs w:val="32"/>
          <w:lang w:val="en-US" w:eastAsia="zh-CN"/>
        </w:rPr>
        <w:t>2022年疫情原因减少了公务出行支出。</w:t>
      </w:r>
    </w:p>
    <w:p w14:paraId="559F8524">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9、资源勘探工业信息等（类）国有资产监管（款）其他资源勘探工业信息等支出（项）。</w:t>
      </w:r>
    </w:p>
    <w:p w14:paraId="35CF20CD">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744B8ACD">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10、住房保障支出（类）住房改革支出（款）住房公积金（项）。</w:t>
      </w:r>
    </w:p>
    <w:p w14:paraId="573EDB92">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29.39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28.21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95.99</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val="en-US" w:eastAsia="zh-CN"/>
        </w:rPr>
        <w:t>年中有两名委机关公务员退休而减少。</w:t>
      </w:r>
    </w:p>
    <w:p w14:paraId="1BD64C2A">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C28B767">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2175.38</w:t>
      </w:r>
      <w:r>
        <w:rPr>
          <w:rFonts w:hint="eastAsia" w:ascii="仿宋_GB2312" w:hAnsi="仿宋_GB2312" w:eastAsia="仿宋_GB2312" w:cs="仿宋_GB2312"/>
          <w:sz w:val="32"/>
          <w:szCs w:val="32"/>
        </w:rPr>
        <w:t>万元，其中：</w:t>
      </w:r>
    </w:p>
    <w:p w14:paraId="05E483BE">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人员经费</w:t>
      </w:r>
      <w:r>
        <w:rPr>
          <w:rFonts w:hint="eastAsia" w:ascii="仿宋_GB2312" w:hAnsi="仿宋_GB2312" w:eastAsia="仿宋_GB2312" w:cs="仿宋_GB2312"/>
          <w:sz w:val="32"/>
          <w:szCs w:val="32"/>
          <w:lang w:val="en-US" w:eastAsia="zh-CN"/>
        </w:rPr>
        <w:t>2119.92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97.45</w:t>
      </w:r>
      <w:r>
        <w:rPr>
          <w:rFonts w:hint="eastAsia" w:ascii="仿宋_GB2312" w:hAnsi="仿宋_GB2312" w:eastAsia="仿宋_GB2312" w:cs="仿宋_GB2312"/>
          <w:sz w:val="32"/>
          <w:szCs w:val="32"/>
        </w:rPr>
        <w:t>%,主要包括基本工资、津贴补贴、奖金、</w:t>
      </w:r>
      <w:r>
        <w:rPr>
          <w:rFonts w:hint="eastAsia" w:ascii="仿宋_GB2312" w:hAnsi="仿宋_GB2312" w:eastAsia="仿宋_GB2312" w:cs="仿宋_GB2312"/>
          <w:sz w:val="32"/>
          <w:szCs w:val="32"/>
          <w:lang w:val="en-US" w:eastAsia="zh-CN"/>
        </w:rPr>
        <w:t>绩效工资、机关事业单位养老保险缴费、职工基本医疗保险缴费、</w:t>
      </w:r>
      <w:r>
        <w:rPr>
          <w:rFonts w:hint="eastAsia" w:ascii="仿宋_GB2312" w:hAnsi="仿宋_GB2312" w:eastAsia="仿宋_GB2312" w:cs="仿宋_GB2312"/>
          <w:sz w:val="32"/>
          <w:szCs w:val="32"/>
        </w:rPr>
        <w:t>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其他工资福利支出等</w:t>
      </w:r>
      <w:r>
        <w:rPr>
          <w:rFonts w:hint="eastAsia" w:ascii="仿宋_GB2312" w:hAnsi="仿宋_GB2312" w:eastAsia="仿宋_GB2312" w:cs="仿宋_GB2312"/>
          <w:sz w:val="32"/>
          <w:szCs w:val="32"/>
          <w:lang w:eastAsia="zh-CN"/>
        </w:rPr>
        <w:t>。</w:t>
      </w:r>
    </w:p>
    <w:p w14:paraId="51BA945A">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公用经费</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差旅费、水电费、会议费、培训费、公务接待费、工会经费、福利费、其他交通费、其他商品和服务支出等</w:t>
      </w:r>
      <w:r>
        <w:rPr>
          <w:rFonts w:hint="eastAsia" w:ascii="仿宋_GB2312" w:hAnsi="仿宋_GB2312" w:eastAsia="仿宋_GB2312" w:cs="仿宋_GB2312"/>
          <w:sz w:val="32"/>
          <w:szCs w:val="32"/>
        </w:rPr>
        <w:t>。</w:t>
      </w:r>
    </w:p>
    <w:p w14:paraId="65C86779">
      <w:pPr>
        <w:pStyle w:val="16"/>
        <w:keepNext w:val="0"/>
        <w:keepLines w:val="0"/>
        <w:pageBreakBefore w:val="0"/>
        <w:widowControl w:val="0"/>
        <w:numPr>
          <w:ilvl w:val="0"/>
          <w:numId w:val="2"/>
        </w:numPr>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20D16873">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1F5ED1B">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24.5</w:t>
      </w:r>
      <w:r>
        <w:rPr>
          <w:rFonts w:hint="eastAsia" w:ascii="Times New Roman" w:hAnsi="Times New Roman" w:eastAsia="仿宋_GB2312"/>
          <w:sz w:val="32"/>
          <w:szCs w:val="32"/>
        </w:rPr>
        <w:t>%，其中：</w:t>
      </w:r>
    </w:p>
    <w:p w14:paraId="7A18BB5B">
      <w:pPr>
        <w:pStyle w:val="16"/>
        <w:keepNext w:val="0"/>
        <w:keepLines w:val="0"/>
        <w:pageBreakBefore w:val="0"/>
        <w:widowControl w:val="0"/>
        <w:kinsoku/>
        <w:wordWrap/>
        <w:overflowPunct/>
        <w:topLinePunct w:val="0"/>
        <w:bidi w:val="0"/>
        <w:snapToGrid/>
        <w:spacing w:line="600" w:lineRule="exact"/>
        <w:ind w:firstLine="800" w:firstLineChars="25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今年没有安排因公出国（境）活动支出</w:t>
      </w:r>
      <w:r>
        <w:rPr>
          <w:rFonts w:hint="eastAsia" w:ascii="Times New Roman" w:hAnsi="Times New Roman" w:eastAsia="仿宋_GB2312"/>
          <w:sz w:val="32"/>
          <w:szCs w:val="32"/>
        </w:rPr>
        <w:t>。</w:t>
      </w:r>
    </w:p>
    <w:p w14:paraId="1FE36CF3">
      <w:pPr>
        <w:pStyle w:val="16"/>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24.5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根据市财政有关要求，</w:t>
      </w:r>
      <w:r>
        <w:rPr>
          <w:rFonts w:hint="eastAsia" w:ascii="仿宋_GB2312" w:eastAsia="仿宋_GB2312" w:cs="仿宋_GB2312"/>
          <w:sz w:val="32"/>
          <w:szCs w:val="32"/>
        </w:rPr>
        <w:t>厉行节约，树立过紧日子的意识，</w:t>
      </w:r>
      <w:r>
        <w:rPr>
          <w:rFonts w:hint="eastAsia" w:ascii="仿宋_GB2312" w:eastAsia="仿宋_GB2312" w:cs="仿宋_GB2312"/>
          <w:sz w:val="32"/>
          <w:szCs w:val="32"/>
          <w:lang w:val="en-US" w:eastAsia="zh-CN"/>
        </w:rPr>
        <w:t>精减了人员接待次数和人数</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44.94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根据市财政有关要求，</w:t>
      </w:r>
      <w:r>
        <w:rPr>
          <w:rFonts w:hint="eastAsia" w:ascii="仿宋_GB2312" w:eastAsia="仿宋_GB2312" w:cs="仿宋_GB2312"/>
          <w:sz w:val="32"/>
          <w:szCs w:val="32"/>
        </w:rPr>
        <w:t>厉行节约，树立过紧日子的意识，</w:t>
      </w:r>
      <w:r>
        <w:rPr>
          <w:rFonts w:hint="eastAsia" w:ascii="仿宋_GB2312" w:eastAsia="仿宋_GB2312" w:cs="仿宋_GB2312"/>
          <w:sz w:val="32"/>
          <w:szCs w:val="32"/>
          <w:lang w:val="en-US" w:eastAsia="zh-CN"/>
        </w:rPr>
        <w:t>精减了人员接待次数和人数</w:t>
      </w:r>
      <w:r>
        <w:rPr>
          <w:rFonts w:hint="eastAsia" w:ascii="仿宋_GB2312" w:hAnsi="仿宋_GB2312" w:eastAsia="仿宋_GB2312" w:cs="仿宋_GB2312"/>
          <w:sz w:val="32"/>
          <w:szCs w:val="32"/>
        </w:rPr>
        <w:t>。</w:t>
      </w:r>
    </w:p>
    <w:p w14:paraId="4E764659">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今年没有安排</w:t>
      </w:r>
      <w:r>
        <w:rPr>
          <w:rFonts w:hint="eastAsia" w:ascii="Times New Roman" w:hAnsi="Times New Roman" w:eastAsia="仿宋_GB2312"/>
          <w:sz w:val="32"/>
          <w:szCs w:val="32"/>
        </w:rPr>
        <w:t>公务用车</w:t>
      </w:r>
      <w:r>
        <w:rPr>
          <w:rFonts w:hint="eastAsia" w:ascii="Times New Roman" w:hAnsi="Times New Roman" w:eastAsia="仿宋_GB2312"/>
          <w:sz w:val="32"/>
          <w:szCs w:val="32"/>
          <w:lang w:val="en-US" w:eastAsia="zh-CN"/>
        </w:rPr>
        <w:t>购置</w:t>
      </w:r>
      <w:r>
        <w:rPr>
          <w:rFonts w:hint="eastAsia" w:ascii="Times New Roman" w:hAnsi="Times New Roman" w:eastAsia="仿宋_GB2312"/>
          <w:sz w:val="32"/>
          <w:szCs w:val="32"/>
        </w:rPr>
        <w:t>费支出</w:t>
      </w:r>
      <w:r>
        <w:rPr>
          <w:rFonts w:hint="eastAsia" w:ascii="Times New Roman" w:hAnsi="Times New Roman" w:eastAsia="仿宋_GB2312"/>
          <w:sz w:val="32"/>
          <w:szCs w:val="32"/>
          <w:lang w:eastAsia="zh-CN"/>
        </w:rPr>
        <w:t>。</w:t>
      </w:r>
    </w:p>
    <w:p w14:paraId="6CB4AEDA">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今年没有安排</w:t>
      </w:r>
      <w:r>
        <w:rPr>
          <w:rFonts w:hint="eastAsia" w:ascii="Times New Roman" w:hAnsi="Times New Roman" w:eastAsia="仿宋_GB2312"/>
          <w:sz w:val="32"/>
          <w:szCs w:val="32"/>
        </w:rPr>
        <w:t>公务用车运行维护费支出。</w:t>
      </w:r>
    </w:p>
    <w:p w14:paraId="2FC23E3B">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C613FF3">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89C3898">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全年</w:t>
      </w:r>
      <w:r>
        <w:rPr>
          <w:rFonts w:hint="eastAsia" w:ascii="Times New Roman" w:hAnsi="Times New Roman" w:eastAsia="仿宋_GB2312"/>
          <w:sz w:val="32"/>
          <w:szCs w:val="32"/>
          <w:lang w:val="en-US" w:eastAsia="zh-CN"/>
        </w:rPr>
        <w:t>没有</w:t>
      </w:r>
      <w:r>
        <w:rPr>
          <w:rFonts w:hint="eastAsia" w:ascii="Times New Roman" w:hAnsi="Times New Roman" w:eastAsia="仿宋_GB2312"/>
          <w:sz w:val="32"/>
          <w:szCs w:val="32"/>
        </w:rPr>
        <w:t>安排因公出国（境）</w:t>
      </w:r>
      <w:r>
        <w:rPr>
          <w:rFonts w:hint="eastAsia" w:ascii="Times New Roman" w:hAnsi="Times New Roman" w:eastAsia="仿宋_GB2312"/>
          <w:sz w:val="32"/>
          <w:szCs w:val="32"/>
          <w:lang w:val="en-US" w:eastAsia="zh-CN"/>
        </w:rPr>
        <w:t>活动，无支出。</w:t>
      </w:r>
    </w:p>
    <w:p w14:paraId="6DCDD7BC">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国企改革、国资监管方面</w:t>
      </w:r>
      <w:r>
        <w:rPr>
          <w:rFonts w:hint="eastAsia" w:ascii="Times New Roman" w:hAnsi="Times New Roman" w:eastAsia="仿宋_GB2312"/>
          <w:sz w:val="32"/>
          <w:szCs w:val="32"/>
        </w:rPr>
        <w:t>发生的接待支出。</w:t>
      </w:r>
    </w:p>
    <w:p w14:paraId="524E6105">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市国资委</w:t>
      </w:r>
      <w:r>
        <w:rPr>
          <w:rFonts w:hint="eastAsia" w:ascii="Times New Roman" w:hAnsi="Times New Roman" w:eastAsia="仿宋_GB2312"/>
          <w:sz w:val="32"/>
          <w:szCs w:val="32"/>
        </w:rPr>
        <w:t>本级或二级机构）更新公务用车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今年没有安排公用车运行维护费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024AFD4">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057B93E">
      <w:pPr>
        <w:pStyle w:val="16"/>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年度我委无政府性基金预算收入和支出</w:t>
      </w:r>
      <w:r>
        <w:rPr>
          <w:rFonts w:hint="eastAsia" w:ascii="仿宋_GB2312" w:hAnsi="仿宋_GB2312" w:eastAsia="仿宋_GB2312" w:cs="仿宋_GB2312"/>
          <w:sz w:val="32"/>
          <w:szCs w:val="32"/>
          <w:lang w:eastAsia="zh-CN"/>
        </w:rPr>
        <w:t>。</w:t>
      </w:r>
    </w:p>
    <w:p w14:paraId="3F847286">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6BFB04B0">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55.46</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15.69</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22.05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年初财政压减了20%公用经费预算额度和节约公用经费支出。</w:t>
      </w:r>
    </w:p>
    <w:p w14:paraId="5F5F0912">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AF972A4">
      <w:pPr>
        <w:keepNext w:val="0"/>
        <w:keepLines w:val="0"/>
        <w:pageBreakBefore w:val="0"/>
        <w:widowControl w:val="0"/>
        <w:kinsoku/>
        <w:wordWrap/>
        <w:overflowPunct/>
        <w:topLinePunct w:val="0"/>
        <w:bidi w:val="0"/>
        <w:spacing w:line="64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0.86</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监管企业安全生产、国资监管、信访维稳</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130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监管企业安全生产会议、市属监管企业“两会”期间信访维稳会议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万元，用于开展</w:t>
      </w:r>
      <w:r>
        <w:rPr>
          <w:rFonts w:hint="eastAsia" w:ascii="仿宋_GB2312" w:hAnsi="仿宋_GB2312" w:eastAsia="仿宋_GB2312" w:cs="仿宋_GB2312"/>
          <w:sz w:val="32"/>
        </w:rPr>
        <w:t>监管企业安全生产、财务预决算培训，</w:t>
      </w:r>
      <w:r>
        <w:rPr>
          <w:rFonts w:hint="eastAsia" w:ascii="仿宋_GB2312" w:hAnsi="仿宋_GB2312" w:eastAsia="仿宋_GB2312" w:cs="仿宋_GB2312"/>
          <w:sz w:val="32"/>
          <w:lang w:eastAsia="zh-CN"/>
        </w:rPr>
        <w:t>全</w:t>
      </w:r>
      <w:r>
        <w:rPr>
          <w:rFonts w:hint="eastAsia" w:ascii="仿宋_GB2312" w:hAnsi="仿宋_GB2312" w:eastAsia="仿宋_GB2312" w:cs="仿宋_GB2312"/>
          <w:sz w:val="32"/>
          <w:lang w:val="en-US" w:eastAsia="zh-CN"/>
        </w:rPr>
        <w:t>市</w:t>
      </w:r>
      <w:r>
        <w:rPr>
          <w:rFonts w:hint="eastAsia" w:ascii="仿宋_GB2312" w:hAnsi="仿宋_GB2312" w:eastAsia="仿宋_GB2312" w:cs="仿宋_GB2312"/>
          <w:sz w:val="32"/>
          <w:lang w:eastAsia="zh-CN"/>
        </w:rPr>
        <w:t>国资国企在线监管系统培训、</w:t>
      </w:r>
      <w:r>
        <w:rPr>
          <w:rFonts w:hint="eastAsia" w:ascii="仿宋_GB2312" w:hAnsi="仿宋_GB2312" w:eastAsia="仿宋_GB2312" w:cs="仿宋_GB2312"/>
          <w:sz w:val="32"/>
        </w:rPr>
        <w:t>委机关人员保密培训等</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人，内容为</w:t>
      </w:r>
      <w:r>
        <w:rPr>
          <w:rFonts w:hint="eastAsia" w:ascii="仿宋_GB2312" w:hAnsi="仿宋_GB2312" w:eastAsia="仿宋_GB2312" w:cs="仿宋_GB2312"/>
          <w:sz w:val="32"/>
        </w:rPr>
        <w:t>对</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家监管企业安全生产、财务预决算培训，</w:t>
      </w:r>
      <w:r>
        <w:rPr>
          <w:rFonts w:hint="eastAsia" w:ascii="仿宋_GB2312" w:hAnsi="仿宋_GB2312" w:eastAsia="仿宋_GB2312" w:cs="仿宋_GB2312"/>
          <w:sz w:val="32"/>
          <w:lang w:val="en-US" w:eastAsia="zh-CN"/>
        </w:rPr>
        <w:t>市</w:t>
      </w:r>
      <w:r>
        <w:rPr>
          <w:rFonts w:hint="eastAsia" w:ascii="仿宋_GB2312" w:hAnsi="仿宋_GB2312" w:eastAsia="仿宋_GB2312" w:cs="仿宋_GB2312"/>
          <w:sz w:val="32"/>
          <w:lang w:eastAsia="zh-CN"/>
        </w:rPr>
        <w:t>国资国企在线监管系统培训、</w:t>
      </w:r>
      <w:r>
        <w:rPr>
          <w:rFonts w:hint="eastAsia" w:ascii="仿宋_GB2312" w:hAnsi="仿宋_GB2312" w:eastAsia="仿宋_GB2312" w:cs="仿宋_GB2312"/>
          <w:sz w:val="32"/>
        </w:rPr>
        <w:t>委机关人员保密培训等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2022年</w:t>
      </w:r>
      <w:r>
        <w:rPr>
          <w:rFonts w:hint="eastAsia" w:ascii="仿宋_GB2312" w:eastAsia="仿宋_GB2312" w:cs="仿宋_GB2312"/>
          <w:sz w:val="32"/>
          <w:szCs w:val="32"/>
        </w:rPr>
        <w:t>本单位本年度</w:t>
      </w:r>
      <w:r>
        <w:rPr>
          <w:rFonts w:ascii="仿宋_GB2312" w:eastAsia="仿宋_GB2312" w:cs="仿宋_GB2312"/>
          <w:sz w:val="32"/>
          <w:szCs w:val="32"/>
        </w:rPr>
        <w:t>未</w:t>
      </w:r>
      <w:r>
        <w:rPr>
          <w:rFonts w:hint="eastAsia" w:ascii="仿宋_GB2312" w:eastAsia="仿宋_GB2312" w:cs="仿宋_GB2312"/>
          <w:sz w:val="32"/>
          <w:szCs w:val="32"/>
        </w:rPr>
        <w:t>举办节庆、晚会、论坛、赛事等活动。</w:t>
      </w:r>
    </w:p>
    <w:p w14:paraId="5D566F09">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D4EDD20">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2.66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0.66</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2.66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2.66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A8720FF">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7A2937BB">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295F899D">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74D7CF7C">
      <w:pPr>
        <w:pStyle w:val="16"/>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部门整体支出绩效情况</w:t>
      </w:r>
    </w:p>
    <w:p w14:paraId="4A102F29">
      <w:pPr>
        <w:keepNext w:val="0"/>
        <w:keepLines w:val="0"/>
        <w:pageBreakBefore w:val="0"/>
        <w:widowControl w:val="0"/>
        <w:numPr>
          <w:ilvl w:val="0"/>
          <w:numId w:val="3"/>
        </w:numPr>
        <w:kinsoku/>
        <w:wordWrap/>
        <w:overflowPunct/>
        <w:topLinePunct w:val="0"/>
        <w:autoSpaceDE/>
        <w:autoSpaceDN/>
        <w:bidi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永州市人民政府国有资产监督管理委员会</w:t>
      </w:r>
      <w:r>
        <w:rPr>
          <w:rFonts w:hint="eastAsia" w:ascii="仿宋_GB2312" w:hAnsi="仿宋_GB2312" w:eastAsia="仿宋_GB2312" w:cs="仿宋_GB2312"/>
          <w:b/>
          <w:bCs/>
          <w:sz w:val="32"/>
          <w:szCs w:val="32"/>
          <w:lang w:eastAsia="zh-CN"/>
        </w:rPr>
        <w:t>部门整体</w:t>
      </w:r>
      <w:r>
        <w:rPr>
          <w:rFonts w:hint="eastAsia" w:ascii="仿宋_GB2312" w:hAnsi="仿宋_GB2312" w:eastAsia="仿宋_GB2312" w:cs="仿宋_GB2312"/>
          <w:b/>
          <w:bCs/>
          <w:sz w:val="32"/>
          <w:szCs w:val="32"/>
          <w:lang w:val="en-US" w:eastAsia="zh-CN"/>
        </w:rPr>
        <w:t>支出的绩效目标完成情况</w:t>
      </w:r>
    </w:p>
    <w:p w14:paraId="1356BF71">
      <w:pPr>
        <w:keepNext w:val="0"/>
        <w:keepLines w:val="0"/>
        <w:pageBreakBefore w:val="0"/>
        <w:widowControl w:val="0"/>
        <w:kinsoku/>
        <w:wordWrap/>
        <w:overflowPunct/>
        <w:topLinePunct w:val="0"/>
        <w:autoSpaceDE/>
        <w:autoSpaceDN/>
        <w:bidi w:val="0"/>
        <w:adjustRightInd/>
        <w:snapToGrid/>
        <w:spacing w:line="700" w:lineRule="exact"/>
        <w:ind w:leftChars="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sz w:val="32"/>
          <w:szCs w:val="32"/>
          <w:highlight w:val="none"/>
        </w:rPr>
        <w:t>今年在市委、市政府的坚强领导下，</w:t>
      </w:r>
      <w:r>
        <w:rPr>
          <w:rFonts w:hint="eastAsia" w:ascii="仿宋_GB2312" w:hAnsi="仿宋_GB2312" w:eastAsia="仿宋_GB2312" w:cs="仿宋_GB2312"/>
          <w:color w:val="auto"/>
          <w:kern w:val="2"/>
          <w:sz w:val="32"/>
          <w:szCs w:val="32"/>
          <w:highlight w:val="none"/>
          <w:u w:val="none"/>
          <w:lang w:val="en-US" w:eastAsia="zh-CN" w:bidi="ar-SA"/>
        </w:rPr>
        <w:t>认真贯彻落实党中央、国务院和省委、省政府关于深化国资国企改革的决策部署，</w:t>
      </w:r>
      <w:r>
        <w:rPr>
          <w:rFonts w:hint="eastAsia" w:ascii="仿宋_GB2312" w:hAnsi="仿宋_GB2312" w:eastAsia="仿宋_GB2312" w:cs="仿宋_GB2312"/>
          <w:color w:val="auto"/>
          <w:sz w:val="32"/>
          <w:szCs w:val="32"/>
          <w:highlight w:val="none"/>
          <w:u w:val="none"/>
        </w:rPr>
        <w:t>全面落实“三高四新”战略定位和使命任务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kern w:val="2"/>
          <w:sz w:val="32"/>
          <w:szCs w:val="32"/>
          <w:highlight w:val="none"/>
          <w:u w:val="none"/>
          <w:lang w:val="en-US" w:eastAsia="zh-CN" w:bidi="ar-SA"/>
        </w:rPr>
        <w:t>以“重监督、精管理、优服务”为主线，建立完善国资监管制度体系、全面加强国有企业党的建设，确保国有资产保值增值，实现市属国有企业高质量发展。全年主要做好了以下几方面的工作：</w:t>
      </w:r>
    </w:p>
    <w:p w14:paraId="3F3278A4">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lang w:eastAsia="zh-CN"/>
        </w:rPr>
        <w:t>持续</w:t>
      </w:r>
      <w:r>
        <w:rPr>
          <w:rFonts w:hint="eastAsia" w:ascii="仿宋_GB2312" w:hAnsi="仿宋_GB2312" w:eastAsia="仿宋_GB2312" w:cs="仿宋_GB2312"/>
          <w:b/>
          <w:bCs/>
          <w:color w:val="auto"/>
          <w:sz w:val="32"/>
          <w:szCs w:val="32"/>
        </w:rPr>
        <w:t>加强国企</w:t>
      </w:r>
      <w:r>
        <w:rPr>
          <w:rFonts w:hint="eastAsia" w:ascii="仿宋_GB2312" w:hAnsi="仿宋_GB2312" w:eastAsia="仿宋_GB2312" w:cs="仿宋_GB2312"/>
          <w:b/>
          <w:bCs/>
          <w:color w:val="auto"/>
          <w:sz w:val="32"/>
          <w:szCs w:val="32"/>
          <w:lang w:eastAsia="zh-CN"/>
        </w:rPr>
        <w:t>党建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color w:val="auto"/>
          <w:sz w:val="32"/>
          <w:szCs w:val="32"/>
          <w:lang w:eastAsia="zh-CN"/>
        </w:rPr>
        <w:t>我们</w:t>
      </w:r>
      <w:r>
        <w:rPr>
          <w:rFonts w:hint="eastAsia" w:ascii="仿宋_GB2312" w:hAnsi="仿宋_GB2312" w:eastAsia="仿宋_GB2312" w:cs="仿宋_GB2312"/>
          <w:b w:val="0"/>
          <w:bCs/>
          <w:color w:val="auto"/>
          <w:sz w:val="32"/>
          <w:szCs w:val="32"/>
        </w:rPr>
        <w:t>始终把政治建设摆在首位。认真学习贯彻习近平总书记关于国资国</w:t>
      </w:r>
      <w:r>
        <w:rPr>
          <w:rFonts w:hint="eastAsia" w:ascii="仿宋_GB2312" w:hAnsi="仿宋_GB2312" w:eastAsia="仿宋_GB2312" w:cs="仿宋_GB2312"/>
          <w:color w:val="auto"/>
          <w:sz w:val="32"/>
          <w:szCs w:val="32"/>
        </w:rPr>
        <w:t>企工作系列重要论述及批示指示精神，</w:t>
      </w:r>
      <w:r>
        <w:rPr>
          <w:rFonts w:hint="eastAsia" w:ascii="仿宋_GB2312" w:hAnsi="仿宋_GB2312" w:eastAsia="仿宋_GB2312" w:cs="仿宋_GB2312"/>
          <w:color w:val="auto"/>
          <w:sz w:val="32"/>
          <w:szCs w:val="32"/>
          <w:lang w:eastAsia="zh-CN"/>
        </w:rPr>
        <w:t>掀起学习党的二十大精神热潮，</w:t>
      </w:r>
      <w:r>
        <w:rPr>
          <w:rFonts w:hint="eastAsia" w:ascii="仿宋_GB2312" w:hAnsi="仿宋_GB2312" w:eastAsia="仿宋_GB2312" w:cs="仿宋_GB2312"/>
          <w:color w:val="auto"/>
          <w:sz w:val="32"/>
          <w:szCs w:val="32"/>
          <w:shd w:val="clear" w:color="auto" w:fill="FFFFFF"/>
        </w:rPr>
        <w:t>把党的政治建设融入国有企业高质量发展全过程，</w:t>
      </w:r>
      <w:r>
        <w:rPr>
          <w:rFonts w:hint="eastAsia" w:ascii="仿宋_GB2312" w:hAnsi="仿宋_GB2312" w:eastAsia="仿宋_GB2312" w:cs="仿宋_GB2312"/>
          <w:bCs/>
          <w:color w:val="auto"/>
          <w:sz w:val="32"/>
          <w:szCs w:val="32"/>
        </w:rPr>
        <w:t>切实增强“四个意识”，坚定“四个自信”，捍卫“两个确</w:t>
      </w:r>
      <w:r>
        <w:rPr>
          <w:rFonts w:hint="eastAsia" w:ascii="仿宋_GB2312" w:hAnsi="仿宋_GB2312" w:eastAsia="仿宋_GB2312" w:cs="仿宋_GB2312"/>
          <w:bCs/>
          <w:color w:val="auto"/>
          <w:sz w:val="32"/>
          <w:szCs w:val="32"/>
          <w:lang w:val="en-US" w:eastAsia="zh-CN"/>
        </w:rPr>
        <w:t>立</w:t>
      </w:r>
      <w:r>
        <w:rPr>
          <w:rFonts w:hint="eastAsia" w:ascii="仿宋_GB2312" w:hAnsi="仿宋_GB2312" w:eastAsia="仿宋_GB2312" w:cs="仿宋_GB2312"/>
          <w:bCs/>
          <w:color w:val="auto"/>
          <w:sz w:val="32"/>
          <w:szCs w:val="32"/>
        </w:rPr>
        <w:t>”，做到“两个维护”。</w:t>
      </w:r>
      <w:r>
        <w:rPr>
          <w:rFonts w:hint="eastAsia" w:ascii="仿宋_GB2312" w:hAnsi="仿宋_GB2312" w:eastAsia="仿宋_GB2312" w:cs="仿宋_GB2312"/>
          <w:b w:val="0"/>
          <w:bCs w:val="0"/>
          <w:color w:val="auto"/>
          <w:sz w:val="32"/>
          <w:szCs w:val="32"/>
        </w:rPr>
        <w:t>全面落实“党建入章”要求，</w:t>
      </w:r>
      <w:r>
        <w:rPr>
          <w:rFonts w:hint="eastAsia" w:ascii="仿宋_GB2312" w:hAnsi="仿宋_GB2312" w:eastAsia="仿宋_GB2312" w:cs="仿宋_GB2312"/>
          <w:b w:val="0"/>
          <w:bCs w:val="0"/>
          <w:color w:val="auto"/>
          <w:sz w:val="32"/>
          <w:szCs w:val="32"/>
          <w:shd w:val="clear" w:color="auto" w:fill="FFFFFF"/>
        </w:rPr>
        <w:t>督促指导国</w:t>
      </w:r>
      <w:r>
        <w:rPr>
          <w:rFonts w:hint="eastAsia" w:ascii="仿宋_GB2312" w:hAnsi="仿宋_GB2312" w:eastAsia="仿宋_GB2312" w:cs="仿宋_GB2312"/>
          <w:color w:val="auto"/>
          <w:sz w:val="32"/>
          <w:szCs w:val="32"/>
          <w:shd w:val="clear" w:color="auto" w:fill="FFFFFF"/>
        </w:rPr>
        <w:t>有企业把党的领导融入公司治理各环节，坚持</w:t>
      </w:r>
      <w:r>
        <w:rPr>
          <w:rFonts w:hint="eastAsia" w:ascii="仿宋_GB2312" w:hAnsi="仿宋_GB2312" w:eastAsia="仿宋_GB2312" w:cs="仿宋_GB2312"/>
          <w:color w:val="auto"/>
          <w:sz w:val="32"/>
          <w:szCs w:val="32"/>
        </w:rPr>
        <w:t>把党组织研究讨论作为董事会、经理层决策</w:t>
      </w:r>
      <w:r>
        <w:rPr>
          <w:rFonts w:hint="eastAsia" w:ascii="仿宋_GB2312" w:hAnsi="仿宋_GB2312" w:eastAsia="仿宋_GB2312" w:cs="仿宋_GB2312"/>
          <w:color w:val="auto"/>
          <w:sz w:val="32"/>
          <w:szCs w:val="32"/>
          <w:lang w:eastAsia="zh-CN"/>
        </w:rPr>
        <w:t>“三重一大”等</w:t>
      </w:r>
      <w:r>
        <w:rPr>
          <w:rFonts w:hint="eastAsia" w:ascii="仿宋_GB2312" w:hAnsi="仿宋_GB2312" w:eastAsia="仿宋_GB2312" w:cs="仿宋_GB2312"/>
          <w:color w:val="auto"/>
          <w:sz w:val="32"/>
          <w:szCs w:val="32"/>
        </w:rPr>
        <w:t>问题的前置程序</w:t>
      </w:r>
      <w:r>
        <w:rPr>
          <w:rFonts w:hint="eastAsia" w:ascii="仿宋_GB2312" w:hAnsi="仿宋_GB2312" w:eastAsia="仿宋_GB2312" w:cs="仿宋_GB2312"/>
          <w:color w:val="auto"/>
          <w:sz w:val="32"/>
          <w:szCs w:val="32"/>
          <w:lang w:eastAsia="zh-CN"/>
        </w:rPr>
        <w:t>，凸显党把方向、管大局、促落实的作用，深入开展“一企一特色，一企一亮点”创建活动，努力打造国企党建品牌</w:t>
      </w:r>
      <w:r>
        <w:rPr>
          <w:rFonts w:hint="eastAsia" w:ascii="仿宋_GB2312" w:hAnsi="仿宋_GB2312" w:eastAsia="仿宋_GB2312" w:cs="仿宋_GB2312"/>
          <w:color w:val="auto"/>
          <w:sz w:val="32"/>
          <w:szCs w:val="32"/>
        </w:rPr>
        <w:t>。</w:t>
      </w:r>
    </w:p>
    <w:p w14:paraId="3512D969">
      <w:pPr>
        <w:keepNext w:val="0"/>
        <w:keepLines w:val="0"/>
        <w:pageBreakBefore w:val="0"/>
        <w:widowControl w:val="0"/>
        <w:kinsoku/>
        <w:wordWrap/>
        <w:overflowPunct/>
        <w:topLinePunct w:val="0"/>
        <w:autoSpaceDE/>
        <w:autoSpaceDN/>
        <w:bidi w:val="0"/>
        <w:adjustRightInd/>
        <w:snapToGrid/>
        <w:spacing w:line="70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二是</w:t>
      </w:r>
      <w:r>
        <w:rPr>
          <w:rFonts w:hint="eastAsia" w:ascii="仿宋_GB2312" w:hAnsi="仿宋_GB2312" w:eastAsia="仿宋_GB2312" w:cs="仿宋_GB2312"/>
          <w:b/>
          <w:color w:val="auto"/>
          <w:sz w:val="32"/>
          <w:szCs w:val="32"/>
          <w:highlight w:val="none"/>
        </w:rPr>
        <w:t>全面</w:t>
      </w:r>
      <w:r>
        <w:rPr>
          <w:rFonts w:hint="eastAsia" w:ascii="仿宋_GB2312" w:hAnsi="仿宋_GB2312" w:eastAsia="仿宋_GB2312" w:cs="仿宋_GB2312"/>
          <w:b/>
          <w:color w:val="auto"/>
          <w:sz w:val="32"/>
          <w:szCs w:val="32"/>
          <w:highlight w:val="none"/>
          <w:lang w:eastAsia="zh-CN"/>
        </w:rPr>
        <w:t>推进</w:t>
      </w:r>
      <w:r>
        <w:rPr>
          <w:rFonts w:hint="eastAsia" w:ascii="仿宋_GB2312" w:hAnsi="仿宋_GB2312" w:eastAsia="仿宋_GB2312" w:cs="仿宋_GB2312"/>
          <w:b/>
          <w:color w:val="auto"/>
          <w:sz w:val="32"/>
          <w:szCs w:val="32"/>
          <w:highlight w:val="none"/>
        </w:rPr>
        <w:t>国企改革。</w:t>
      </w:r>
      <w:r>
        <w:rPr>
          <w:rFonts w:hint="eastAsia" w:ascii="仿宋_GB2312" w:hAnsi="仿宋_GB2312" w:eastAsia="仿宋_GB2312" w:cs="仿宋_GB2312"/>
          <w:b w:val="0"/>
          <w:bCs/>
          <w:color w:val="auto"/>
          <w:sz w:val="32"/>
          <w:szCs w:val="32"/>
          <w:highlight w:val="none"/>
        </w:rPr>
        <w:t>按照国务院国资委和省国资委的</w:t>
      </w:r>
      <w:r>
        <w:rPr>
          <w:rFonts w:hint="eastAsia" w:ascii="仿宋_GB2312" w:hAnsi="仿宋_GB2312" w:eastAsia="仿宋_GB2312" w:cs="仿宋_GB2312"/>
          <w:bCs/>
          <w:color w:val="auto"/>
          <w:sz w:val="32"/>
          <w:szCs w:val="32"/>
          <w:highlight w:val="none"/>
        </w:rPr>
        <w:t>要求，</w:t>
      </w:r>
      <w:r>
        <w:rPr>
          <w:rFonts w:hint="eastAsia" w:ascii="仿宋_GB2312" w:hAnsi="仿宋_GB2312" w:eastAsia="仿宋_GB2312" w:cs="仿宋_GB2312"/>
          <w:bCs/>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全面</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rPr>
        <w:t>国企改革三年行动收官</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目前国企改革三年行动总体任务进度完成100%。监管企业开展集中培训场次40场，推行分类考核、分类核算一级企业及子企业40户，实现全员绩效考核的一级企业及子企业51户；招募在职经理人18人，实现任期制和契约化管理人数占比提升了40%，公开招聘人数占新进员工比100%；</w:t>
      </w:r>
      <w:r>
        <w:rPr>
          <w:rFonts w:hint="eastAsia" w:ascii="仿宋_GB2312" w:hAnsi="仿宋_GB2312" w:eastAsia="仿宋_GB2312" w:cs="仿宋_GB2312"/>
          <w:b w:val="0"/>
          <w:bCs w:val="0"/>
          <w:color w:val="auto"/>
          <w:sz w:val="32"/>
          <w:szCs w:val="32"/>
          <w:highlight w:val="none"/>
          <w:lang w:val="en-US" w:eastAsia="zh-CN"/>
        </w:rPr>
        <w:t>圆满完成国有企业剥离办社会职能任务扫尾，完成国有企业退休人员社会化管理职能移交任务企业46家1.42万人，完成</w:t>
      </w:r>
      <w:r>
        <w:rPr>
          <w:rFonts w:hint="eastAsia" w:ascii="仿宋_GB2312" w:hAnsi="仿宋_GB2312" w:eastAsia="仿宋_GB2312" w:cs="仿宋_GB2312"/>
          <w:color w:val="auto"/>
          <w:sz w:val="32"/>
          <w:szCs w:val="32"/>
          <w:highlight w:val="none"/>
          <w:lang w:val="en-US" w:eastAsia="zh-CN"/>
        </w:rPr>
        <w:t>驻永企业家属区“三供一业”分离移交工作任务企业16家1.8万户，特别是克服众多困难解决了建华公司317户转供户供水遗留问题实现顺利供水和建立了常态化国有企业退休人员社会职能移交工作机制，得到企业一致好评。</w:t>
      </w:r>
      <w:r>
        <w:rPr>
          <w:rFonts w:hint="eastAsia" w:ascii="仿宋_GB2312" w:hAnsi="仿宋_GB2312" w:eastAsia="仿宋_GB2312" w:cs="仿宋_GB2312"/>
          <w:b w:val="0"/>
          <w:bCs/>
          <w:color w:val="auto"/>
          <w:sz w:val="32"/>
          <w:szCs w:val="32"/>
          <w:highlight w:val="none"/>
        </w:rPr>
        <w:t>加快推动市级平台公司转型。</w:t>
      </w:r>
      <w:r>
        <w:rPr>
          <w:rFonts w:hint="eastAsia" w:ascii="仿宋_GB2312" w:hAnsi="仿宋_GB2312" w:eastAsia="仿宋_GB2312" w:cs="仿宋_GB2312"/>
          <w:b w:val="0"/>
          <w:bCs/>
          <w:color w:val="auto"/>
          <w:sz w:val="32"/>
          <w:szCs w:val="32"/>
          <w:highlight w:val="none"/>
          <w:lang w:eastAsia="zh-CN"/>
        </w:rPr>
        <w:t>目前我委</w:t>
      </w:r>
      <w:r>
        <w:rPr>
          <w:rFonts w:hint="eastAsia" w:ascii="仿宋_GB2312" w:hAnsi="仿宋_GB2312" w:eastAsia="仿宋_GB2312" w:cs="仿宋_GB2312"/>
          <w:b w:val="0"/>
          <w:bCs/>
          <w:color w:val="auto"/>
          <w:sz w:val="32"/>
          <w:szCs w:val="32"/>
          <w:highlight w:val="none"/>
          <w:lang w:val="en-US" w:eastAsia="zh-CN"/>
        </w:rPr>
        <w:t>出台了</w:t>
      </w:r>
      <w:r>
        <w:rPr>
          <w:rFonts w:hint="eastAsia" w:ascii="仿宋_GB2312" w:hAnsi="仿宋_GB2312" w:eastAsia="仿宋_GB2312" w:cs="仿宋_GB2312"/>
          <w:b w:val="0"/>
          <w:bCs/>
          <w:color w:val="auto"/>
          <w:sz w:val="32"/>
          <w:szCs w:val="32"/>
          <w:highlight w:val="none"/>
        </w:rPr>
        <w:t>《关于推进平台公司市场</w:t>
      </w:r>
      <w:r>
        <w:rPr>
          <w:rFonts w:hint="eastAsia" w:ascii="仿宋_GB2312" w:hAnsi="仿宋_GB2312" w:eastAsia="仿宋_GB2312" w:cs="仿宋_GB2312"/>
          <w:color w:val="auto"/>
          <w:sz w:val="32"/>
          <w:szCs w:val="32"/>
          <w:highlight w:val="none"/>
        </w:rPr>
        <w:t>化转型发展有关问题的若干意见》</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《关于推进市级平台公司市场化转型工作的实施方案》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指导原市城投公司、市经投集团</w:t>
      </w:r>
      <w:r>
        <w:rPr>
          <w:rFonts w:hint="eastAsia" w:ascii="仿宋_GB2312" w:hAnsi="仿宋_GB2312" w:eastAsia="仿宋_GB2312" w:cs="仿宋_GB2312"/>
          <w:color w:val="auto"/>
          <w:sz w:val="32"/>
          <w:szCs w:val="32"/>
          <w:highlight w:val="none"/>
          <w:lang w:val="en-US" w:eastAsia="zh-CN"/>
        </w:rPr>
        <w:t>撤销整合分（子）公司，成立了市城发集团、市经发集团，完成了市场化更名。</w:t>
      </w:r>
    </w:p>
    <w:p w14:paraId="2B1EFA66">
      <w:pPr>
        <w:keepNext w:val="0"/>
        <w:keepLines w:val="0"/>
        <w:pageBreakBefore w:val="0"/>
        <w:widowControl w:val="0"/>
        <w:kinsoku/>
        <w:wordWrap/>
        <w:overflowPunct/>
        <w:topLinePunct w:val="0"/>
        <w:autoSpaceDE/>
        <w:autoSpaceDN/>
        <w:bidi w:val="0"/>
        <w:adjustRightInd/>
        <w:snapToGrid/>
        <w:spacing w:line="7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lang w:val="en-US" w:eastAsia="zh-CN"/>
        </w:rPr>
        <w:t>三是全力</w:t>
      </w:r>
      <w:r>
        <w:rPr>
          <w:rFonts w:hint="eastAsia" w:ascii="仿宋_GB2312" w:hAnsi="仿宋_GB2312" w:eastAsia="仿宋_GB2312" w:cs="仿宋_GB2312"/>
          <w:b/>
          <w:bCs/>
          <w:color w:val="auto"/>
          <w:sz w:val="32"/>
          <w:szCs w:val="32"/>
        </w:rPr>
        <w:t>助推实体经济</w:t>
      </w:r>
      <w:r>
        <w:rPr>
          <w:rFonts w:hint="eastAsia" w:ascii="仿宋_GB2312" w:hAnsi="仿宋_GB2312" w:eastAsia="仿宋_GB2312" w:cs="仿宋_GB2312"/>
          <w:b/>
          <w:bCs/>
          <w:color w:val="auto"/>
          <w:sz w:val="32"/>
          <w:szCs w:val="32"/>
          <w:lang w:val="en-US" w:eastAsia="zh-CN"/>
        </w:rPr>
        <w:t>发展</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大力</w:t>
      </w:r>
      <w:r>
        <w:rPr>
          <w:rFonts w:hint="eastAsia" w:ascii="仿宋_GB2312" w:hAnsi="仿宋_GB2312" w:eastAsia="仿宋_GB2312" w:cs="仿宋_GB2312"/>
          <w:b w:val="0"/>
          <w:bCs w:val="0"/>
          <w:color w:val="auto"/>
          <w:sz w:val="32"/>
          <w:szCs w:val="32"/>
        </w:rPr>
        <w:t>实施“五大开放行动”，优化</w:t>
      </w:r>
      <w:r>
        <w:rPr>
          <w:rFonts w:hint="eastAsia" w:ascii="仿宋_GB2312" w:hAnsi="仿宋_GB2312" w:eastAsia="仿宋_GB2312" w:cs="仿宋_GB2312"/>
          <w:bCs/>
          <w:color w:val="auto"/>
          <w:sz w:val="32"/>
          <w:szCs w:val="32"/>
        </w:rPr>
        <w:t>开放发展环境，</w:t>
      </w:r>
      <w:r>
        <w:rPr>
          <w:rFonts w:hint="eastAsia" w:ascii="仿宋_GB2312" w:hAnsi="仿宋_GB2312" w:eastAsia="仿宋_GB2312" w:cs="仿宋_GB2312"/>
          <w:color w:val="auto"/>
          <w:sz w:val="32"/>
          <w:szCs w:val="32"/>
        </w:rPr>
        <w:t>加强与央企省企对接合作，</w:t>
      </w:r>
      <w:r>
        <w:rPr>
          <w:rFonts w:hint="eastAsia" w:ascii="仿宋_GB2312" w:hAnsi="仿宋_GB2312" w:eastAsia="仿宋_GB2312" w:cs="仿宋_GB2312"/>
          <w:color w:val="auto"/>
          <w:sz w:val="32"/>
          <w:szCs w:val="32"/>
          <w:lang w:eastAsia="zh-CN"/>
        </w:rPr>
        <w:t>积极收集和</w:t>
      </w:r>
      <w:r>
        <w:rPr>
          <w:rFonts w:hint="eastAsia" w:ascii="仿宋_GB2312" w:hAnsi="仿宋_GB2312" w:eastAsia="仿宋_GB2312" w:cs="仿宋_GB2312"/>
          <w:color w:val="auto"/>
          <w:sz w:val="32"/>
          <w:szCs w:val="32"/>
        </w:rPr>
        <w:t>协调解决驻永央企省企</w:t>
      </w:r>
      <w:r>
        <w:rPr>
          <w:rFonts w:hint="eastAsia" w:ascii="仿宋_GB2312" w:hAnsi="仿宋_GB2312" w:eastAsia="仿宋_GB2312" w:cs="仿宋_GB2312"/>
          <w:color w:val="auto"/>
          <w:sz w:val="32"/>
          <w:szCs w:val="32"/>
          <w:lang w:eastAsia="zh-CN"/>
        </w:rPr>
        <w:t>发展中</w:t>
      </w:r>
      <w:r>
        <w:rPr>
          <w:rFonts w:hint="eastAsia" w:ascii="仿宋_GB2312" w:hAnsi="仿宋_GB2312" w:eastAsia="仿宋_GB2312" w:cs="仿宋_GB2312"/>
          <w:color w:val="auto"/>
          <w:sz w:val="32"/>
          <w:szCs w:val="32"/>
        </w:rPr>
        <w:t>存在的困难和问题</w:t>
      </w:r>
      <w:r>
        <w:rPr>
          <w:rFonts w:hint="eastAsia" w:ascii="仿宋_GB2312" w:hAnsi="仿宋_GB2312" w:eastAsia="仿宋_GB2312" w:cs="仿宋_GB2312"/>
          <w:color w:val="auto"/>
          <w:sz w:val="32"/>
          <w:szCs w:val="32"/>
          <w:lang w:val="en-US" w:eastAsia="zh-CN"/>
        </w:rPr>
        <w:t>24项</w:t>
      </w:r>
      <w:r>
        <w:rPr>
          <w:rFonts w:hint="eastAsia" w:ascii="仿宋_GB2312" w:hAnsi="仿宋_GB2312" w:eastAsia="仿宋_GB2312" w:cs="仿宋_GB2312"/>
          <w:color w:val="auto"/>
          <w:sz w:val="32"/>
          <w:szCs w:val="32"/>
          <w:lang w:eastAsia="zh-CN"/>
        </w:rPr>
        <w:t>，增加企业在永投资信心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配合做好长丰猎豹汽车司法重整和引进战投工作</w:t>
      </w:r>
      <w:r>
        <w:rPr>
          <w:rFonts w:hint="eastAsia" w:ascii="仿宋_GB2312" w:hAnsi="仿宋_GB2312" w:eastAsia="仿宋_GB2312" w:cs="仿宋_GB2312"/>
          <w:b w:val="0"/>
          <w:bCs w:val="0"/>
          <w:color w:val="auto"/>
          <w:sz w:val="32"/>
          <w:szCs w:val="32"/>
          <w:lang w:eastAsia="zh-CN"/>
        </w:rPr>
        <w:t>。按</w:t>
      </w:r>
      <w:r>
        <w:rPr>
          <w:rFonts w:hint="eastAsia" w:ascii="仿宋_GB2312" w:hAnsi="仿宋_GB2312" w:eastAsia="仿宋_GB2312" w:cs="仿宋_GB2312"/>
          <w:color w:val="auto"/>
          <w:sz w:val="32"/>
          <w:szCs w:val="32"/>
          <w:lang w:eastAsia="zh-CN"/>
        </w:rPr>
        <w:t>照上级部署，</w:t>
      </w:r>
      <w:r>
        <w:rPr>
          <w:rFonts w:hint="eastAsia" w:ascii="仿宋_GB2312" w:hAnsi="仿宋_GB2312" w:eastAsia="仿宋_GB2312" w:cs="仿宋_GB2312"/>
          <w:bCs/>
          <w:color w:val="auto"/>
          <w:sz w:val="32"/>
          <w:szCs w:val="32"/>
          <w:lang w:eastAsia="zh-CN"/>
        </w:rPr>
        <w:t>多次赴省国资委、长沙中院、长丰集团协调</w:t>
      </w:r>
      <w:r>
        <w:rPr>
          <w:rFonts w:hint="eastAsia" w:ascii="仿宋_GB2312" w:hAnsi="仿宋_GB2312" w:eastAsia="仿宋_GB2312" w:cs="仿宋_GB2312"/>
          <w:color w:val="auto"/>
          <w:sz w:val="32"/>
          <w:szCs w:val="32"/>
        </w:rPr>
        <w:t>长丰集团合并司法重整</w:t>
      </w:r>
      <w:r>
        <w:rPr>
          <w:rFonts w:hint="eastAsia" w:ascii="仿宋_GB2312" w:hAnsi="仿宋_GB2312" w:eastAsia="仿宋_GB2312" w:cs="仿宋_GB2312"/>
          <w:bCs/>
          <w:color w:val="auto"/>
          <w:sz w:val="32"/>
          <w:szCs w:val="32"/>
          <w:lang w:eastAsia="zh-CN"/>
        </w:rPr>
        <w:t>、引进战投恢复永州工厂生产、保留整车生产资质等工作事宜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按照</w:t>
      </w:r>
      <w:r>
        <w:rPr>
          <w:rFonts w:hint="eastAsia" w:ascii="仿宋_GB2312" w:hAnsi="仿宋_GB2312" w:eastAsia="仿宋_GB2312" w:cs="仿宋_GB2312"/>
          <w:b w:val="0"/>
          <w:bCs w:val="0"/>
          <w:color w:val="auto"/>
          <w:sz w:val="32"/>
          <w:szCs w:val="32"/>
          <w:lang w:eastAsia="zh-CN"/>
        </w:rPr>
        <w:t>市委、</w:t>
      </w:r>
      <w:r>
        <w:rPr>
          <w:rFonts w:hint="eastAsia" w:ascii="仿宋_GB2312" w:hAnsi="仿宋_GB2312" w:eastAsia="仿宋_GB2312" w:cs="仿宋_GB2312"/>
          <w:b w:val="0"/>
          <w:bCs w:val="0"/>
          <w:color w:val="auto"/>
          <w:sz w:val="32"/>
          <w:szCs w:val="32"/>
        </w:rPr>
        <w:t>市政</w:t>
      </w:r>
      <w:r>
        <w:rPr>
          <w:rFonts w:hint="eastAsia" w:ascii="仿宋_GB2312" w:hAnsi="仿宋_GB2312" w:eastAsia="仿宋_GB2312" w:cs="仿宋_GB2312"/>
          <w:color w:val="auto"/>
          <w:sz w:val="32"/>
          <w:szCs w:val="32"/>
          <w:highlight w:val="none"/>
        </w:rPr>
        <w:t>府</w:t>
      </w:r>
      <w:r>
        <w:rPr>
          <w:rFonts w:hint="eastAsia" w:ascii="仿宋_GB2312" w:hAnsi="仿宋_GB2312" w:eastAsia="仿宋_GB2312" w:cs="仿宋_GB2312"/>
          <w:color w:val="auto"/>
          <w:sz w:val="32"/>
          <w:szCs w:val="32"/>
          <w:highlight w:val="none"/>
          <w:lang w:eastAsia="zh-CN"/>
        </w:rPr>
        <w:t>“一核”重</w:t>
      </w:r>
      <w:r>
        <w:rPr>
          <w:rFonts w:hint="eastAsia" w:ascii="仿宋_GB2312" w:hAnsi="仿宋_GB2312" w:eastAsia="仿宋_GB2312" w:cs="仿宋_GB2312"/>
          <w:color w:val="auto"/>
          <w:sz w:val="32"/>
          <w:szCs w:val="32"/>
          <w:lang w:eastAsia="zh-CN"/>
        </w:rPr>
        <w:t>点建设项目工作</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b w:val="0"/>
          <w:bCs/>
          <w:color w:val="auto"/>
          <w:sz w:val="32"/>
          <w:szCs w:val="32"/>
          <w:highlight w:val="none"/>
          <w:u w:val="none"/>
          <w:lang w:eastAsia="zh-CN"/>
        </w:rPr>
        <w:t>完成了永州国际陆港枢纽投资发展集团有限公司组建方案的拟订，</w:t>
      </w:r>
      <w:r>
        <w:rPr>
          <w:rFonts w:hint="eastAsia" w:ascii="仿宋_GB2312" w:hAnsi="仿宋_GB2312" w:eastAsia="仿宋_GB2312" w:cs="仿宋_GB2312"/>
          <w:color w:val="auto"/>
          <w:sz w:val="32"/>
          <w:szCs w:val="32"/>
          <w:highlight w:val="none"/>
          <w:u w:val="none"/>
          <w:lang w:eastAsia="zh-CN"/>
        </w:rPr>
        <w:t>全</w:t>
      </w:r>
      <w:r>
        <w:rPr>
          <w:rFonts w:hint="eastAsia" w:ascii="仿宋_GB2312" w:hAnsi="仿宋_GB2312" w:eastAsia="仿宋_GB2312" w:cs="仿宋_GB2312"/>
          <w:color w:val="auto"/>
          <w:sz w:val="32"/>
          <w:szCs w:val="32"/>
          <w:lang w:eastAsia="zh-CN"/>
        </w:rPr>
        <w:t>力做好了国际陆港等重点项目建设和招商引资服务工作。积极协调中储粮、盐业公司仓库搬迁工作，</w:t>
      </w:r>
      <w:r>
        <w:rPr>
          <w:rFonts w:hint="eastAsia" w:ascii="仿宋_GB2312" w:hAnsi="仿宋_GB2312" w:eastAsia="仿宋_GB2312" w:cs="仿宋_GB2312"/>
          <w:color w:val="auto"/>
          <w:sz w:val="32"/>
          <w:szCs w:val="32"/>
        </w:rPr>
        <w:t>确保</w:t>
      </w:r>
      <w:r>
        <w:rPr>
          <w:rFonts w:hint="eastAsia" w:ascii="仿宋_GB2312" w:hAnsi="仿宋_GB2312" w:eastAsia="仿宋_GB2312" w:cs="仿宋_GB2312"/>
          <w:color w:val="auto"/>
          <w:sz w:val="32"/>
          <w:szCs w:val="32"/>
          <w:lang w:eastAsia="zh-CN"/>
        </w:rPr>
        <w:t>湘江西岸</w:t>
      </w:r>
      <w:r>
        <w:rPr>
          <w:rFonts w:hint="eastAsia" w:ascii="仿宋_GB2312" w:hAnsi="仿宋_GB2312" w:eastAsia="仿宋_GB2312" w:cs="仿宋_GB2312"/>
          <w:color w:val="auto"/>
          <w:sz w:val="32"/>
          <w:szCs w:val="32"/>
        </w:rPr>
        <w:t>项目建设顺利</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pacing w:val="0"/>
          <w:sz w:val="32"/>
          <w:szCs w:val="32"/>
          <w:lang w:val="en-US" w:eastAsia="zh-CN" w:bidi="ar-SA"/>
        </w:rPr>
        <w:t>推进国有资产资源清查盘活改革，摸清底子、科学分类，</w:t>
      </w:r>
      <w:r>
        <w:rPr>
          <w:rFonts w:hint="eastAsia" w:ascii="仿宋_GB2312" w:hAnsi="仿宋_GB2312" w:eastAsia="仿宋_GB2312" w:cs="仿宋_GB2312"/>
          <w:color w:val="auto"/>
          <w:sz w:val="32"/>
          <w:szCs w:val="32"/>
          <w:highlight w:val="none"/>
          <w:lang w:val="en-US" w:eastAsia="zh-CN" w:bidi="ar-SA"/>
        </w:rPr>
        <w:t>全市纳入统计范围的140家国有企业中，国有资产账面净值1837.77亿元，低效闲置资产504.74亿元。同时，按照市政府工作要求，将中央、省驻永单位的房产和土地纳入清查范围，共统计中央、省驻永单位78家，国有资产总账面净值为：77.09亿元，低效闲置资产为：311.74万元。</w:t>
      </w:r>
      <w:r>
        <w:rPr>
          <w:rFonts w:hint="eastAsia" w:ascii="仿宋_GB2312" w:hAnsi="仿宋_GB2312" w:eastAsia="仿宋_GB2312" w:cs="仿宋_GB2312"/>
          <w:b w:val="0"/>
          <w:bCs w:val="0"/>
          <w:color w:val="auto"/>
          <w:spacing w:val="-6"/>
          <w:sz w:val="32"/>
          <w:szCs w:val="32"/>
          <w:highlight w:val="none"/>
          <w:lang w:eastAsia="zh-CN"/>
        </w:rPr>
        <w:t>积极</w:t>
      </w:r>
      <w:r>
        <w:rPr>
          <w:rFonts w:hint="eastAsia" w:ascii="仿宋_GB2312" w:hAnsi="仿宋_GB2312" w:eastAsia="仿宋_GB2312" w:cs="仿宋_GB2312"/>
          <w:color w:val="auto"/>
          <w:sz w:val="32"/>
          <w:szCs w:val="32"/>
          <w:highlight w:val="none"/>
          <w:lang w:eastAsia="zh-CN"/>
        </w:rPr>
        <w:t>开展“千名干部联千企”活动、</w:t>
      </w:r>
      <w:r>
        <w:rPr>
          <w:rFonts w:hint="eastAsia" w:ascii="仿宋_GB2312" w:hAnsi="仿宋_GB2312" w:eastAsia="仿宋_GB2312" w:cs="仿宋_GB2312"/>
          <w:color w:val="auto"/>
          <w:sz w:val="32"/>
          <w:szCs w:val="32"/>
          <w:highlight w:val="none"/>
          <w:lang w:val="en-US" w:eastAsia="zh-CN"/>
        </w:rPr>
        <w:t>扩大应急转贷基金规模等，服务业小微</w:t>
      </w:r>
      <w:r>
        <w:rPr>
          <w:rFonts w:hint="eastAsia" w:ascii="仿宋_GB2312" w:hAnsi="仿宋_GB2312" w:eastAsia="仿宋_GB2312" w:cs="仿宋_GB2312"/>
          <w:color w:val="auto"/>
          <w:sz w:val="32"/>
          <w:szCs w:val="32"/>
          <w:highlight w:val="none"/>
          <w:lang w:eastAsia="zh-CN"/>
        </w:rPr>
        <w:t>企业和个体工商户。</w:t>
      </w:r>
      <w:r>
        <w:rPr>
          <w:rFonts w:hint="eastAsia" w:ascii="仿宋_GB2312" w:hAnsi="仿宋_GB2312" w:eastAsia="仿宋_GB2312" w:cs="仿宋_GB2312"/>
          <w:color w:val="auto"/>
          <w:sz w:val="32"/>
          <w:szCs w:val="32"/>
          <w:highlight w:val="none"/>
        </w:rPr>
        <w:t>联企小分队共上门走访企业和项目296家，走访完成率100%，送政策资料500份，收集企业问题315条、项目问题139条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对接市县职能部门、跟进问题解决进度，全力推进问题解决</w:t>
      </w:r>
      <w:r>
        <w:rPr>
          <w:rFonts w:hint="eastAsia" w:ascii="仿宋_GB2312" w:hAnsi="仿宋_GB2312" w:eastAsia="仿宋_GB2312" w:cs="仿宋_GB2312"/>
          <w:color w:val="auto"/>
          <w:sz w:val="32"/>
          <w:szCs w:val="32"/>
          <w:highlight w:val="none"/>
          <w:lang w:val="en-US" w:eastAsia="zh-CN" w:bidi="ar-SA"/>
        </w:rPr>
        <w:t>。严格落实监管企业国有房屋租金减免工作，</w:t>
      </w:r>
      <w:r>
        <w:rPr>
          <w:rFonts w:hint="eastAsia" w:ascii="仿宋_GB2312" w:hAnsi="仿宋_GB2312" w:eastAsia="仿宋_GB2312" w:cs="仿宋_GB2312"/>
          <w:color w:val="auto"/>
          <w:sz w:val="32"/>
          <w:szCs w:val="32"/>
          <w:highlight w:val="none"/>
          <w:lang w:eastAsia="zh-CN"/>
        </w:rPr>
        <w:t>印</w:t>
      </w:r>
      <w:r>
        <w:rPr>
          <w:rFonts w:hint="eastAsia" w:ascii="仿宋_GB2312" w:hAnsi="仿宋_GB2312" w:eastAsia="仿宋_GB2312" w:cs="仿宋_GB2312"/>
          <w:color w:val="auto"/>
          <w:sz w:val="32"/>
          <w:szCs w:val="32"/>
          <w:highlight w:val="none"/>
        </w:rPr>
        <w:t>发了《关于做好市国资委监管企业2022年国有房屋租金减免工作有关事项的补充通知》，</w:t>
      </w:r>
      <w:r>
        <w:rPr>
          <w:rFonts w:hint="eastAsia" w:ascii="仿宋_GB2312" w:hAnsi="仿宋_GB2312" w:eastAsia="仿宋_GB2312" w:cs="仿宋_GB2312"/>
          <w:color w:val="auto"/>
          <w:sz w:val="32"/>
          <w:szCs w:val="32"/>
          <w:highlight w:val="none"/>
          <w:lang w:eastAsia="zh-CN"/>
        </w:rPr>
        <w:t>惠及</w:t>
      </w:r>
      <w:r>
        <w:rPr>
          <w:rFonts w:hint="eastAsia" w:ascii="仿宋_GB2312" w:hAnsi="仿宋_GB2312" w:eastAsia="仿宋_GB2312" w:cs="仿宋_GB2312"/>
          <w:color w:val="auto"/>
          <w:sz w:val="32"/>
          <w:szCs w:val="32"/>
          <w:highlight w:val="none"/>
        </w:rPr>
        <w:t>减免房租的小微企业和个体工商户共计82家，累计减免房租284.053万元。</w:t>
      </w:r>
    </w:p>
    <w:p w14:paraId="7FB4489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bCs/>
          <w:color w:val="auto"/>
          <w:sz w:val="32"/>
          <w:szCs w:val="32"/>
          <w:lang w:eastAsia="zh-CN"/>
        </w:rPr>
        <w:t>推进</w:t>
      </w:r>
      <w:r>
        <w:rPr>
          <w:rFonts w:hint="eastAsia" w:ascii="仿宋_GB2312" w:hAnsi="仿宋_GB2312" w:eastAsia="仿宋_GB2312" w:cs="仿宋_GB2312"/>
          <w:b/>
          <w:bCs/>
          <w:color w:val="auto"/>
          <w:sz w:val="32"/>
          <w:szCs w:val="32"/>
        </w:rPr>
        <w:t>监管体系</w:t>
      </w:r>
      <w:r>
        <w:rPr>
          <w:rFonts w:hint="eastAsia" w:ascii="仿宋_GB2312" w:hAnsi="仿宋_GB2312" w:eastAsia="仿宋_GB2312" w:cs="仿宋_GB2312"/>
          <w:b/>
          <w:bCs/>
          <w:color w:val="auto"/>
          <w:sz w:val="32"/>
          <w:szCs w:val="32"/>
          <w:lang w:eastAsia="zh-CN"/>
        </w:rPr>
        <w:t>建设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为</w:t>
      </w:r>
      <w:r>
        <w:rPr>
          <w:rFonts w:hint="eastAsia" w:ascii="仿宋_GB2312" w:hAnsi="仿宋_GB2312" w:eastAsia="仿宋_GB2312" w:cs="仿宋_GB2312"/>
          <w:b w:val="0"/>
          <w:bCs/>
          <w:color w:val="auto"/>
          <w:sz w:val="32"/>
          <w:szCs w:val="32"/>
        </w:rPr>
        <w:t>深入推进政</w:t>
      </w:r>
      <w:r>
        <w:rPr>
          <w:rFonts w:hint="eastAsia" w:ascii="仿宋_GB2312" w:hAnsi="仿宋_GB2312" w:eastAsia="仿宋_GB2312" w:cs="仿宋_GB2312"/>
          <w:color w:val="auto"/>
          <w:sz w:val="32"/>
          <w:szCs w:val="32"/>
        </w:rPr>
        <w:t>企分开、政资分开工作，实现市政府授权、市国资委依法对市属国有企业统一履行出资人职责并进行监督管理，加快实现以管企业为主向以管资本为主职能转变。</w:t>
      </w:r>
      <w:r>
        <w:rPr>
          <w:rFonts w:hint="eastAsia" w:ascii="仿宋_GB2312" w:hAnsi="仿宋_GB2312" w:eastAsia="仿宋_GB2312" w:cs="仿宋_GB2312"/>
          <w:b w:val="0"/>
          <w:bCs/>
          <w:color w:val="auto"/>
          <w:sz w:val="32"/>
          <w:szCs w:val="32"/>
          <w:highlight w:val="none"/>
          <w:lang w:eastAsia="zh-CN"/>
        </w:rPr>
        <w:t>全年共建立出台和修订完善各类监管制度</w:t>
      </w:r>
      <w:r>
        <w:rPr>
          <w:rFonts w:hint="eastAsia" w:ascii="仿宋_GB2312" w:hAnsi="仿宋_GB2312" w:eastAsia="仿宋_GB2312" w:cs="仿宋_GB2312"/>
          <w:b w:val="0"/>
          <w:bCs/>
          <w:color w:val="auto"/>
          <w:sz w:val="32"/>
          <w:szCs w:val="32"/>
          <w:highlight w:val="none"/>
          <w:lang w:val="en-US" w:eastAsia="zh-CN"/>
        </w:rPr>
        <w:t>18份</w:t>
      </w:r>
      <w:r>
        <w:rPr>
          <w:rFonts w:hint="eastAsia" w:ascii="仿宋_GB2312" w:hAnsi="仿宋_GB2312" w:eastAsia="仿宋_GB2312" w:cs="仿宋_GB2312"/>
          <w:b w:val="0"/>
          <w:bCs/>
          <w:color w:val="auto"/>
          <w:sz w:val="32"/>
          <w:szCs w:val="32"/>
          <w:lang w:eastAsia="zh-CN"/>
        </w:rPr>
        <w:t>。</w:t>
      </w:r>
    </w:p>
    <w:p w14:paraId="6303E7A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32"/>
          <w:lang w:val="en-US" w:eastAsia="zh-CN"/>
        </w:rPr>
        <w:t>五是</w:t>
      </w:r>
      <w:r>
        <w:rPr>
          <w:rFonts w:hint="eastAsia" w:ascii="仿宋_GB2312" w:hAnsi="仿宋_GB2312" w:eastAsia="仿宋_GB2312" w:cs="仿宋_GB2312"/>
          <w:b/>
          <w:color w:val="auto"/>
          <w:sz w:val="32"/>
          <w:szCs w:val="32"/>
          <w:highlight w:val="none"/>
          <w:lang w:val="en-US" w:eastAsia="zh-CN"/>
        </w:rPr>
        <w:t>做好安全生产和信访维稳工作</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val="0"/>
          <w:bCs/>
          <w:color w:val="auto"/>
          <w:sz w:val="32"/>
          <w:szCs w:val="32"/>
          <w:lang w:val="en-US" w:eastAsia="zh-CN"/>
        </w:rPr>
        <w:t>积极开展安全生产“百日攻坚”活动，</w:t>
      </w:r>
      <w:r>
        <w:rPr>
          <w:rFonts w:hint="eastAsia" w:ascii="仿宋_GB2312" w:hAnsi="仿宋_GB2312" w:eastAsia="仿宋_GB2312" w:cs="仿宋_GB2312"/>
          <w:color w:val="auto"/>
          <w:sz w:val="32"/>
          <w:szCs w:val="32"/>
        </w:rPr>
        <w:t>督促监管企业履行安全生产主体责任，定期开展安全生产检查，</w:t>
      </w:r>
      <w:r>
        <w:rPr>
          <w:rFonts w:hint="eastAsia" w:ascii="仿宋_GB2312" w:hAnsi="仿宋_GB2312" w:eastAsia="仿宋_GB2312" w:cs="仿宋_GB2312"/>
          <w:color w:val="auto"/>
          <w:sz w:val="32"/>
          <w:szCs w:val="32"/>
          <w:lang w:eastAsia="zh-CN"/>
        </w:rPr>
        <w:t>及时消除</w:t>
      </w:r>
      <w:r>
        <w:rPr>
          <w:rFonts w:hint="eastAsia" w:ascii="仿宋_GB2312" w:hAnsi="仿宋_GB2312" w:eastAsia="仿宋_GB2312" w:cs="仿宋_GB2312"/>
          <w:color w:val="auto"/>
          <w:sz w:val="32"/>
          <w:szCs w:val="32"/>
        </w:rPr>
        <w:t>安全隐患。</w:t>
      </w:r>
      <w:r>
        <w:rPr>
          <w:rFonts w:hint="eastAsia" w:ascii="仿宋_GB2312" w:hAnsi="仿宋_GB2312" w:eastAsia="仿宋_GB2312" w:cs="仿宋_GB2312"/>
          <w:b w:val="0"/>
          <w:bCs/>
          <w:color w:val="auto"/>
          <w:sz w:val="32"/>
          <w:szCs w:val="32"/>
        </w:rPr>
        <w:t>认真做好信访维稳和“平安企业”创建工作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及时全面掌握企</w:t>
      </w:r>
      <w:r>
        <w:rPr>
          <w:rFonts w:hint="eastAsia" w:ascii="仿宋_GB2312" w:hAnsi="仿宋_GB2312" w:eastAsia="仿宋_GB2312" w:cs="仿宋_GB2312"/>
          <w:color w:val="auto"/>
          <w:sz w:val="32"/>
          <w:szCs w:val="32"/>
        </w:rPr>
        <w:t>业矛盾隐患情况，对不同时段的重点信访维稳问题做到底数清、情况明、接访及时、化解到位。</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snapToGrid/>
          <w:color w:val="auto"/>
          <w:sz w:val="32"/>
          <w:szCs w:val="32"/>
          <w:vertAlign w:val="baseline"/>
          <w:lang w:bidi="ar-SA"/>
        </w:rPr>
        <w:t>共接待处理群众来访</w:t>
      </w:r>
      <w:r>
        <w:rPr>
          <w:rFonts w:hint="eastAsia" w:ascii="仿宋_GB2312" w:hAnsi="仿宋_GB2312" w:eastAsia="仿宋_GB2312" w:cs="仿宋_GB2312"/>
          <w:snapToGrid/>
          <w:color w:val="auto"/>
          <w:sz w:val="32"/>
          <w:szCs w:val="32"/>
          <w:vertAlign w:val="baseline"/>
          <w:lang w:val="en-US" w:eastAsia="zh-CN" w:bidi="ar-SA"/>
        </w:rPr>
        <w:t>110余</w:t>
      </w:r>
      <w:r>
        <w:rPr>
          <w:rFonts w:hint="eastAsia" w:ascii="仿宋_GB2312" w:hAnsi="仿宋_GB2312" w:eastAsia="仿宋_GB2312" w:cs="仿宋_GB2312"/>
          <w:snapToGrid/>
          <w:color w:val="auto"/>
          <w:sz w:val="32"/>
          <w:szCs w:val="32"/>
          <w:vertAlign w:val="baseline"/>
          <w:lang w:bidi="ar-SA"/>
        </w:rPr>
        <w:t>人次，其中：个访</w:t>
      </w:r>
      <w:r>
        <w:rPr>
          <w:rFonts w:hint="eastAsia" w:ascii="仿宋_GB2312" w:hAnsi="仿宋_GB2312" w:eastAsia="仿宋_GB2312" w:cs="仿宋_GB2312"/>
          <w:snapToGrid/>
          <w:color w:val="auto"/>
          <w:sz w:val="32"/>
          <w:szCs w:val="32"/>
          <w:vertAlign w:val="baseline"/>
          <w:lang w:val="en-US" w:eastAsia="zh-CN" w:bidi="ar-SA"/>
        </w:rPr>
        <w:t>50</w:t>
      </w:r>
      <w:r>
        <w:rPr>
          <w:rFonts w:hint="eastAsia" w:ascii="仿宋_GB2312" w:hAnsi="仿宋_GB2312" w:eastAsia="仿宋_GB2312" w:cs="仿宋_GB2312"/>
          <w:snapToGrid/>
          <w:color w:val="auto"/>
          <w:sz w:val="32"/>
          <w:szCs w:val="32"/>
          <w:vertAlign w:val="baseline"/>
          <w:lang w:bidi="ar-SA"/>
        </w:rPr>
        <w:t>余人</w:t>
      </w:r>
      <w:r>
        <w:rPr>
          <w:rFonts w:hint="eastAsia" w:ascii="仿宋_GB2312" w:hAnsi="仿宋_GB2312" w:eastAsia="仿宋_GB2312" w:cs="仿宋_GB2312"/>
          <w:snapToGrid/>
          <w:color w:val="auto"/>
          <w:sz w:val="32"/>
          <w:szCs w:val="32"/>
          <w:vertAlign w:val="baseline"/>
          <w:lang w:eastAsia="zh-CN" w:bidi="ar-SA"/>
        </w:rPr>
        <w:t>次</w:t>
      </w:r>
      <w:r>
        <w:rPr>
          <w:rFonts w:hint="eastAsia" w:ascii="仿宋_GB2312" w:hAnsi="仿宋_GB2312" w:eastAsia="仿宋_GB2312" w:cs="仿宋_GB2312"/>
          <w:snapToGrid/>
          <w:color w:val="auto"/>
          <w:sz w:val="32"/>
          <w:szCs w:val="32"/>
          <w:vertAlign w:val="baseline"/>
          <w:lang w:bidi="ar-SA"/>
        </w:rPr>
        <w:t>，处置10人以上集访</w:t>
      </w:r>
      <w:r>
        <w:rPr>
          <w:rFonts w:hint="eastAsia" w:ascii="仿宋_GB2312" w:hAnsi="仿宋_GB2312" w:eastAsia="仿宋_GB2312" w:cs="仿宋_GB2312"/>
          <w:snapToGrid/>
          <w:color w:val="auto"/>
          <w:sz w:val="32"/>
          <w:szCs w:val="32"/>
          <w:vertAlign w:val="baseline"/>
          <w:lang w:val="en-US" w:eastAsia="zh-CN" w:bidi="ar-SA"/>
        </w:rPr>
        <w:t>4</w:t>
      </w:r>
      <w:r>
        <w:rPr>
          <w:rFonts w:hint="eastAsia" w:ascii="仿宋_GB2312" w:hAnsi="仿宋_GB2312" w:eastAsia="仿宋_GB2312" w:cs="仿宋_GB2312"/>
          <w:snapToGrid/>
          <w:color w:val="auto"/>
          <w:sz w:val="32"/>
          <w:szCs w:val="32"/>
          <w:vertAlign w:val="baseline"/>
          <w:lang w:bidi="ar-SA"/>
        </w:rPr>
        <w:t>批次</w:t>
      </w:r>
      <w:r>
        <w:rPr>
          <w:rFonts w:hint="eastAsia" w:ascii="仿宋_GB2312" w:hAnsi="仿宋_GB2312" w:eastAsia="仿宋_GB2312" w:cs="仿宋_GB2312"/>
          <w:snapToGrid/>
          <w:color w:val="auto"/>
          <w:sz w:val="32"/>
          <w:szCs w:val="32"/>
          <w:vertAlign w:val="baseline"/>
          <w:lang w:val="en-US" w:eastAsia="zh-CN" w:bidi="ar-SA"/>
        </w:rPr>
        <w:t>60</w:t>
      </w:r>
      <w:r>
        <w:rPr>
          <w:rFonts w:hint="eastAsia" w:ascii="仿宋_GB2312" w:hAnsi="仿宋_GB2312" w:eastAsia="仿宋_GB2312" w:cs="仿宋_GB2312"/>
          <w:snapToGrid/>
          <w:color w:val="auto"/>
          <w:sz w:val="32"/>
          <w:szCs w:val="32"/>
          <w:vertAlign w:val="baseline"/>
          <w:lang w:bidi="ar-SA"/>
        </w:rPr>
        <w:t>余人</w:t>
      </w:r>
      <w:r>
        <w:rPr>
          <w:rFonts w:hint="eastAsia" w:ascii="仿宋_GB2312" w:hAnsi="仿宋_GB2312" w:eastAsia="仿宋_GB2312" w:cs="仿宋_GB2312"/>
          <w:snapToGrid/>
          <w:color w:val="auto"/>
          <w:sz w:val="32"/>
          <w:szCs w:val="32"/>
          <w:vertAlign w:val="baseline"/>
          <w:lang w:eastAsia="zh-CN" w:bidi="ar-SA"/>
        </w:rPr>
        <w:t>，</w:t>
      </w:r>
      <w:r>
        <w:rPr>
          <w:rFonts w:hint="eastAsia" w:ascii="仿宋_GB2312" w:hAnsi="仿宋_GB2312" w:eastAsia="仿宋_GB2312" w:cs="仿宋_GB2312"/>
          <w:color w:val="auto"/>
          <w:sz w:val="32"/>
          <w:szCs w:val="32"/>
          <w:highlight w:val="none"/>
          <w:lang w:val="en-US" w:eastAsia="zh-CN"/>
        </w:rPr>
        <w:t>化解伍艳美、樊运旺信访积案</w:t>
      </w:r>
      <w:r>
        <w:rPr>
          <w:rFonts w:hint="eastAsia" w:ascii="仿宋_GB2312" w:hAnsi="仿宋_GB2312" w:eastAsia="仿宋_GB2312" w:cs="仿宋_GB2312"/>
          <w:snapToGrid/>
          <w:color w:val="auto"/>
          <w:sz w:val="32"/>
          <w:szCs w:val="32"/>
          <w:highlight w:val="none"/>
          <w:vertAlign w:val="baseline"/>
          <w:lang w:val="en-US" w:eastAsia="zh-CN" w:bidi="ar-SA"/>
        </w:rPr>
        <w:t>2件</w:t>
      </w:r>
      <w:r>
        <w:rPr>
          <w:rFonts w:hint="eastAsia" w:ascii="仿宋_GB2312" w:hAnsi="仿宋_GB2312" w:eastAsia="仿宋_GB2312" w:cs="仿宋_GB2312"/>
          <w:snapToGrid/>
          <w:color w:val="auto"/>
          <w:sz w:val="32"/>
          <w:szCs w:val="32"/>
          <w:vertAlign w:val="baseline"/>
          <w:lang w:eastAsia="zh-CN" w:bidi="ar-SA"/>
        </w:rPr>
        <w:t>。办理智慧永州平台</w:t>
      </w:r>
      <w:r>
        <w:rPr>
          <w:rFonts w:hint="eastAsia" w:ascii="仿宋_GB2312" w:hAnsi="仿宋_GB2312" w:eastAsia="仿宋_GB2312" w:cs="仿宋_GB2312"/>
          <w:snapToGrid/>
          <w:color w:val="auto"/>
          <w:sz w:val="32"/>
          <w:szCs w:val="32"/>
          <w:vertAlign w:val="baseline"/>
          <w:lang w:val="en-US" w:eastAsia="zh-CN" w:bidi="ar-SA"/>
        </w:rPr>
        <w:t>18件、</w:t>
      </w:r>
      <w:r>
        <w:rPr>
          <w:rFonts w:hint="eastAsia" w:ascii="仿宋_GB2312" w:hAnsi="仿宋_GB2312" w:eastAsia="仿宋_GB2312" w:cs="仿宋_GB2312"/>
          <w:color w:val="auto"/>
          <w:sz w:val="32"/>
          <w:szCs w:val="32"/>
          <w:lang w:bidi="ar-SA"/>
        </w:rPr>
        <w:t>网上信访</w:t>
      </w:r>
      <w:r>
        <w:rPr>
          <w:rFonts w:hint="eastAsia" w:ascii="仿宋_GB2312" w:hAnsi="仿宋_GB2312" w:eastAsia="仿宋_GB2312" w:cs="仿宋_GB2312"/>
          <w:color w:val="auto"/>
          <w:sz w:val="32"/>
          <w:szCs w:val="32"/>
          <w:lang w:eastAsia="zh-CN" w:bidi="ar-SA"/>
        </w:rPr>
        <w:t>系统</w:t>
      </w:r>
      <w:r>
        <w:rPr>
          <w:rFonts w:hint="eastAsia" w:ascii="仿宋_GB2312" w:hAnsi="仿宋_GB2312" w:eastAsia="仿宋_GB2312" w:cs="仿宋_GB2312"/>
          <w:color w:val="auto"/>
          <w:sz w:val="32"/>
          <w:szCs w:val="32"/>
          <w:u w:val="none"/>
          <w:lang w:val="en-US" w:eastAsia="zh-CN" w:bidi="ar-SA"/>
        </w:rPr>
        <w:t>25</w:t>
      </w:r>
      <w:r>
        <w:rPr>
          <w:rFonts w:hint="eastAsia" w:ascii="仿宋_GB2312" w:hAnsi="仿宋_GB2312" w:eastAsia="仿宋_GB2312" w:cs="仿宋_GB2312"/>
          <w:color w:val="auto"/>
          <w:sz w:val="32"/>
          <w:szCs w:val="32"/>
          <w:lang w:bidi="ar-SA"/>
        </w:rPr>
        <w:t>件</w:t>
      </w:r>
      <w:r>
        <w:rPr>
          <w:rFonts w:hint="eastAsia" w:ascii="仿宋_GB2312" w:hAnsi="仿宋_GB2312" w:eastAsia="仿宋_GB2312" w:cs="仿宋_GB2312"/>
          <w:color w:val="auto"/>
          <w:sz w:val="32"/>
          <w:szCs w:val="32"/>
          <w:lang w:eastAsia="zh-CN" w:bidi="ar-SA"/>
        </w:rPr>
        <w:t>，受理率、办理率均为</w:t>
      </w:r>
      <w:r>
        <w:rPr>
          <w:rFonts w:hint="eastAsia" w:ascii="仿宋_GB2312" w:hAnsi="仿宋_GB2312" w:eastAsia="仿宋_GB2312" w:cs="仿宋_GB2312"/>
          <w:color w:val="auto"/>
          <w:sz w:val="32"/>
          <w:szCs w:val="32"/>
          <w:lang w:val="en-US" w:eastAsia="zh-CN" w:bidi="ar-SA"/>
        </w:rPr>
        <w:t>100%。</w:t>
      </w:r>
    </w:p>
    <w:p w14:paraId="19C56DB9">
      <w:pPr>
        <w:pStyle w:val="2"/>
        <w:keepNext w:val="0"/>
        <w:keepLines w:val="0"/>
        <w:pageBreakBefore w:val="0"/>
        <w:widowControl w:val="0"/>
        <w:numPr>
          <w:ilvl w:val="0"/>
          <w:numId w:val="3"/>
        </w:numPr>
        <w:kinsoku/>
        <w:wordWrap/>
        <w:overflowPunct/>
        <w:topLinePunct w:val="0"/>
        <w:autoSpaceDE/>
        <w:autoSpaceDN/>
        <w:bidi w:val="0"/>
        <w:spacing w:line="70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永州市人民政府国有资产监督管理委员会实现产出和取得效益的情况</w:t>
      </w:r>
    </w:p>
    <w:p w14:paraId="68E8F043">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楷体" w:eastAsia="仿宋_GB2312" w:cs="楷体"/>
          <w:bCs/>
          <w:color w:val="auto"/>
          <w:sz w:val="32"/>
          <w:szCs w:val="32"/>
          <w:lang w:bidi="ar"/>
        </w:rPr>
      </w:pPr>
      <w:r>
        <w:rPr>
          <w:rFonts w:hint="eastAsia" w:ascii="仿宋_GB2312" w:hAnsi="仿宋_GB2312" w:eastAsia="仿宋_GB2312" w:cs="仿宋_GB2312"/>
          <w:color w:val="auto"/>
          <w:sz w:val="32"/>
          <w:szCs w:val="32"/>
          <w:lang w:val="en-US" w:eastAsia="zh-CN"/>
        </w:rPr>
        <w:t>2022年完成了对</w:t>
      </w:r>
      <w:r>
        <w:rPr>
          <w:rFonts w:hint="eastAsia" w:ascii="仿宋_GB2312" w:hAnsi="仿宋_GB2312" w:eastAsia="仿宋_GB2312" w:cs="仿宋_GB2312"/>
          <w:bCs/>
          <w:color w:val="auto"/>
          <w:sz w:val="32"/>
          <w:szCs w:val="32"/>
        </w:rPr>
        <w:t>市政府授权</w:t>
      </w:r>
      <w:r>
        <w:rPr>
          <w:rFonts w:hint="eastAsia" w:ascii="仿宋_GB2312" w:hAnsi="仿宋_GB2312" w:eastAsia="仿宋_GB2312" w:cs="仿宋_GB2312"/>
          <w:bCs/>
          <w:color w:val="auto"/>
          <w:sz w:val="32"/>
          <w:szCs w:val="32"/>
          <w:lang w:val="en-US" w:eastAsia="zh-CN"/>
        </w:rPr>
        <w:t>的8</w:t>
      </w:r>
      <w:r>
        <w:rPr>
          <w:rFonts w:hint="eastAsia" w:ascii="仿宋_GB2312" w:hAnsi="仿宋_GB2312" w:eastAsia="仿宋_GB2312" w:cs="仿宋_GB2312"/>
          <w:bCs/>
          <w:color w:val="auto"/>
          <w:sz w:val="32"/>
          <w:szCs w:val="32"/>
        </w:rPr>
        <w:t>家</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分别是市城发集团、市经投集团、涔天河公司、市公交公司、永汽总公司、市国投公司</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农高科公司</w:t>
      </w:r>
      <w:r>
        <w:rPr>
          <w:rFonts w:hint="eastAsia" w:ascii="仿宋_GB2312" w:hAnsi="仿宋_GB2312" w:eastAsia="仿宋_GB2312" w:cs="仿宋_GB2312"/>
          <w:bCs/>
          <w:color w:val="auto"/>
          <w:sz w:val="32"/>
          <w:szCs w:val="32"/>
          <w:lang w:eastAsia="zh-CN"/>
        </w:rPr>
        <w:t>和市勘测规划研究院有限公司）</w:t>
      </w:r>
      <w:r>
        <w:rPr>
          <w:rFonts w:hint="eastAsia" w:ascii="仿宋_GB2312" w:hAnsi="仿宋_GB2312" w:eastAsia="仿宋_GB2312" w:cs="仿宋_GB2312"/>
          <w:bCs/>
          <w:color w:val="auto"/>
          <w:sz w:val="32"/>
          <w:szCs w:val="32"/>
          <w:lang w:val="en-US" w:eastAsia="zh-CN"/>
        </w:rPr>
        <w:t>市属国有</w:t>
      </w:r>
      <w:r>
        <w:rPr>
          <w:rFonts w:hint="eastAsia" w:ascii="仿宋_GB2312" w:hAnsi="仿宋_GB2312" w:eastAsia="仿宋_GB2312" w:cs="仿宋_GB2312"/>
          <w:bCs/>
          <w:color w:val="auto"/>
          <w:sz w:val="32"/>
          <w:szCs w:val="32"/>
        </w:rPr>
        <w:t>企业</w:t>
      </w:r>
      <w:r>
        <w:rPr>
          <w:rFonts w:hint="eastAsia" w:ascii="仿宋_GB2312" w:hAnsi="仿宋_GB2312" w:eastAsia="仿宋_GB2312" w:cs="仿宋_GB2312"/>
          <w:bCs/>
          <w:color w:val="auto"/>
          <w:sz w:val="32"/>
          <w:szCs w:val="32"/>
          <w:lang w:val="en-US" w:eastAsia="zh-CN"/>
        </w:rPr>
        <w:t>的国资监管工作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全年</w:t>
      </w:r>
      <w:r>
        <w:rPr>
          <w:rFonts w:hint="eastAsia" w:ascii="仿宋_GB2312" w:hAnsi="楷体" w:eastAsia="仿宋_GB2312" w:cs="楷体"/>
          <w:bCs/>
          <w:color w:val="auto"/>
          <w:sz w:val="32"/>
          <w:szCs w:val="32"/>
          <w:lang w:bidi="ar"/>
        </w:rPr>
        <w:t>立足新发展阶段，完整准确全面贯彻新发展理念，服务和融入新发展格局，以管资本为主，推进国有资产监管体制改革，转变国有资产监管职能。坚持“稳进高新”工作方针，统筹推进国有资本布局优化和结构调整，深化改革、强化管理、持续创新；系统推动国资监管机构全面履行出资人、国资监管和加强国有企业党的建设职责。</w:t>
      </w:r>
      <w:r>
        <w:rPr>
          <w:rFonts w:hint="eastAsia" w:ascii="仿宋_GB2312" w:hAnsi="楷体" w:eastAsia="仿宋_GB2312" w:cs="楷体"/>
          <w:bCs/>
          <w:color w:val="auto"/>
          <w:sz w:val="32"/>
          <w:szCs w:val="32"/>
          <w:lang w:val="en-US" w:eastAsia="zh-CN" w:bidi="ar"/>
        </w:rPr>
        <w:t>进一步</w:t>
      </w:r>
      <w:r>
        <w:rPr>
          <w:rFonts w:hint="eastAsia" w:ascii="仿宋_GB2312" w:hAnsi="楷体" w:eastAsia="仿宋_GB2312" w:cs="楷体"/>
          <w:bCs/>
          <w:color w:val="auto"/>
          <w:sz w:val="32"/>
          <w:szCs w:val="32"/>
          <w:lang w:bidi="ar"/>
        </w:rPr>
        <w:t>加强</w:t>
      </w:r>
      <w:r>
        <w:rPr>
          <w:rFonts w:hint="eastAsia" w:ascii="仿宋_GB2312" w:hAnsi="楷体" w:eastAsia="仿宋_GB2312" w:cs="楷体"/>
          <w:bCs/>
          <w:color w:val="auto"/>
          <w:sz w:val="32"/>
          <w:szCs w:val="32"/>
          <w:lang w:val="en-US" w:eastAsia="zh-CN" w:bidi="ar"/>
        </w:rPr>
        <w:t>了</w:t>
      </w:r>
      <w:r>
        <w:rPr>
          <w:rFonts w:hint="eastAsia" w:ascii="仿宋_GB2312" w:hAnsi="楷体" w:eastAsia="仿宋_GB2312" w:cs="楷体"/>
          <w:bCs/>
          <w:color w:val="auto"/>
          <w:sz w:val="32"/>
          <w:szCs w:val="32"/>
          <w:lang w:bidi="ar"/>
        </w:rPr>
        <w:t>对</w:t>
      </w:r>
      <w:r>
        <w:rPr>
          <w:rFonts w:hint="eastAsia" w:ascii="仿宋_GB2312" w:hAnsi="楷体" w:eastAsia="仿宋_GB2312" w:cs="楷体"/>
          <w:bCs/>
          <w:color w:val="auto"/>
          <w:sz w:val="32"/>
          <w:szCs w:val="32"/>
          <w:lang w:val="en-US" w:eastAsia="zh-CN" w:bidi="ar"/>
        </w:rPr>
        <w:t>市属监管的</w:t>
      </w:r>
      <w:r>
        <w:rPr>
          <w:rFonts w:hint="eastAsia" w:ascii="仿宋_GB2312" w:hAnsi="楷体" w:eastAsia="仿宋_GB2312" w:cs="楷体"/>
          <w:bCs/>
          <w:color w:val="auto"/>
          <w:sz w:val="32"/>
          <w:szCs w:val="32"/>
          <w:lang w:bidi="ar"/>
        </w:rPr>
        <w:t>国有企业事前、事中、事后监管，维护国有资本安全，</w:t>
      </w:r>
      <w:r>
        <w:rPr>
          <w:rFonts w:hint="eastAsia" w:ascii="仿宋_GB2312" w:hAnsi="楷体" w:eastAsia="仿宋_GB2312" w:cs="楷体"/>
          <w:bCs/>
          <w:color w:val="auto"/>
          <w:sz w:val="32"/>
          <w:szCs w:val="32"/>
          <w:lang w:val="en-US" w:eastAsia="zh-CN" w:bidi="ar"/>
        </w:rPr>
        <w:t>从而</w:t>
      </w:r>
      <w:r>
        <w:rPr>
          <w:rFonts w:hint="eastAsia" w:ascii="仿宋_GB2312" w:hAnsi="楷体" w:eastAsia="仿宋_GB2312" w:cs="楷体"/>
          <w:bCs/>
          <w:color w:val="auto"/>
          <w:sz w:val="32"/>
          <w:szCs w:val="32"/>
          <w:lang w:bidi="ar"/>
        </w:rPr>
        <w:t>实现国有资产保值增值。</w:t>
      </w:r>
    </w:p>
    <w:p w14:paraId="6752F825">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Cs/>
          <w:color w:val="auto"/>
          <w:sz w:val="32"/>
          <w:szCs w:val="32"/>
          <w:lang w:eastAsia="zh-CN"/>
        </w:rPr>
        <w:t>截止2022年12月，</w:t>
      </w:r>
      <w:r>
        <w:rPr>
          <w:rFonts w:hint="eastAsia" w:ascii="仿宋_GB2312" w:hAnsi="仿宋_GB2312" w:eastAsia="仿宋_GB2312" w:cs="仿宋_GB2312"/>
          <w:bCs/>
          <w:color w:val="auto"/>
          <w:sz w:val="32"/>
          <w:szCs w:val="32"/>
          <w:highlight w:val="none"/>
        </w:rPr>
        <w:t>监管企业主要经济指标平稳运行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lang w:eastAsia="zh-CN"/>
        </w:rPr>
        <w:t>监管企业资产总额851.87亿元，同比增加13.3%，营业收入12.1亿元，同比增加6.02%，营业成本3.66亿元，同比增加31.5%，利润总额-4.92亿元，同比减亏59.5%，上缴税费3.6亿元，同比增加351.03%。</w:t>
      </w:r>
      <w:r>
        <w:rPr>
          <w:rFonts w:hint="eastAsia" w:ascii="仿宋_GB2312" w:hAnsi="仿宋_GB2312" w:eastAsia="仿宋_GB2312" w:cs="仿宋_GB2312"/>
          <w:bCs/>
          <w:sz w:val="32"/>
          <w:szCs w:val="32"/>
          <w:lang w:val="en-US" w:eastAsia="zh-CN"/>
        </w:rPr>
        <w:t>同时，在2022年全市绩效考核中我委获良好等次，获得2022年度平安建设（综治）和保持平安建设先进单位，获得2022年度第一轮</w:t>
      </w:r>
      <w:r>
        <w:rPr>
          <w:rFonts w:hint="eastAsia" w:ascii="仿宋_GB2312" w:hAnsi="仿宋_GB2312" w:eastAsia="仿宋_GB2312" w:cs="仿宋_GB2312"/>
          <w:b w:val="0"/>
          <w:bCs w:val="0"/>
          <w:color w:val="000000"/>
          <w:kern w:val="0"/>
          <w:sz w:val="32"/>
          <w:szCs w:val="32"/>
          <w:lang w:val="en-US" w:eastAsia="zh-CN" w:bidi="ar"/>
        </w:rPr>
        <w:t>乡村振兴驻村帮扶优秀派出单位等荣誉称号。</w:t>
      </w:r>
    </w:p>
    <w:p w14:paraId="049DA4A3">
      <w:pPr>
        <w:pStyle w:val="3"/>
        <w:keepNext w:val="0"/>
        <w:keepLines w:val="0"/>
        <w:pageBreakBefore w:val="0"/>
        <w:widowControl w:val="0"/>
        <w:numPr>
          <w:ilvl w:val="0"/>
          <w:numId w:val="0"/>
        </w:numPr>
        <w:kinsoku/>
        <w:wordWrap/>
        <w:overflowPunct/>
        <w:topLinePunct w:val="0"/>
        <w:autoSpaceDE/>
        <w:autoSpaceDN/>
        <w:bidi w:val="0"/>
        <w:spacing w:line="7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3、永州市人民政府国有资产监督管理委员职责、行业发展规划</w:t>
      </w:r>
    </w:p>
    <w:p w14:paraId="382FBBDA">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lang w:val="en-US" w:eastAsia="zh-CN"/>
        </w:rPr>
        <w:t xml:space="preserve"> 永州市国资委的主要职责：</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sz w:val="32"/>
          <w:szCs w:val="32"/>
        </w:rPr>
        <w:t>依照《中华人民共和国公司法》、《企业国有资产监督管理暂行条例》等法律、行政法规履行出资人职责，承担监督所监管企业国有资产保值增值的责任，指导和推进市属国有企业改革和重组；推进国有企业的现代企业制度建设，完善公司治理结构；组织协调全市与中央、省属企业对接合作工作；通过法定程序，对所监管企业的负责人进行任免、考核、奖惩；负责组织所监管企业上交国有资本收益；负责企业国有资产基础管理，起草有关国有资产管理的规范性文件；根据市政府授权，代表国家对市属国有企业履行国有资产出资人职责，并进行监督管理。</w:t>
      </w:r>
    </w:p>
    <w:p w14:paraId="7F447B48">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en-US" w:eastAsia="zh-CN"/>
        </w:rPr>
        <w:t xml:space="preserve"> 行业发展规划：</w:t>
      </w:r>
      <w:r>
        <w:rPr>
          <w:rFonts w:hint="eastAsia" w:ascii="仿宋_GB2312" w:hAnsi="仿宋_GB2312" w:eastAsia="仿宋_GB2312" w:cs="仿宋_GB2312"/>
          <w:bCs w:val="0"/>
          <w:sz w:val="32"/>
          <w:szCs w:val="32"/>
        </w:rPr>
        <w:t>以提高国有企业核心竞争力和增加国有企业核心功能为重，补短板、强弱项，</w:t>
      </w:r>
      <w:r>
        <w:rPr>
          <w:rFonts w:hint="eastAsia" w:ascii="仿宋_GB2312" w:hAnsi="仿宋_GB2312" w:eastAsia="仿宋_GB2312" w:cs="仿宋_GB2312"/>
          <w:bCs w:val="0"/>
          <w:sz w:val="32"/>
          <w:szCs w:val="32"/>
          <w:lang w:eastAsia="zh-CN"/>
        </w:rPr>
        <w:t>力争到</w:t>
      </w:r>
      <w:r>
        <w:rPr>
          <w:rFonts w:hint="eastAsia" w:ascii="仿宋_GB2312" w:hAnsi="仿宋_GB2312" w:eastAsia="仿宋_GB2312" w:cs="仿宋_GB2312"/>
          <w:bCs w:val="0"/>
          <w:sz w:val="32"/>
          <w:szCs w:val="32"/>
          <w:lang w:val="en-US" w:eastAsia="zh-CN"/>
        </w:rPr>
        <w:t>2025年底</w:t>
      </w:r>
      <w:r>
        <w:rPr>
          <w:rFonts w:hint="eastAsia" w:ascii="仿宋_GB2312" w:hAnsi="仿宋_GB2312" w:eastAsia="仿宋_GB2312" w:cs="仿宋_GB2312"/>
          <w:bCs w:val="0"/>
          <w:sz w:val="32"/>
          <w:szCs w:val="32"/>
        </w:rPr>
        <w:t>，通过坚持和加强党对国有企业的全面领导，持续提升国有企业现代公司治理水平；通过以市场化方式推进国有企业整合重组，持续推进国有资本布局优化和结构调整；通过深化企业内部改革和优化企业管理，持续提升国有企业核心竞争能力；通过转变国资监管职能和强化全过程监督，持续推进构建国资监管大格局。</w:t>
      </w:r>
      <w:r>
        <w:rPr>
          <w:rFonts w:hint="eastAsia" w:ascii="仿宋_GB2312" w:hAnsi="仿宋_GB2312" w:eastAsia="仿宋_GB2312" w:cs="仿宋_GB2312"/>
          <w:color w:val="000000"/>
          <w:sz w:val="32"/>
          <w:szCs w:val="32"/>
        </w:rPr>
        <w:t>加强县级国资监管工作指导监督，加快形成市县国资监管工作大格局。</w:t>
      </w:r>
    </w:p>
    <w:p w14:paraId="4A354F7E">
      <w:pPr>
        <w:keepNext w:val="0"/>
        <w:keepLines w:val="0"/>
        <w:pageBreakBefore w:val="0"/>
        <w:widowControl w:val="0"/>
        <w:kinsoku/>
        <w:wordWrap/>
        <w:overflowPunct/>
        <w:topLinePunct w:val="0"/>
        <w:autoSpaceDE/>
        <w:autoSpaceDN/>
        <w:bidi w:val="0"/>
        <w:spacing w:line="700" w:lineRule="exact"/>
        <w:ind w:firstLine="640" w:firstLineChars="20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到2035年，全市国资国企改革发展工作保持创先争优，国有经济活力、竞争力、创新力、控制力、影响力、抗风险能力显著增强，国资国企成为市委市政府实施重大战略的坚强保障，成为推动我市经济社会高质量发展的骨干力量，成为提升人民群众获得感幸福感的重要支撑。</w:t>
      </w:r>
    </w:p>
    <w:p w14:paraId="1ECC6BC0">
      <w:pPr>
        <w:keepNext w:val="0"/>
        <w:keepLines w:val="0"/>
        <w:pageBreakBefore w:val="0"/>
        <w:widowControl w:val="0"/>
        <w:kinsoku/>
        <w:wordWrap/>
        <w:overflowPunct/>
        <w:topLinePunct w:val="0"/>
        <w:autoSpaceDE/>
        <w:autoSpaceDN/>
        <w:bidi w:val="0"/>
        <w:spacing w:line="70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 xml:space="preserve">   4、以预算资金管理为主线，资产管理和开展业务情况 </w:t>
      </w:r>
    </w:p>
    <w:p w14:paraId="1F9D8385">
      <w:pPr>
        <w:keepNext w:val="0"/>
        <w:keepLines w:val="0"/>
        <w:pageBreakBefore w:val="0"/>
        <w:widowControl w:val="0"/>
        <w:kinsoku/>
        <w:wordWrap/>
        <w:overflowPunct/>
        <w:topLinePunct w:val="0"/>
        <w:autoSpaceDE/>
        <w:autoSpaceDN/>
        <w:bidi w:val="0"/>
        <w:snapToGrid w:val="0"/>
        <w:spacing w:line="7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永州市国资</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lang w:eastAsia="zh-CN"/>
        </w:rPr>
        <w:t>制定了资产管理办法，对资产申购、采购、分配、保管、处置等进行规定，资产配置按照“合法依规、保障需要、调剂优先、共享共用”的原则，严格执行《行政事业性国有资产管理条例》有关规定，并完善资产申购审批程序，确定购置标准，严格按照《永州市市直行政事业单位通用办公设备和办公家具配置限额标准》的有关规定进行采购。同时，加强资产管理，各科室定期对所属固定资产进行清理，办公室明确专人负责机关固定资产管理，</w:t>
      </w:r>
      <w:r>
        <w:rPr>
          <w:rFonts w:hint="eastAsia" w:ascii="仿宋_GB2312" w:hAnsi="仿宋_GB2312" w:eastAsia="仿宋_GB2312" w:cs="仿宋_GB2312"/>
          <w:b w:val="0"/>
          <w:bCs w:val="0"/>
          <w:sz w:val="32"/>
          <w:szCs w:val="32"/>
          <w:lang w:val="en-US" w:eastAsia="zh-CN"/>
        </w:rPr>
        <w:t>2022年我们对委内的固定资产进行一次全面清理，建立了台账，按规定张贴了标签。2022年度委机关总共采购了办公设备0.66万元。</w:t>
      </w:r>
    </w:p>
    <w:p w14:paraId="0A9281EB">
      <w:pPr>
        <w:pStyle w:val="2"/>
        <w:keepNext w:val="0"/>
        <w:keepLines w:val="0"/>
        <w:pageBreakBefore w:val="0"/>
        <w:widowControl w:val="0"/>
        <w:numPr>
          <w:ilvl w:val="0"/>
          <w:numId w:val="0"/>
        </w:numPr>
        <w:kinsoku/>
        <w:wordWrap/>
        <w:overflowPunct/>
        <w:topLinePunct w:val="0"/>
        <w:bidi w:val="0"/>
        <w:spacing w:line="7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5、从运行成本、管理效率、履职效能、社会效应、可持续发展能力和服务对象满意度等方面、衡量部门单位整体及核心业务实施效果。</w:t>
      </w:r>
    </w:p>
    <w:p w14:paraId="025510FA">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7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从委机关运行成本、管理效率、履职效能、社会效应、可持续发展能力和服务对象满意度等方面分析，我委圆满的完成了全年市委、市政府安排的各项工作任务，较好的完成了对8家所监管的国有企业监管。从全年运行情况看，我委所监管的8家市属国有企业在国有资产保值增值上取得明显成效，国有企业扭亏减亏，主营业务收入提升，改制企业职工稳定，改制企业市管干部队伍建设、待遇落实措施有力，得到了广大企业职工和改制企业市管干部一致好评。</w:t>
      </w:r>
      <w:r>
        <w:rPr>
          <w:rFonts w:hint="eastAsia" w:ascii="仿宋_GB2312" w:hAnsi="仿宋_GB2312" w:eastAsia="仿宋_GB2312" w:cs="仿宋_GB2312"/>
          <w:color w:val="auto"/>
          <w:sz w:val="32"/>
          <w:szCs w:val="32"/>
          <w:lang w:val="en-US" w:eastAsia="zh-CN"/>
        </w:rPr>
        <w:t>社会公众和企业服务对象满意度达到95%以上。</w:t>
      </w:r>
    </w:p>
    <w:p w14:paraId="19350E11">
      <w:pPr>
        <w:pStyle w:val="17"/>
        <w:keepNext w:val="0"/>
        <w:keepLines w:val="0"/>
        <w:pageBreakBefore w:val="0"/>
        <w:widowControl w:val="0"/>
        <w:kinsoku/>
        <w:wordWrap/>
        <w:overflowPunct/>
        <w:topLinePunct w:val="0"/>
        <w:autoSpaceDE/>
        <w:autoSpaceDN/>
        <w:bidi w:val="0"/>
        <w:spacing w:line="700" w:lineRule="exact"/>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存在的问题及原因分析</w:t>
      </w:r>
    </w:p>
    <w:p w14:paraId="7F86F835">
      <w:pPr>
        <w:keepNext w:val="0"/>
        <w:keepLines w:val="0"/>
        <w:pageBreakBefore w:val="0"/>
        <w:widowControl w:val="0"/>
        <w:kinsoku/>
        <w:wordWrap/>
        <w:overflowPunct/>
        <w:topLinePunct w:val="0"/>
        <w:autoSpaceDE/>
        <w:autoSpaceDN/>
        <w:bidi w:val="0"/>
        <w:snapToGrid w:val="0"/>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1、从预算和</w:t>
      </w:r>
      <w:r>
        <w:rPr>
          <w:rFonts w:hint="eastAsia" w:ascii="仿宋_GB2312" w:hAnsi="仿宋_GB2312" w:eastAsia="仿宋_GB2312" w:cs="仿宋_GB2312"/>
          <w:b w:val="0"/>
          <w:bCs w:val="0"/>
          <w:sz w:val="32"/>
          <w:szCs w:val="32"/>
          <w:lang w:eastAsia="zh-CN"/>
        </w:rPr>
        <w:t>预算</w:t>
      </w:r>
      <w:r>
        <w:rPr>
          <w:rFonts w:hint="eastAsia" w:ascii="仿宋_GB2312" w:hAnsi="仿宋_GB2312" w:eastAsia="仿宋_GB2312" w:cs="仿宋_GB2312"/>
          <w:b w:val="0"/>
          <w:bCs w:val="0"/>
          <w:sz w:val="32"/>
          <w:szCs w:val="32"/>
          <w:lang w:val="en-US" w:eastAsia="zh-CN"/>
        </w:rPr>
        <w:t xml:space="preserve">绩效管理、部门履职能力、资金分配、使用和管理、资产和财务管理、政府采购等方面归纳存在的问题。 </w:t>
      </w:r>
    </w:p>
    <w:p w14:paraId="2093E4A3">
      <w:pPr>
        <w:pStyle w:val="11"/>
        <w:ind w:left="0"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从全年运行情况看，在履职过程中，在资金分配方面存在的问题有：一是用于国资监管主业活动中的差旅费支出存在缺口；二是用于乡村振兴、文明创建的经费有缺口。</w:t>
      </w:r>
    </w:p>
    <w:p w14:paraId="03769362">
      <w:pPr>
        <w:pStyle w:val="2"/>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2、反映各种预算支出执行偏离绩效目标的情况，并分析原因。</w:t>
      </w:r>
    </w:p>
    <w:p w14:paraId="5535A349">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从2022年本部门</w:t>
      </w:r>
      <w:r>
        <w:rPr>
          <w:rFonts w:hint="eastAsia" w:ascii="仿宋_GB2312" w:hAnsi="仿宋_GB2312" w:eastAsia="仿宋_GB2312" w:cs="仿宋_GB2312"/>
          <w:b w:val="0"/>
          <w:bCs w:val="0"/>
          <w:sz w:val="32"/>
          <w:szCs w:val="32"/>
          <w:lang w:val="en-US" w:eastAsia="zh-CN"/>
        </w:rPr>
        <w:t>预算支出执行偏离绩效目标情况看，</w:t>
      </w:r>
      <w:r>
        <w:rPr>
          <w:rFonts w:hint="eastAsia" w:ascii="仿宋_GB2312" w:hAnsi="仿宋_GB2312" w:eastAsia="仿宋_GB2312" w:cs="仿宋_GB2312"/>
          <w:kern w:val="0"/>
          <w:sz w:val="32"/>
          <w:szCs w:val="32"/>
        </w:rPr>
        <w:t>年初预算批复金额和实际支出</w:t>
      </w:r>
      <w:r>
        <w:rPr>
          <w:rFonts w:hint="eastAsia" w:ascii="仿宋_GB2312" w:hAnsi="仿宋_GB2312" w:eastAsia="仿宋_GB2312" w:cs="仿宋_GB2312"/>
          <w:kern w:val="0"/>
          <w:sz w:val="32"/>
          <w:szCs w:val="32"/>
          <w:lang w:eastAsia="zh-CN"/>
        </w:rPr>
        <w:t>有一定</w:t>
      </w:r>
      <w:r>
        <w:rPr>
          <w:rFonts w:hint="eastAsia" w:ascii="仿宋_GB2312" w:hAnsi="仿宋_GB2312" w:eastAsia="仿宋_GB2312" w:cs="仿宋_GB2312"/>
          <w:kern w:val="0"/>
          <w:sz w:val="32"/>
          <w:szCs w:val="32"/>
          <w:lang w:val="en-US" w:eastAsia="zh-CN"/>
        </w:rPr>
        <w:t>差异</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预算编制欠科学。</w:t>
      </w:r>
      <w:r>
        <w:rPr>
          <w:rFonts w:hint="eastAsia" w:ascii="仿宋_GB2312" w:hAnsi="仿宋_GB2312" w:eastAsia="仿宋_GB2312" w:cs="仿宋_GB2312"/>
          <w:color w:val="auto"/>
          <w:sz w:val="32"/>
          <w:szCs w:val="32"/>
        </w:rPr>
        <w:t>基本支出</w:t>
      </w:r>
      <w:r>
        <w:rPr>
          <w:rFonts w:hint="eastAsia" w:ascii="仿宋_GB2312" w:hAnsi="仿宋_GB2312" w:eastAsia="仿宋_GB2312" w:cs="仿宋_GB2312"/>
          <w:color w:val="auto"/>
          <w:sz w:val="32"/>
          <w:szCs w:val="32"/>
          <w:lang w:eastAsia="zh-CN"/>
        </w:rPr>
        <w:t>预算数为</w:t>
      </w:r>
      <w:r>
        <w:rPr>
          <w:rFonts w:hint="eastAsia" w:ascii="仿宋_GB2312" w:hAnsi="仿宋_GB2312" w:eastAsia="仿宋_GB2312" w:cs="仿宋_GB2312"/>
          <w:color w:val="auto"/>
          <w:sz w:val="32"/>
          <w:szCs w:val="32"/>
          <w:lang w:val="en-US" w:eastAsia="zh-CN"/>
        </w:rPr>
        <w:t>2256.75</w:t>
      </w:r>
      <w:r>
        <w:rPr>
          <w:rFonts w:hint="eastAsia" w:ascii="仿宋_GB2312" w:hAnsi="仿宋_GB2312" w:eastAsia="仿宋_GB2312" w:cs="仿宋_GB2312"/>
          <w:color w:val="auto"/>
          <w:sz w:val="32"/>
          <w:szCs w:val="32"/>
          <w:lang w:eastAsia="zh-CN"/>
        </w:rPr>
        <w:t>万元，实际基本支出</w:t>
      </w:r>
      <w:r>
        <w:rPr>
          <w:rFonts w:hint="eastAsia" w:ascii="仿宋_GB2312" w:hAnsi="仿宋_GB2312" w:eastAsia="仿宋_GB2312" w:cs="仿宋_GB2312"/>
          <w:color w:val="auto"/>
          <w:sz w:val="32"/>
          <w:szCs w:val="32"/>
          <w:lang w:val="en-US" w:eastAsia="zh-CN"/>
        </w:rPr>
        <w:t>2181.35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，预算执行率</w:t>
      </w:r>
      <w:r>
        <w:rPr>
          <w:rFonts w:hint="eastAsia" w:ascii="仿宋_GB2312" w:hAnsi="仿宋_GB2312" w:eastAsia="仿宋_GB2312" w:cs="仿宋_GB2312"/>
          <w:color w:val="auto"/>
          <w:sz w:val="32"/>
          <w:szCs w:val="32"/>
          <w:lang w:val="en-US" w:eastAsia="zh-CN"/>
        </w:rPr>
        <w:t>96.66%。存在</w:t>
      </w:r>
      <w:r>
        <w:rPr>
          <w:rFonts w:hint="eastAsia" w:ascii="仿宋_GB2312" w:hAnsi="仿宋_GB2312" w:eastAsia="仿宋_GB2312" w:cs="仿宋_GB2312"/>
          <w:b w:val="0"/>
          <w:bCs w:val="0"/>
          <w:sz w:val="32"/>
          <w:szCs w:val="32"/>
          <w:lang w:val="en-US" w:eastAsia="zh-CN"/>
        </w:rPr>
        <w:t>预算支出执行</w:t>
      </w:r>
      <w:r>
        <w:rPr>
          <w:rFonts w:hint="eastAsia" w:ascii="仿宋_GB2312" w:hAnsi="仿宋_GB2312" w:eastAsia="仿宋_GB2312" w:cs="仿宋_GB2312"/>
          <w:color w:val="auto"/>
          <w:sz w:val="32"/>
          <w:szCs w:val="32"/>
          <w:lang w:val="en-US" w:eastAsia="zh-CN"/>
        </w:rPr>
        <w:t>偏离的主要原因：</w:t>
      </w:r>
      <w:r>
        <w:rPr>
          <w:rFonts w:hint="eastAsia" w:ascii="Times New Roman" w:hAnsi="Times New Roman" w:eastAsia="仿宋_GB2312" w:cs="黑体"/>
          <w:color w:val="000000"/>
          <w:kern w:val="0"/>
          <w:sz w:val="32"/>
          <w:szCs w:val="32"/>
          <w:lang w:val="en-US" w:eastAsia="zh-CN" w:bidi="ar-SA"/>
        </w:rPr>
        <w:t>一是预算编制与实际使用的实际情况发生了变化，导致预算执行时出现了偏差；二是资金管理和使用方面存在一定的问题，导致资金的使用效率不高。今后，将针对这些问题，采取有效的措施进行改进。</w:t>
      </w:r>
    </w:p>
    <w:p w14:paraId="3B231B17">
      <w:pPr>
        <w:pStyle w:val="3"/>
        <w:numPr>
          <w:ilvl w:val="0"/>
          <w:numId w:val="0"/>
        </w:numPr>
        <w:ind w:left="420" w:leftChars="0"/>
        <w:rPr>
          <w:rFonts w:hint="eastAsia" w:ascii="仿宋_GB2312" w:hAnsi="仿宋_GB2312" w:eastAsia="仿宋_GB2312" w:cs="仿宋_GB2312"/>
          <w:sz w:val="32"/>
          <w:szCs w:val="32"/>
          <w:lang w:val="en-US" w:eastAsia="zh-CN"/>
        </w:rPr>
      </w:pPr>
    </w:p>
    <w:p w14:paraId="61771384">
      <w:pPr>
        <w:pStyle w:val="16"/>
        <w:jc w:val="center"/>
        <w:rPr>
          <w:rFonts w:hint="eastAsia" w:ascii="仿宋_GB2312" w:hAnsi="仿宋_GB2312" w:eastAsia="仿宋_GB2312" w:cs="仿宋_GB2312"/>
          <w:sz w:val="32"/>
          <w:szCs w:val="32"/>
        </w:rPr>
      </w:pPr>
    </w:p>
    <w:p w14:paraId="06873B87">
      <w:pPr>
        <w:pStyle w:val="16"/>
        <w:jc w:val="both"/>
        <w:rPr>
          <w:rFonts w:hint="eastAsia" w:ascii="方正小标宋_GBK" w:hAnsi="方正小标宋_GBK" w:eastAsia="方正小标宋_GBK" w:cs="方正小标宋_GBK"/>
          <w:sz w:val="72"/>
          <w:szCs w:val="72"/>
        </w:rPr>
      </w:pPr>
    </w:p>
    <w:p w14:paraId="440BEE7B">
      <w:pPr>
        <w:pStyle w:val="16"/>
        <w:jc w:val="both"/>
        <w:rPr>
          <w:rFonts w:hint="eastAsia" w:ascii="方正小标宋_GBK" w:hAnsi="方正小标宋_GBK" w:eastAsia="方正小标宋_GBK" w:cs="方正小标宋_GBK"/>
          <w:sz w:val="72"/>
          <w:szCs w:val="72"/>
        </w:rPr>
      </w:pPr>
    </w:p>
    <w:p w14:paraId="2C8F4DB9">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594A92A">
      <w:pPr>
        <w:jc w:val="center"/>
        <w:rPr>
          <w:rFonts w:hint="eastAsia" w:ascii="方正小标宋_GBK" w:hAnsi="方正小标宋_GBK" w:eastAsia="方正小标宋_GBK" w:cs="方正小标宋_GBK"/>
          <w:color w:val="000000"/>
          <w:kern w:val="0"/>
          <w:sz w:val="70"/>
          <w:szCs w:val="70"/>
        </w:rPr>
      </w:pPr>
    </w:p>
    <w:p w14:paraId="1B030FA3">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74CA44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090AB77">
      <w:pPr>
        <w:keepNext w:val="0"/>
        <w:keepLines w:val="0"/>
        <w:pageBreakBefore w:val="0"/>
        <w:widowControl/>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财政拨款收入：指财政当年拨付的资金，主要包括一般公共预算财政拨款，政府性基金预算财政拨款，国有资本经营预算财政拨款。</w:t>
      </w:r>
    </w:p>
    <w:p w14:paraId="1BC1F91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二、上级补助收入：指事业单位从主管部门和上级单位取得的非财政补助收入。 </w:t>
      </w:r>
    </w:p>
    <w:p w14:paraId="58DD2E4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三、事业收入：指事业单位开展专业业务活动及辅助活动所取得的收入。 </w:t>
      </w:r>
    </w:p>
    <w:p w14:paraId="3A37CA6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四、经营收入：指事业单位在专业业务活动及其辅助活动之外开展非独立核算经营活动取得的收入。 </w:t>
      </w:r>
    </w:p>
    <w:p w14:paraId="3FAC6CB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五、附属单位上缴收入：指事业单位附属独立核算单位按照有关规定上缴的收入。 </w:t>
      </w:r>
    </w:p>
    <w:p w14:paraId="7754221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 xml:space="preserve">六、其他收入：指除上述“财政拨款收入”、“事业收入”、“经营收入”等以外的收入。 </w:t>
      </w:r>
    </w:p>
    <w:p w14:paraId="6BE62E1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七、基本支出：指为保障机构正常运转、完成日常工作任务而发生的各项支出，包括人员支出和公用支出。  </w:t>
      </w:r>
    </w:p>
    <w:p w14:paraId="25B289B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八、项目支出：指在基本支出以外为完成相关行政任务和事业发展目标所发生的各项支出。  </w:t>
      </w:r>
    </w:p>
    <w:p w14:paraId="0E87D65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九、“三公”经费：指通过财政拨款资金安排的因公出国（境）费、公务用车购置及运行费和公务接待费支出。  </w:t>
      </w:r>
    </w:p>
    <w:p w14:paraId="17BE7BB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cs="黑体" w:asciiTheme="minorEastAsia" w:hAnsiTheme="minorEastAsia"/>
          <w:color w:val="000000"/>
          <w:kern w:val="0"/>
          <w:sz w:val="32"/>
          <w:szCs w:val="32"/>
        </w:rPr>
      </w:pPr>
      <w:r>
        <w:rPr>
          <w:rFonts w:hint="eastAsia" w:ascii="仿宋_GB2312" w:eastAsia="仿宋_GB2312" w:cs="仿宋_GB2312"/>
          <w:sz w:val="32"/>
          <w:szCs w:val="32"/>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3" w:bottom="1440" w:left="1803"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D56CE"/>
    <w:multiLevelType w:val="singleLevel"/>
    <w:tmpl w:val="CC8D56CE"/>
    <w:lvl w:ilvl="0" w:tentative="0">
      <w:start w:val="1"/>
      <w:numFmt w:val="decimal"/>
      <w:suff w:val="nothing"/>
      <w:lvlText w:val="%1、"/>
      <w:lvlJc w:val="left"/>
    </w:lvl>
  </w:abstractNum>
  <w:abstractNum w:abstractNumId="1">
    <w:nsid w:val="D9E3DA24"/>
    <w:multiLevelType w:val="singleLevel"/>
    <w:tmpl w:val="D9E3DA24"/>
    <w:lvl w:ilvl="0" w:tentative="0">
      <w:start w:val="1"/>
      <w:numFmt w:val="chineseCounting"/>
      <w:suff w:val="nothing"/>
      <w:lvlText w:val="%1、"/>
      <w:lvlJc w:val="left"/>
      <w:pPr>
        <w:tabs>
          <w:tab w:val="left" w:pos="0"/>
        </w:tabs>
        <w:ind w:left="0" w:firstLine="0"/>
      </w:pPr>
      <w:rPr>
        <w:rFonts w:hint="eastAsia"/>
      </w:rPr>
    </w:lvl>
  </w:abstractNum>
  <w:abstractNum w:abstractNumId="2">
    <w:nsid w:val="0E51710D"/>
    <w:multiLevelType w:val="singleLevel"/>
    <w:tmpl w:val="0E51710D"/>
    <w:lvl w:ilvl="0" w:tentative="0">
      <w:start w:val="2"/>
      <w:numFmt w:val="chineseCounting"/>
      <w:suff w:val="nothing"/>
      <w:lvlText w:val="（%1）"/>
      <w:lvlJc w:val="left"/>
      <w:rPr>
        <w:rFonts w:hint="eastAsia"/>
      </w:rPr>
    </w:lvl>
  </w:abstractNum>
  <w:abstractNum w:abstractNumId="3">
    <w:nsid w:val="64A24A33"/>
    <w:multiLevelType w:val="singleLevel"/>
    <w:tmpl w:val="64A24A33"/>
    <w:lvl w:ilvl="0" w:tentative="0">
      <w:start w:val="7"/>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GUyOGM0NWJiODA1NTlmNzA1NGFmYjA2ODk4M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C535B"/>
    <w:rsid w:val="00FE16FA"/>
    <w:rsid w:val="00FE328A"/>
    <w:rsid w:val="00FE6269"/>
    <w:rsid w:val="00FF5CD6"/>
    <w:rsid w:val="01006CB0"/>
    <w:rsid w:val="017F2465"/>
    <w:rsid w:val="01CE3DD5"/>
    <w:rsid w:val="02654CFE"/>
    <w:rsid w:val="0478642B"/>
    <w:rsid w:val="05A7742D"/>
    <w:rsid w:val="05B97C74"/>
    <w:rsid w:val="06130A75"/>
    <w:rsid w:val="065C1A2E"/>
    <w:rsid w:val="067744E2"/>
    <w:rsid w:val="068231B6"/>
    <w:rsid w:val="08610D5A"/>
    <w:rsid w:val="08924A5A"/>
    <w:rsid w:val="08AD4F32"/>
    <w:rsid w:val="098B7B11"/>
    <w:rsid w:val="09B717AD"/>
    <w:rsid w:val="0A235652"/>
    <w:rsid w:val="0A582A73"/>
    <w:rsid w:val="0AD22E4F"/>
    <w:rsid w:val="0AE86368"/>
    <w:rsid w:val="0B757401"/>
    <w:rsid w:val="0B831C71"/>
    <w:rsid w:val="0C66377F"/>
    <w:rsid w:val="0D602630"/>
    <w:rsid w:val="0F276507"/>
    <w:rsid w:val="0F715C00"/>
    <w:rsid w:val="0FD73768"/>
    <w:rsid w:val="11525EC5"/>
    <w:rsid w:val="13FE4E6C"/>
    <w:rsid w:val="14723F01"/>
    <w:rsid w:val="148D1026"/>
    <w:rsid w:val="149B79B0"/>
    <w:rsid w:val="14D405C2"/>
    <w:rsid w:val="152B658E"/>
    <w:rsid w:val="15EA173E"/>
    <w:rsid w:val="17295484"/>
    <w:rsid w:val="181D7DC1"/>
    <w:rsid w:val="185A33CC"/>
    <w:rsid w:val="185B4923"/>
    <w:rsid w:val="195263D7"/>
    <w:rsid w:val="19E903DE"/>
    <w:rsid w:val="19F96131"/>
    <w:rsid w:val="1B9978F8"/>
    <w:rsid w:val="1C0B7E01"/>
    <w:rsid w:val="1DAA14AE"/>
    <w:rsid w:val="1F57609B"/>
    <w:rsid w:val="1FC655B2"/>
    <w:rsid w:val="1FEC29CC"/>
    <w:rsid w:val="21601165"/>
    <w:rsid w:val="225B65DE"/>
    <w:rsid w:val="22B41E7B"/>
    <w:rsid w:val="231603BD"/>
    <w:rsid w:val="23843B74"/>
    <w:rsid w:val="23DF7BD6"/>
    <w:rsid w:val="23E37510"/>
    <w:rsid w:val="255265B3"/>
    <w:rsid w:val="2563438B"/>
    <w:rsid w:val="25A45DD1"/>
    <w:rsid w:val="25E25090"/>
    <w:rsid w:val="260E6946"/>
    <w:rsid w:val="267442D0"/>
    <w:rsid w:val="269E74BF"/>
    <w:rsid w:val="26D8233F"/>
    <w:rsid w:val="279D7B8A"/>
    <w:rsid w:val="28620AD5"/>
    <w:rsid w:val="293E21D3"/>
    <w:rsid w:val="29592354"/>
    <w:rsid w:val="2A6D37AC"/>
    <w:rsid w:val="2A9A42BF"/>
    <w:rsid w:val="2AD51ED6"/>
    <w:rsid w:val="2CEB15C1"/>
    <w:rsid w:val="2D6A4923"/>
    <w:rsid w:val="2FFD7EE2"/>
    <w:rsid w:val="302E220A"/>
    <w:rsid w:val="30E03000"/>
    <w:rsid w:val="3105267B"/>
    <w:rsid w:val="32500DFF"/>
    <w:rsid w:val="330B3CCA"/>
    <w:rsid w:val="332F4289"/>
    <w:rsid w:val="3363322C"/>
    <w:rsid w:val="33AB5997"/>
    <w:rsid w:val="34947BAC"/>
    <w:rsid w:val="351E5F9A"/>
    <w:rsid w:val="355F671C"/>
    <w:rsid w:val="36816C1F"/>
    <w:rsid w:val="36AA66B0"/>
    <w:rsid w:val="37056295"/>
    <w:rsid w:val="379F02D0"/>
    <w:rsid w:val="37A50379"/>
    <w:rsid w:val="37F71B1D"/>
    <w:rsid w:val="38DA745B"/>
    <w:rsid w:val="391E3E79"/>
    <w:rsid w:val="397E0024"/>
    <w:rsid w:val="3A805CFA"/>
    <w:rsid w:val="3AE400AD"/>
    <w:rsid w:val="3B3833C4"/>
    <w:rsid w:val="3B706823"/>
    <w:rsid w:val="3D750435"/>
    <w:rsid w:val="3DAC3903"/>
    <w:rsid w:val="3E18501A"/>
    <w:rsid w:val="3F664F43"/>
    <w:rsid w:val="40007DE4"/>
    <w:rsid w:val="4079651F"/>
    <w:rsid w:val="40FC0B82"/>
    <w:rsid w:val="41462326"/>
    <w:rsid w:val="42924546"/>
    <w:rsid w:val="42972BCC"/>
    <w:rsid w:val="42F03FAD"/>
    <w:rsid w:val="43F4307D"/>
    <w:rsid w:val="44B82224"/>
    <w:rsid w:val="45C154D5"/>
    <w:rsid w:val="45E068C4"/>
    <w:rsid w:val="476758B2"/>
    <w:rsid w:val="478D1814"/>
    <w:rsid w:val="495A13F8"/>
    <w:rsid w:val="497720EC"/>
    <w:rsid w:val="4B4A741D"/>
    <w:rsid w:val="4B7A2A5C"/>
    <w:rsid w:val="4D13446C"/>
    <w:rsid w:val="4DD918E9"/>
    <w:rsid w:val="4E6E54A3"/>
    <w:rsid w:val="4E753541"/>
    <w:rsid w:val="4EFA24EA"/>
    <w:rsid w:val="50206D91"/>
    <w:rsid w:val="50E36F60"/>
    <w:rsid w:val="514F30C0"/>
    <w:rsid w:val="519047DC"/>
    <w:rsid w:val="525556A2"/>
    <w:rsid w:val="53237D49"/>
    <w:rsid w:val="5388703E"/>
    <w:rsid w:val="549529D9"/>
    <w:rsid w:val="54A22574"/>
    <w:rsid w:val="54C1011F"/>
    <w:rsid w:val="572242BD"/>
    <w:rsid w:val="5777D4F5"/>
    <w:rsid w:val="57A8197D"/>
    <w:rsid w:val="594A2B8C"/>
    <w:rsid w:val="5955237D"/>
    <w:rsid w:val="59F55D9C"/>
    <w:rsid w:val="5C020737"/>
    <w:rsid w:val="5D7E6AEE"/>
    <w:rsid w:val="5D7F73D4"/>
    <w:rsid w:val="5E623B68"/>
    <w:rsid w:val="5EA96186"/>
    <w:rsid w:val="5F164C85"/>
    <w:rsid w:val="5FA85522"/>
    <w:rsid w:val="5FC6BB1E"/>
    <w:rsid w:val="5FF720F1"/>
    <w:rsid w:val="60AA5CD8"/>
    <w:rsid w:val="615076B3"/>
    <w:rsid w:val="6186676D"/>
    <w:rsid w:val="61D71F16"/>
    <w:rsid w:val="6435761A"/>
    <w:rsid w:val="64A010A4"/>
    <w:rsid w:val="65393EBD"/>
    <w:rsid w:val="65A151F0"/>
    <w:rsid w:val="65A65FB1"/>
    <w:rsid w:val="66727D06"/>
    <w:rsid w:val="66747955"/>
    <w:rsid w:val="66C50B25"/>
    <w:rsid w:val="67992CA5"/>
    <w:rsid w:val="6A233455"/>
    <w:rsid w:val="6AC2149A"/>
    <w:rsid w:val="6BB95FF6"/>
    <w:rsid w:val="6CB01D5E"/>
    <w:rsid w:val="6CE82273"/>
    <w:rsid w:val="6D245346"/>
    <w:rsid w:val="6D652D5B"/>
    <w:rsid w:val="6EE7256D"/>
    <w:rsid w:val="6F7722C1"/>
    <w:rsid w:val="6FFB6928"/>
    <w:rsid w:val="70845494"/>
    <w:rsid w:val="716E1262"/>
    <w:rsid w:val="71C1592F"/>
    <w:rsid w:val="728F6EB1"/>
    <w:rsid w:val="72C91C07"/>
    <w:rsid w:val="737D59BA"/>
    <w:rsid w:val="739B64B9"/>
    <w:rsid w:val="755F7D77"/>
    <w:rsid w:val="75F65014"/>
    <w:rsid w:val="761E3F01"/>
    <w:rsid w:val="76564E70"/>
    <w:rsid w:val="771F1DDA"/>
    <w:rsid w:val="77474B01"/>
    <w:rsid w:val="77C37683"/>
    <w:rsid w:val="77C6543B"/>
    <w:rsid w:val="77E36678"/>
    <w:rsid w:val="78296A61"/>
    <w:rsid w:val="786A59CD"/>
    <w:rsid w:val="78B11DE7"/>
    <w:rsid w:val="78C2763A"/>
    <w:rsid w:val="78D01735"/>
    <w:rsid w:val="78D31F49"/>
    <w:rsid w:val="798E117E"/>
    <w:rsid w:val="79A90C27"/>
    <w:rsid w:val="79BA47FB"/>
    <w:rsid w:val="79FF515B"/>
    <w:rsid w:val="7A8C03BF"/>
    <w:rsid w:val="7C263F99"/>
    <w:rsid w:val="7D633A4C"/>
    <w:rsid w:val="7D951CCB"/>
    <w:rsid w:val="7DFE3D75"/>
    <w:rsid w:val="7E72549E"/>
    <w:rsid w:val="7E9F11B4"/>
    <w:rsid w:val="7FC69637"/>
    <w:rsid w:val="7FFDB408"/>
    <w:rsid w:val="CBFF70E0"/>
    <w:rsid w:val="EEABED75"/>
    <w:rsid w:val="F9BB931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line="360" w:lineRule="auto"/>
      <w:jc w:val="center"/>
    </w:pPr>
    <w:rPr>
      <w:rFonts w:ascii="黑体" w:hAnsi="宋体" w:eastAsia="黑体" w:cs="黑体"/>
      <w:color w:val="0A4180"/>
      <w:kern w:val="44"/>
      <w:sz w:val="24"/>
      <w:szCs w:val="24"/>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Cs w:val="24"/>
    </w:rPr>
  </w:style>
  <w:style w:type="paragraph" w:styleId="3">
    <w:name w:val="index 5"/>
    <w:basedOn w:val="1"/>
    <w:next w:val="1"/>
    <w:qFormat/>
    <w:uiPriority w:val="0"/>
    <w:pPr>
      <w:ind w:left="1680"/>
    </w:pPr>
    <w:rPr>
      <w:rFonts w:eastAsia="宋体"/>
      <w:sz w:val="24"/>
      <w:szCs w:val="24"/>
      <w:lang w:val="en-US" w:eastAsia="en-US" w:bidi="ar-SA"/>
    </w:rPr>
  </w:style>
  <w:style w:type="paragraph" w:styleId="5">
    <w:name w:val="Body Text Indent"/>
    <w:basedOn w:val="1"/>
    <w:next w:val="6"/>
    <w:qFormat/>
    <w:uiPriority w:val="0"/>
    <w:pPr>
      <w:spacing w:after="120"/>
      <w:ind w:left="420" w:leftChars="200"/>
    </w:pPr>
  </w:style>
  <w:style w:type="paragraph" w:styleId="6">
    <w:name w:val="Body Text Indent 2"/>
    <w:basedOn w:val="1"/>
    <w:next w:val="7"/>
    <w:qFormat/>
    <w:uiPriority w:val="0"/>
    <w:pPr>
      <w:spacing w:line="360" w:lineRule="auto"/>
      <w:ind w:firstLine="224"/>
    </w:pPr>
  </w:style>
  <w:style w:type="paragraph" w:customStyle="1" w:styleId="7">
    <w:name w:val="目录 71"/>
    <w:basedOn w:val="1"/>
    <w:next w:val="1"/>
    <w:qFormat/>
    <w:uiPriority w:val="0"/>
    <w:pPr>
      <w:ind w:left="2520"/>
    </w:pPr>
    <w:rPr>
      <w:rFonts w:hAnsi="宋体" w:cs="宋体"/>
      <w:kern w:val="0"/>
      <w:szCs w:val="20"/>
    </w:rPr>
  </w:style>
  <w:style w:type="paragraph" w:styleId="8">
    <w:name w:val="Balloon Text"/>
    <w:basedOn w:val="1"/>
    <w:link w:val="18"/>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next w:val="1"/>
    <w:qFormat/>
    <w:uiPriority w:val="0"/>
    <w:pPr>
      <w:ind w:firstLine="420"/>
    </w:pPr>
    <w:rPr>
      <w:rFonts w:ascii="Calibri" w:hAnsi="Calibri"/>
      <w:kern w:val="0"/>
      <w:sz w:val="20"/>
      <w:szCs w:val="24"/>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8"/>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customStyle="1" w:styleId="2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8851</Words>
  <Characters>9564</Characters>
  <Lines>63</Lines>
  <Paragraphs>18</Paragraphs>
  <TotalTime>116</TotalTime>
  <ScaleCrop>false</ScaleCrop>
  <LinksUpToDate>false</LinksUpToDate>
  <CharactersWithSpaces>10891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2020-07-05T02:32:00Z</dcterms:created>
  <dc:creator>李航 null</dc:creator>
  <cp:lastModifiedBy>xjw</cp:lastModifiedBy>
  <cp:lastPrinted>2024-10-12T06:32:00Z</cp:lastPrinted>
  <dcterms:modified xsi:type="dcterms:W3CDTF">2024-10-12T07:29:34Z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B446FA5543A94066A3B421E35D4D8EC9_13</vt:lpwstr>
  </property>
</Properties>
</file>