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bookmarkStart w:id="0" w:name="_Hlk194490068"/>
      <w:r>
        <w:rPr>
          <w:rFonts w:hint="eastAsia"/>
          <w:b/>
          <w:bCs/>
          <w:sz w:val="44"/>
          <w:szCs w:val="40"/>
        </w:rPr>
        <w:t>湘五永兴120万羽智能化蛋鸡养殖场项目</w:t>
      </w:r>
    </w:p>
    <w:bookmarkEnd w:id="0"/>
    <w:p>
      <w:pPr>
        <w:pStyle w:val="49"/>
        <w:ind w:firstLine="0" w:firstLineChars="0"/>
        <w:jc w:val="center"/>
        <w:rPr>
          <w:b/>
          <w:bCs/>
          <w:sz w:val="52"/>
          <w:szCs w:val="48"/>
        </w:rPr>
      </w:pPr>
    </w:p>
    <w:p>
      <w:pPr>
        <w:pStyle w:val="49"/>
        <w:ind w:firstLine="0" w:firstLineChars="0"/>
        <w:jc w:val="center"/>
        <w:rPr>
          <w:b/>
          <w:bCs/>
          <w:sz w:val="52"/>
          <w:szCs w:val="48"/>
        </w:rPr>
      </w:pPr>
      <w:r>
        <w:rPr>
          <w:rFonts w:hint="eastAsia"/>
          <w:b/>
          <w:bCs/>
          <w:sz w:val="52"/>
          <w:szCs w:val="48"/>
        </w:rPr>
        <w:t>环境影响报告书</w:t>
      </w: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44"/>
          <w:szCs w:val="40"/>
        </w:rPr>
      </w:pPr>
    </w:p>
    <w:p>
      <w:pPr>
        <w:pStyle w:val="49"/>
        <w:ind w:firstLine="0" w:firstLineChars="0"/>
        <w:jc w:val="center"/>
        <w:rPr>
          <w:b/>
          <w:bCs/>
          <w:sz w:val="36"/>
          <w:szCs w:val="32"/>
        </w:rPr>
      </w:pPr>
      <w:r>
        <w:rPr>
          <w:b/>
          <w:bCs/>
          <w:sz w:val="36"/>
          <w:szCs w:val="32"/>
        </w:rPr>
        <w:t>建设单位：</w:t>
      </w:r>
      <w:r>
        <w:rPr>
          <w:rFonts w:hint="eastAsia"/>
          <w:b/>
          <w:bCs/>
          <w:sz w:val="36"/>
          <w:szCs w:val="32"/>
        </w:rPr>
        <w:t>湖南湘五永兴农业发展有限公司</w:t>
      </w:r>
    </w:p>
    <w:p>
      <w:pPr>
        <w:pStyle w:val="49"/>
        <w:ind w:firstLine="0" w:firstLineChars="0"/>
        <w:jc w:val="center"/>
        <w:rPr>
          <w:b/>
          <w:bCs/>
          <w:sz w:val="36"/>
          <w:szCs w:val="32"/>
        </w:rPr>
      </w:pPr>
      <w:r>
        <w:rPr>
          <w:b/>
          <w:bCs/>
          <w:sz w:val="36"/>
          <w:szCs w:val="32"/>
        </w:rPr>
        <w:t>评价单位：湖南博然环保科技有限公司</w:t>
      </w:r>
    </w:p>
    <w:p>
      <w:pPr>
        <w:pStyle w:val="49"/>
        <w:ind w:firstLine="0" w:firstLineChars="0"/>
        <w:jc w:val="center"/>
        <w:rPr>
          <w:b/>
          <w:bCs/>
          <w:sz w:val="36"/>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hint="eastAsia"/>
          <w:b/>
          <w:bCs/>
          <w:sz w:val="36"/>
          <w:szCs w:val="32"/>
        </w:rPr>
        <w:t>2025年3月</w:t>
      </w:r>
    </w:p>
    <w:sdt>
      <w:sdtPr>
        <w:rPr>
          <w:rFonts w:ascii="宋体" w:hAnsi="宋体" w:eastAsia="宋体" w:cs="宋体"/>
          <w:color w:val="auto"/>
          <w:sz w:val="24"/>
          <w:szCs w:val="24"/>
          <w:lang w:val="zh-CN"/>
          <w14:ligatures w14:val="standardContextual"/>
        </w:rPr>
        <w:id w:val="2041542698"/>
        <w:docPartObj>
          <w:docPartGallery w:val="Table of Contents"/>
          <w:docPartUnique/>
        </w:docPartObj>
      </w:sdtPr>
      <w:sdtEndPr>
        <w:rPr>
          <w:rFonts w:ascii="宋体" w:hAnsi="宋体" w:eastAsia="宋体" w:cs="宋体"/>
          <w:b/>
          <w:bCs/>
          <w:color w:val="auto"/>
          <w:sz w:val="24"/>
          <w:szCs w:val="24"/>
          <w:lang w:val="zh-CN"/>
          <w14:ligatures w14:val="standardContextual"/>
        </w:rPr>
      </w:sdtEndPr>
      <w:sdtContent>
        <w:p>
          <w:pPr>
            <w:pStyle w:val="194"/>
            <w:jc w:val="center"/>
            <w:rPr>
              <w:rFonts w:hint="eastAsia" w:ascii="宋体" w:hAnsi="宋体" w:eastAsia="宋体"/>
              <w:b/>
              <w:bCs/>
              <w:color w:val="auto"/>
            </w:rPr>
          </w:pPr>
          <w:r>
            <w:rPr>
              <w:rFonts w:ascii="宋体" w:hAnsi="宋体" w:eastAsia="宋体"/>
              <w:b/>
              <w:bCs/>
              <w:color w:val="auto"/>
              <w:lang w:val="zh-CN"/>
            </w:rPr>
            <w:t>目录</w:t>
          </w:r>
        </w:p>
        <w:p>
          <w:pPr>
            <w:pStyle w:val="27"/>
            <w:rPr>
              <w:rFonts w:ascii="Times New Roman" w:hAnsi="Times New Roman" w:cs="Times New Roman"/>
              <w:b w:val="0"/>
              <w:bCs/>
              <w:kern w:val="2"/>
              <w:sz w:val="22"/>
            </w:rPr>
          </w:pPr>
          <w:r>
            <w:rPr>
              <w:rFonts w:ascii="Times New Roman" w:hAnsi="Times New Roman" w:cs="Times New Roman"/>
              <w:b w:val="0"/>
              <w:bCs/>
            </w:rPr>
            <w:fldChar w:fldCharType="begin"/>
          </w:r>
          <w:r>
            <w:rPr>
              <w:rFonts w:ascii="Times New Roman" w:hAnsi="Times New Roman" w:cs="Times New Roman"/>
              <w:b w:val="0"/>
              <w:bCs/>
            </w:rPr>
            <w:instrText xml:space="preserve"> TOC \o "1-3" \h \z \u </w:instrText>
          </w:r>
          <w:r>
            <w:rPr>
              <w:rFonts w:ascii="Times New Roman" w:hAnsi="Times New Roman" w:cs="Times New Roman"/>
              <w:b w:val="0"/>
              <w:bCs/>
            </w:rPr>
            <w:fldChar w:fldCharType="separate"/>
          </w:r>
          <w:r>
            <w:fldChar w:fldCharType="begin"/>
          </w:r>
          <w:r>
            <w:instrText xml:space="preserve"> HYPERLINK \l "_Toc194481094" </w:instrText>
          </w:r>
          <w:r>
            <w:fldChar w:fldCharType="separate"/>
          </w:r>
          <w:r>
            <w:rPr>
              <w:rStyle w:val="45"/>
              <w:rFonts w:ascii="Times New Roman" w:hAnsi="Times New Roman" w:cs="Times New Roman"/>
              <w:b w:val="0"/>
              <w:bCs/>
            </w:rPr>
            <w:t>第1章 概述</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_Toc194481094 \h </w:instrText>
          </w:r>
          <w:r>
            <w:rPr>
              <w:rFonts w:ascii="Times New Roman" w:hAnsi="Times New Roman" w:cs="Times New Roman"/>
              <w:b w:val="0"/>
              <w:bCs/>
            </w:rPr>
            <w:fldChar w:fldCharType="separate"/>
          </w:r>
          <w:r>
            <w:rPr>
              <w:rFonts w:ascii="Times New Roman" w:hAnsi="Times New Roman" w:cs="Times New Roman"/>
              <w:b w:val="0"/>
              <w:bCs/>
            </w:rPr>
            <w:t>1</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"_Toc194481095" </w:instrText>
          </w:r>
          <w:r>
            <w:fldChar w:fldCharType="separate"/>
          </w:r>
          <w:r>
            <w:rPr>
              <w:rStyle w:val="45"/>
              <w:rFonts w:ascii="Times New Roman" w:hAnsi="Times New Roman" w:cs="Times New Roman"/>
              <w:bCs/>
            </w:rPr>
            <w:t>1.1 项目由来</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_Toc194481095 \h </w:instrText>
          </w:r>
          <w:r>
            <w:rPr>
              <w:rFonts w:ascii="Times New Roman" w:hAnsi="Times New Roman" w:cs="Times New Roman"/>
              <w:bCs/>
            </w:rPr>
            <w:fldChar w:fldCharType="separate"/>
          </w:r>
          <w:r>
            <w:rPr>
              <w:rFonts w:ascii="Times New Roman" w:hAnsi="Times New Roman" w:cs="Times New Roman"/>
              <w:bCs/>
            </w:rPr>
            <w:t>1</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"_Toc194481096" </w:instrText>
          </w:r>
          <w:r>
            <w:fldChar w:fldCharType="separate"/>
          </w:r>
          <w:r>
            <w:rPr>
              <w:rStyle w:val="45"/>
              <w:rFonts w:ascii="Times New Roman" w:hAnsi="Times New Roman" w:cs="Times New Roman"/>
              <w:bCs/>
            </w:rPr>
            <w:t>1.2 环境影响评价的工作过程</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_Toc194481096 \h </w:instrText>
          </w:r>
          <w:r>
            <w:rPr>
              <w:rFonts w:ascii="Times New Roman" w:hAnsi="Times New Roman" w:cs="Times New Roman"/>
              <w:bCs/>
            </w:rPr>
            <w:fldChar w:fldCharType="separate"/>
          </w:r>
          <w:r>
            <w:rPr>
              <w:rFonts w:ascii="Times New Roman" w:hAnsi="Times New Roman" w:cs="Times New Roman"/>
              <w:bCs/>
            </w:rPr>
            <w:t>2</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"_Toc194481097" </w:instrText>
          </w:r>
          <w:r>
            <w:fldChar w:fldCharType="separate"/>
          </w:r>
          <w:r>
            <w:rPr>
              <w:rStyle w:val="45"/>
              <w:rFonts w:ascii="Times New Roman" w:hAnsi="Times New Roman" w:cs="Times New Roman"/>
              <w:bCs/>
            </w:rPr>
            <w:t>1.3 项目特点</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_Toc194481097 \h </w:instrText>
          </w:r>
          <w:r>
            <w:rPr>
              <w:rFonts w:ascii="Times New Roman" w:hAnsi="Times New Roman" w:cs="Times New Roman"/>
              <w:bCs/>
            </w:rPr>
            <w:fldChar w:fldCharType="separate"/>
          </w:r>
          <w:r>
            <w:rPr>
              <w:rFonts w:ascii="Times New Roman" w:hAnsi="Times New Roman" w:cs="Times New Roman"/>
              <w:bCs/>
            </w:rPr>
            <w:t>3</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"_Toc194481098" </w:instrText>
          </w:r>
          <w:r>
            <w:fldChar w:fldCharType="separate"/>
          </w:r>
          <w:r>
            <w:rPr>
              <w:rStyle w:val="45"/>
              <w:rFonts w:ascii="Times New Roman" w:hAnsi="Times New Roman" w:cs="Times New Roman"/>
              <w:bCs/>
            </w:rPr>
            <w:t>1.4 评价关注的环境问题</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_Toc194481098 \h </w:instrText>
          </w:r>
          <w:r>
            <w:rPr>
              <w:rFonts w:ascii="Times New Roman" w:hAnsi="Times New Roman" w:cs="Times New Roman"/>
              <w:bCs/>
            </w:rPr>
            <w:fldChar w:fldCharType="separate"/>
          </w:r>
          <w:r>
            <w:rPr>
              <w:rFonts w:ascii="Times New Roman" w:hAnsi="Times New Roman" w:cs="Times New Roman"/>
              <w:bCs/>
            </w:rPr>
            <w:t>4</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"_Toc194481099" </w:instrText>
          </w:r>
          <w:r>
            <w:fldChar w:fldCharType="separate"/>
          </w:r>
          <w:r>
            <w:rPr>
              <w:rStyle w:val="45"/>
              <w:rFonts w:ascii="Times New Roman" w:hAnsi="Times New Roman" w:cs="Times New Roman"/>
              <w:bCs/>
            </w:rPr>
            <w:t>1.5 分析判定相关环保政策符合性</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_Toc194481099 \h </w:instrText>
          </w:r>
          <w:r>
            <w:rPr>
              <w:rFonts w:ascii="Times New Roman" w:hAnsi="Times New Roman" w:cs="Times New Roman"/>
              <w:bCs/>
            </w:rPr>
            <w:fldChar w:fldCharType="separate"/>
          </w:r>
          <w:r>
            <w:rPr>
              <w:rFonts w:ascii="Times New Roman" w:hAnsi="Times New Roman" w:cs="Times New Roman"/>
              <w:bCs/>
            </w:rPr>
            <w:t>4</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"_Toc194481100" </w:instrText>
          </w:r>
          <w:r>
            <w:fldChar w:fldCharType="separate"/>
          </w:r>
          <w:r>
            <w:rPr>
              <w:rStyle w:val="45"/>
              <w:rFonts w:ascii="Times New Roman" w:hAnsi="Times New Roman" w:cs="Times New Roman"/>
              <w:bCs/>
            </w:rPr>
            <w:t>1.5.1 产业政策符合性分析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_Toc194481100 \h </w:instrText>
          </w:r>
          <w:r>
            <w:rPr>
              <w:rFonts w:ascii="Times New Roman" w:hAnsi="Times New Roman" w:cs="Times New Roman"/>
              <w:bCs/>
            </w:rPr>
            <w:fldChar w:fldCharType="separate"/>
          </w:r>
          <w:r>
            <w:rPr>
              <w:rFonts w:ascii="Times New Roman" w:hAnsi="Times New Roman" w:cs="Times New Roman"/>
              <w:bCs/>
            </w:rPr>
            <w:t>4</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"_Toc194481101" </w:instrText>
          </w:r>
          <w:r>
            <w:fldChar w:fldCharType="separate"/>
          </w:r>
          <w:r>
            <w:rPr>
              <w:rStyle w:val="45"/>
              <w:rFonts w:ascii="Times New Roman" w:hAnsi="Times New Roman" w:cs="Times New Roman"/>
              <w:bCs/>
            </w:rPr>
            <w:t>1.5.2 与“生态环境分区管控”符合性分析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_Toc194481101 \h </w:instrText>
          </w:r>
          <w:r>
            <w:rPr>
              <w:rFonts w:ascii="Times New Roman" w:hAnsi="Times New Roman" w:cs="Times New Roman"/>
              <w:bCs/>
            </w:rPr>
            <w:fldChar w:fldCharType="separate"/>
          </w:r>
          <w:r>
            <w:rPr>
              <w:rFonts w:ascii="Times New Roman" w:hAnsi="Times New Roman" w:cs="Times New Roman"/>
              <w:bCs/>
            </w:rPr>
            <w:t>5</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"_Toc194481102" </w:instrText>
          </w:r>
          <w:r>
            <w:fldChar w:fldCharType="separate"/>
          </w:r>
          <w:r>
            <w:rPr>
              <w:rStyle w:val="45"/>
              <w:rFonts w:ascii="Times New Roman" w:hAnsi="Times New Roman" w:cs="Times New Roman"/>
              <w:bCs/>
            </w:rPr>
            <w:t>1.5.3 与行业规划符合性分析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_Toc194481102 \h </w:instrText>
          </w:r>
          <w:r>
            <w:rPr>
              <w:rFonts w:ascii="Times New Roman" w:hAnsi="Times New Roman" w:cs="Times New Roman"/>
              <w:bCs/>
            </w:rPr>
            <w:fldChar w:fldCharType="separate"/>
          </w:r>
          <w:r>
            <w:rPr>
              <w:rFonts w:ascii="Times New Roman" w:hAnsi="Times New Roman" w:cs="Times New Roman"/>
              <w:bCs/>
            </w:rPr>
            <w:t>8</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"_Toc194481103" </w:instrText>
          </w:r>
          <w:r>
            <w:fldChar w:fldCharType="separate"/>
          </w:r>
          <w:r>
            <w:rPr>
              <w:rStyle w:val="45"/>
              <w:rFonts w:ascii="Times New Roman" w:hAnsi="Times New Roman" w:cs="Times New Roman"/>
              <w:bCs/>
            </w:rPr>
            <w:t>1.5.4 与污染防治规划、防治规定符合性分析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_Toc194481103 \h </w:instrText>
          </w:r>
          <w:r>
            <w:rPr>
              <w:rFonts w:ascii="Times New Roman" w:hAnsi="Times New Roman" w:cs="Times New Roman"/>
              <w:bCs/>
            </w:rPr>
            <w:fldChar w:fldCharType="separate"/>
          </w:r>
          <w:r>
            <w:rPr>
              <w:rFonts w:ascii="Times New Roman" w:hAnsi="Times New Roman" w:cs="Times New Roman"/>
              <w:bCs/>
            </w:rPr>
            <w:t>8</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"_Toc194481104" </w:instrText>
          </w:r>
          <w:r>
            <w:fldChar w:fldCharType="separate"/>
          </w:r>
          <w:r>
            <w:rPr>
              <w:rStyle w:val="45"/>
              <w:rFonts w:ascii="Times New Roman" w:hAnsi="Times New Roman" w:cs="Times New Roman"/>
              <w:bCs/>
            </w:rPr>
            <w:t>1.5.5 与《湖南省“十四五”生态环境保护规划》符合性分析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_Toc194481104 \h </w:instrText>
          </w:r>
          <w:r>
            <w:rPr>
              <w:rFonts w:ascii="Times New Roman" w:hAnsi="Times New Roman" w:cs="Times New Roman"/>
              <w:bCs/>
            </w:rPr>
            <w:fldChar w:fldCharType="separate"/>
          </w:r>
          <w:r>
            <w:rPr>
              <w:rFonts w:ascii="Times New Roman" w:hAnsi="Times New Roman" w:cs="Times New Roman"/>
              <w:bCs/>
            </w:rPr>
            <w:t>9</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"_Toc194481105" </w:instrText>
          </w:r>
          <w:r>
            <w:fldChar w:fldCharType="separate"/>
          </w:r>
          <w:r>
            <w:rPr>
              <w:rStyle w:val="45"/>
              <w:rFonts w:ascii="Times New Roman" w:hAnsi="Times New Roman" w:cs="Times New Roman"/>
              <w:bCs/>
            </w:rPr>
            <w:t>1.5.6 与《永州市“十四五”生态环境保护规划》符合性分析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_Toc194481105 \h </w:instrText>
          </w:r>
          <w:r>
            <w:rPr>
              <w:rFonts w:ascii="Times New Roman" w:hAnsi="Times New Roman" w:cs="Times New Roman"/>
              <w:bCs/>
            </w:rPr>
            <w:fldChar w:fldCharType="separate"/>
          </w:r>
          <w:r>
            <w:rPr>
              <w:rFonts w:ascii="Times New Roman" w:hAnsi="Times New Roman" w:cs="Times New Roman"/>
              <w:bCs/>
            </w:rPr>
            <w:t>10</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"_Toc194481106" </w:instrText>
          </w:r>
          <w:r>
            <w:fldChar w:fldCharType="separate"/>
          </w:r>
          <w:r>
            <w:rPr>
              <w:rStyle w:val="45"/>
              <w:rFonts w:ascii="Times New Roman" w:hAnsi="Times New Roman" w:cs="Times New Roman"/>
              <w:bCs/>
            </w:rPr>
            <w:t>1.5.7 与《湖南省畜禽养殖污染防治规划（2021 年-2025 年）》符合性分析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_Toc194481106 \h </w:instrText>
          </w:r>
          <w:r>
            <w:rPr>
              <w:rFonts w:ascii="Times New Roman" w:hAnsi="Times New Roman" w:cs="Times New Roman"/>
              <w:bCs/>
            </w:rPr>
            <w:fldChar w:fldCharType="separate"/>
          </w:r>
          <w:r>
            <w:rPr>
              <w:rFonts w:ascii="Times New Roman" w:hAnsi="Times New Roman" w:cs="Times New Roman"/>
              <w:bCs/>
            </w:rPr>
            <w:t>11</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"_Toc194481107" </w:instrText>
          </w:r>
          <w:r>
            <w:fldChar w:fldCharType="separate"/>
          </w:r>
          <w:r>
            <w:rPr>
              <w:rStyle w:val="45"/>
              <w:rFonts w:ascii="Times New Roman" w:hAnsi="Times New Roman" w:cs="Times New Roman"/>
              <w:bCs/>
            </w:rPr>
            <w:t>1.5.8 与《冷水滩区畜禽养殖污染防治规划（2021年-2025年）》符合性分析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_Toc194481107 \h </w:instrText>
          </w:r>
          <w:r>
            <w:rPr>
              <w:rFonts w:ascii="Times New Roman" w:hAnsi="Times New Roman" w:cs="Times New Roman"/>
              <w:bCs/>
            </w:rPr>
            <w:fldChar w:fldCharType="separate"/>
          </w:r>
          <w:r>
            <w:rPr>
              <w:rFonts w:ascii="Times New Roman" w:hAnsi="Times New Roman" w:cs="Times New Roman"/>
              <w:bCs/>
            </w:rPr>
            <w:t>12</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"_Toc194481108" </w:instrText>
          </w:r>
          <w:r>
            <w:fldChar w:fldCharType="separate"/>
          </w:r>
          <w:r>
            <w:rPr>
              <w:rStyle w:val="45"/>
              <w:rFonts w:ascii="Times New Roman" w:hAnsi="Times New Roman" w:cs="Times New Roman"/>
              <w:bCs/>
            </w:rPr>
            <w:t>1.5.9 与《畜禽养殖业污染防治技术规范》（HJ/T81-2001）符和性分析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_Toc194481108 \h </w:instrText>
          </w:r>
          <w:r>
            <w:rPr>
              <w:rFonts w:ascii="Times New Roman" w:hAnsi="Times New Roman" w:cs="Times New Roman"/>
              <w:bCs/>
            </w:rPr>
            <w:fldChar w:fldCharType="separate"/>
          </w:r>
          <w:r>
            <w:rPr>
              <w:rFonts w:ascii="Times New Roman" w:hAnsi="Times New Roman" w:cs="Times New Roman"/>
              <w:bCs/>
            </w:rPr>
            <w:t>13</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"_Toc194481109" </w:instrText>
          </w:r>
          <w:r>
            <w:fldChar w:fldCharType="separate"/>
          </w:r>
          <w:r>
            <w:rPr>
              <w:rStyle w:val="45"/>
              <w:rFonts w:ascii="Times New Roman" w:hAnsi="Times New Roman" w:cs="Times New Roman"/>
              <w:bCs/>
            </w:rPr>
            <w:t>1.5.10 与《畜禽养殖业污染治理工程技术规范》（HJ 497-2009）符和性分析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_Toc194481109 \h </w:instrText>
          </w:r>
          <w:r>
            <w:rPr>
              <w:rFonts w:ascii="Times New Roman" w:hAnsi="Times New Roman" w:cs="Times New Roman"/>
              <w:bCs/>
            </w:rPr>
            <w:fldChar w:fldCharType="separate"/>
          </w:r>
          <w:r>
            <w:rPr>
              <w:rFonts w:ascii="Times New Roman" w:hAnsi="Times New Roman" w:cs="Times New Roman"/>
              <w:bCs/>
            </w:rPr>
            <w:t>14</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"_Toc194481110" </w:instrText>
          </w:r>
          <w:r>
            <w:fldChar w:fldCharType="separate"/>
          </w:r>
          <w:r>
            <w:rPr>
              <w:rStyle w:val="45"/>
              <w:rFonts w:ascii="Times New Roman" w:hAnsi="Times New Roman" w:cs="Times New Roman"/>
              <w:bCs/>
            </w:rPr>
            <w:t>1.5.11 与《湖南省人民政府办公厅关于印发〈湖南省畜禽规模养殖污染防治规定〉的通知》（湘政办发〔2022〕46 号）的符合性分析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_Toc194481110 \h </w:instrText>
          </w:r>
          <w:r>
            <w:rPr>
              <w:rFonts w:ascii="Times New Roman" w:hAnsi="Times New Roman" w:cs="Times New Roman"/>
              <w:bCs/>
            </w:rPr>
            <w:fldChar w:fldCharType="separate"/>
          </w:r>
          <w:r>
            <w:rPr>
              <w:rFonts w:ascii="Times New Roman" w:hAnsi="Times New Roman" w:cs="Times New Roman"/>
              <w:bCs/>
            </w:rPr>
            <w:t>15</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"_Toc194481111" </w:instrText>
          </w:r>
          <w:r>
            <w:fldChar w:fldCharType="separate"/>
          </w:r>
          <w:r>
            <w:rPr>
              <w:rStyle w:val="45"/>
              <w:rFonts w:ascii="Times New Roman" w:hAnsi="Times New Roman" w:cs="Times New Roman"/>
              <w:bCs/>
            </w:rPr>
            <w:t>1.5.12 与《关于做好畜禽规模养殖项目环境影响评价管理工作的通知》的符合性分析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_Toc194481111 \h </w:instrText>
          </w:r>
          <w:r>
            <w:rPr>
              <w:rFonts w:ascii="Times New Roman" w:hAnsi="Times New Roman" w:cs="Times New Roman"/>
              <w:bCs/>
            </w:rPr>
            <w:fldChar w:fldCharType="separate"/>
          </w:r>
          <w:r>
            <w:rPr>
              <w:rFonts w:ascii="Times New Roman" w:hAnsi="Times New Roman" w:cs="Times New Roman"/>
              <w:bCs/>
            </w:rPr>
            <w:t>15</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"_Toc194481112" </w:instrText>
          </w:r>
          <w:r>
            <w:fldChar w:fldCharType="separate"/>
          </w:r>
          <w:r>
            <w:rPr>
              <w:rStyle w:val="45"/>
              <w:rFonts w:ascii="Times New Roman" w:hAnsi="Times New Roman" w:cs="Times New Roman"/>
              <w:bCs/>
            </w:rPr>
            <w:t>1.5.13 与《动物防疫条件审查办法》（中华人民共和国农业部令 2022 年第 8 号） 符合性分析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_Toc194481112 \h </w:instrText>
          </w:r>
          <w:r>
            <w:rPr>
              <w:rFonts w:ascii="Times New Roman" w:hAnsi="Times New Roman" w:cs="Times New Roman"/>
              <w:bCs/>
            </w:rPr>
            <w:fldChar w:fldCharType="separate"/>
          </w:r>
          <w:r>
            <w:rPr>
              <w:rFonts w:ascii="Times New Roman" w:hAnsi="Times New Roman" w:cs="Times New Roman"/>
              <w:bCs/>
            </w:rPr>
            <w:t>17</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"_Toc194481113" </w:instrText>
          </w:r>
          <w:r>
            <w:fldChar w:fldCharType="separate"/>
          </w:r>
          <w:r>
            <w:rPr>
              <w:rStyle w:val="45"/>
              <w:rFonts w:ascii="Times New Roman" w:hAnsi="Times New Roman" w:cs="Times New Roman"/>
              <w:bCs/>
            </w:rPr>
            <w:t>1.5.14 项目选址合理性分析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_Toc194481113 \h </w:instrText>
          </w:r>
          <w:r>
            <w:rPr>
              <w:rFonts w:ascii="Times New Roman" w:hAnsi="Times New Roman" w:cs="Times New Roman"/>
              <w:bCs/>
            </w:rPr>
            <w:fldChar w:fldCharType="separate"/>
          </w:r>
          <w:r>
            <w:rPr>
              <w:rFonts w:ascii="Times New Roman" w:hAnsi="Times New Roman" w:cs="Times New Roman"/>
              <w:bCs/>
            </w:rPr>
            <w:t>18</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Fonts w:ascii="Times New Roman" w:hAnsi="Times New Roman" w:cs="Times New Roman"/>
              <w:bCs/>
              <w:kern w:val="2"/>
              <w:sz w:val="22"/>
            </w:rPr>
          </w:pPr>
          <w:r>
            <w:fldChar w:fldCharType="begin"/>
          </w:r>
          <w:r>
            <w:instrText xml:space="preserve"> HYPERLINK \l "_Toc194481114" </w:instrText>
          </w:r>
          <w:r>
            <w:fldChar w:fldCharType="separate"/>
          </w:r>
          <w:r>
            <w:rPr>
              <w:rStyle w:val="45"/>
              <w:rFonts w:ascii="Times New Roman" w:hAnsi="Times New Roman" w:cs="Times New Roman"/>
              <w:bCs/>
            </w:rPr>
            <w:t>1.5.15 平面布置合理性分析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_Toc194481114 \h </w:instrText>
          </w:r>
          <w:r>
            <w:rPr>
              <w:rFonts w:ascii="Times New Roman" w:hAnsi="Times New Roman" w:cs="Times New Roman"/>
              <w:bCs/>
            </w:rPr>
            <w:fldChar w:fldCharType="separate"/>
          </w:r>
          <w:r>
            <w:rPr>
              <w:rFonts w:ascii="Times New Roman" w:hAnsi="Times New Roman" w:cs="Times New Roman"/>
              <w:bCs/>
            </w:rPr>
            <w:t>18</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"_Toc194481115" </w:instrText>
          </w:r>
          <w:r>
            <w:fldChar w:fldCharType="separate"/>
          </w:r>
          <w:r>
            <w:rPr>
              <w:rStyle w:val="45"/>
              <w:rFonts w:ascii="Times New Roman" w:hAnsi="Times New Roman" w:cs="Times New Roman"/>
              <w:bCs/>
            </w:rPr>
            <w:t>1.6 报告书主要结论</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_Toc194481115 \h </w:instrText>
          </w:r>
          <w:r>
            <w:rPr>
              <w:rFonts w:ascii="Times New Roman" w:hAnsi="Times New Roman" w:cs="Times New Roman"/>
              <w:bCs/>
            </w:rPr>
            <w:fldChar w:fldCharType="separate"/>
          </w:r>
          <w:r>
            <w:rPr>
              <w:rFonts w:ascii="Times New Roman" w:hAnsi="Times New Roman" w:cs="Times New Roman"/>
              <w:bCs/>
            </w:rPr>
            <w:t>19</w:t>
          </w:r>
          <w:r>
            <w:rPr>
              <w:rFonts w:ascii="Times New Roman" w:hAnsi="Times New Roman" w:cs="Times New Roman"/>
              <w:bCs/>
            </w:rPr>
            <w:fldChar w:fldCharType="end"/>
          </w:r>
          <w:r>
            <w:rPr>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"_Toc194481116" </w:instrText>
          </w:r>
          <w:r>
            <w:fldChar w:fldCharType="separate"/>
          </w:r>
          <w:r>
            <w:rPr>
              <w:rStyle w:val="45"/>
              <w:rFonts w:ascii="Times New Roman" w:hAnsi="Times New Roman" w:cs="Times New Roman"/>
              <w:b w:val="0"/>
              <w:bCs/>
            </w:rPr>
            <w:t>第2章 总则</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_Toc194481116 \h </w:instrText>
          </w:r>
          <w:r>
            <w:rPr>
              <w:rFonts w:ascii="Times New Roman" w:hAnsi="Times New Roman" w:cs="Times New Roman"/>
              <w:b w:val="0"/>
              <w:bCs/>
            </w:rPr>
            <w:fldChar w:fldCharType="separate"/>
          </w:r>
          <w:r>
            <w:rPr>
              <w:rFonts w:ascii="Times New Roman" w:hAnsi="Times New Roman" w:cs="Times New Roman"/>
              <w:b w:val="0"/>
              <w:bCs/>
            </w:rPr>
            <w:t>20</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"_Toc194481117" </w:instrText>
          </w:r>
          <w:r>
            <w:fldChar w:fldCharType="separate"/>
          </w:r>
          <w:r>
            <w:rPr>
              <w:rStyle w:val="45"/>
              <w:rFonts w:ascii="Times New Roman" w:hAnsi="Times New Roman" w:cs="Times New Roman"/>
              <w:bCs/>
            </w:rPr>
            <w:t>2.1 编制依据</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_Toc194481117 \h </w:instrText>
          </w:r>
          <w:r>
            <w:rPr>
              <w:rFonts w:ascii="Times New Roman" w:hAnsi="Times New Roman" w:cs="Times New Roman"/>
              <w:bCs/>
            </w:rPr>
            <w:fldChar w:fldCharType="separate"/>
          </w:r>
          <w:r>
            <w:rPr>
              <w:rFonts w:ascii="Times New Roman" w:hAnsi="Times New Roman" w:cs="Times New Roman"/>
              <w:bCs/>
            </w:rPr>
            <w:t>20</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"_Toc194481118" </w:instrText>
          </w:r>
          <w:r>
            <w:fldChar w:fldCharType="separate"/>
          </w:r>
          <w:r>
            <w:rPr>
              <w:rStyle w:val="45"/>
              <w:rFonts w:ascii="Times New Roman" w:hAnsi="Times New Roman" w:cs="Times New Roman"/>
              <w:bCs/>
            </w:rPr>
            <w:t>2.1.1 法律、法规、政策</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_Toc194481118 \h </w:instrText>
          </w:r>
          <w:r>
            <w:rPr>
              <w:rStyle w:val="45"/>
              <w:rFonts w:ascii="Times New Roman" w:hAnsi="Times New Roman" w:cs="Times New Roman"/>
              <w:bCs/>
            </w:rPr>
            <w:fldChar w:fldCharType="separate"/>
          </w:r>
          <w:r>
            <w:rPr>
              <w:rStyle w:val="45"/>
              <w:rFonts w:ascii="Times New Roman" w:hAnsi="Times New Roman" w:cs="Times New Roman"/>
              <w:bCs/>
            </w:rPr>
            <w:t>20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"_Toc194481119" </w:instrText>
          </w:r>
          <w:r>
            <w:fldChar w:fldCharType="separate"/>
          </w:r>
          <w:r>
            <w:rPr>
              <w:rStyle w:val="45"/>
              <w:rFonts w:ascii="Times New Roman" w:hAnsi="Times New Roman" w:cs="Times New Roman"/>
              <w:bCs/>
            </w:rPr>
            <w:t>2.1.2 地方法规、政策</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_Toc194481119 \h </w:instrText>
          </w:r>
          <w:r>
            <w:rPr>
              <w:rStyle w:val="45"/>
              <w:rFonts w:ascii="Times New Roman" w:hAnsi="Times New Roman" w:cs="Times New Roman"/>
              <w:bCs/>
            </w:rPr>
            <w:fldChar w:fldCharType="separate"/>
          </w:r>
          <w:r>
            <w:rPr>
              <w:rStyle w:val="45"/>
              <w:rFonts w:ascii="Times New Roman" w:hAnsi="Times New Roman" w:cs="Times New Roman"/>
              <w:bCs/>
            </w:rPr>
            <w:t>22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"_Toc194481120" </w:instrText>
          </w:r>
          <w:r>
            <w:fldChar w:fldCharType="separate"/>
          </w:r>
          <w:r>
            <w:rPr>
              <w:rStyle w:val="45"/>
              <w:rFonts w:ascii="Times New Roman" w:hAnsi="Times New Roman" w:cs="Times New Roman"/>
              <w:bCs/>
            </w:rPr>
            <w:t>2.1.3 技术导则</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_Toc194481120 \h </w:instrText>
          </w:r>
          <w:r>
            <w:rPr>
              <w:rStyle w:val="45"/>
              <w:rFonts w:ascii="Times New Roman" w:hAnsi="Times New Roman" w:cs="Times New Roman"/>
              <w:bCs/>
            </w:rPr>
            <w:fldChar w:fldCharType="separate"/>
          </w:r>
          <w:r>
            <w:rPr>
              <w:rStyle w:val="45"/>
              <w:rFonts w:ascii="Times New Roman" w:hAnsi="Times New Roman" w:cs="Times New Roman"/>
              <w:bCs/>
            </w:rPr>
            <w:t>22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"_Toc194481121" </w:instrText>
          </w:r>
          <w:r>
            <w:fldChar w:fldCharType="separate"/>
          </w:r>
          <w:r>
            <w:rPr>
              <w:rStyle w:val="45"/>
              <w:rFonts w:ascii="Times New Roman" w:hAnsi="Times New Roman" w:cs="Times New Roman"/>
              <w:bCs/>
            </w:rPr>
            <w:t>2.1.4 其他相关依据</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_Toc194481121 \h </w:instrText>
          </w:r>
          <w:r>
            <w:rPr>
              <w:rStyle w:val="45"/>
              <w:rFonts w:ascii="Times New Roman" w:hAnsi="Times New Roman" w:cs="Times New Roman"/>
              <w:bCs/>
            </w:rPr>
            <w:fldChar w:fldCharType="separate"/>
          </w:r>
          <w:r>
            <w:rPr>
              <w:rStyle w:val="45"/>
              <w:rFonts w:ascii="Times New Roman" w:hAnsi="Times New Roman" w:cs="Times New Roman"/>
              <w:bCs/>
            </w:rPr>
            <w:t>23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"_Toc194481122" </w:instrText>
          </w:r>
          <w:r>
            <w:fldChar w:fldCharType="separate"/>
          </w:r>
          <w:r>
            <w:rPr>
              <w:rStyle w:val="45"/>
              <w:rFonts w:ascii="Times New Roman" w:hAnsi="Times New Roman" w:cs="Times New Roman"/>
              <w:bCs/>
            </w:rPr>
            <w:t>2.2 环境影响识别及评价因子筛选</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_Toc194481122 \h </w:instrText>
          </w:r>
          <w:r>
            <w:rPr>
              <w:rFonts w:ascii="Times New Roman" w:hAnsi="Times New Roman" w:cs="Times New Roman"/>
              <w:bCs/>
            </w:rPr>
            <w:fldChar w:fldCharType="separate"/>
          </w:r>
          <w:r>
            <w:rPr>
              <w:rFonts w:ascii="Times New Roman" w:hAnsi="Times New Roman" w:cs="Times New Roman"/>
              <w:bCs/>
            </w:rPr>
            <w:t>23</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"_Toc194481123" </w:instrText>
          </w:r>
          <w:r>
            <w:fldChar w:fldCharType="separate"/>
          </w:r>
          <w:r>
            <w:rPr>
              <w:rStyle w:val="45"/>
              <w:rFonts w:ascii="Times New Roman" w:hAnsi="Times New Roman" w:cs="Times New Roman"/>
              <w:bCs/>
            </w:rPr>
            <w:t>2.2.1 环境影响识别</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_Toc194481123 \h </w:instrText>
          </w:r>
          <w:r>
            <w:rPr>
              <w:rStyle w:val="45"/>
              <w:rFonts w:ascii="Times New Roman" w:hAnsi="Times New Roman" w:cs="Times New Roman"/>
              <w:bCs/>
            </w:rPr>
            <w:fldChar w:fldCharType="separate"/>
          </w:r>
          <w:r>
            <w:rPr>
              <w:rStyle w:val="45"/>
              <w:rFonts w:ascii="Times New Roman" w:hAnsi="Times New Roman" w:cs="Times New Roman"/>
              <w:bCs/>
            </w:rPr>
            <w:t>23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"_Toc194481124" </w:instrText>
          </w:r>
          <w:r>
            <w:fldChar w:fldCharType="separate"/>
          </w:r>
          <w:r>
            <w:rPr>
              <w:rStyle w:val="45"/>
              <w:rFonts w:ascii="Times New Roman" w:hAnsi="Times New Roman" w:cs="Times New Roman"/>
              <w:bCs/>
            </w:rPr>
            <w:t>2.2.2 评价因子筛选</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_Toc194481124 \h </w:instrText>
          </w:r>
          <w:r>
            <w:rPr>
              <w:rStyle w:val="45"/>
              <w:rFonts w:ascii="Times New Roman" w:hAnsi="Times New Roman" w:cs="Times New Roman"/>
              <w:bCs/>
            </w:rPr>
            <w:fldChar w:fldCharType="separate"/>
          </w:r>
          <w:r>
            <w:rPr>
              <w:rStyle w:val="45"/>
              <w:rFonts w:ascii="Times New Roman" w:hAnsi="Times New Roman" w:cs="Times New Roman"/>
              <w:bCs/>
            </w:rPr>
            <w:t>24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"_Toc194481125" </w:instrText>
          </w:r>
          <w:r>
            <w:fldChar w:fldCharType="separate"/>
          </w:r>
          <w:r>
            <w:rPr>
              <w:rStyle w:val="45"/>
              <w:rFonts w:ascii="Times New Roman" w:hAnsi="Times New Roman" w:cs="Times New Roman"/>
              <w:bCs/>
            </w:rPr>
            <w:t>2.3 环境功能区划</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_Toc194481125 \h </w:instrText>
          </w:r>
          <w:r>
            <w:rPr>
              <w:rFonts w:ascii="Times New Roman" w:hAnsi="Times New Roman" w:cs="Times New Roman"/>
              <w:bCs/>
            </w:rPr>
            <w:fldChar w:fldCharType="separate"/>
          </w:r>
          <w:r>
            <w:rPr>
              <w:rFonts w:ascii="Times New Roman" w:hAnsi="Times New Roman" w:cs="Times New Roman"/>
              <w:bCs/>
            </w:rPr>
            <w:t>25</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"_Toc194481126" </w:instrText>
          </w:r>
          <w:r>
            <w:fldChar w:fldCharType="separate"/>
          </w:r>
          <w:r>
            <w:rPr>
              <w:rStyle w:val="45"/>
              <w:rFonts w:ascii="Times New Roman" w:hAnsi="Times New Roman" w:cs="Times New Roman"/>
              <w:bCs/>
            </w:rPr>
            <w:t>2.3.1 大气环境功能区划</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_Toc194481126 \h </w:instrText>
          </w:r>
          <w:r>
            <w:rPr>
              <w:rStyle w:val="45"/>
              <w:rFonts w:ascii="Times New Roman" w:hAnsi="Times New Roman" w:cs="Times New Roman"/>
              <w:bCs/>
            </w:rPr>
            <w:fldChar w:fldCharType="separate"/>
          </w:r>
          <w:r>
            <w:rPr>
              <w:rStyle w:val="45"/>
              <w:rFonts w:ascii="Times New Roman" w:hAnsi="Times New Roman" w:cs="Times New Roman"/>
              <w:bCs/>
            </w:rPr>
            <w:t>25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"_Toc194481127" </w:instrText>
          </w:r>
          <w:r>
            <w:fldChar w:fldCharType="separate"/>
          </w:r>
          <w:r>
            <w:rPr>
              <w:rStyle w:val="45"/>
              <w:rFonts w:ascii="Times New Roman" w:hAnsi="Times New Roman" w:cs="Times New Roman"/>
              <w:bCs/>
            </w:rPr>
            <w:t>2.3.2 地表水环境功能区划</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_Toc194481127 \h </w:instrText>
          </w:r>
          <w:r>
            <w:rPr>
              <w:rStyle w:val="45"/>
              <w:rFonts w:ascii="Times New Roman" w:hAnsi="Times New Roman" w:cs="Times New Roman"/>
              <w:bCs/>
            </w:rPr>
            <w:fldChar w:fldCharType="separate"/>
          </w:r>
          <w:r>
            <w:rPr>
              <w:rStyle w:val="45"/>
              <w:rFonts w:ascii="Times New Roman" w:hAnsi="Times New Roman" w:cs="Times New Roman"/>
              <w:bCs/>
            </w:rPr>
            <w:t>25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"_Toc194481128" </w:instrText>
          </w:r>
          <w:r>
            <w:fldChar w:fldCharType="separate"/>
          </w:r>
          <w:r>
            <w:rPr>
              <w:rStyle w:val="45"/>
              <w:rFonts w:ascii="Times New Roman" w:hAnsi="Times New Roman" w:cs="Times New Roman"/>
              <w:bCs/>
            </w:rPr>
            <w:t>2.3.3 地下水环境功能区划</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_Toc194481128 \h </w:instrText>
          </w:r>
          <w:r>
            <w:rPr>
              <w:rStyle w:val="45"/>
              <w:rFonts w:ascii="Times New Roman" w:hAnsi="Times New Roman" w:cs="Times New Roman"/>
              <w:bCs/>
            </w:rPr>
            <w:fldChar w:fldCharType="separate"/>
          </w:r>
          <w:r>
            <w:rPr>
              <w:rStyle w:val="45"/>
              <w:rFonts w:ascii="Times New Roman" w:hAnsi="Times New Roman" w:cs="Times New Roman"/>
              <w:bCs/>
            </w:rPr>
            <w:t>25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"_Toc194481129" </w:instrText>
          </w:r>
          <w:r>
            <w:fldChar w:fldCharType="separate"/>
          </w:r>
          <w:r>
            <w:rPr>
              <w:rStyle w:val="45"/>
              <w:rFonts w:ascii="Times New Roman" w:hAnsi="Times New Roman" w:cs="Times New Roman"/>
              <w:bCs/>
            </w:rPr>
            <w:t>2.3.4 声环境功能区划</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_Toc194481129 \h </w:instrText>
          </w:r>
          <w:r>
            <w:rPr>
              <w:rStyle w:val="45"/>
              <w:rFonts w:ascii="Times New Roman" w:hAnsi="Times New Roman" w:cs="Times New Roman"/>
              <w:bCs/>
            </w:rPr>
            <w:fldChar w:fldCharType="separate"/>
          </w:r>
          <w:r>
            <w:rPr>
              <w:rStyle w:val="45"/>
              <w:rFonts w:ascii="Times New Roman" w:hAnsi="Times New Roman" w:cs="Times New Roman"/>
              <w:bCs/>
            </w:rPr>
            <w:t>25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"_Toc194481130" </w:instrText>
          </w:r>
          <w:r>
            <w:fldChar w:fldCharType="separate"/>
          </w:r>
          <w:r>
            <w:rPr>
              <w:rStyle w:val="45"/>
              <w:rFonts w:ascii="Times New Roman" w:hAnsi="Times New Roman" w:cs="Times New Roman"/>
              <w:bCs/>
            </w:rPr>
            <w:t>2.4 评价标准</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_Toc194481130 \h </w:instrText>
          </w:r>
          <w:r>
            <w:rPr>
              <w:rFonts w:ascii="Times New Roman" w:hAnsi="Times New Roman" w:cs="Times New Roman"/>
              <w:bCs/>
            </w:rPr>
            <w:fldChar w:fldCharType="separate"/>
          </w:r>
          <w:r>
            <w:rPr>
              <w:rFonts w:ascii="Times New Roman" w:hAnsi="Times New Roman" w:cs="Times New Roman"/>
              <w:bCs/>
            </w:rPr>
            <w:t>25</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"_Toc194481131" </w:instrText>
          </w:r>
          <w:r>
            <w:fldChar w:fldCharType="separate"/>
          </w:r>
          <w:r>
            <w:rPr>
              <w:rStyle w:val="45"/>
              <w:rFonts w:ascii="Times New Roman" w:hAnsi="Times New Roman" w:cs="Times New Roman"/>
              <w:bCs/>
            </w:rPr>
            <w:t>2.4.1 环境质量标准</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_Toc194481131 \h </w:instrText>
          </w:r>
          <w:r>
            <w:rPr>
              <w:rStyle w:val="45"/>
              <w:rFonts w:ascii="Times New Roman" w:hAnsi="Times New Roman" w:cs="Times New Roman"/>
              <w:bCs/>
            </w:rPr>
            <w:fldChar w:fldCharType="separate"/>
          </w:r>
          <w:r>
            <w:rPr>
              <w:rStyle w:val="45"/>
              <w:rFonts w:ascii="Times New Roman" w:hAnsi="Times New Roman" w:cs="Times New Roman"/>
              <w:bCs/>
            </w:rPr>
            <w:t>25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"_Toc194481132" </w:instrText>
          </w:r>
          <w:r>
            <w:fldChar w:fldCharType="separate"/>
          </w:r>
          <w:r>
            <w:rPr>
              <w:rStyle w:val="45"/>
              <w:rFonts w:ascii="Times New Roman" w:hAnsi="Times New Roman" w:cs="Times New Roman"/>
              <w:bCs/>
            </w:rPr>
            <w:t>2.4.2 污染物排放标准</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_Toc194481132 \h </w:instrText>
          </w:r>
          <w:r>
            <w:rPr>
              <w:rStyle w:val="45"/>
              <w:rFonts w:ascii="Times New Roman" w:hAnsi="Times New Roman" w:cs="Times New Roman"/>
              <w:bCs/>
            </w:rPr>
            <w:fldChar w:fldCharType="separate"/>
          </w:r>
          <w:r>
            <w:rPr>
              <w:rStyle w:val="45"/>
              <w:rFonts w:ascii="Times New Roman" w:hAnsi="Times New Roman" w:cs="Times New Roman"/>
              <w:bCs/>
            </w:rPr>
            <w:t>28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"_Toc194481133" </w:instrText>
          </w:r>
          <w:r>
            <w:fldChar w:fldCharType="separate"/>
          </w:r>
          <w:r>
            <w:rPr>
              <w:rStyle w:val="45"/>
              <w:rFonts w:ascii="Times New Roman" w:hAnsi="Times New Roman" w:cs="Times New Roman"/>
              <w:bCs/>
            </w:rPr>
            <w:t>2.5 评价工作等级及评价范围</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_Toc194481133 \h </w:instrText>
          </w:r>
          <w:r>
            <w:rPr>
              <w:rFonts w:ascii="Times New Roman" w:hAnsi="Times New Roman" w:cs="Times New Roman"/>
              <w:bCs/>
            </w:rPr>
            <w:fldChar w:fldCharType="separate"/>
          </w:r>
          <w:r>
            <w:rPr>
              <w:rFonts w:ascii="Times New Roman" w:hAnsi="Times New Roman" w:cs="Times New Roman"/>
              <w:bCs/>
            </w:rPr>
            <w:t>29</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"_Toc194481134" </w:instrText>
          </w:r>
          <w:r>
            <w:fldChar w:fldCharType="separate"/>
          </w:r>
          <w:r>
            <w:rPr>
              <w:rStyle w:val="45"/>
              <w:rFonts w:ascii="Times New Roman" w:hAnsi="Times New Roman" w:cs="Times New Roman"/>
              <w:bCs/>
            </w:rPr>
            <w:t>2.5.1 大气环境评价等级及评价范围</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_Toc194481134 \h </w:instrText>
          </w:r>
          <w:r>
            <w:rPr>
              <w:rStyle w:val="45"/>
              <w:rFonts w:ascii="Times New Roman" w:hAnsi="Times New Roman" w:cs="Times New Roman"/>
              <w:bCs/>
            </w:rPr>
            <w:fldChar w:fldCharType="separate"/>
          </w:r>
          <w:r>
            <w:rPr>
              <w:rStyle w:val="45"/>
              <w:rFonts w:ascii="Times New Roman" w:hAnsi="Times New Roman" w:cs="Times New Roman"/>
              <w:bCs/>
            </w:rPr>
            <w:t>29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"_Toc194481135" </w:instrText>
          </w:r>
          <w:r>
            <w:fldChar w:fldCharType="separate"/>
          </w:r>
          <w:r>
            <w:rPr>
              <w:rStyle w:val="45"/>
              <w:rFonts w:ascii="Times New Roman" w:hAnsi="Times New Roman" w:cs="Times New Roman"/>
              <w:bCs/>
            </w:rPr>
            <w:t>2.5.2 地表水环境评价等级及评价范围</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_Toc194481135 \h </w:instrText>
          </w:r>
          <w:r>
            <w:rPr>
              <w:rStyle w:val="45"/>
              <w:rFonts w:ascii="Times New Roman" w:hAnsi="Times New Roman" w:cs="Times New Roman"/>
              <w:bCs/>
            </w:rPr>
            <w:fldChar w:fldCharType="separate"/>
          </w:r>
          <w:r>
            <w:rPr>
              <w:rStyle w:val="45"/>
              <w:rFonts w:ascii="Times New Roman" w:hAnsi="Times New Roman" w:cs="Times New Roman"/>
              <w:bCs/>
            </w:rPr>
            <w:t>30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"_Toc194481136" </w:instrText>
          </w:r>
          <w:r>
            <w:fldChar w:fldCharType="separate"/>
          </w:r>
          <w:r>
            <w:rPr>
              <w:rStyle w:val="45"/>
              <w:rFonts w:ascii="Times New Roman" w:hAnsi="Times New Roman" w:cs="Times New Roman"/>
              <w:bCs/>
            </w:rPr>
            <w:t>2.5.3 地下水环境评价等级及评价范围</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_Toc194481136 \h </w:instrText>
          </w:r>
          <w:r>
            <w:rPr>
              <w:rStyle w:val="45"/>
              <w:rFonts w:ascii="Times New Roman" w:hAnsi="Times New Roman" w:cs="Times New Roman"/>
              <w:bCs/>
            </w:rPr>
            <w:fldChar w:fldCharType="separate"/>
          </w:r>
          <w:r>
            <w:rPr>
              <w:rStyle w:val="45"/>
              <w:rFonts w:ascii="Times New Roman" w:hAnsi="Times New Roman" w:cs="Times New Roman"/>
              <w:bCs/>
            </w:rPr>
            <w:t>31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"_Toc194481137" </w:instrText>
          </w:r>
          <w:r>
            <w:fldChar w:fldCharType="separate"/>
          </w:r>
          <w:r>
            <w:rPr>
              <w:rStyle w:val="45"/>
              <w:rFonts w:ascii="Times New Roman" w:hAnsi="Times New Roman" w:cs="Times New Roman"/>
              <w:bCs/>
            </w:rPr>
            <w:t>2.5.4 声环境评价等级及评价范围</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_Toc194481137 \h </w:instrText>
          </w:r>
          <w:r>
            <w:rPr>
              <w:rStyle w:val="45"/>
              <w:rFonts w:ascii="Times New Roman" w:hAnsi="Times New Roman" w:cs="Times New Roman"/>
              <w:bCs/>
            </w:rPr>
            <w:fldChar w:fldCharType="separate"/>
          </w:r>
          <w:r>
            <w:rPr>
              <w:rStyle w:val="45"/>
              <w:rFonts w:ascii="Times New Roman" w:hAnsi="Times New Roman" w:cs="Times New Roman"/>
              <w:bCs/>
            </w:rPr>
            <w:t>32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"_Toc194481138" </w:instrText>
          </w:r>
          <w:r>
            <w:fldChar w:fldCharType="separate"/>
          </w:r>
          <w:r>
            <w:rPr>
              <w:rStyle w:val="45"/>
              <w:rFonts w:ascii="Times New Roman" w:hAnsi="Times New Roman" w:cs="Times New Roman"/>
              <w:bCs/>
            </w:rPr>
            <w:t>2.5.5 土壤环境评价等级及评价范围</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_Toc194481138 \h </w:instrText>
          </w:r>
          <w:r>
            <w:rPr>
              <w:rStyle w:val="45"/>
              <w:rFonts w:ascii="Times New Roman" w:hAnsi="Times New Roman" w:cs="Times New Roman"/>
              <w:bCs/>
            </w:rPr>
            <w:fldChar w:fldCharType="separate"/>
          </w:r>
          <w:r>
            <w:rPr>
              <w:rStyle w:val="45"/>
              <w:rFonts w:ascii="Times New Roman" w:hAnsi="Times New Roman" w:cs="Times New Roman"/>
              <w:bCs/>
            </w:rPr>
            <w:t>33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"_Toc194481139" </w:instrText>
          </w:r>
          <w:r>
            <w:fldChar w:fldCharType="separate"/>
          </w:r>
          <w:r>
            <w:rPr>
              <w:rStyle w:val="45"/>
              <w:rFonts w:ascii="Times New Roman" w:hAnsi="Times New Roman" w:cs="Times New Roman"/>
              <w:bCs/>
            </w:rPr>
            <w:t>2.5.6 环境风险评价等级及评价范围</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_Toc194481139 \h </w:instrText>
          </w:r>
          <w:r>
            <w:rPr>
              <w:rStyle w:val="45"/>
              <w:rFonts w:ascii="Times New Roman" w:hAnsi="Times New Roman" w:cs="Times New Roman"/>
              <w:bCs/>
            </w:rPr>
            <w:fldChar w:fldCharType="separate"/>
          </w:r>
          <w:r>
            <w:rPr>
              <w:rStyle w:val="45"/>
              <w:rFonts w:ascii="Times New Roman" w:hAnsi="Times New Roman" w:cs="Times New Roman"/>
              <w:bCs/>
            </w:rPr>
            <w:t>33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"_Toc194481140" </w:instrText>
          </w:r>
          <w:r>
            <w:fldChar w:fldCharType="separate"/>
          </w:r>
          <w:r>
            <w:rPr>
              <w:rStyle w:val="45"/>
              <w:rFonts w:ascii="Times New Roman" w:hAnsi="Times New Roman" w:cs="Times New Roman"/>
              <w:bCs/>
            </w:rPr>
            <w:t>2.5.7 生态环境评价等级及评价范围</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_Toc194481140 \h </w:instrText>
          </w:r>
          <w:r>
            <w:rPr>
              <w:rStyle w:val="45"/>
              <w:rFonts w:ascii="Times New Roman" w:hAnsi="Times New Roman" w:cs="Times New Roman"/>
              <w:bCs/>
            </w:rPr>
            <w:fldChar w:fldCharType="separate"/>
          </w:r>
          <w:r>
            <w:rPr>
              <w:rStyle w:val="45"/>
              <w:rFonts w:ascii="Times New Roman" w:hAnsi="Times New Roman" w:cs="Times New Roman"/>
              <w:bCs/>
            </w:rPr>
            <w:t>35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"_Toc194481141" </w:instrText>
          </w:r>
          <w:r>
            <w:fldChar w:fldCharType="separate"/>
          </w:r>
          <w:r>
            <w:rPr>
              <w:rStyle w:val="45"/>
              <w:rFonts w:ascii="Times New Roman" w:hAnsi="Times New Roman" w:cs="Times New Roman"/>
              <w:bCs/>
            </w:rPr>
            <w:t>2.6 评价重点</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_Toc194481141 \h </w:instrText>
          </w:r>
          <w:r>
            <w:rPr>
              <w:rFonts w:ascii="Times New Roman" w:hAnsi="Times New Roman" w:cs="Times New Roman"/>
              <w:bCs/>
            </w:rPr>
            <w:fldChar w:fldCharType="separate"/>
          </w:r>
          <w:r>
            <w:rPr>
              <w:rFonts w:ascii="Times New Roman" w:hAnsi="Times New Roman" w:cs="Times New Roman"/>
              <w:bCs/>
            </w:rPr>
            <w:t>35</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"_Toc194481142" </w:instrText>
          </w:r>
          <w:r>
            <w:fldChar w:fldCharType="separate"/>
          </w:r>
          <w:r>
            <w:rPr>
              <w:rStyle w:val="45"/>
              <w:rFonts w:ascii="Times New Roman" w:hAnsi="Times New Roman" w:cs="Times New Roman"/>
              <w:bCs/>
            </w:rPr>
            <w:t>2.7 环境保护目标</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_Toc194481142 \h </w:instrText>
          </w:r>
          <w:r>
            <w:rPr>
              <w:rFonts w:ascii="Times New Roman" w:hAnsi="Times New Roman" w:cs="Times New Roman"/>
              <w:bCs/>
            </w:rPr>
            <w:fldChar w:fldCharType="separate"/>
          </w:r>
          <w:r>
            <w:rPr>
              <w:rFonts w:ascii="Times New Roman" w:hAnsi="Times New Roman" w:cs="Times New Roman"/>
              <w:bCs/>
            </w:rPr>
            <w:t>35</w:t>
          </w:r>
          <w:r>
            <w:rPr>
              <w:rFonts w:ascii="Times New Roman" w:hAnsi="Times New Roman" w:cs="Times New Roman"/>
              <w:bCs/>
            </w:rPr>
            <w:fldChar w:fldCharType="end"/>
          </w:r>
          <w:r>
            <w:rPr>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"_Toc194481143" </w:instrText>
          </w:r>
          <w:r>
            <w:fldChar w:fldCharType="separate"/>
          </w:r>
          <w:r>
            <w:rPr>
              <w:rStyle w:val="45"/>
              <w:rFonts w:ascii="Times New Roman" w:hAnsi="Times New Roman" w:cs="Times New Roman"/>
              <w:b w:val="0"/>
              <w:bCs/>
            </w:rPr>
            <w:t>第3章 工程分析</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_Toc194481143 \h </w:instrText>
          </w:r>
          <w:r>
            <w:rPr>
              <w:rFonts w:ascii="Times New Roman" w:hAnsi="Times New Roman" w:cs="Times New Roman"/>
              <w:b w:val="0"/>
              <w:bCs/>
            </w:rPr>
            <w:fldChar w:fldCharType="separate"/>
          </w:r>
          <w:r>
            <w:rPr>
              <w:rFonts w:ascii="Times New Roman" w:hAnsi="Times New Roman" w:cs="Times New Roman"/>
              <w:b w:val="0"/>
              <w:bCs/>
            </w:rPr>
            <w:t>39</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"_Toc194481144" </w:instrText>
          </w:r>
          <w:r>
            <w:fldChar w:fldCharType="separate"/>
          </w:r>
          <w:r>
            <w:rPr>
              <w:rStyle w:val="45"/>
              <w:rFonts w:ascii="Times New Roman" w:hAnsi="Times New Roman" w:cs="Times New Roman"/>
              <w:bCs/>
            </w:rPr>
            <w:t>3.1 项目概况</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_Toc194481144 \h </w:instrText>
          </w:r>
          <w:r>
            <w:rPr>
              <w:rFonts w:ascii="Times New Roman" w:hAnsi="Times New Roman" w:cs="Times New Roman"/>
              <w:bCs/>
            </w:rPr>
            <w:fldChar w:fldCharType="separate"/>
          </w:r>
          <w:r>
            <w:rPr>
              <w:rFonts w:ascii="Times New Roman" w:hAnsi="Times New Roman" w:cs="Times New Roman"/>
              <w:bCs/>
            </w:rPr>
            <w:t>39</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"_Toc194481145" </w:instrText>
          </w:r>
          <w:r>
            <w:fldChar w:fldCharType="separate"/>
          </w:r>
          <w:r>
            <w:rPr>
              <w:rStyle w:val="45"/>
              <w:rFonts w:ascii="Times New Roman" w:hAnsi="Times New Roman" w:cs="Times New Roman"/>
              <w:bCs/>
            </w:rPr>
            <w:t>3.1.1 项目基本情况</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_Toc194481145 \h </w:instrText>
          </w:r>
          <w:r>
            <w:rPr>
              <w:rStyle w:val="45"/>
              <w:rFonts w:ascii="Times New Roman" w:hAnsi="Times New Roman" w:cs="Times New Roman"/>
              <w:bCs/>
            </w:rPr>
            <w:fldChar w:fldCharType="separate"/>
          </w:r>
          <w:r>
            <w:rPr>
              <w:rStyle w:val="45"/>
              <w:rFonts w:ascii="Times New Roman" w:hAnsi="Times New Roman" w:cs="Times New Roman"/>
              <w:bCs/>
            </w:rPr>
            <w:t>39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"_Toc194481146" </w:instrText>
          </w:r>
          <w:r>
            <w:fldChar w:fldCharType="separate"/>
          </w:r>
          <w:r>
            <w:rPr>
              <w:rStyle w:val="45"/>
              <w:rFonts w:ascii="Times New Roman" w:hAnsi="Times New Roman" w:cs="Times New Roman"/>
              <w:bCs/>
            </w:rPr>
            <w:t>3.1.2 建设内容</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_Toc194481146 \h </w:instrText>
          </w:r>
          <w:r>
            <w:rPr>
              <w:rStyle w:val="45"/>
              <w:rFonts w:ascii="Times New Roman" w:hAnsi="Times New Roman" w:cs="Times New Roman"/>
              <w:bCs/>
            </w:rPr>
            <w:fldChar w:fldCharType="separate"/>
          </w:r>
          <w:r>
            <w:rPr>
              <w:rStyle w:val="45"/>
              <w:rFonts w:ascii="Times New Roman" w:hAnsi="Times New Roman" w:cs="Times New Roman"/>
              <w:bCs/>
            </w:rPr>
            <w:t>39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"_Toc194481147" </w:instrText>
          </w:r>
          <w:r>
            <w:fldChar w:fldCharType="separate"/>
          </w:r>
          <w:r>
            <w:rPr>
              <w:rStyle w:val="45"/>
              <w:rFonts w:ascii="Times New Roman" w:hAnsi="Times New Roman" w:cs="Times New Roman"/>
              <w:bCs/>
            </w:rPr>
            <w:t>3.1.3 产品方案</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_Toc194481147 \h </w:instrText>
          </w:r>
          <w:r>
            <w:rPr>
              <w:rStyle w:val="45"/>
              <w:rFonts w:ascii="Times New Roman" w:hAnsi="Times New Roman" w:cs="Times New Roman"/>
              <w:bCs/>
            </w:rPr>
            <w:fldChar w:fldCharType="separate"/>
          </w:r>
          <w:r>
            <w:rPr>
              <w:rStyle w:val="45"/>
              <w:rFonts w:ascii="Times New Roman" w:hAnsi="Times New Roman" w:cs="Times New Roman"/>
              <w:bCs/>
            </w:rPr>
            <w:t>40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"_Toc194481148" </w:instrText>
          </w:r>
          <w:r>
            <w:fldChar w:fldCharType="separate"/>
          </w:r>
          <w:r>
            <w:rPr>
              <w:rStyle w:val="45"/>
              <w:rFonts w:ascii="Times New Roman" w:hAnsi="Times New Roman" w:cs="Times New Roman"/>
              <w:bCs/>
            </w:rPr>
            <w:t>3.1.4 主要原辅材料</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_Toc194481148 \h </w:instrText>
          </w:r>
          <w:r>
            <w:rPr>
              <w:rStyle w:val="45"/>
              <w:rFonts w:ascii="Times New Roman" w:hAnsi="Times New Roman" w:cs="Times New Roman"/>
              <w:bCs/>
            </w:rPr>
            <w:fldChar w:fldCharType="separate"/>
          </w:r>
          <w:r>
            <w:rPr>
              <w:rStyle w:val="45"/>
              <w:rFonts w:ascii="Times New Roman" w:hAnsi="Times New Roman" w:cs="Times New Roman"/>
              <w:bCs/>
            </w:rPr>
            <w:t>40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"_Toc194481149" </w:instrText>
          </w:r>
          <w:r>
            <w:fldChar w:fldCharType="separate"/>
          </w:r>
          <w:r>
            <w:rPr>
              <w:rStyle w:val="45"/>
              <w:rFonts w:ascii="Times New Roman" w:hAnsi="Times New Roman" w:cs="Times New Roman"/>
              <w:bCs/>
            </w:rPr>
            <w:t>3.1.5 主要生产设备</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_Toc194481149 \h </w:instrText>
          </w:r>
          <w:r>
            <w:rPr>
              <w:rStyle w:val="45"/>
              <w:rFonts w:ascii="Times New Roman" w:hAnsi="Times New Roman" w:cs="Times New Roman"/>
              <w:bCs/>
            </w:rPr>
            <w:fldChar w:fldCharType="separate"/>
          </w:r>
          <w:r>
            <w:rPr>
              <w:rStyle w:val="45"/>
              <w:rFonts w:ascii="Times New Roman" w:hAnsi="Times New Roman" w:cs="Times New Roman"/>
              <w:bCs/>
            </w:rPr>
            <w:t>43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"_Toc194481150" </w:instrText>
          </w:r>
          <w:r>
            <w:fldChar w:fldCharType="separate"/>
          </w:r>
          <w:r>
            <w:rPr>
              <w:rStyle w:val="45"/>
              <w:rFonts w:ascii="Times New Roman" w:hAnsi="Times New Roman" w:cs="Times New Roman"/>
              <w:bCs/>
            </w:rPr>
            <w:t>3.1.6 公用及辅助工程</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_Toc194481150 \h </w:instrText>
          </w:r>
          <w:r>
            <w:rPr>
              <w:rStyle w:val="45"/>
              <w:rFonts w:ascii="Times New Roman" w:hAnsi="Times New Roman" w:cs="Times New Roman"/>
              <w:bCs/>
            </w:rPr>
            <w:fldChar w:fldCharType="separate"/>
          </w:r>
          <w:r>
            <w:rPr>
              <w:rStyle w:val="45"/>
              <w:rFonts w:ascii="Times New Roman" w:hAnsi="Times New Roman" w:cs="Times New Roman"/>
              <w:bCs/>
            </w:rPr>
            <w:t>44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"_Toc194481151" </w:instrText>
          </w:r>
          <w:r>
            <w:fldChar w:fldCharType="separate"/>
          </w:r>
          <w:r>
            <w:rPr>
              <w:rStyle w:val="45"/>
              <w:rFonts w:ascii="Times New Roman" w:hAnsi="Times New Roman" w:cs="Times New Roman"/>
              <w:bCs/>
            </w:rPr>
            <w:t>3.1.7 储运工程</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_Toc194481151 \h </w:instrText>
          </w:r>
          <w:r>
            <w:rPr>
              <w:rStyle w:val="45"/>
              <w:rFonts w:ascii="Times New Roman" w:hAnsi="Times New Roman" w:cs="Times New Roman"/>
              <w:bCs/>
            </w:rPr>
            <w:fldChar w:fldCharType="separate"/>
          </w:r>
          <w:r>
            <w:rPr>
              <w:rStyle w:val="45"/>
              <w:rFonts w:ascii="Times New Roman" w:hAnsi="Times New Roman" w:cs="Times New Roman"/>
              <w:bCs/>
            </w:rPr>
            <w:t>45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"_Toc194481152" </w:instrText>
          </w:r>
          <w:r>
            <w:fldChar w:fldCharType="separate"/>
          </w:r>
          <w:r>
            <w:rPr>
              <w:rStyle w:val="45"/>
              <w:rFonts w:ascii="Times New Roman" w:hAnsi="Times New Roman" w:cs="Times New Roman"/>
              <w:bCs/>
            </w:rPr>
            <w:t>3.1.8 劳动定员及工作制度</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_Toc194481152 \h </w:instrText>
          </w:r>
          <w:r>
            <w:rPr>
              <w:rStyle w:val="45"/>
              <w:rFonts w:ascii="Times New Roman" w:hAnsi="Times New Roman" w:cs="Times New Roman"/>
              <w:bCs/>
            </w:rPr>
            <w:fldChar w:fldCharType="separate"/>
          </w:r>
          <w:r>
            <w:rPr>
              <w:rStyle w:val="45"/>
              <w:rFonts w:ascii="Times New Roman" w:hAnsi="Times New Roman" w:cs="Times New Roman"/>
              <w:bCs/>
            </w:rPr>
            <w:t>45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"_Toc194481153" </w:instrText>
          </w:r>
          <w:r>
            <w:fldChar w:fldCharType="separate"/>
          </w:r>
          <w:r>
            <w:rPr>
              <w:rStyle w:val="45"/>
              <w:rFonts w:ascii="Times New Roman" w:hAnsi="Times New Roman" w:cs="Times New Roman"/>
              <w:bCs/>
            </w:rPr>
            <w:t>3.1.9 项目总平面布置</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_Toc194481153 \h </w:instrText>
          </w:r>
          <w:r>
            <w:rPr>
              <w:rStyle w:val="45"/>
              <w:rFonts w:ascii="Times New Roman" w:hAnsi="Times New Roman" w:cs="Times New Roman"/>
              <w:bCs/>
            </w:rPr>
            <w:fldChar w:fldCharType="separate"/>
          </w:r>
          <w:r>
            <w:rPr>
              <w:rStyle w:val="45"/>
              <w:rFonts w:ascii="Times New Roman" w:hAnsi="Times New Roman" w:cs="Times New Roman"/>
              <w:bCs/>
            </w:rPr>
            <w:t>45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"_Toc194481154" </w:instrText>
          </w:r>
          <w:r>
            <w:fldChar w:fldCharType="separate"/>
          </w:r>
          <w:r>
            <w:rPr>
              <w:rStyle w:val="45"/>
              <w:rFonts w:ascii="Times New Roman" w:hAnsi="Times New Roman" w:cs="Times New Roman"/>
              <w:bCs/>
            </w:rPr>
            <w:t>3.2 工程分析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_Toc194481154 \h </w:instrText>
          </w:r>
          <w:r>
            <w:rPr>
              <w:rFonts w:ascii="Times New Roman" w:hAnsi="Times New Roman" w:cs="Times New Roman"/>
              <w:bCs/>
            </w:rPr>
            <w:fldChar w:fldCharType="separate"/>
          </w:r>
          <w:r>
            <w:rPr>
              <w:rFonts w:ascii="Times New Roman" w:hAnsi="Times New Roman" w:cs="Times New Roman"/>
              <w:bCs/>
            </w:rPr>
            <w:t>46</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"_Toc194481155" </w:instrText>
          </w:r>
          <w:r>
            <w:fldChar w:fldCharType="separate"/>
          </w:r>
          <w:r>
            <w:rPr>
              <w:rStyle w:val="45"/>
              <w:rFonts w:ascii="Times New Roman" w:hAnsi="Times New Roman" w:cs="Times New Roman"/>
              <w:bCs/>
            </w:rPr>
            <w:t>3.2.1 施工期工艺流程及产污环节</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_Toc194481155 \h </w:instrText>
          </w:r>
          <w:r>
            <w:rPr>
              <w:rStyle w:val="45"/>
              <w:rFonts w:ascii="Times New Roman" w:hAnsi="Times New Roman" w:cs="Times New Roman"/>
              <w:bCs/>
            </w:rPr>
            <w:fldChar w:fldCharType="separate"/>
          </w:r>
          <w:r>
            <w:rPr>
              <w:rStyle w:val="45"/>
              <w:rFonts w:ascii="Times New Roman" w:hAnsi="Times New Roman" w:cs="Times New Roman"/>
              <w:bCs/>
            </w:rPr>
            <w:t>46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"_Toc194481156" </w:instrText>
          </w:r>
          <w:r>
            <w:fldChar w:fldCharType="separate"/>
          </w:r>
          <w:r>
            <w:rPr>
              <w:rStyle w:val="45"/>
              <w:rFonts w:ascii="Times New Roman" w:hAnsi="Times New Roman" w:cs="Times New Roman"/>
              <w:bCs/>
            </w:rPr>
            <w:t>3.2.2 营运期工艺流程及产污环节</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_Toc194481156 \h </w:instrText>
          </w:r>
          <w:r>
            <w:rPr>
              <w:rStyle w:val="45"/>
              <w:rFonts w:ascii="Times New Roman" w:hAnsi="Times New Roman" w:cs="Times New Roman"/>
              <w:bCs/>
            </w:rPr>
            <w:fldChar w:fldCharType="separate"/>
          </w:r>
          <w:r>
            <w:rPr>
              <w:rStyle w:val="45"/>
              <w:rFonts w:ascii="Times New Roman" w:hAnsi="Times New Roman" w:cs="Times New Roman"/>
              <w:bCs/>
            </w:rPr>
            <w:t>47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"_Toc194481157" </w:instrText>
          </w:r>
          <w:r>
            <w:fldChar w:fldCharType="separate"/>
          </w:r>
          <w:r>
            <w:rPr>
              <w:rStyle w:val="45"/>
              <w:rFonts w:ascii="Times New Roman" w:hAnsi="Times New Roman" w:cs="Times New Roman"/>
              <w:bCs/>
            </w:rPr>
            <w:t>3.3 污染源分析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_Toc194481157 \h </w:instrText>
          </w:r>
          <w:r>
            <w:rPr>
              <w:rFonts w:ascii="Times New Roman" w:hAnsi="Times New Roman" w:cs="Times New Roman"/>
              <w:bCs/>
            </w:rPr>
            <w:fldChar w:fldCharType="separate"/>
          </w:r>
          <w:r>
            <w:rPr>
              <w:rFonts w:ascii="Times New Roman" w:hAnsi="Times New Roman" w:cs="Times New Roman"/>
              <w:bCs/>
            </w:rPr>
            <w:t>55</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"_Toc194481158" </w:instrText>
          </w:r>
          <w:r>
            <w:fldChar w:fldCharType="separate"/>
          </w:r>
          <w:r>
            <w:rPr>
              <w:rStyle w:val="45"/>
              <w:rFonts w:ascii="Times New Roman" w:hAnsi="Times New Roman" w:cs="Times New Roman"/>
              <w:bCs/>
            </w:rPr>
            <w:t>3.3.1 施工期污染源分析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_Toc194481158 \h </w:instrText>
          </w:r>
          <w:r>
            <w:rPr>
              <w:rStyle w:val="45"/>
              <w:rFonts w:ascii="Times New Roman" w:hAnsi="Times New Roman" w:cs="Times New Roman"/>
              <w:bCs/>
            </w:rPr>
            <w:fldChar w:fldCharType="separate"/>
          </w:r>
          <w:r>
            <w:rPr>
              <w:rStyle w:val="45"/>
              <w:rFonts w:ascii="Times New Roman" w:hAnsi="Times New Roman" w:cs="Times New Roman"/>
              <w:bCs/>
            </w:rPr>
            <w:t>55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"_Toc194481159" </w:instrText>
          </w:r>
          <w:r>
            <w:fldChar w:fldCharType="separate"/>
          </w:r>
          <w:r>
            <w:rPr>
              <w:rStyle w:val="45"/>
              <w:rFonts w:ascii="Times New Roman" w:hAnsi="Times New Roman" w:cs="Times New Roman"/>
              <w:bCs/>
            </w:rPr>
            <w:t>3.3.2 营运期污染源分析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_Toc194481159 \h </w:instrText>
          </w:r>
          <w:r>
            <w:rPr>
              <w:rStyle w:val="45"/>
              <w:rFonts w:ascii="Times New Roman" w:hAnsi="Times New Roman" w:cs="Times New Roman"/>
              <w:bCs/>
            </w:rPr>
            <w:fldChar w:fldCharType="separate"/>
          </w:r>
          <w:r>
            <w:rPr>
              <w:rStyle w:val="45"/>
              <w:rFonts w:ascii="Times New Roman" w:hAnsi="Times New Roman" w:cs="Times New Roman"/>
              <w:bCs/>
            </w:rPr>
            <w:t>60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"_Toc194481160" </w:instrText>
          </w:r>
          <w:r>
            <w:fldChar w:fldCharType="separate"/>
          </w:r>
          <w:r>
            <w:rPr>
              <w:rStyle w:val="45"/>
              <w:rFonts w:ascii="Times New Roman" w:hAnsi="Times New Roman" w:cs="Times New Roman"/>
              <w:b w:val="0"/>
              <w:bCs/>
            </w:rPr>
            <w:t>第4章 环境现状调查与评价</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_Toc194481160 \h </w:instrText>
          </w:r>
          <w:r>
            <w:rPr>
              <w:rFonts w:ascii="Times New Roman" w:hAnsi="Times New Roman" w:cs="Times New Roman"/>
              <w:b w:val="0"/>
              <w:bCs/>
            </w:rPr>
            <w:fldChar w:fldCharType="separate"/>
          </w:r>
          <w:r>
            <w:rPr>
              <w:rFonts w:ascii="Times New Roman" w:hAnsi="Times New Roman" w:cs="Times New Roman"/>
              <w:b w:val="0"/>
              <w:bCs/>
            </w:rPr>
            <w:t>75</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"_Toc194481161" </w:instrText>
          </w:r>
          <w:r>
            <w:fldChar w:fldCharType="separate"/>
          </w:r>
          <w:r>
            <w:rPr>
              <w:rStyle w:val="45"/>
              <w:rFonts w:ascii="Times New Roman" w:hAnsi="Times New Roman" w:cs="Times New Roman"/>
              <w:bCs/>
            </w:rPr>
            <w:t>4.1 自然环境概况</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_Toc194481161 \h </w:instrText>
          </w:r>
          <w:r>
            <w:rPr>
              <w:rFonts w:ascii="Times New Roman" w:hAnsi="Times New Roman" w:cs="Times New Roman"/>
              <w:bCs/>
            </w:rPr>
            <w:fldChar w:fldCharType="separate"/>
          </w:r>
          <w:r>
            <w:rPr>
              <w:rFonts w:ascii="Times New Roman" w:hAnsi="Times New Roman" w:cs="Times New Roman"/>
              <w:bCs/>
            </w:rPr>
            <w:t>75</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"_Toc194481162" </w:instrText>
          </w:r>
          <w:r>
            <w:fldChar w:fldCharType="separate"/>
          </w:r>
          <w:r>
            <w:rPr>
              <w:rStyle w:val="45"/>
              <w:rFonts w:ascii="Times New Roman" w:hAnsi="Times New Roman" w:cs="Times New Roman"/>
              <w:bCs/>
            </w:rPr>
            <w:t>4.1.1 地理位置</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_Toc194481162 \h </w:instrText>
          </w:r>
          <w:r>
            <w:rPr>
              <w:rStyle w:val="45"/>
              <w:rFonts w:ascii="Times New Roman" w:hAnsi="Times New Roman" w:cs="Times New Roman"/>
              <w:bCs/>
            </w:rPr>
            <w:fldChar w:fldCharType="separate"/>
          </w:r>
          <w:r>
            <w:rPr>
              <w:rStyle w:val="45"/>
              <w:rFonts w:ascii="Times New Roman" w:hAnsi="Times New Roman" w:cs="Times New Roman"/>
              <w:bCs/>
            </w:rPr>
            <w:t>75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"_Toc194481163" </w:instrText>
          </w:r>
          <w:r>
            <w:fldChar w:fldCharType="separate"/>
          </w:r>
          <w:r>
            <w:rPr>
              <w:rStyle w:val="45"/>
              <w:rFonts w:ascii="Times New Roman" w:hAnsi="Times New Roman" w:cs="Times New Roman"/>
              <w:bCs/>
            </w:rPr>
            <w:t>4.1.2 地形地貌</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_Toc194481163 \h </w:instrText>
          </w:r>
          <w:r>
            <w:rPr>
              <w:rStyle w:val="45"/>
              <w:rFonts w:ascii="Times New Roman" w:hAnsi="Times New Roman" w:cs="Times New Roman"/>
              <w:bCs/>
            </w:rPr>
            <w:fldChar w:fldCharType="separate"/>
          </w:r>
          <w:r>
            <w:rPr>
              <w:rStyle w:val="45"/>
              <w:rFonts w:ascii="Times New Roman" w:hAnsi="Times New Roman" w:cs="Times New Roman"/>
              <w:bCs/>
            </w:rPr>
            <w:t>75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"_Toc194481164" </w:instrText>
          </w:r>
          <w:r>
            <w:fldChar w:fldCharType="separate"/>
          </w:r>
          <w:r>
            <w:rPr>
              <w:rStyle w:val="45"/>
              <w:rFonts w:ascii="Times New Roman" w:hAnsi="Times New Roman" w:cs="Times New Roman"/>
              <w:bCs/>
            </w:rPr>
            <w:t>4.1.3 气候气象</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_Toc194481164 \h </w:instrText>
          </w:r>
          <w:r>
            <w:rPr>
              <w:rStyle w:val="45"/>
              <w:rFonts w:ascii="Times New Roman" w:hAnsi="Times New Roman" w:cs="Times New Roman"/>
              <w:bCs/>
            </w:rPr>
            <w:fldChar w:fldCharType="separate"/>
          </w:r>
          <w:r>
            <w:rPr>
              <w:rStyle w:val="45"/>
              <w:rFonts w:ascii="Times New Roman" w:hAnsi="Times New Roman" w:cs="Times New Roman"/>
              <w:bCs/>
            </w:rPr>
            <w:t>76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"_Toc194481165" </w:instrText>
          </w:r>
          <w:r>
            <w:fldChar w:fldCharType="separate"/>
          </w:r>
          <w:r>
            <w:rPr>
              <w:rStyle w:val="45"/>
              <w:rFonts w:ascii="Times New Roman" w:hAnsi="Times New Roman" w:cs="Times New Roman"/>
              <w:bCs/>
            </w:rPr>
            <w:t>4.1.4 水文水系</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_Toc194481165 \h </w:instrText>
          </w:r>
          <w:r>
            <w:rPr>
              <w:rStyle w:val="45"/>
              <w:rFonts w:ascii="Times New Roman" w:hAnsi="Times New Roman" w:cs="Times New Roman"/>
              <w:bCs/>
            </w:rPr>
            <w:fldChar w:fldCharType="separate"/>
          </w:r>
          <w:r>
            <w:rPr>
              <w:rStyle w:val="45"/>
              <w:rFonts w:ascii="Times New Roman" w:hAnsi="Times New Roman" w:cs="Times New Roman"/>
              <w:bCs/>
            </w:rPr>
            <w:t>77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"_Toc194481166" </w:instrText>
          </w:r>
          <w:r>
            <w:fldChar w:fldCharType="separate"/>
          </w:r>
          <w:r>
            <w:rPr>
              <w:rStyle w:val="45"/>
              <w:rFonts w:ascii="Times New Roman" w:hAnsi="Times New Roman" w:cs="Times New Roman"/>
              <w:bCs/>
            </w:rPr>
            <w:t>4.1.5 生态环境</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_Toc194481166 \h </w:instrText>
          </w:r>
          <w:r>
            <w:rPr>
              <w:rStyle w:val="45"/>
              <w:rFonts w:ascii="Times New Roman" w:hAnsi="Times New Roman" w:cs="Times New Roman"/>
              <w:bCs/>
            </w:rPr>
            <w:fldChar w:fldCharType="separate"/>
          </w:r>
          <w:r>
            <w:rPr>
              <w:rStyle w:val="45"/>
              <w:rFonts w:ascii="Times New Roman" w:hAnsi="Times New Roman" w:cs="Times New Roman"/>
              <w:bCs/>
            </w:rPr>
            <w:t>77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"_Toc194481167" </w:instrText>
          </w:r>
          <w:r>
            <w:fldChar w:fldCharType="separate"/>
          </w:r>
          <w:r>
            <w:rPr>
              <w:rStyle w:val="45"/>
              <w:rFonts w:ascii="Times New Roman" w:hAnsi="Times New Roman" w:cs="Times New Roman"/>
              <w:bCs/>
            </w:rPr>
            <w:t>4.2 环境质量现状与评价</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_Toc194481167 \h </w:instrText>
          </w:r>
          <w:r>
            <w:rPr>
              <w:rFonts w:ascii="Times New Roman" w:hAnsi="Times New Roman" w:cs="Times New Roman"/>
              <w:bCs/>
            </w:rPr>
            <w:fldChar w:fldCharType="separate"/>
          </w:r>
          <w:r>
            <w:rPr>
              <w:rFonts w:ascii="Times New Roman" w:hAnsi="Times New Roman" w:cs="Times New Roman"/>
              <w:bCs/>
            </w:rPr>
            <w:t>78</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"_Toc194481168" </w:instrText>
          </w:r>
          <w:r>
            <w:fldChar w:fldCharType="separate"/>
          </w:r>
          <w:r>
            <w:rPr>
              <w:rStyle w:val="45"/>
              <w:rFonts w:ascii="Times New Roman" w:hAnsi="Times New Roman" w:cs="Times New Roman"/>
              <w:bCs/>
            </w:rPr>
            <w:t>4.2.1 大气环境质量现状调查与评价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_Toc194481168 \h </w:instrText>
          </w:r>
          <w:r>
            <w:rPr>
              <w:rStyle w:val="45"/>
              <w:rFonts w:ascii="Times New Roman" w:hAnsi="Times New Roman" w:cs="Times New Roman"/>
              <w:bCs/>
            </w:rPr>
            <w:fldChar w:fldCharType="separate"/>
          </w:r>
          <w:r>
            <w:rPr>
              <w:rStyle w:val="45"/>
              <w:rFonts w:ascii="Times New Roman" w:hAnsi="Times New Roman" w:cs="Times New Roman"/>
              <w:bCs/>
            </w:rPr>
            <w:t>78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"_Toc194481169" </w:instrText>
          </w:r>
          <w:r>
            <w:fldChar w:fldCharType="separate"/>
          </w:r>
          <w:r>
            <w:rPr>
              <w:rStyle w:val="45"/>
              <w:rFonts w:ascii="Times New Roman" w:hAnsi="Times New Roman" w:cs="Times New Roman"/>
              <w:bCs/>
            </w:rPr>
            <w:t>4.2.2 地表水环境质量现状调查与评价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_Toc194481169 \h </w:instrText>
          </w:r>
          <w:r>
            <w:rPr>
              <w:rStyle w:val="45"/>
              <w:rFonts w:ascii="Times New Roman" w:hAnsi="Times New Roman" w:cs="Times New Roman"/>
              <w:bCs/>
            </w:rPr>
            <w:fldChar w:fldCharType="separate"/>
          </w:r>
          <w:r>
            <w:rPr>
              <w:rStyle w:val="45"/>
              <w:rFonts w:ascii="Times New Roman" w:hAnsi="Times New Roman" w:cs="Times New Roman"/>
              <w:bCs/>
            </w:rPr>
            <w:t>81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"_Toc194481170" </w:instrText>
          </w:r>
          <w:r>
            <w:fldChar w:fldCharType="separate"/>
          </w:r>
          <w:r>
            <w:rPr>
              <w:rStyle w:val="45"/>
              <w:rFonts w:ascii="Times New Roman" w:hAnsi="Times New Roman" w:cs="Times New Roman"/>
              <w:bCs/>
            </w:rPr>
            <w:t>4.2.3 地下水环境质量现状调查与评价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_Toc194481170 \h </w:instrText>
          </w:r>
          <w:r>
            <w:rPr>
              <w:rStyle w:val="45"/>
              <w:rFonts w:ascii="Times New Roman" w:hAnsi="Times New Roman" w:cs="Times New Roman"/>
              <w:bCs/>
            </w:rPr>
            <w:fldChar w:fldCharType="separate"/>
          </w:r>
          <w:r>
            <w:rPr>
              <w:rStyle w:val="45"/>
              <w:rFonts w:ascii="Times New Roman" w:hAnsi="Times New Roman" w:cs="Times New Roman"/>
              <w:bCs/>
            </w:rPr>
            <w:t>82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"_Toc194481171" </w:instrText>
          </w:r>
          <w:r>
            <w:fldChar w:fldCharType="separate"/>
          </w:r>
          <w:r>
            <w:rPr>
              <w:rStyle w:val="45"/>
              <w:rFonts w:ascii="Times New Roman" w:hAnsi="Times New Roman" w:cs="Times New Roman"/>
              <w:bCs/>
            </w:rPr>
            <w:t>4.2.4 土壤环境质量现状调查与评价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_Toc194481171 \h </w:instrText>
          </w:r>
          <w:r>
            <w:rPr>
              <w:rStyle w:val="45"/>
              <w:rFonts w:ascii="Times New Roman" w:hAnsi="Times New Roman" w:cs="Times New Roman"/>
              <w:bCs/>
            </w:rPr>
            <w:fldChar w:fldCharType="separate"/>
          </w:r>
          <w:r>
            <w:rPr>
              <w:rStyle w:val="45"/>
              <w:rFonts w:ascii="Times New Roman" w:hAnsi="Times New Roman" w:cs="Times New Roman"/>
              <w:bCs/>
            </w:rPr>
            <w:t>84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"_Toc194481172" </w:instrText>
          </w:r>
          <w:r>
            <w:fldChar w:fldCharType="separate"/>
          </w:r>
          <w:r>
            <w:rPr>
              <w:rStyle w:val="45"/>
              <w:rFonts w:ascii="Times New Roman" w:hAnsi="Times New Roman" w:cs="Times New Roman"/>
              <w:bCs/>
            </w:rPr>
            <w:t>4.2.5 声环境质量现状调查与评价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_Toc194481172 \h </w:instrText>
          </w:r>
          <w:r>
            <w:rPr>
              <w:rStyle w:val="45"/>
              <w:rFonts w:ascii="Times New Roman" w:hAnsi="Times New Roman" w:cs="Times New Roman"/>
              <w:bCs/>
            </w:rPr>
            <w:fldChar w:fldCharType="separate"/>
          </w:r>
          <w:r>
            <w:rPr>
              <w:rStyle w:val="45"/>
              <w:rFonts w:ascii="Times New Roman" w:hAnsi="Times New Roman" w:cs="Times New Roman"/>
              <w:bCs/>
            </w:rPr>
            <w:t>84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"_Toc194481173" </w:instrText>
          </w:r>
          <w:r>
            <w:fldChar w:fldCharType="separate"/>
          </w:r>
          <w:r>
            <w:rPr>
              <w:rStyle w:val="45"/>
              <w:rFonts w:ascii="Times New Roman" w:hAnsi="Times New Roman" w:cs="Times New Roman"/>
              <w:bCs/>
            </w:rPr>
            <w:t>4.2.6 生态环境现状调查与评价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_Toc194481173 \h </w:instrText>
          </w:r>
          <w:r>
            <w:rPr>
              <w:rStyle w:val="45"/>
              <w:rFonts w:ascii="Times New Roman" w:hAnsi="Times New Roman" w:cs="Times New Roman"/>
              <w:bCs/>
            </w:rPr>
            <w:fldChar w:fldCharType="separate"/>
          </w:r>
          <w:r>
            <w:rPr>
              <w:rStyle w:val="45"/>
              <w:rFonts w:ascii="Times New Roman" w:hAnsi="Times New Roman" w:cs="Times New Roman"/>
              <w:bCs/>
            </w:rPr>
            <w:t>85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"_Toc194481174" </w:instrText>
          </w:r>
          <w:r>
            <w:fldChar w:fldCharType="separate"/>
          </w:r>
          <w:r>
            <w:rPr>
              <w:rStyle w:val="45"/>
              <w:rFonts w:ascii="Times New Roman" w:hAnsi="Times New Roman" w:cs="Times New Roman"/>
              <w:bCs/>
            </w:rPr>
            <w:t>4.2.7 区域污染源调查</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_Toc194481174 \h </w:instrText>
          </w:r>
          <w:r>
            <w:rPr>
              <w:rStyle w:val="45"/>
              <w:rFonts w:ascii="Times New Roman" w:hAnsi="Times New Roman" w:cs="Times New Roman"/>
              <w:bCs/>
            </w:rPr>
            <w:fldChar w:fldCharType="separate"/>
          </w:r>
          <w:r>
            <w:rPr>
              <w:rStyle w:val="45"/>
              <w:rFonts w:ascii="Times New Roman" w:hAnsi="Times New Roman" w:cs="Times New Roman"/>
              <w:bCs/>
            </w:rPr>
            <w:t>85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"_Toc194481175" </w:instrText>
          </w:r>
          <w:r>
            <w:fldChar w:fldCharType="separate"/>
          </w:r>
          <w:r>
            <w:rPr>
              <w:rStyle w:val="45"/>
              <w:rFonts w:ascii="Times New Roman" w:hAnsi="Times New Roman" w:cs="Times New Roman"/>
              <w:b w:val="0"/>
              <w:bCs/>
            </w:rPr>
            <w:t>第5章 环境影响预测与评价</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_Toc194481175 \h </w:instrText>
          </w:r>
          <w:r>
            <w:rPr>
              <w:rFonts w:ascii="Times New Roman" w:hAnsi="Times New Roman" w:cs="Times New Roman"/>
              <w:b w:val="0"/>
              <w:bCs/>
            </w:rPr>
            <w:fldChar w:fldCharType="separate"/>
          </w:r>
          <w:r>
            <w:rPr>
              <w:rFonts w:ascii="Times New Roman" w:hAnsi="Times New Roman" w:cs="Times New Roman"/>
              <w:b w:val="0"/>
              <w:bCs/>
            </w:rPr>
            <w:t>86</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"_Toc194481176" </w:instrText>
          </w:r>
          <w:r>
            <w:fldChar w:fldCharType="separate"/>
          </w:r>
          <w:r>
            <w:rPr>
              <w:rStyle w:val="45"/>
              <w:rFonts w:ascii="Times New Roman" w:hAnsi="Times New Roman" w:cs="Times New Roman"/>
              <w:bCs/>
            </w:rPr>
            <w:t>5.1 施工期环境影响分析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_Toc194481176 \h </w:instrText>
          </w:r>
          <w:r>
            <w:rPr>
              <w:rFonts w:ascii="Times New Roman" w:hAnsi="Times New Roman" w:cs="Times New Roman"/>
              <w:bCs/>
            </w:rPr>
            <w:fldChar w:fldCharType="separate"/>
          </w:r>
          <w:r>
            <w:rPr>
              <w:rFonts w:ascii="Times New Roman" w:hAnsi="Times New Roman" w:cs="Times New Roman"/>
              <w:bCs/>
            </w:rPr>
            <w:t>86</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"_Toc194481177" </w:instrText>
          </w:r>
          <w:r>
            <w:fldChar w:fldCharType="separate"/>
          </w:r>
          <w:r>
            <w:rPr>
              <w:rStyle w:val="45"/>
              <w:rFonts w:ascii="Times New Roman" w:hAnsi="Times New Roman" w:cs="Times New Roman"/>
              <w:bCs/>
            </w:rPr>
            <w:t>5.1.1 施工期大气环境影响分析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_Toc194481177 \h </w:instrText>
          </w:r>
          <w:r>
            <w:rPr>
              <w:rStyle w:val="45"/>
              <w:rFonts w:ascii="Times New Roman" w:hAnsi="Times New Roman" w:cs="Times New Roman"/>
              <w:bCs/>
            </w:rPr>
            <w:fldChar w:fldCharType="separate"/>
          </w:r>
          <w:r>
            <w:rPr>
              <w:rStyle w:val="45"/>
              <w:rFonts w:ascii="Times New Roman" w:hAnsi="Times New Roman" w:cs="Times New Roman"/>
              <w:bCs/>
            </w:rPr>
            <w:t>86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"_Toc194481178" </w:instrText>
          </w:r>
          <w:r>
            <w:fldChar w:fldCharType="separate"/>
          </w:r>
          <w:r>
            <w:rPr>
              <w:rStyle w:val="45"/>
              <w:rFonts w:ascii="Times New Roman" w:hAnsi="Times New Roman" w:cs="Times New Roman"/>
              <w:bCs/>
            </w:rPr>
            <w:t>5.1.2 施工期水环境影响分析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_Toc194481178 \h </w:instrText>
          </w:r>
          <w:r>
            <w:rPr>
              <w:rStyle w:val="45"/>
              <w:rFonts w:ascii="Times New Roman" w:hAnsi="Times New Roman" w:cs="Times New Roman"/>
              <w:bCs/>
            </w:rPr>
            <w:fldChar w:fldCharType="separate"/>
          </w:r>
          <w:r>
            <w:rPr>
              <w:rStyle w:val="45"/>
              <w:rFonts w:ascii="Times New Roman" w:hAnsi="Times New Roman" w:cs="Times New Roman"/>
              <w:bCs/>
            </w:rPr>
            <w:t>87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"_Toc194481179" </w:instrText>
          </w:r>
          <w:r>
            <w:fldChar w:fldCharType="separate"/>
          </w:r>
          <w:r>
            <w:rPr>
              <w:rStyle w:val="45"/>
              <w:rFonts w:ascii="Times New Roman" w:hAnsi="Times New Roman" w:cs="Times New Roman"/>
              <w:bCs/>
            </w:rPr>
            <w:t>5.1.3 施工期声环境影响分析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_Toc194481179 \h </w:instrText>
          </w:r>
          <w:r>
            <w:rPr>
              <w:rStyle w:val="45"/>
              <w:rFonts w:ascii="Times New Roman" w:hAnsi="Times New Roman" w:cs="Times New Roman"/>
              <w:bCs/>
            </w:rPr>
            <w:fldChar w:fldCharType="separate"/>
          </w:r>
          <w:r>
            <w:rPr>
              <w:rStyle w:val="45"/>
              <w:rFonts w:ascii="Times New Roman" w:hAnsi="Times New Roman" w:cs="Times New Roman"/>
              <w:bCs/>
            </w:rPr>
            <w:t>88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"_Toc194481180" </w:instrText>
          </w:r>
          <w:r>
            <w:fldChar w:fldCharType="separate"/>
          </w:r>
          <w:r>
            <w:rPr>
              <w:rStyle w:val="45"/>
              <w:rFonts w:ascii="Times New Roman" w:hAnsi="Times New Roman" w:cs="Times New Roman"/>
              <w:bCs/>
            </w:rPr>
            <w:t>5.1.4 施工期固废影响分析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_Toc194481180 \h </w:instrText>
          </w:r>
          <w:r>
            <w:rPr>
              <w:rStyle w:val="45"/>
              <w:rFonts w:ascii="Times New Roman" w:hAnsi="Times New Roman" w:cs="Times New Roman"/>
              <w:bCs/>
            </w:rPr>
            <w:fldChar w:fldCharType="separate"/>
          </w:r>
          <w:r>
            <w:rPr>
              <w:rStyle w:val="45"/>
              <w:rFonts w:ascii="Times New Roman" w:hAnsi="Times New Roman" w:cs="Times New Roman"/>
              <w:bCs/>
            </w:rPr>
            <w:t>89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"_Toc194481181" </w:instrText>
          </w:r>
          <w:r>
            <w:fldChar w:fldCharType="separate"/>
          </w:r>
          <w:r>
            <w:rPr>
              <w:rStyle w:val="45"/>
              <w:rFonts w:ascii="Times New Roman" w:hAnsi="Times New Roman" w:cs="Times New Roman"/>
              <w:bCs/>
            </w:rPr>
            <w:t>5.1.5 施工期生态影响分析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_Toc194481181 \h </w:instrText>
          </w:r>
          <w:r>
            <w:rPr>
              <w:rStyle w:val="45"/>
              <w:rFonts w:ascii="Times New Roman" w:hAnsi="Times New Roman" w:cs="Times New Roman"/>
              <w:bCs/>
            </w:rPr>
            <w:fldChar w:fldCharType="separate"/>
          </w:r>
          <w:r>
            <w:rPr>
              <w:rStyle w:val="45"/>
              <w:rFonts w:ascii="Times New Roman" w:hAnsi="Times New Roman" w:cs="Times New Roman"/>
              <w:bCs/>
            </w:rPr>
            <w:t>89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"_Toc194481182" </w:instrText>
          </w:r>
          <w:r>
            <w:fldChar w:fldCharType="separate"/>
          </w:r>
          <w:r>
            <w:rPr>
              <w:rStyle w:val="45"/>
              <w:rFonts w:ascii="Times New Roman" w:hAnsi="Times New Roman" w:cs="Times New Roman"/>
              <w:bCs/>
            </w:rPr>
            <w:t>5.2 营运期大气环境影响分析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_Toc194481182 \h </w:instrText>
          </w:r>
          <w:r>
            <w:rPr>
              <w:rFonts w:ascii="Times New Roman" w:hAnsi="Times New Roman" w:cs="Times New Roman"/>
              <w:bCs/>
            </w:rPr>
            <w:fldChar w:fldCharType="separate"/>
          </w:r>
          <w:r>
            <w:rPr>
              <w:rFonts w:ascii="Times New Roman" w:hAnsi="Times New Roman" w:cs="Times New Roman"/>
              <w:bCs/>
            </w:rPr>
            <w:t>91</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"_Toc194481183" </w:instrText>
          </w:r>
          <w:r>
            <w:fldChar w:fldCharType="separate"/>
          </w:r>
          <w:r>
            <w:rPr>
              <w:rStyle w:val="45"/>
              <w:rFonts w:ascii="Times New Roman" w:hAnsi="Times New Roman" w:cs="Times New Roman"/>
              <w:bCs/>
            </w:rPr>
            <w:t>5.2.1 大气评价等级的确定</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_Toc194481183 \h </w:instrText>
          </w:r>
          <w:r>
            <w:rPr>
              <w:rStyle w:val="45"/>
              <w:rFonts w:ascii="Times New Roman" w:hAnsi="Times New Roman" w:cs="Times New Roman"/>
              <w:bCs/>
            </w:rPr>
            <w:fldChar w:fldCharType="separate"/>
          </w:r>
          <w:r>
            <w:rPr>
              <w:rStyle w:val="45"/>
              <w:rFonts w:ascii="Times New Roman" w:hAnsi="Times New Roman" w:cs="Times New Roman"/>
              <w:bCs/>
            </w:rPr>
            <w:t>91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"_Toc194481184" </w:instrText>
          </w:r>
          <w:r>
            <w:fldChar w:fldCharType="separate"/>
          </w:r>
          <w:r>
            <w:rPr>
              <w:rStyle w:val="45"/>
              <w:rFonts w:ascii="Times New Roman" w:hAnsi="Times New Roman" w:cs="Times New Roman"/>
              <w:bCs/>
            </w:rPr>
            <w:t>5.2.2 污染物排放量核算</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_Toc194481184 \h </w:instrText>
          </w:r>
          <w:r>
            <w:rPr>
              <w:rStyle w:val="45"/>
              <w:rFonts w:ascii="Times New Roman" w:hAnsi="Times New Roman" w:cs="Times New Roman"/>
              <w:bCs/>
            </w:rPr>
            <w:fldChar w:fldCharType="separate"/>
          </w:r>
          <w:r>
            <w:rPr>
              <w:rStyle w:val="45"/>
              <w:rFonts w:ascii="Times New Roman" w:hAnsi="Times New Roman" w:cs="Times New Roman"/>
              <w:bCs/>
            </w:rPr>
            <w:t>94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"_Toc194481185" </w:instrText>
          </w:r>
          <w:r>
            <w:fldChar w:fldCharType="separate"/>
          </w:r>
          <w:r>
            <w:rPr>
              <w:rStyle w:val="45"/>
              <w:rFonts w:ascii="Times New Roman" w:hAnsi="Times New Roman" w:cs="Times New Roman"/>
              <w:bCs/>
            </w:rPr>
            <w:t>5.2.3 相关防护距离</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_Toc194481185 \h </w:instrText>
          </w:r>
          <w:r>
            <w:rPr>
              <w:rStyle w:val="45"/>
              <w:rFonts w:ascii="Times New Roman" w:hAnsi="Times New Roman" w:cs="Times New Roman"/>
              <w:bCs/>
            </w:rPr>
            <w:fldChar w:fldCharType="separate"/>
          </w:r>
          <w:r>
            <w:rPr>
              <w:rStyle w:val="45"/>
              <w:rFonts w:ascii="Times New Roman" w:hAnsi="Times New Roman" w:cs="Times New Roman"/>
              <w:bCs/>
            </w:rPr>
            <w:t>95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"_Toc194481186" </w:instrText>
          </w:r>
          <w:r>
            <w:fldChar w:fldCharType="separate"/>
          </w:r>
          <w:r>
            <w:rPr>
              <w:rStyle w:val="45"/>
              <w:rFonts w:ascii="Times New Roman" w:hAnsi="Times New Roman" w:cs="Times New Roman"/>
              <w:bCs/>
            </w:rPr>
            <w:t>5.2.4 大气环境影响评价结论</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_Toc194481186 \h </w:instrText>
          </w:r>
          <w:r>
            <w:rPr>
              <w:rStyle w:val="45"/>
              <w:rFonts w:ascii="Times New Roman" w:hAnsi="Times New Roman" w:cs="Times New Roman"/>
              <w:bCs/>
            </w:rPr>
            <w:fldChar w:fldCharType="separate"/>
          </w:r>
          <w:r>
            <w:rPr>
              <w:rStyle w:val="45"/>
              <w:rFonts w:ascii="Times New Roman" w:hAnsi="Times New Roman" w:cs="Times New Roman"/>
              <w:bCs/>
            </w:rPr>
            <w:t>96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"_Toc194481187" </w:instrText>
          </w:r>
          <w:r>
            <w:fldChar w:fldCharType="separate"/>
          </w:r>
          <w:r>
            <w:rPr>
              <w:rStyle w:val="45"/>
              <w:rFonts w:ascii="Times New Roman" w:hAnsi="Times New Roman" w:cs="Times New Roman"/>
              <w:bCs/>
            </w:rPr>
            <w:t>5.3 地表水环境影响分析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_Toc194481187 \h </w:instrText>
          </w:r>
          <w:r>
            <w:rPr>
              <w:rFonts w:ascii="Times New Roman" w:hAnsi="Times New Roman" w:cs="Times New Roman"/>
              <w:bCs/>
            </w:rPr>
            <w:fldChar w:fldCharType="separate"/>
          </w:r>
          <w:r>
            <w:rPr>
              <w:rFonts w:ascii="Times New Roman" w:hAnsi="Times New Roman" w:cs="Times New Roman"/>
              <w:bCs/>
            </w:rPr>
            <w:t>97</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"_Toc194481188" </w:instrText>
          </w:r>
          <w:r>
            <w:fldChar w:fldCharType="separate"/>
          </w:r>
          <w:r>
            <w:rPr>
              <w:rStyle w:val="45"/>
              <w:rFonts w:ascii="Times New Roman" w:hAnsi="Times New Roman" w:cs="Times New Roman"/>
              <w:bCs/>
            </w:rPr>
            <w:t>5.3.1 评价等级的确定</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_Toc194481188 \h </w:instrText>
          </w:r>
          <w:r>
            <w:rPr>
              <w:rStyle w:val="45"/>
              <w:rFonts w:ascii="Times New Roman" w:hAnsi="Times New Roman" w:cs="Times New Roman"/>
              <w:bCs/>
            </w:rPr>
            <w:fldChar w:fldCharType="separate"/>
          </w:r>
          <w:r>
            <w:rPr>
              <w:rStyle w:val="45"/>
              <w:rFonts w:ascii="Times New Roman" w:hAnsi="Times New Roman" w:cs="Times New Roman"/>
              <w:bCs/>
            </w:rPr>
            <w:t>97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"_Toc194481189" </w:instrText>
          </w:r>
          <w:r>
            <w:fldChar w:fldCharType="separate"/>
          </w:r>
          <w:r>
            <w:rPr>
              <w:rStyle w:val="45"/>
              <w:rFonts w:ascii="Times New Roman" w:hAnsi="Times New Roman" w:cs="Times New Roman"/>
              <w:bCs/>
            </w:rPr>
            <w:t>5.3.2 水污染控制和水环境影响减缓措施有效性评价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_Toc194481189 \h </w:instrText>
          </w:r>
          <w:r>
            <w:rPr>
              <w:rStyle w:val="45"/>
              <w:rFonts w:ascii="Times New Roman" w:hAnsi="Times New Roman" w:cs="Times New Roman"/>
              <w:bCs/>
            </w:rPr>
            <w:fldChar w:fldCharType="separate"/>
          </w:r>
          <w:r>
            <w:rPr>
              <w:rStyle w:val="45"/>
              <w:rFonts w:ascii="Times New Roman" w:hAnsi="Times New Roman" w:cs="Times New Roman"/>
              <w:bCs/>
            </w:rPr>
            <w:t>98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"_Toc194481190" </w:instrText>
          </w:r>
          <w:r>
            <w:fldChar w:fldCharType="separate"/>
          </w:r>
          <w:r>
            <w:rPr>
              <w:rStyle w:val="45"/>
              <w:rFonts w:ascii="Times New Roman" w:hAnsi="Times New Roman" w:cs="Times New Roman"/>
              <w:bCs/>
            </w:rPr>
            <w:t>5.3.3 污染物排放量核算</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_Toc194481190 \h </w:instrText>
          </w:r>
          <w:r>
            <w:rPr>
              <w:rStyle w:val="45"/>
              <w:rFonts w:ascii="Times New Roman" w:hAnsi="Times New Roman" w:cs="Times New Roman"/>
              <w:bCs/>
            </w:rPr>
            <w:fldChar w:fldCharType="separate"/>
          </w:r>
          <w:r>
            <w:rPr>
              <w:rStyle w:val="45"/>
              <w:rFonts w:ascii="Times New Roman" w:hAnsi="Times New Roman" w:cs="Times New Roman"/>
              <w:bCs/>
            </w:rPr>
            <w:t>100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"_Toc194481191" </w:instrText>
          </w:r>
          <w:r>
            <w:fldChar w:fldCharType="separate"/>
          </w:r>
          <w:r>
            <w:rPr>
              <w:rStyle w:val="45"/>
              <w:rFonts w:ascii="Times New Roman" w:hAnsi="Times New Roman" w:cs="Times New Roman"/>
              <w:bCs/>
            </w:rPr>
            <w:t>5.4 地下水环境影响分析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_Toc194481191 \h </w:instrText>
          </w:r>
          <w:r>
            <w:rPr>
              <w:rFonts w:ascii="Times New Roman" w:hAnsi="Times New Roman" w:cs="Times New Roman"/>
              <w:bCs/>
            </w:rPr>
            <w:fldChar w:fldCharType="separate"/>
          </w:r>
          <w:r>
            <w:rPr>
              <w:rFonts w:ascii="Times New Roman" w:hAnsi="Times New Roman" w:cs="Times New Roman"/>
              <w:bCs/>
            </w:rPr>
            <w:t>102</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"_Toc194481192" </w:instrText>
          </w:r>
          <w:r>
            <w:fldChar w:fldCharType="separate"/>
          </w:r>
          <w:r>
            <w:rPr>
              <w:rStyle w:val="45"/>
              <w:rFonts w:ascii="Times New Roman" w:hAnsi="Times New Roman" w:cs="Times New Roman"/>
              <w:bCs/>
            </w:rPr>
            <w:t>5.4.1 地下水评价等级的确定</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_Toc194481192 \h </w:instrText>
          </w:r>
          <w:r>
            <w:rPr>
              <w:rStyle w:val="45"/>
              <w:rFonts w:ascii="Times New Roman" w:hAnsi="Times New Roman" w:cs="Times New Roman"/>
              <w:bCs/>
            </w:rPr>
            <w:fldChar w:fldCharType="separate"/>
          </w:r>
          <w:r>
            <w:rPr>
              <w:rStyle w:val="45"/>
              <w:rFonts w:ascii="Times New Roman" w:hAnsi="Times New Roman" w:cs="Times New Roman"/>
              <w:bCs/>
            </w:rPr>
            <w:t>102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"_Toc194481193" </w:instrText>
          </w:r>
          <w:r>
            <w:fldChar w:fldCharType="separate"/>
          </w:r>
          <w:r>
            <w:rPr>
              <w:rStyle w:val="45"/>
              <w:rFonts w:ascii="Times New Roman" w:hAnsi="Times New Roman" w:cs="Times New Roman"/>
              <w:bCs/>
            </w:rPr>
            <w:t>5.4.2 区域水文地质条件</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_Toc194481193 \h </w:instrText>
          </w:r>
          <w:r>
            <w:rPr>
              <w:rStyle w:val="45"/>
              <w:rFonts w:ascii="Times New Roman" w:hAnsi="Times New Roman" w:cs="Times New Roman"/>
              <w:bCs/>
            </w:rPr>
            <w:fldChar w:fldCharType="separate"/>
          </w:r>
          <w:r>
            <w:rPr>
              <w:rStyle w:val="45"/>
              <w:rFonts w:ascii="Times New Roman" w:hAnsi="Times New Roman" w:cs="Times New Roman"/>
              <w:bCs/>
            </w:rPr>
            <w:t>102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"_Toc194481194" </w:instrText>
          </w:r>
          <w:r>
            <w:fldChar w:fldCharType="separate"/>
          </w:r>
          <w:r>
            <w:rPr>
              <w:rStyle w:val="45"/>
              <w:rFonts w:ascii="Times New Roman" w:hAnsi="Times New Roman" w:cs="Times New Roman"/>
              <w:bCs/>
            </w:rPr>
            <w:t>5.4.3 地下水污染机理</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_Toc194481194 \h </w:instrText>
          </w:r>
          <w:r>
            <w:rPr>
              <w:rStyle w:val="45"/>
              <w:rFonts w:ascii="Times New Roman" w:hAnsi="Times New Roman" w:cs="Times New Roman"/>
              <w:bCs/>
            </w:rPr>
            <w:fldChar w:fldCharType="separate"/>
          </w:r>
          <w:r>
            <w:rPr>
              <w:rStyle w:val="45"/>
              <w:rFonts w:ascii="Times New Roman" w:hAnsi="Times New Roman" w:cs="Times New Roman"/>
              <w:bCs/>
            </w:rPr>
            <w:t>105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"_Toc194481195" </w:instrText>
          </w:r>
          <w:r>
            <w:fldChar w:fldCharType="separate"/>
          </w:r>
          <w:r>
            <w:rPr>
              <w:rStyle w:val="45"/>
              <w:rFonts w:ascii="Times New Roman" w:hAnsi="Times New Roman" w:cs="Times New Roman"/>
              <w:bCs/>
            </w:rPr>
            <w:t>5.4.4 地下水污染途径分析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_Toc194481195 \h </w:instrText>
          </w:r>
          <w:r>
            <w:rPr>
              <w:rStyle w:val="45"/>
              <w:rFonts w:ascii="Times New Roman" w:hAnsi="Times New Roman" w:cs="Times New Roman"/>
              <w:bCs/>
            </w:rPr>
            <w:fldChar w:fldCharType="separate"/>
          </w:r>
          <w:r>
            <w:rPr>
              <w:rStyle w:val="45"/>
              <w:rFonts w:ascii="Times New Roman" w:hAnsi="Times New Roman" w:cs="Times New Roman"/>
              <w:bCs/>
            </w:rPr>
            <w:t>105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"_Toc194481196" </w:instrText>
          </w:r>
          <w:r>
            <w:fldChar w:fldCharType="separate"/>
          </w:r>
          <w:r>
            <w:rPr>
              <w:rStyle w:val="45"/>
              <w:rFonts w:ascii="Times New Roman" w:hAnsi="Times New Roman" w:cs="Times New Roman"/>
              <w:bCs/>
            </w:rPr>
            <w:t>5.4.5 地下水环境影响分析与评价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_Toc194481196 \h </w:instrText>
          </w:r>
          <w:r>
            <w:rPr>
              <w:rStyle w:val="45"/>
              <w:rFonts w:ascii="Times New Roman" w:hAnsi="Times New Roman" w:cs="Times New Roman"/>
              <w:bCs/>
            </w:rPr>
            <w:fldChar w:fldCharType="separate"/>
          </w:r>
          <w:r>
            <w:rPr>
              <w:rStyle w:val="45"/>
              <w:rFonts w:ascii="Times New Roman" w:hAnsi="Times New Roman" w:cs="Times New Roman"/>
              <w:bCs/>
            </w:rPr>
            <w:t>106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"_Toc194481197" </w:instrText>
          </w:r>
          <w:r>
            <w:fldChar w:fldCharType="separate"/>
          </w:r>
          <w:r>
            <w:rPr>
              <w:rStyle w:val="45"/>
              <w:rFonts w:ascii="Times New Roman" w:hAnsi="Times New Roman" w:cs="Times New Roman"/>
              <w:bCs/>
            </w:rPr>
            <w:t>5.4.6 地下水环境影响评价结论</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_Toc194481197 \h </w:instrText>
          </w:r>
          <w:r>
            <w:rPr>
              <w:rStyle w:val="45"/>
              <w:rFonts w:ascii="Times New Roman" w:hAnsi="Times New Roman" w:cs="Times New Roman"/>
              <w:bCs/>
            </w:rPr>
            <w:fldChar w:fldCharType="separate"/>
          </w:r>
          <w:r>
            <w:rPr>
              <w:rStyle w:val="45"/>
              <w:rFonts w:ascii="Times New Roman" w:hAnsi="Times New Roman" w:cs="Times New Roman"/>
              <w:bCs/>
            </w:rPr>
            <w:t>111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"_Toc194481198" </w:instrText>
          </w:r>
          <w:r>
            <w:fldChar w:fldCharType="separate"/>
          </w:r>
          <w:r>
            <w:rPr>
              <w:rStyle w:val="45"/>
              <w:rFonts w:ascii="Times New Roman" w:hAnsi="Times New Roman" w:cs="Times New Roman"/>
              <w:bCs/>
            </w:rPr>
            <w:t>5.5 声环境影响分析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_Toc194481198 \h </w:instrText>
          </w:r>
          <w:r>
            <w:rPr>
              <w:rFonts w:ascii="Times New Roman" w:hAnsi="Times New Roman" w:cs="Times New Roman"/>
              <w:bCs/>
            </w:rPr>
            <w:fldChar w:fldCharType="separate"/>
          </w:r>
          <w:r>
            <w:rPr>
              <w:rFonts w:ascii="Times New Roman" w:hAnsi="Times New Roman" w:cs="Times New Roman"/>
              <w:bCs/>
            </w:rPr>
            <w:t>111</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"_Toc194481199" </w:instrText>
          </w:r>
          <w:r>
            <w:fldChar w:fldCharType="separate"/>
          </w:r>
          <w:r>
            <w:rPr>
              <w:rStyle w:val="45"/>
              <w:rFonts w:ascii="Times New Roman" w:hAnsi="Times New Roman" w:cs="Times New Roman"/>
              <w:bCs/>
            </w:rPr>
            <w:t>5.5.1 营运期噪声源强</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_Toc194481199 \h </w:instrText>
          </w:r>
          <w:r>
            <w:rPr>
              <w:rStyle w:val="45"/>
              <w:rFonts w:ascii="Times New Roman" w:hAnsi="Times New Roman" w:cs="Times New Roman"/>
              <w:bCs/>
            </w:rPr>
            <w:fldChar w:fldCharType="separate"/>
          </w:r>
          <w:r>
            <w:rPr>
              <w:rStyle w:val="45"/>
              <w:rFonts w:ascii="Times New Roman" w:hAnsi="Times New Roman" w:cs="Times New Roman"/>
              <w:bCs/>
            </w:rPr>
            <w:t>111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"_Toc194481200" </w:instrText>
          </w:r>
          <w:r>
            <w:fldChar w:fldCharType="separate"/>
          </w:r>
          <w:r>
            <w:rPr>
              <w:rStyle w:val="45"/>
              <w:rFonts w:ascii="Times New Roman" w:hAnsi="Times New Roman" w:cs="Times New Roman"/>
              <w:bCs/>
            </w:rPr>
            <w:t>5.5.2 声环境影响分析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_Toc194481200 \h </w:instrText>
          </w:r>
          <w:r>
            <w:rPr>
              <w:rStyle w:val="45"/>
              <w:rFonts w:ascii="Times New Roman" w:hAnsi="Times New Roman" w:cs="Times New Roman"/>
              <w:bCs/>
            </w:rPr>
            <w:fldChar w:fldCharType="separate"/>
          </w:r>
          <w:r>
            <w:rPr>
              <w:rStyle w:val="45"/>
              <w:rFonts w:ascii="Times New Roman" w:hAnsi="Times New Roman" w:cs="Times New Roman"/>
              <w:bCs/>
            </w:rPr>
            <w:t>111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"_Toc194481201" </w:instrText>
          </w:r>
          <w:r>
            <w:fldChar w:fldCharType="separate"/>
          </w:r>
          <w:r>
            <w:rPr>
              <w:rStyle w:val="45"/>
              <w:rFonts w:ascii="Times New Roman" w:hAnsi="Times New Roman" w:cs="Times New Roman"/>
              <w:bCs/>
            </w:rPr>
            <w:t>5.6 固体废物影响分析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_Toc194481201 \h </w:instrText>
          </w:r>
          <w:r>
            <w:rPr>
              <w:rFonts w:ascii="Times New Roman" w:hAnsi="Times New Roman" w:cs="Times New Roman"/>
              <w:bCs/>
            </w:rPr>
            <w:fldChar w:fldCharType="separate"/>
          </w:r>
          <w:r>
            <w:rPr>
              <w:rFonts w:ascii="Times New Roman" w:hAnsi="Times New Roman" w:cs="Times New Roman"/>
              <w:bCs/>
            </w:rPr>
            <w:t>114</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"_Toc194481202" </w:instrText>
          </w:r>
          <w:r>
            <w:fldChar w:fldCharType="separate"/>
          </w:r>
          <w:r>
            <w:rPr>
              <w:rStyle w:val="45"/>
              <w:rFonts w:ascii="Times New Roman" w:hAnsi="Times New Roman" w:cs="Times New Roman"/>
              <w:bCs/>
            </w:rPr>
            <w:t>5.6.1 固体废物影响分析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_Toc194481202 \h </w:instrText>
          </w:r>
          <w:r>
            <w:rPr>
              <w:rStyle w:val="45"/>
              <w:rFonts w:ascii="Times New Roman" w:hAnsi="Times New Roman" w:cs="Times New Roman"/>
              <w:bCs/>
            </w:rPr>
            <w:fldChar w:fldCharType="separate"/>
          </w:r>
          <w:r>
            <w:rPr>
              <w:rStyle w:val="45"/>
              <w:rFonts w:ascii="Times New Roman" w:hAnsi="Times New Roman" w:cs="Times New Roman"/>
              <w:bCs/>
            </w:rPr>
            <w:t>115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"_Toc194481203" </w:instrText>
          </w:r>
          <w:r>
            <w:fldChar w:fldCharType="separate"/>
          </w:r>
          <w:r>
            <w:rPr>
              <w:rStyle w:val="45"/>
              <w:rFonts w:ascii="Times New Roman" w:hAnsi="Times New Roman" w:cs="Times New Roman"/>
              <w:bCs/>
            </w:rPr>
            <w:t>5.6.2 危险废物管理措施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_Toc194481203 \h </w:instrText>
          </w:r>
          <w:r>
            <w:rPr>
              <w:rStyle w:val="45"/>
              <w:rFonts w:ascii="Times New Roman" w:hAnsi="Times New Roman" w:cs="Times New Roman"/>
              <w:bCs/>
            </w:rPr>
            <w:fldChar w:fldCharType="separate"/>
          </w:r>
          <w:r>
            <w:rPr>
              <w:rStyle w:val="45"/>
              <w:rFonts w:ascii="Times New Roman" w:hAnsi="Times New Roman" w:cs="Times New Roman"/>
              <w:bCs/>
            </w:rPr>
            <w:t>115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"_Toc194481204" </w:instrText>
          </w:r>
          <w:r>
            <w:fldChar w:fldCharType="separate"/>
          </w:r>
          <w:r>
            <w:rPr>
              <w:rStyle w:val="45"/>
              <w:rFonts w:ascii="Times New Roman" w:hAnsi="Times New Roman" w:cs="Times New Roman"/>
              <w:bCs/>
            </w:rPr>
            <w:t>5.6.3 固废废物影响分析结论</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_Toc194481204 \h </w:instrText>
          </w:r>
          <w:r>
            <w:rPr>
              <w:rStyle w:val="45"/>
              <w:rFonts w:ascii="Times New Roman" w:hAnsi="Times New Roman" w:cs="Times New Roman"/>
              <w:bCs/>
            </w:rPr>
            <w:fldChar w:fldCharType="separate"/>
          </w:r>
          <w:r>
            <w:rPr>
              <w:rStyle w:val="45"/>
              <w:rFonts w:ascii="Times New Roman" w:hAnsi="Times New Roman" w:cs="Times New Roman"/>
              <w:bCs/>
            </w:rPr>
            <w:t>116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"_Toc194481205" </w:instrText>
          </w:r>
          <w:r>
            <w:fldChar w:fldCharType="separate"/>
          </w:r>
          <w:r>
            <w:rPr>
              <w:rStyle w:val="45"/>
              <w:rFonts w:ascii="Times New Roman" w:hAnsi="Times New Roman" w:cs="Times New Roman"/>
              <w:bCs/>
            </w:rPr>
            <w:t>5.7土壤环境影响分析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_Toc194481205 \h </w:instrText>
          </w:r>
          <w:r>
            <w:rPr>
              <w:rFonts w:ascii="Times New Roman" w:hAnsi="Times New Roman" w:cs="Times New Roman"/>
              <w:bCs/>
            </w:rPr>
            <w:fldChar w:fldCharType="separate"/>
          </w:r>
          <w:r>
            <w:rPr>
              <w:rFonts w:ascii="Times New Roman" w:hAnsi="Times New Roman" w:cs="Times New Roman"/>
              <w:bCs/>
            </w:rPr>
            <w:t>116</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"_Toc194481206" </w:instrText>
          </w:r>
          <w:r>
            <w:fldChar w:fldCharType="separate"/>
          </w:r>
          <w:r>
            <w:rPr>
              <w:rStyle w:val="45"/>
              <w:rFonts w:ascii="Times New Roman" w:hAnsi="Times New Roman" w:cs="Times New Roman"/>
              <w:bCs/>
            </w:rPr>
            <w:t>5.7.1 土壤评价等级的确定</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_Toc194481206 \h </w:instrText>
          </w:r>
          <w:r>
            <w:rPr>
              <w:rStyle w:val="45"/>
              <w:rFonts w:ascii="Times New Roman" w:hAnsi="Times New Roman" w:cs="Times New Roman"/>
              <w:bCs/>
            </w:rPr>
            <w:fldChar w:fldCharType="separate"/>
          </w:r>
          <w:r>
            <w:rPr>
              <w:rStyle w:val="45"/>
              <w:rFonts w:ascii="Times New Roman" w:hAnsi="Times New Roman" w:cs="Times New Roman"/>
              <w:bCs/>
            </w:rPr>
            <w:t>116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"_Toc194481207" </w:instrText>
          </w:r>
          <w:r>
            <w:fldChar w:fldCharType="separate"/>
          </w:r>
          <w:r>
            <w:rPr>
              <w:rStyle w:val="45"/>
              <w:rFonts w:ascii="Times New Roman" w:hAnsi="Times New Roman" w:cs="Times New Roman"/>
              <w:bCs/>
            </w:rPr>
            <w:t>5.7.2 土壤环境影响识别</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_Toc194481207 \h </w:instrText>
          </w:r>
          <w:r>
            <w:rPr>
              <w:rStyle w:val="45"/>
              <w:rFonts w:ascii="Times New Roman" w:hAnsi="Times New Roman" w:cs="Times New Roman"/>
              <w:bCs/>
            </w:rPr>
            <w:fldChar w:fldCharType="separate"/>
          </w:r>
          <w:r>
            <w:rPr>
              <w:rStyle w:val="45"/>
              <w:rFonts w:ascii="Times New Roman" w:hAnsi="Times New Roman" w:cs="Times New Roman"/>
              <w:bCs/>
            </w:rPr>
            <w:t>116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"_Toc194481208" </w:instrText>
          </w:r>
          <w:r>
            <w:fldChar w:fldCharType="separate"/>
          </w:r>
          <w:r>
            <w:rPr>
              <w:rStyle w:val="45"/>
              <w:rFonts w:ascii="Times New Roman" w:hAnsi="Times New Roman" w:cs="Times New Roman"/>
              <w:bCs/>
            </w:rPr>
            <w:t>5.7.3 土壤环境影响分析与评价</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_Toc194481208 \h </w:instrText>
          </w:r>
          <w:r>
            <w:rPr>
              <w:rStyle w:val="45"/>
              <w:rFonts w:ascii="Times New Roman" w:hAnsi="Times New Roman" w:cs="Times New Roman"/>
              <w:bCs/>
            </w:rPr>
            <w:fldChar w:fldCharType="separate"/>
          </w:r>
          <w:r>
            <w:rPr>
              <w:rStyle w:val="45"/>
              <w:rFonts w:ascii="Times New Roman" w:hAnsi="Times New Roman" w:cs="Times New Roman"/>
              <w:bCs/>
            </w:rPr>
            <w:t>117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"_Toc194481209" </w:instrText>
          </w:r>
          <w:r>
            <w:fldChar w:fldCharType="separate"/>
          </w:r>
          <w:r>
            <w:rPr>
              <w:rStyle w:val="45"/>
              <w:rFonts w:ascii="Times New Roman" w:hAnsi="Times New Roman" w:cs="Times New Roman"/>
              <w:bCs/>
            </w:rPr>
            <w:t>5.7.4 土壤环境影响评价结论</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_Toc194481209 \h </w:instrText>
          </w:r>
          <w:r>
            <w:rPr>
              <w:rStyle w:val="45"/>
              <w:rFonts w:ascii="Times New Roman" w:hAnsi="Times New Roman" w:cs="Times New Roman"/>
              <w:bCs/>
            </w:rPr>
            <w:fldChar w:fldCharType="separate"/>
          </w:r>
          <w:r>
            <w:rPr>
              <w:rStyle w:val="45"/>
              <w:rFonts w:ascii="Times New Roman" w:hAnsi="Times New Roman" w:cs="Times New Roman"/>
              <w:bCs/>
            </w:rPr>
            <w:t>117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"_Toc194481210" </w:instrText>
          </w:r>
          <w:r>
            <w:fldChar w:fldCharType="separate"/>
          </w:r>
          <w:r>
            <w:rPr>
              <w:rStyle w:val="45"/>
              <w:rFonts w:ascii="Times New Roman" w:hAnsi="Times New Roman" w:cs="Times New Roman"/>
              <w:bCs/>
            </w:rPr>
            <w:t>5.8 生态环境影响分析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_Toc194481210 \h </w:instrText>
          </w:r>
          <w:r>
            <w:rPr>
              <w:rFonts w:ascii="Times New Roman" w:hAnsi="Times New Roman" w:cs="Times New Roman"/>
              <w:bCs/>
            </w:rPr>
            <w:fldChar w:fldCharType="separate"/>
          </w:r>
          <w:r>
            <w:rPr>
              <w:rFonts w:ascii="Times New Roman" w:hAnsi="Times New Roman" w:cs="Times New Roman"/>
              <w:bCs/>
            </w:rPr>
            <w:t>118</w:t>
          </w:r>
          <w:r>
            <w:rPr>
              <w:rFonts w:ascii="Times New Roman" w:hAnsi="Times New Roman" w:cs="Times New Roman"/>
              <w:bCs/>
            </w:rPr>
            <w:fldChar w:fldCharType="end"/>
          </w:r>
          <w:r>
            <w:rPr>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"_Toc194481211" </w:instrText>
          </w:r>
          <w:r>
            <w:fldChar w:fldCharType="separate"/>
          </w:r>
          <w:r>
            <w:rPr>
              <w:rStyle w:val="45"/>
              <w:rFonts w:ascii="Times New Roman" w:hAnsi="Times New Roman" w:cs="Times New Roman"/>
              <w:b w:val="0"/>
              <w:bCs/>
            </w:rPr>
            <w:t>第6章 污染防治措施分析</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_Toc194481211 \h </w:instrText>
          </w:r>
          <w:r>
            <w:rPr>
              <w:rFonts w:ascii="Times New Roman" w:hAnsi="Times New Roman" w:cs="Times New Roman"/>
              <w:b w:val="0"/>
              <w:bCs/>
            </w:rPr>
            <w:fldChar w:fldCharType="separate"/>
          </w:r>
          <w:r>
            <w:rPr>
              <w:rFonts w:ascii="Times New Roman" w:hAnsi="Times New Roman" w:cs="Times New Roman"/>
              <w:b w:val="0"/>
              <w:bCs/>
            </w:rPr>
            <w:t>120</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"_Toc194481212" </w:instrText>
          </w:r>
          <w:r>
            <w:fldChar w:fldCharType="separate"/>
          </w:r>
          <w:r>
            <w:rPr>
              <w:rStyle w:val="45"/>
              <w:rFonts w:ascii="Times New Roman" w:hAnsi="Times New Roman" w:cs="Times New Roman"/>
              <w:bCs/>
            </w:rPr>
            <w:t>6.1 施工期污染防治措施</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_Toc194481212 \h </w:instrText>
          </w:r>
          <w:r>
            <w:rPr>
              <w:rFonts w:ascii="Times New Roman" w:hAnsi="Times New Roman" w:cs="Times New Roman"/>
              <w:bCs/>
            </w:rPr>
            <w:fldChar w:fldCharType="separate"/>
          </w:r>
          <w:r>
            <w:rPr>
              <w:rFonts w:ascii="Times New Roman" w:hAnsi="Times New Roman" w:cs="Times New Roman"/>
              <w:bCs/>
            </w:rPr>
            <w:t>120</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"_Toc194481213" </w:instrText>
          </w:r>
          <w:r>
            <w:fldChar w:fldCharType="separate"/>
          </w:r>
          <w:r>
            <w:rPr>
              <w:rStyle w:val="45"/>
              <w:rFonts w:ascii="Times New Roman" w:hAnsi="Times New Roman" w:cs="Times New Roman"/>
              <w:bCs/>
            </w:rPr>
            <w:t>6.1.1 施工期大气污染防治措施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_Toc194481213 \h </w:instrText>
          </w:r>
          <w:r>
            <w:rPr>
              <w:rStyle w:val="45"/>
              <w:rFonts w:ascii="Times New Roman" w:hAnsi="Times New Roman" w:cs="Times New Roman"/>
              <w:bCs/>
            </w:rPr>
            <w:fldChar w:fldCharType="separate"/>
          </w:r>
          <w:r>
            <w:rPr>
              <w:rStyle w:val="45"/>
              <w:rFonts w:ascii="Times New Roman" w:hAnsi="Times New Roman" w:cs="Times New Roman"/>
              <w:bCs/>
            </w:rPr>
            <w:t>120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"_Toc194481214" </w:instrText>
          </w:r>
          <w:r>
            <w:fldChar w:fldCharType="separate"/>
          </w:r>
          <w:r>
            <w:rPr>
              <w:rStyle w:val="45"/>
              <w:rFonts w:ascii="Times New Roman" w:hAnsi="Times New Roman" w:cs="Times New Roman"/>
              <w:bCs/>
            </w:rPr>
            <w:t>6.1.2 施工期地表水防治措施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_Toc194481214 \h </w:instrText>
          </w:r>
          <w:r>
            <w:rPr>
              <w:rStyle w:val="45"/>
              <w:rFonts w:ascii="Times New Roman" w:hAnsi="Times New Roman" w:cs="Times New Roman"/>
              <w:bCs/>
            </w:rPr>
            <w:fldChar w:fldCharType="separate"/>
          </w:r>
          <w:r>
            <w:rPr>
              <w:rStyle w:val="45"/>
              <w:rFonts w:ascii="Times New Roman" w:hAnsi="Times New Roman" w:cs="Times New Roman"/>
              <w:bCs/>
            </w:rPr>
            <w:t>121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"_Toc194481215" </w:instrText>
          </w:r>
          <w:r>
            <w:fldChar w:fldCharType="separate"/>
          </w:r>
          <w:r>
            <w:rPr>
              <w:rStyle w:val="45"/>
              <w:rFonts w:ascii="Times New Roman" w:hAnsi="Times New Roman" w:cs="Times New Roman"/>
              <w:bCs/>
            </w:rPr>
            <w:t>6.1.3 施工期噪声防治措施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_Toc194481215 \h </w:instrText>
          </w:r>
          <w:r>
            <w:rPr>
              <w:rStyle w:val="45"/>
              <w:rFonts w:ascii="Times New Roman" w:hAnsi="Times New Roman" w:cs="Times New Roman"/>
              <w:bCs/>
            </w:rPr>
            <w:fldChar w:fldCharType="separate"/>
          </w:r>
          <w:r>
            <w:rPr>
              <w:rStyle w:val="45"/>
              <w:rFonts w:ascii="Times New Roman" w:hAnsi="Times New Roman" w:cs="Times New Roman"/>
              <w:bCs/>
            </w:rPr>
            <w:t>122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"_Toc194481216" </w:instrText>
          </w:r>
          <w:r>
            <w:fldChar w:fldCharType="separate"/>
          </w:r>
          <w:r>
            <w:rPr>
              <w:rStyle w:val="45"/>
              <w:rFonts w:ascii="Times New Roman" w:hAnsi="Times New Roman" w:cs="Times New Roman"/>
              <w:bCs/>
            </w:rPr>
            <w:t>6.1.4 施工期固废防治措施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_Toc194481216 \h </w:instrText>
          </w:r>
          <w:r>
            <w:rPr>
              <w:rStyle w:val="45"/>
              <w:rFonts w:ascii="Times New Roman" w:hAnsi="Times New Roman" w:cs="Times New Roman"/>
              <w:bCs/>
            </w:rPr>
            <w:fldChar w:fldCharType="separate"/>
          </w:r>
          <w:r>
            <w:rPr>
              <w:rStyle w:val="45"/>
              <w:rFonts w:ascii="Times New Roman" w:hAnsi="Times New Roman" w:cs="Times New Roman"/>
              <w:bCs/>
            </w:rPr>
            <w:t>122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"_Toc194481217" </w:instrText>
          </w:r>
          <w:r>
            <w:fldChar w:fldCharType="separate"/>
          </w:r>
          <w:r>
            <w:rPr>
              <w:rStyle w:val="45"/>
              <w:rFonts w:ascii="Times New Roman" w:hAnsi="Times New Roman" w:cs="Times New Roman"/>
              <w:bCs/>
            </w:rPr>
            <w:t>6.1.5 施工期生态环境保护措施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_Toc194481217 \h </w:instrText>
          </w:r>
          <w:r>
            <w:rPr>
              <w:rStyle w:val="45"/>
              <w:rFonts w:ascii="Times New Roman" w:hAnsi="Times New Roman" w:cs="Times New Roman"/>
              <w:bCs/>
            </w:rPr>
            <w:fldChar w:fldCharType="separate"/>
          </w:r>
          <w:r>
            <w:rPr>
              <w:rStyle w:val="45"/>
              <w:rFonts w:ascii="Times New Roman" w:hAnsi="Times New Roman" w:cs="Times New Roman"/>
              <w:bCs/>
            </w:rPr>
            <w:t>123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"_Toc194481218" </w:instrText>
          </w:r>
          <w:r>
            <w:fldChar w:fldCharType="separate"/>
          </w:r>
          <w:r>
            <w:rPr>
              <w:rStyle w:val="45"/>
              <w:rFonts w:ascii="Times New Roman" w:hAnsi="Times New Roman" w:cs="Times New Roman"/>
              <w:bCs/>
            </w:rPr>
            <w:t>6.2 营运期污染防治措施</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_Toc194481218 \h </w:instrText>
          </w:r>
          <w:r>
            <w:rPr>
              <w:rFonts w:ascii="Times New Roman" w:hAnsi="Times New Roman" w:cs="Times New Roman"/>
              <w:bCs/>
            </w:rPr>
            <w:fldChar w:fldCharType="separate"/>
          </w:r>
          <w:r>
            <w:rPr>
              <w:rFonts w:ascii="Times New Roman" w:hAnsi="Times New Roman" w:cs="Times New Roman"/>
              <w:bCs/>
            </w:rPr>
            <w:t>123</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"_Toc194481219" </w:instrText>
          </w:r>
          <w:r>
            <w:fldChar w:fldCharType="separate"/>
          </w:r>
          <w:r>
            <w:rPr>
              <w:rStyle w:val="45"/>
              <w:rFonts w:ascii="Times New Roman" w:hAnsi="Times New Roman" w:cs="Times New Roman"/>
              <w:bCs/>
            </w:rPr>
            <w:t>6.2.1 营运期大气污染防治措施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_Toc194481219 \h </w:instrText>
          </w:r>
          <w:r>
            <w:rPr>
              <w:rStyle w:val="45"/>
              <w:rFonts w:ascii="Times New Roman" w:hAnsi="Times New Roman" w:cs="Times New Roman"/>
              <w:bCs/>
            </w:rPr>
            <w:fldChar w:fldCharType="separate"/>
          </w:r>
          <w:r>
            <w:rPr>
              <w:rStyle w:val="45"/>
              <w:rFonts w:ascii="Times New Roman" w:hAnsi="Times New Roman" w:cs="Times New Roman"/>
              <w:bCs/>
            </w:rPr>
            <w:t>123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"_Toc194481220" </w:instrText>
          </w:r>
          <w:r>
            <w:fldChar w:fldCharType="separate"/>
          </w:r>
          <w:r>
            <w:rPr>
              <w:rStyle w:val="45"/>
              <w:rFonts w:ascii="Times New Roman" w:hAnsi="Times New Roman" w:cs="Times New Roman"/>
              <w:bCs/>
            </w:rPr>
            <w:t>6.2.2 营运期地表水污染防治措施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_Toc194481220 \h </w:instrText>
          </w:r>
          <w:r>
            <w:rPr>
              <w:rStyle w:val="45"/>
              <w:rFonts w:ascii="Times New Roman" w:hAnsi="Times New Roman" w:cs="Times New Roman"/>
              <w:bCs/>
            </w:rPr>
            <w:fldChar w:fldCharType="separate"/>
          </w:r>
          <w:r>
            <w:rPr>
              <w:rStyle w:val="45"/>
              <w:rFonts w:ascii="Times New Roman" w:hAnsi="Times New Roman" w:cs="Times New Roman"/>
              <w:bCs/>
            </w:rPr>
            <w:t>126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"_Toc194481221" </w:instrText>
          </w:r>
          <w:r>
            <w:fldChar w:fldCharType="separate"/>
          </w:r>
          <w:r>
            <w:rPr>
              <w:rStyle w:val="45"/>
              <w:rFonts w:ascii="Times New Roman" w:hAnsi="Times New Roman" w:cs="Times New Roman"/>
              <w:bCs/>
            </w:rPr>
            <w:t>6.2.3 营运期地下水污染防治措施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_Toc194481221 \h </w:instrText>
          </w:r>
          <w:r>
            <w:rPr>
              <w:rStyle w:val="45"/>
              <w:rFonts w:ascii="Times New Roman" w:hAnsi="Times New Roman" w:cs="Times New Roman"/>
              <w:bCs/>
            </w:rPr>
            <w:fldChar w:fldCharType="separate"/>
          </w:r>
          <w:r>
            <w:rPr>
              <w:rStyle w:val="45"/>
              <w:rFonts w:ascii="Times New Roman" w:hAnsi="Times New Roman" w:cs="Times New Roman"/>
              <w:bCs/>
            </w:rPr>
            <w:t>130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"_Toc194481222" </w:instrText>
          </w:r>
          <w:r>
            <w:fldChar w:fldCharType="separate"/>
          </w:r>
          <w:r>
            <w:rPr>
              <w:rStyle w:val="45"/>
              <w:rFonts w:ascii="Times New Roman" w:hAnsi="Times New Roman" w:cs="Times New Roman"/>
              <w:bCs/>
            </w:rPr>
            <w:t>6.2.3 营运期噪声污染防治措施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_Toc194481222 \h </w:instrText>
          </w:r>
          <w:r>
            <w:rPr>
              <w:rStyle w:val="45"/>
              <w:rFonts w:ascii="Times New Roman" w:hAnsi="Times New Roman" w:cs="Times New Roman"/>
              <w:bCs/>
            </w:rPr>
            <w:fldChar w:fldCharType="separate"/>
          </w:r>
          <w:r>
            <w:rPr>
              <w:rStyle w:val="45"/>
              <w:rFonts w:ascii="Times New Roman" w:hAnsi="Times New Roman" w:cs="Times New Roman"/>
              <w:bCs/>
            </w:rPr>
            <w:t>133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"_Toc194481223" </w:instrText>
          </w:r>
          <w:r>
            <w:fldChar w:fldCharType="separate"/>
          </w:r>
          <w:r>
            <w:rPr>
              <w:rStyle w:val="45"/>
              <w:rFonts w:ascii="Times New Roman" w:hAnsi="Times New Roman" w:cs="Times New Roman"/>
              <w:bCs/>
            </w:rPr>
            <w:t>6.2.4 营运期固体废物污染防治措施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_Toc194481223 \h </w:instrText>
          </w:r>
          <w:r>
            <w:rPr>
              <w:rStyle w:val="45"/>
              <w:rFonts w:ascii="Times New Roman" w:hAnsi="Times New Roman" w:cs="Times New Roman"/>
              <w:bCs/>
            </w:rPr>
            <w:fldChar w:fldCharType="separate"/>
          </w:r>
          <w:r>
            <w:rPr>
              <w:rStyle w:val="45"/>
              <w:rFonts w:ascii="Times New Roman" w:hAnsi="Times New Roman" w:cs="Times New Roman"/>
              <w:bCs/>
            </w:rPr>
            <w:t>135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"_Toc194481224" </w:instrText>
          </w:r>
          <w:r>
            <w:fldChar w:fldCharType="separate"/>
          </w:r>
          <w:r>
            <w:rPr>
              <w:rStyle w:val="45"/>
              <w:rFonts w:ascii="Times New Roman" w:hAnsi="Times New Roman" w:cs="Times New Roman"/>
              <w:bCs/>
            </w:rPr>
            <w:t>6.2.5 营运期土壤污染防治措施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_Toc194481224 \h </w:instrText>
          </w:r>
          <w:r>
            <w:rPr>
              <w:rStyle w:val="45"/>
              <w:rFonts w:ascii="Times New Roman" w:hAnsi="Times New Roman" w:cs="Times New Roman"/>
              <w:bCs/>
            </w:rPr>
            <w:fldChar w:fldCharType="separate"/>
          </w:r>
          <w:r>
            <w:rPr>
              <w:rStyle w:val="45"/>
              <w:rFonts w:ascii="Times New Roman" w:hAnsi="Times New Roman" w:cs="Times New Roman"/>
              <w:bCs/>
            </w:rPr>
            <w:t>137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"_Toc194481225" </w:instrText>
          </w:r>
          <w:r>
            <w:fldChar w:fldCharType="separate"/>
          </w:r>
          <w:r>
            <w:rPr>
              <w:rStyle w:val="45"/>
              <w:rFonts w:ascii="Times New Roman" w:hAnsi="Times New Roman" w:cs="Times New Roman"/>
              <w:bCs/>
            </w:rPr>
            <w:t>6.2.6 营运期生态保护措施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_Toc194481225 \h </w:instrText>
          </w:r>
          <w:r>
            <w:rPr>
              <w:rStyle w:val="45"/>
              <w:rFonts w:ascii="Times New Roman" w:hAnsi="Times New Roman" w:cs="Times New Roman"/>
              <w:bCs/>
            </w:rPr>
            <w:fldChar w:fldCharType="separate"/>
          </w:r>
          <w:r>
            <w:rPr>
              <w:rStyle w:val="45"/>
              <w:rFonts w:ascii="Times New Roman" w:hAnsi="Times New Roman" w:cs="Times New Roman"/>
              <w:bCs/>
            </w:rPr>
            <w:t>138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"_Toc194481226" </w:instrText>
          </w:r>
          <w:r>
            <w:fldChar w:fldCharType="separate"/>
          </w:r>
          <w:r>
            <w:rPr>
              <w:rStyle w:val="45"/>
              <w:rFonts w:ascii="Times New Roman" w:hAnsi="Times New Roman" w:cs="Times New Roman"/>
              <w:bCs/>
            </w:rPr>
            <w:t>6.2.7 营运期交通运输污染防治措施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_Toc194481226 \h </w:instrText>
          </w:r>
          <w:r>
            <w:rPr>
              <w:rStyle w:val="45"/>
              <w:rFonts w:ascii="Times New Roman" w:hAnsi="Times New Roman" w:cs="Times New Roman"/>
              <w:bCs/>
            </w:rPr>
            <w:fldChar w:fldCharType="separate"/>
          </w:r>
          <w:r>
            <w:rPr>
              <w:rStyle w:val="45"/>
              <w:rFonts w:ascii="Times New Roman" w:hAnsi="Times New Roman" w:cs="Times New Roman"/>
              <w:bCs/>
            </w:rPr>
            <w:t>138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"_Toc194481227" </w:instrText>
          </w:r>
          <w:r>
            <w:fldChar w:fldCharType="separate"/>
          </w:r>
          <w:r>
            <w:rPr>
              <w:rStyle w:val="45"/>
              <w:rFonts w:ascii="Times New Roman" w:hAnsi="Times New Roman" w:cs="Times New Roman"/>
              <w:b w:val="0"/>
              <w:bCs/>
            </w:rPr>
            <w:t>第7章 环境风险评价</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_Toc194481227 \h </w:instrText>
          </w:r>
          <w:r>
            <w:rPr>
              <w:rFonts w:ascii="Times New Roman" w:hAnsi="Times New Roman" w:cs="Times New Roman"/>
              <w:b w:val="0"/>
              <w:bCs/>
            </w:rPr>
            <w:fldChar w:fldCharType="separate"/>
          </w:r>
          <w:r>
            <w:rPr>
              <w:rFonts w:ascii="Times New Roman" w:hAnsi="Times New Roman" w:cs="Times New Roman"/>
              <w:b w:val="0"/>
              <w:bCs/>
            </w:rPr>
            <w:t>140</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"_Toc194481228" </w:instrText>
          </w:r>
          <w:r>
            <w:fldChar w:fldCharType="separate"/>
          </w:r>
          <w:r>
            <w:rPr>
              <w:rStyle w:val="45"/>
              <w:rFonts w:ascii="Times New Roman" w:hAnsi="Times New Roman" w:cs="Times New Roman"/>
              <w:bCs/>
            </w:rPr>
            <w:t>7.1 环境风险评价原则</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_Toc194481228 \h </w:instrText>
          </w:r>
          <w:r>
            <w:rPr>
              <w:rFonts w:ascii="Times New Roman" w:hAnsi="Times New Roman" w:cs="Times New Roman"/>
              <w:bCs/>
            </w:rPr>
            <w:fldChar w:fldCharType="separate"/>
          </w:r>
          <w:r>
            <w:rPr>
              <w:rFonts w:ascii="Times New Roman" w:hAnsi="Times New Roman" w:cs="Times New Roman"/>
              <w:bCs/>
            </w:rPr>
            <w:t>140</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"_Toc194481229" </w:instrText>
          </w:r>
          <w:r>
            <w:fldChar w:fldCharType="separate"/>
          </w:r>
          <w:r>
            <w:rPr>
              <w:rStyle w:val="45"/>
              <w:rFonts w:ascii="Times New Roman" w:hAnsi="Times New Roman" w:cs="Times New Roman"/>
              <w:bCs/>
            </w:rPr>
            <w:t>7.2 评价工作程序</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_Toc194481229 \h </w:instrText>
          </w:r>
          <w:r>
            <w:rPr>
              <w:rFonts w:ascii="Times New Roman" w:hAnsi="Times New Roman" w:cs="Times New Roman"/>
              <w:bCs/>
            </w:rPr>
            <w:fldChar w:fldCharType="separate"/>
          </w:r>
          <w:r>
            <w:rPr>
              <w:rFonts w:ascii="Times New Roman" w:hAnsi="Times New Roman" w:cs="Times New Roman"/>
              <w:bCs/>
            </w:rPr>
            <w:t>140</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"_Toc194481230" </w:instrText>
          </w:r>
          <w:r>
            <w:fldChar w:fldCharType="separate"/>
          </w:r>
          <w:r>
            <w:rPr>
              <w:rStyle w:val="45"/>
              <w:rFonts w:ascii="Times New Roman" w:hAnsi="Times New Roman" w:cs="Times New Roman"/>
              <w:bCs/>
            </w:rPr>
            <w:t>7.3 风险调查</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_Toc194481230 \h </w:instrText>
          </w:r>
          <w:r>
            <w:rPr>
              <w:rFonts w:ascii="Times New Roman" w:hAnsi="Times New Roman" w:cs="Times New Roman"/>
              <w:bCs/>
            </w:rPr>
            <w:fldChar w:fldCharType="separate"/>
          </w:r>
          <w:r>
            <w:rPr>
              <w:rFonts w:ascii="Times New Roman" w:hAnsi="Times New Roman" w:cs="Times New Roman"/>
              <w:bCs/>
            </w:rPr>
            <w:t>140</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"_Toc194481231" </w:instrText>
          </w:r>
          <w:r>
            <w:fldChar w:fldCharType="separate"/>
          </w:r>
          <w:r>
            <w:rPr>
              <w:rStyle w:val="45"/>
              <w:rFonts w:ascii="Times New Roman" w:hAnsi="Times New Roman" w:cs="Times New Roman"/>
              <w:bCs/>
            </w:rPr>
            <w:t>7.3.1 建设项目环境风险源调查</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_Toc194481231 \h </w:instrText>
          </w:r>
          <w:r>
            <w:rPr>
              <w:rStyle w:val="45"/>
              <w:rFonts w:ascii="Times New Roman" w:hAnsi="Times New Roman" w:cs="Times New Roman"/>
              <w:bCs/>
            </w:rPr>
            <w:fldChar w:fldCharType="separate"/>
          </w:r>
          <w:r>
            <w:rPr>
              <w:rStyle w:val="45"/>
              <w:rFonts w:ascii="Times New Roman" w:hAnsi="Times New Roman" w:cs="Times New Roman"/>
              <w:bCs/>
            </w:rPr>
            <w:t>141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"_Toc194481232" </w:instrText>
          </w:r>
          <w:r>
            <w:fldChar w:fldCharType="separate"/>
          </w:r>
          <w:r>
            <w:rPr>
              <w:rStyle w:val="45"/>
              <w:rFonts w:ascii="Times New Roman" w:hAnsi="Times New Roman" w:cs="Times New Roman"/>
              <w:bCs/>
            </w:rPr>
            <w:t>7.3.2 环境敏感目标调查</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_Toc194481232 \h </w:instrText>
          </w:r>
          <w:r>
            <w:rPr>
              <w:rStyle w:val="45"/>
              <w:rFonts w:ascii="Times New Roman" w:hAnsi="Times New Roman" w:cs="Times New Roman"/>
              <w:bCs/>
            </w:rPr>
            <w:fldChar w:fldCharType="separate"/>
          </w:r>
          <w:r>
            <w:rPr>
              <w:rStyle w:val="45"/>
              <w:rFonts w:ascii="Times New Roman" w:hAnsi="Times New Roman" w:cs="Times New Roman"/>
              <w:bCs/>
            </w:rPr>
            <w:t>141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"_Toc194481233" </w:instrText>
          </w:r>
          <w:r>
            <w:fldChar w:fldCharType="separate"/>
          </w:r>
          <w:r>
            <w:rPr>
              <w:rStyle w:val="45"/>
              <w:rFonts w:ascii="Times New Roman" w:hAnsi="Times New Roman" w:cs="Times New Roman"/>
              <w:bCs/>
            </w:rPr>
            <w:t>7.4 环境风险潜势初判及评价等级判定</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_Toc194481233 \h </w:instrText>
          </w:r>
          <w:r>
            <w:rPr>
              <w:rFonts w:ascii="Times New Roman" w:hAnsi="Times New Roman" w:cs="Times New Roman"/>
              <w:bCs/>
            </w:rPr>
            <w:fldChar w:fldCharType="separate"/>
          </w:r>
          <w:r>
            <w:rPr>
              <w:rFonts w:ascii="Times New Roman" w:hAnsi="Times New Roman" w:cs="Times New Roman"/>
              <w:bCs/>
            </w:rPr>
            <w:t>141</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"_Toc194481234" </w:instrText>
          </w:r>
          <w:r>
            <w:fldChar w:fldCharType="separate"/>
          </w:r>
          <w:r>
            <w:rPr>
              <w:rStyle w:val="45"/>
              <w:rFonts w:ascii="Times New Roman" w:hAnsi="Times New Roman" w:cs="Times New Roman"/>
              <w:bCs/>
            </w:rPr>
            <w:t>7.4.1 风险潜势初判</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_Toc194481234 \h </w:instrText>
          </w:r>
          <w:r>
            <w:rPr>
              <w:rStyle w:val="45"/>
              <w:rFonts w:ascii="Times New Roman" w:hAnsi="Times New Roman" w:cs="Times New Roman"/>
              <w:bCs/>
            </w:rPr>
            <w:fldChar w:fldCharType="separate"/>
          </w:r>
          <w:r>
            <w:rPr>
              <w:rStyle w:val="45"/>
              <w:rFonts w:ascii="Times New Roman" w:hAnsi="Times New Roman" w:cs="Times New Roman"/>
              <w:bCs/>
            </w:rPr>
            <w:t>141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"_Toc194481235" </w:instrText>
          </w:r>
          <w:r>
            <w:fldChar w:fldCharType="separate"/>
          </w:r>
          <w:r>
            <w:rPr>
              <w:rStyle w:val="45"/>
              <w:rFonts w:ascii="Times New Roman" w:hAnsi="Times New Roman" w:cs="Times New Roman"/>
              <w:bCs/>
            </w:rPr>
            <w:t>7.4.4 评价等级确定</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_Toc194481235 \h </w:instrText>
          </w:r>
          <w:r>
            <w:rPr>
              <w:rStyle w:val="45"/>
              <w:rFonts w:ascii="Times New Roman" w:hAnsi="Times New Roman" w:cs="Times New Roman"/>
              <w:bCs/>
            </w:rPr>
            <w:fldChar w:fldCharType="separate"/>
          </w:r>
          <w:r>
            <w:rPr>
              <w:rStyle w:val="45"/>
              <w:rFonts w:ascii="Times New Roman" w:hAnsi="Times New Roman" w:cs="Times New Roman"/>
              <w:bCs/>
            </w:rPr>
            <w:t>142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"_Toc194481236" </w:instrText>
          </w:r>
          <w:r>
            <w:fldChar w:fldCharType="separate"/>
          </w:r>
          <w:r>
            <w:rPr>
              <w:rStyle w:val="45"/>
              <w:rFonts w:ascii="Times New Roman" w:hAnsi="Times New Roman" w:cs="Times New Roman"/>
              <w:bCs/>
            </w:rPr>
            <w:t>7.5 风险识别</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_Toc194481236 \h </w:instrText>
          </w:r>
          <w:r>
            <w:rPr>
              <w:rFonts w:ascii="Times New Roman" w:hAnsi="Times New Roman" w:cs="Times New Roman"/>
              <w:bCs/>
            </w:rPr>
            <w:fldChar w:fldCharType="separate"/>
          </w:r>
          <w:r>
            <w:rPr>
              <w:rFonts w:ascii="Times New Roman" w:hAnsi="Times New Roman" w:cs="Times New Roman"/>
              <w:bCs/>
            </w:rPr>
            <w:t>142</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"_Toc194481237" </w:instrText>
          </w:r>
          <w:r>
            <w:fldChar w:fldCharType="separate"/>
          </w:r>
          <w:r>
            <w:rPr>
              <w:rStyle w:val="45"/>
              <w:rFonts w:ascii="Times New Roman" w:hAnsi="Times New Roman" w:cs="Times New Roman"/>
              <w:bCs/>
            </w:rPr>
            <w:t>7.5.1 物质危险性识别</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_Toc194481237 \h </w:instrText>
          </w:r>
          <w:r>
            <w:rPr>
              <w:rStyle w:val="45"/>
              <w:rFonts w:ascii="Times New Roman" w:hAnsi="Times New Roman" w:cs="Times New Roman"/>
              <w:bCs/>
            </w:rPr>
            <w:fldChar w:fldCharType="separate"/>
          </w:r>
          <w:r>
            <w:rPr>
              <w:rStyle w:val="45"/>
              <w:rFonts w:ascii="Times New Roman" w:hAnsi="Times New Roman" w:cs="Times New Roman"/>
              <w:bCs/>
            </w:rPr>
            <w:t>142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"_Toc194481238" </w:instrText>
          </w:r>
          <w:r>
            <w:fldChar w:fldCharType="separate"/>
          </w:r>
          <w:r>
            <w:rPr>
              <w:rStyle w:val="45"/>
              <w:rFonts w:ascii="Times New Roman" w:hAnsi="Times New Roman" w:cs="Times New Roman"/>
              <w:bCs/>
            </w:rPr>
            <w:t>7.5.2 生产系统危险性识别</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_Toc194481238 \h </w:instrText>
          </w:r>
          <w:r>
            <w:rPr>
              <w:rStyle w:val="45"/>
              <w:rFonts w:ascii="Times New Roman" w:hAnsi="Times New Roman" w:cs="Times New Roman"/>
              <w:bCs/>
            </w:rPr>
            <w:fldChar w:fldCharType="separate"/>
          </w:r>
          <w:r>
            <w:rPr>
              <w:rStyle w:val="45"/>
              <w:rFonts w:ascii="Times New Roman" w:hAnsi="Times New Roman" w:cs="Times New Roman"/>
              <w:bCs/>
            </w:rPr>
            <w:t>143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"_Toc194481239" </w:instrText>
          </w:r>
          <w:r>
            <w:fldChar w:fldCharType="separate"/>
          </w:r>
          <w:r>
            <w:rPr>
              <w:rStyle w:val="45"/>
              <w:rFonts w:ascii="Times New Roman" w:hAnsi="Times New Roman" w:cs="Times New Roman"/>
              <w:bCs/>
            </w:rPr>
            <w:t>7.5.3 风险识别结果</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_Toc194481239 \h </w:instrText>
          </w:r>
          <w:r>
            <w:rPr>
              <w:rStyle w:val="45"/>
              <w:rFonts w:ascii="Times New Roman" w:hAnsi="Times New Roman" w:cs="Times New Roman"/>
              <w:bCs/>
            </w:rPr>
            <w:fldChar w:fldCharType="separate"/>
          </w:r>
          <w:r>
            <w:rPr>
              <w:rStyle w:val="45"/>
              <w:rFonts w:ascii="Times New Roman" w:hAnsi="Times New Roman" w:cs="Times New Roman"/>
              <w:bCs/>
            </w:rPr>
            <w:t>144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"_Toc194481240" </w:instrText>
          </w:r>
          <w:r>
            <w:fldChar w:fldCharType="separate"/>
          </w:r>
          <w:r>
            <w:rPr>
              <w:rStyle w:val="45"/>
              <w:rFonts w:ascii="Times New Roman" w:hAnsi="Times New Roman" w:cs="Times New Roman"/>
              <w:bCs/>
            </w:rPr>
            <w:t>7.6 环境风险分析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_Toc194481240 \h </w:instrText>
          </w:r>
          <w:r>
            <w:rPr>
              <w:rFonts w:ascii="Times New Roman" w:hAnsi="Times New Roman" w:cs="Times New Roman"/>
              <w:bCs/>
            </w:rPr>
            <w:fldChar w:fldCharType="separate"/>
          </w:r>
          <w:r>
            <w:rPr>
              <w:rFonts w:ascii="Times New Roman" w:hAnsi="Times New Roman" w:cs="Times New Roman"/>
              <w:bCs/>
            </w:rPr>
            <w:t>144</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"_Toc194481241" </w:instrText>
          </w:r>
          <w:r>
            <w:fldChar w:fldCharType="separate"/>
          </w:r>
          <w:r>
            <w:rPr>
              <w:rStyle w:val="45"/>
              <w:rFonts w:ascii="Times New Roman" w:hAnsi="Times New Roman" w:cs="Times New Roman"/>
              <w:bCs/>
            </w:rPr>
            <w:t>7.6.1 大气环境风险分析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_Toc194481241 \h </w:instrText>
          </w:r>
          <w:r>
            <w:rPr>
              <w:rStyle w:val="45"/>
              <w:rFonts w:ascii="Times New Roman" w:hAnsi="Times New Roman" w:cs="Times New Roman"/>
              <w:bCs/>
            </w:rPr>
            <w:fldChar w:fldCharType="separate"/>
          </w:r>
          <w:r>
            <w:rPr>
              <w:rStyle w:val="45"/>
              <w:rFonts w:ascii="Times New Roman" w:hAnsi="Times New Roman" w:cs="Times New Roman"/>
              <w:bCs/>
            </w:rPr>
            <w:t>144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"_Toc194481242" </w:instrText>
          </w:r>
          <w:r>
            <w:fldChar w:fldCharType="separate"/>
          </w:r>
          <w:r>
            <w:rPr>
              <w:rStyle w:val="45"/>
              <w:rFonts w:ascii="Times New Roman" w:hAnsi="Times New Roman" w:cs="Times New Roman"/>
              <w:bCs/>
            </w:rPr>
            <w:t>7.6.2 地表水环境风险分析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_Toc194481242 \h </w:instrText>
          </w:r>
          <w:r>
            <w:rPr>
              <w:rStyle w:val="45"/>
              <w:rFonts w:ascii="Times New Roman" w:hAnsi="Times New Roman" w:cs="Times New Roman"/>
              <w:bCs/>
            </w:rPr>
            <w:fldChar w:fldCharType="separate"/>
          </w:r>
          <w:r>
            <w:rPr>
              <w:rStyle w:val="45"/>
              <w:rFonts w:ascii="Times New Roman" w:hAnsi="Times New Roman" w:cs="Times New Roman"/>
              <w:bCs/>
            </w:rPr>
            <w:t>144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"_Toc194481243" </w:instrText>
          </w:r>
          <w:r>
            <w:fldChar w:fldCharType="separate"/>
          </w:r>
          <w:r>
            <w:rPr>
              <w:rStyle w:val="45"/>
              <w:rFonts w:ascii="Times New Roman" w:hAnsi="Times New Roman" w:cs="Times New Roman"/>
              <w:bCs/>
            </w:rPr>
            <w:t>7.6.3 地下水、土壤环境风险分析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_Toc194481243 \h </w:instrText>
          </w:r>
          <w:r>
            <w:rPr>
              <w:rStyle w:val="45"/>
              <w:rFonts w:ascii="Times New Roman" w:hAnsi="Times New Roman" w:cs="Times New Roman"/>
              <w:bCs/>
            </w:rPr>
            <w:fldChar w:fldCharType="separate"/>
          </w:r>
          <w:r>
            <w:rPr>
              <w:rStyle w:val="45"/>
              <w:rFonts w:ascii="Times New Roman" w:hAnsi="Times New Roman" w:cs="Times New Roman"/>
              <w:bCs/>
            </w:rPr>
            <w:t>145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"_Toc194481244" </w:instrText>
          </w:r>
          <w:r>
            <w:fldChar w:fldCharType="separate"/>
          </w:r>
          <w:r>
            <w:rPr>
              <w:rStyle w:val="45"/>
              <w:rFonts w:ascii="Times New Roman" w:hAnsi="Times New Roman" w:cs="Times New Roman"/>
              <w:bCs/>
            </w:rPr>
            <w:t>7.6.4 养殖疫情风险分析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_Toc194481244 \h </w:instrText>
          </w:r>
          <w:r>
            <w:rPr>
              <w:rStyle w:val="45"/>
              <w:rFonts w:ascii="Times New Roman" w:hAnsi="Times New Roman" w:cs="Times New Roman"/>
              <w:bCs/>
            </w:rPr>
            <w:fldChar w:fldCharType="separate"/>
          </w:r>
          <w:r>
            <w:rPr>
              <w:rStyle w:val="45"/>
              <w:rFonts w:ascii="Times New Roman" w:hAnsi="Times New Roman" w:cs="Times New Roman"/>
              <w:bCs/>
            </w:rPr>
            <w:t>146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"_Toc194481245" </w:instrText>
          </w:r>
          <w:r>
            <w:fldChar w:fldCharType="separate"/>
          </w:r>
          <w:r>
            <w:rPr>
              <w:rStyle w:val="45"/>
              <w:rFonts w:ascii="Times New Roman" w:hAnsi="Times New Roman" w:cs="Times New Roman"/>
              <w:bCs/>
            </w:rPr>
            <w:t>7.7 环境风险防范措施</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_Toc194481245 \h </w:instrText>
          </w:r>
          <w:r>
            <w:rPr>
              <w:rFonts w:ascii="Times New Roman" w:hAnsi="Times New Roman" w:cs="Times New Roman"/>
              <w:bCs/>
            </w:rPr>
            <w:fldChar w:fldCharType="separate"/>
          </w:r>
          <w:r>
            <w:rPr>
              <w:rFonts w:ascii="Times New Roman" w:hAnsi="Times New Roman" w:cs="Times New Roman"/>
              <w:bCs/>
            </w:rPr>
            <w:t>147</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"_Toc194481246" </w:instrText>
          </w:r>
          <w:r>
            <w:fldChar w:fldCharType="separate"/>
          </w:r>
          <w:r>
            <w:rPr>
              <w:rStyle w:val="45"/>
              <w:rFonts w:ascii="Times New Roman" w:hAnsi="Times New Roman" w:cs="Times New Roman"/>
              <w:bCs/>
            </w:rPr>
            <w:t>7.7.1 废水事故防范措施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_Toc194481246 \h </w:instrText>
          </w:r>
          <w:r>
            <w:rPr>
              <w:rStyle w:val="45"/>
              <w:rFonts w:ascii="Times New Roman" w:hAnsi="Times New Roman" w:cs="Times New Roman"/>
              <w:bCs/>
            </w:rPr>
            <w:fldChar w:fldCharType="separate"/>
          </w:r>
          <w:r>
            <w:rPr>
              <w:rStyle w:val="45"/>
              <w:rFonts w:ascii="Times New Roman" w:hAnsi="Times New Roman" w:cs="Times New Roman"/>
              <w:bCs/>
            </w:rPr>
            <w:t>147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"_Toc194481247" </w:instrText>
          </w:r>
          <w:r>
            <w:fldChar w:fldCharType="separate"/>
          </w:r>
          <w:r>
            <w:rPr>
              <w:rStyle w:val="45"/>
              <w:rFonts w:ascii="Times New Roman" w:hAnsi="Times New Roman" w:cs="Times New Roman"/>
              <w:bCs/>
            </w:rPr>
            <w:t>7.7.2 柴油储存风险防范措施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_Toc194481247 \h </w:instrText>
          </w:r>
          <w:r>
            <w:rPr>
              <w:rStyle w:val="45"/>
              <w:rFonts w:ascii="Times New Roman" w:hAnsi="Times New Roman" w:cs="Times New Roman"/>
              <w:bCs/>
            </w:rPr>
            <w:fldChar w:fldCharType="separate"/>
          </w:r>
          <w:r>
            <w:rPr>
              <w:rStyle w:val="45"/>
              <w:rFonts w:ascii="Times New Roman" w:hAnsi="Times New Roman" w:cs="Times New Roman"/>
              <w:bCs/>
            </w:rPr>
            <w:t>147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"_Toc194481248" </w:instrText>
          </w:r>
          <w:r>
            <w:fldChar w:fldCharType="separate"/>
          </w:r>
          <w:r>
            <w:rPr>
              <w:rStyle w:val="45"/>
              <w:rFonts w:ascii="Times New Roman" w:hAnsi="Times New Roman" w:cs="Times New Roman"/>
              <w:bCs/>
            </w:rPr>
            <w:t>7.7.3 次氯酸钠储存风险防范措施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_Toc194481248 \h </w:instrText>
          </w:r>
          <w:r>
            <w:rPr>
              <w:rStyle w:val="45"/>
              <w:rFonts w:ascii="Times New Roman" w:hAnsi="Times New Roman" w:cs="Times New Roman"/>
              <w:bCs/>
            </w:rPr>
            <w:fldChar w:fldCharType="separate"/>
          </w:r>
          <w:r>
            <w:rPr>
              <w:rStyle w:val="45"/>
              <w:rFonts w:ascii="Times New Roman" w:hAnsi="Times New Roman" w:cs="Times New Roman"/>
              <w:bCs/>
            </w:rPr>
            <w:t>148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"_Toc194481249" </w:instrText>
          </w:r>
          <w:r>
            <w:fldChar w:fldCharType="separate"/>
          </w:r>
          <w:r>
            <w:rPr>
              <w:rStyle w:val="45"/>
              <w:rFonts w:ascii="Times New Roman" w:hAnsi="Times New Roman" w:cs="Times New Roman"/>
              <w:bCs/>
            </w:rPr>
            <w:t>7.7.4 疫情风险防范措施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_Toc194481249 \h </w:instrText>
          </w:r>
          <w:r>
            <w:rPr>
              <w:rStyle w:val="45"/>
              <w:rFonts w:ascii="Times New Roman" w:hAnsi="Times New Roman" w:cs="Times New Roman"/>
              <w:bCs/>
            </w:rPr>
            <w:fldChar w:fldCharType="separate"/>
          </w:r>
          <w:r>
            <w:rPr>
              <w:rStyle w:val="45"/>
              <w:rFonts w:ascii="Times New Roman" w:hAnsi="Times New Roman" w:cs="Times New Roman"/>
              <w:bCs/>
            </w:rPr>
            <w:t>148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"_Toc194481250" </w:instrText>
          </w:r>
          <w:r>
            <w:fldChar w:fldCharType="separate"/>
          </w:r>
          <w:r>
            <w:rPr>
              <w:rStyle w:val="45"/>
              <w:rFonts w:ascii="Times New Roman" w:hAnsi="Times New Roman" w:cs="Times New Roman"/>
              <w:bCs/>
            </w:rPr>
            <w:t>7.8 风险应急预案</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_Toc194481250 \h </w:instrText>
          </w:r>
          <w:r>
            <w:rPr>
              <w:rFonts w:ascii="Times New Roman" w:hAnsi="Times New Roman" w:cs="Times New Roman"/>
              <w:bCs/>
            </w:rPr>
            <w:fldChar w:fldCharType="separate"/>
          </w:r>
          <w:r>
            <w:rPr>
              <w:rFonts w:ascii="Times New Roman" w:hAnsi="Times New Roman" w:cs="Times New Roman"/>
              <w:bCs/>
            </w:rPr>
            <w:t>149</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"_Toc194481251" </w:instrText>
          </w:r>
          <w:r>
            <w:fldChar w:fldCharType="separate"/>
          </w:r>
          <w:r>
            <w:rPr>
              <w:rStyle w:val="45"/>
              <w:rFonts w:ascii="Times New Roman" w:hAnsi="Times New Roman" w:cs="Times New Roman"/>
              <w:bCs/>
            </w:rPr>
            <w:t>7.9 环境风险评价结论</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_Toc194481251 \h </w:instrText>
          </w:r>
          <w:r>
            <w:rPr>
              <w:rFonts w:ascii="Times New Roman" w:hAnsi="Times New Roman" w:cs="Times New Roman"/>
              <w:bCs/>
            </w:rPr>
            <w:fldChar w:fldCharType="separate"/>
          </w:r>
          <w:r>
            <w:rPr>
              <w:rFonts w:ascii="Times New Roman" w:hAnsi="Times New Roman" w:cs="Times New Roman"/>
              <w:bCs/>
            </w:rPr>
            <w:t>151</w:t>
          </w:r>
          <w:r>
            <w:rPr>
              <w:rFonts w:ascii="Times New Roman" w:hAnsi="Times New Roman" w:cs="Times New Roman"/>
              <w:bCs/>
            </w:rPr>
            <w:fldChar w:fldCharType="end"/>
          </w:r>
          <w:r>
            <w:rPr>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"_Toc194481252" </w:instrText>
          </w:r>
          <w:r>
            <w:fldChar w:fldCharType="separate"/>
          </w:r>
          <w:r>
            <w:rPr>
              <w:rStyle w:val="45"/>
              <w:rFonts w:ascii="Times New Roman" w:hAnsi="Times New Roman" w:cs="Times New Roman"/>
              <w:b w:val="0"/>
              <w:bCs/>
            </w:rPr>
            <w:t>第8章 环境影响经济损益分析</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_Toc194481252 \h </w:instrText>
          </w:r>
          <w:r>
            <w:rPr>
              <w:rFonts w:ascii="Times New Roman" w:hAnsi="Times New Roman" w:cs="Times New Roman"/>
              <w:b w:val="0"/>
              <w:bCs/>
            </w:rPr>
            <w:fldChar w:fldCharType="separate"/>
          </w:r>
          <w:r>
            <w:rPr>
              <w:rFonts w:ascii="Times New Roman" w:hAnsi="Times New Roman" w:cs="Times New Roman"/>
              <w:b w:val="0"/>
              <w:bCs/>
            </w:rPr>
            <w:t>152</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"_Toc194481253" </w:instrText>
          </w:r>
          <w:r>
            <w:fldChar w:fldCharType="separate"/>
          </w:r>
          <w:r>
            <w:rPr>
              <w:rStyle w:val="45"/>
              <w:rFonts w:ascii="Times New Roman" w:hAnsi="Times New Roman" w:cs="Times New Roman"/>
              <w:bCs/>
            </w:rPr>
            <w:t>8.1 环境经济损益分析</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_Toc194481253 \h </w:instrText>
          </w:r>
          <w:r>
            <w:rPr>
              <w:rFonts w:ascii="Times New Roman" w:hAnsi="Times New Roman" w:cs="Times New Roman"/>
              <w:bCs/>
            </w:rPr>
            <w:fldChar w:fldCharType="separate"/>
          </w:r>
          <w:r>
            <w:rPr>
              <w:rFonts w:ascii="Times New Roman" w:hAnsi="Times New Roman" w:cs="Times New Roman"/>
              <w:bCs/>
            </w:rPr>
            <w:t>152</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"_Toc194481254" </w:instrText>
          </w:r>
          <w:r>
            <w:fldChar w:fldCharType="separate"/>
          </w:r>
          <w:r>
            <w:rPr>
              <w:rStyle w:val="45"/>
              <w:rFonts w:ascii="Times New Roman" w:hAnsi="Times New Roman" w:cs="Times New Roman"/>
              <w:bCs/>
            </w:rPr>
            <w:t>8.1.1 环保投资估算</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_Toc194481254 \h </w:instrText>
          </w:r>
          <w:r>
            <w:rPr>
              <w:rStyle w:val="45"/>
              <w:rFonts w:ascii="Times New Roman" w:hAnsi="Times New Roman" w:cs="Times New Roman"/>
              <w:bCs/>
            </w:rPr>
            <w:fldChar w:fldCharType="separate"/>
          </w:r>
          <w:r>
            <w:rPr>
              <w:rStyle w:val="45"/>
              <w:rFonts w:ascii="Times New Roman" w:hAnsi="Times New Roman" w:cs="Times New Roman"/>
              <w:bCs/>
            </w:rPr>
            <w:t>152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"_Toc194481255" </w:instrText>
          </w:r>
          <w:r>
            <w:fldChar w:fldCharType="separate"/>
          </w:r>
          <w:r>
            <w:rPr>
              <w:rStyle w:val="45"/>
              <w:rFonts w:ascii="Times New Roman" w:hAnsi="Times New Roman" w:cs="Times New Roman"/>
              <w:bCs/>
            </w:rPr>
            <w:t>8.1.2 环保投资效益分析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_Toc194481255 \h </w:instrText>
          </w:r>
          <w:r>
            <w:rPr>
              <w:rStyle w:val="45"/>
              <w:rFonts w:ascii="Times New Roman" w:hAnsi="Times New Roman" w:cs="Times New Roman"/>
              <w:bCs/>
            </w:rPr>
            <w:fldChar w:fldCharType="separate"/>
          </w:r>
          <w:r>
            <w:rPr>
              <w:rStyle w:val="45"/>
              <w:rFonts w:ascii="Times New Roman" w:hAnsi="Times New Roman" w:cs="Times New Roman"/>
              <w:bCs/>
            </w:rPr>
            <w:t>153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"_Toc194481256" </w:instrText>
          </w:r>
          <w:r>
            <w:fldChar w:fldCharType="separate"/>
          </w:r>
          <w:r>
            <w:rPr>
              <w:rStyle w:val="45"/>
              <w:rFonts w:ascii="Times New Roman" w:hAnsi="Times New Roman" w:cs="Times New Roman"/>
              <w:bCs/>
            </w:rPr>
            <w:t>8.1.3 经济效益分析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_Toc194481256 \h </w:instrText>
          </w:r>
          <w:r>
            <w:rPr>
              <w:rStyle w:val="45"/>
              <w:rFonts w:ascii="Times New Roman" w:hAnsi="Times New Roman" w:cs="Times New Roman"/>
              <w:bCs/>
            </w:rPr>
            <w:fldChar w:fldCharType="separate"/>
          </w:r>
          <w:r>
            <w:rPr>
              <w:rStyle w:val="45"/>
              <w:rFonts w:ascii="Times New Roman" w:hAnsi="Times New Roman" w:cs="Times New Roman"/>
              <w:bCs/>
            </w:rPr>
            <w:t>153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"_Toc194481257" </w:instrText>
          </w:r>
          <w:r>
            <w:fldChar w:fldCharType="separate"/>
          </w:r>
          <w:r>
            <w:rPr>
              <w:rStyle w:val="45"/>
              <w:rFonts w:ascii="Times New Roman" w:hAnsi="Times New Roman" w:cs="Times New Roman"/>
              <w:bCs/>
            </w:rPr>
            <w:t>8.1.4 社会效益分析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_Toc194481257 \h </w:instrText>
          </w:r>
          <w:r>
            <w:rPr>
              <w:rStyle w:val="45"/>
              <w:rFonts w:ascii="Times New Roman" w:hAnsi="Times New Roman" w:cs="Times New Roman"/>
              <w:bCs/>
            </w:rPr>
            <w:fldChar w:fldCharType="separate"/>
          </w:r>
          <w:r>
            <w:rPr>
              <w:rStyle w:val="45"/>
              <w:rFonts w:ascii="Times New Roman" w:hAnsi="Times New Roman" w:cs="Times New Roman"/>
              <w:bCs/>
            </w:rPr>
            <w:t>154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"_Toc194481258" </w:instrText>
          </w:r>
          <w:r>
            <w:fldChar w:fldCharType="separate"/>
          </w:r>
          <w:r>
            <w:rPr>
              <w:rStyle w:val="45"/>
              <w:rFonts w:ascii="Times New Roman" w:hAnsi="Times New Roman" w:cs="Times New Roman"/>
              <w:bCs/>
            </w:rPr>
            <w:t>8.1.5 小结</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_Toc194481258 \h </w:instrText>
          </w:r>
          <w:r>
            <w:rPr>
              <w:rStyle w:val="45"/>
              <w:rFonts w:ascii="Times New Roman" w:hAnsi="Times New Roman" w:cs="Times New Roman"/>
              <w:bCs/>
            </w:rPr>
            <w:fldChar w:fldCharType="separate"/>
          </w:r>
          <w:r>
            <w:rPr>
              <w:rStyle w:val="45"/>
              <w:rFonts w:ascii="Times New Roman" w:hAnsi="Times New Roman" w:cs="Times New Roman"/>
              <w:bCs/>
            </w:rPr>
            <w:t>154</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"_Toc194481259" </w:instrText>
          </w:r>
          <w:r>
            <w:fldChar w:fldCharType="separate"/>
          </w:r>
          <w:r>
            <w:rPr>
              <w:rStyle w:val="45"/>
              <w:rFonts w:ascii="Times New Roman" w:hAnsi="Times New Roman" w:cs="Times New Roman"/>
              <w:b w:val="0"/>
              <w:bCs/>
            </w:rPr>
            <w:t>第 9 章 环境管理与监测计划</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_Toc194481259 \h </w:instrText>
          </w:r>
          <w:r>
            <w:rPr>
              <w:rFonts w:ascii="Times New Roman" w:hAnsi="Times New Roman" w:cs="Times New Roman"/>
              <w:b w:val="0"/>
              <w:bCs/>
            </w:rPr>
            <w:fldChar w:fldCharType="separate"/>
          </w:r>
          <w:r>
            <w:rPr>
              <w:rFonts w:ascii="Times New Roman" w:hAnsi="Times New Roman" w:cs="Times New Roman"/>
              <w:b w:val="0"/>
              <w:bCs/>
            </w:rPr>
            <w:t>155</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"_Toc194481260" </w:instrText>
          </w:r>
          <w:r>
            <w:fldChar w:fldCharType="separate"/>
          </w:r>
          <w:r>
            <w:rPr>
              <w:rStyle w:val="45"/>
              <w:rFonts w:ascii="Times New Roman" w:hAnsi="Times New Roman" w:cs="Times New Roman"/>
              <w:bCs/>
            </w:rPr>
            <w:t>9.1 环境管理</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_Toc194481260 \h </w:instrText>
          </w:r>
          <w:r>
            <w:rPr>
              <w:rFonts w:ascii="Times New Roman" w:hAnsi="Times New Roman" w:cs="Times New Roman"/>
              <w:bCs/>
            </w:rPr>
            <w:fldChar w:fldCharType="separate"/>
          </w:r>
          <w:r>
            <w:rPr>
              <w:rFonts w:ascii="Times New Roman" w:hAnsi="Times New Roman" w:cs="Times New Roman"/>
              <w:bCs/>
            </w:rPr>
            <w:t>155</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"_Toc194481261" </w:instrText>
          </w:r>
          <w:r>
            <w:fldChar w:fldCharType="separate"/>
          </w:r>
          <w:r>
            <w:rPr>
              <w:rStyle w:val="45"/>
              <w:rFonts w:ascii="Times New Roman" w:hAnsi="Times New Roman" w:cs="Times New Roman"/>
              <w:bCs/>
            </w:rPr>
            <w:t>9.1.1 环境管理制度</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_Toc194481261 \h </w:instrText>
          </w:r>
          <w:r>
            <w:rPr>
              <w:rStyle w:val="45"/>
              <w:rFonts w:ascii="Times New Roman" w:hAnsi="Times New Roman" w:cs="Times New Roman"/>
              <w:bCs/>
            </w:rPr>
            <w:fldChar w:fldCharType="separate"/>
          </w:r>
          <w:r>
            <w:rPr>
              <w:rStyle w:val="45"/>
              <w:rFonts w:ascii="Times New Roman" w:hAnsi="Times New Roman" w:cs="Times New Roman"/>
              <w:bCs/>
            </w:rPr>
            <w:t>155</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"_Toc194481262" </w:instrText>
          </w:r>
          <w:r>
            <w:fldChar w:fldCharType="separate"/>
          </w:r>
          <w:r>
            <w:rPr>
              <w:rStyle w:val="45"/>
              <w:rFonts w:ascii="Times New Roman" w:hAnsi="Times New Roman" w:cs="Times New Roman"/>
              <w:bCs/>
            </w:rPr>
            <w:t>9.1.2 环境管理机构设置</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_Toc194481262 \h </w:instrText>
          </w:r>
          <w:r>
            <w:rPr>
              <w:rStyle w:val="45"/>
              <w:rFonts w:ascii="Times New Roman" w:hAnsi="Times New Roman" w:cs="Times New Roman"/>
              <w:bCs/>
            </w:rPr>
            <w:fldChar w:fldCharType="separate"/>
          </w:r>
          <w:r>
            <w:rPr>
              <w:rStyle w:val="45"/>
              <w:rFonts w:ascii="Times New Roman" w:hAnsi="Times New Roman" w:cs="Times New Roman"/>
              <w:bCs/>
            </w:rPr>
            <w:t>156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"_Toc194481263" </w:instrText>
          </w:r>
          <w:r>
            <w:fldChar w:fldCharType="separate"/>
          </w:r>
          <w:r>
            <w:rPr>
              <w:rStyle w:val="45"/>
              <w:rFonts w:ascii="Times New Roman" w:hAnsi="Times New Roman" w:cs="Times New Roman"/>
              <w:bCs/>
            </w:rPr>
            <w:t>9.1.3 环境管理计划</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_Toc194481263 \h </w:instrText>
          </w:r>
          <w:r>
            <w:rPr>
              <w:rStyle w:val="45"/>
              <w:rFonts w:ascii="Times New Roman" w:hAnsi="Times New Roman" w:cs="Times New Roman"/>
              <w:bCs/>
            </w:rPr>
            <w:fldChar w:fldCharType="separate"/>
          </w:r>
          <w:r>
            <w:rPr>
              <w:rStyle w:val="45"/>
              <w:rFonts w:ascii="Times New Roman" w:hAnsi="Times New Roman" w:cs="Times New Roman"/>
              <w:bCs/>
            </w:rPr>
            <w:t>157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"_Toc194481264" </w:instrText>
          </w:r>
          <w:r>
            <w:fldChar w:fldCharType="separate"/>
          </w:r>
          <w:r>
            <w:rPr>
              <w:rStyle w:val="45"/>
              <w:rFonts w:ascii="Times New Roman" w:hAnsi="Times New Roman" w:cs="Times New Roman"/>
              <w:bCs/>
            </w:rPr>
            <w:t>9.1.4 监理环境管理台账</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_Toc194481264 \h </w:instrText>
          </w:r>
          <w:r>
            <w:rPr>
              <w:rStyle w:val="45"/>
              <w:rFonts w:ascii="Times New Roman" w:hAnsi="Times New Roman" w:cs="Times New Roman"/>
              <w:bCs/>
            </w:rPr>
            <w:fldChar w:fldCharType="separate"/>
          </w:r>
          <w:r>
            <w:rPr>
              <w:rStyle w:val="45"/>
              <w:rFonts w:ascii="Times New Roman" w:hAnsi="Times New Roman" w:cs="Times New Roman"/>
              <w:bCs/>
            </w:rPr>
            <w:t>158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"_Toc194481265" </w:instrText>
          </w:r>
          <w:r>
            <w:fldChar w:fldCharType="separate"/>
          </w:r>
          <w:r>
            <w:rPr>
              <w:rStyle w:val="45"/>
              <w:rFonts w:ascii="Times New Roman" w:hAnsi="Times New Roman" w:cs="Times New Roman"/>
              <w:bCs/>
            </w:rPr>
            <w:t>9.2 环境监测</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_Toc194481265 \h </w:instrText>
          </w:r>
          <w:r>
            <w:rPr>
              <w:rFonts w:ascii="Times New Roman" w:hAnsi="Times New Roman" w:cs="Times New Roman"/>
              <w:bCs/>
            </w:rPr>
            <w:fldChar w:fldCharType="separate"/>
          </w:r>
          <w:r>
            <w:rPr>
              <w:rFonts w:ascii="Times New Roman" w:hAnsi="Times New Roman" w:cs="Times New Roman"/>
              <w:bCs/>
            </w:rPr>
            <w:t>158</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"_Toc194481266" </w:instrText>
          </w:r>
          <w:r>
            <w:fldChar w:fldCharType="separate"/>
          </w:r>
          <w:r>
            <w:rPr>
              <w:rStyle w:val="45"/>
              <w:rFonts w:ascii="Times New Roman" w:hAnsi="Times New Roman" w:cs="Times New Roman"/>
              <w:bCs/>
            </w:rPr>
            <w:t>9.2.1 环境监测管理</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_Toc194481266 \h </w:instrText>
          </w:r>
          <w:r>
            <w:rPr>
              <w:rStyle w:val="45"/>
              <w:rFonts w:ascii="Times New Roman" w:hAnsi="Times New Roman" w:cs="Times New Roman"/>
              <w:bCs/>
            </w:rPr>
            <w:fldChar w:fldCharType="separate"/>
          </w:r>
          <w:r>
            <w:rPr>
              <w:rStyle w:val="45"/>
              <w:rFonts w:ascii="Times New Roman" w:hAnsi="Times New Roman" w:cs="Times New Roman"/>
              <w:bCs/>
            </w:rPr>
            <w:t>158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"_Toc194481267" </w:instrText>
          </w:r>
          <w:r>
            <w:fldChar w:fldCharType="separate"/>
          </w:r>
          <w:r>
            <w:rPr>
              <w:rStyle w:val="45"/>
              <w:rFonts w:ascii="Times New Roman" w:hAnsi="Times New Roman" w:cs="Times New Roman"/>
              <w:bCs/>
            </w:rPr>
            <w:t>9.2.2 环境监测工作的要求</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_Toc194481267 \h </w:instrText>
          </w:r>
          <w:r>
            <w:rPr>
              <w:rStyle w:val="45"/>
              <w:rFonts w:ascii="Times New Roman" w:hAnsi="Times New Roman" w:cs="Times New Roman"/>
              <w:bCs/>
            </w:rPr>
            <w:fldChar w:fldCharType="separate"/>
          </w:r>
          <w:r>
            <w:rPr>
              <w:rStyle w:val="45"/>
              <w:rFonts w:ascii="Times New Roman" w:hAnsi="Times New Roman" w:cs="Times New Roman"/>
              <w:bCs/>
            </w:rPr>
            <w:t>158</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"_Toc194481268" </w:instrText>
          </w:r>
          <w:r>
            <w:fldChar w:fldCharType="separate"/>
          </w:r>
          <w:r>
            <w:rPr>
              <w:rStyle w:val="45"/>
              <w:rFonts w:ascii="Times New Roman" w:hAnsi="Times New Roman" w:cs="Times New Roman"/>
              <w:bCs/>
            </w:rPr>
            <w:t>9.2.3 环境监测</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_Toc194481268 \h </w:instrText>
          </w:r>
          <w:r>
            <w:rPr>
              <w:rStyle w:val="45"/>
              <w:rFonts w:ascii="Times New Roman" w:hAnsi="Times New Roman" w:cs="Times New Roman"/>
              <w:bCs/>
            </w:rPr>
            <w:fldChar w:fldCharType="separate"/>
          </w:r>
          <w:r>
            <w:rPr>
              <w:rStyle w:val="45"/>
              <w:rFonts w:ascii="Times New Roman" w:hAnsi="Times New Roman" w:cs="Times New Roman"/>
              <w:bCs/>
            </w:rPr>
            <w:t>159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"_Toc194481269" </w:instrText>
          </w:r>
          <w:r>
            <w:fldChar w:fldCharType="separate"/>
          </w:r>
          <w:r>
            <w:rPr>
              <w:rStyle w:val="45"/>
              <w:rFonts w:ascii="Times New Roman" w:hAnsi="Times New Roman" w:cs="Times New Roman"/>
              <w:bCs/>
            </w:rPr>
            <w:t>9.2.5 监测工作保障措施</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_Toc194481269 \h </w:instrText>
          </w:r>
          <w:r>
            <w:rPr>
              <w:rStyle w:val="45"/>
              <w:rFonts w:ascii="Times New Roman" w:hAnsi="Times New Roman" w:cs="Times New Roman"/>
              <w:bCs/>
            </w:rPr>
            <w:fldChar w:fldCharType="separate"/>
          </w:r>
          <w:r>
            <w:rPr>
              <w:rStyle w:val="45"/>
              <w:rFonts w:ascii="Times New Roman" w:hAnsi="Times New Roman" w:cs="Times New Roman"/>
              <w:bCs/>
            </w:rPr>
            <w:t>161</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"_Toc194481270" </w:instrText>
          </w:r>
          <w:r>
            <w:fldChar w:fldCharType="separate"/>
          </w:r>
          <w:r>
            <w:rPr>
              <w:rStyle w:val="45"/>
              <w:rFonts w:ascii="Times New Roman" w:hAnsi="Times New Roman" w:cs="Times New Roman"/>
              <w:bCs/>
            </w:rPr>
            <w:t>9.3 排污许可管理</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_Toc194481270 \h </w:instrText>
          </w:r>
          <w:r>
            <w:rPr>
              <w:rFonts w:ascii="Times New Roman" w:hAnsi="Times New Roman" w:cs="Times New Roman"/>
              <w:bCs/>
            </w:rPr>
            <w:fldChar w:fldCharType="separate"/>
          </w:r>
          <w:r>
            <w:rPr>
              <w:rFonts w:ascii="Times New Roman" w:hAnsi="Times New Roman" w:cs="Times New Roman"/>
              <w:bCs/>
            </w:rPr>
            <w:t>161</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"_Toc194481271" </w:instrText>
          </w:r>
          <w:r>
            <w:fldChar w:fldCharType="separate"/>
          </w:r>
          <w:r>
            <w:rPr>
              <w:rStyle w:val="45"/>
              <w:rFonts w:ascii="Times New Roman" w:hAnsi="Times New Roman" w:cs="Times New Roman"/>
              <w:bCs/>
            </w:rPr>
            <w:t>9.4 排污口规范化建设及管理</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_Toc194481271 \h </w:instrText>
          </w:r>
          <w:r>
            <w:rPr>
              <w:rFonts w:ascii="Times New Roman" w:hAnsi="Times New Roman" w:cs="Times New Roman"/>
              <w:bCs/>
            </w:rPr>
            <w:fldChar w:fldCharType="separate"/>
          </w:r>
          <w:r>
            <w:rPr>
              <w:rFonts w:ascii="Times New Roman" w:hAnsi="Times New Roman" w:cs="Times New Roman"/>
              <w:bCs/>
            </w:rPr>
            <w:t>162</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"_Toc194481272" </w:instrText>
          </w:r>
          <w:r>
            <w:fldChar w:fldCharType="separate"/>
          </w:r>
          <w:r>
            <w:rPr>
              <w:rStyle w:val="45"/>
              <w:rFonts w:ascii="Times New Roman" w:hAnsi="Times New Roman" w:cs="Times New Roman"/>
              <w:bCs/>
            </w:rPr>
            <w:t>9.4.1 排污口规范化建设</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_Toc194481272 \h </w:instrText>
          </w:r>
          <w:r>
            <w:rPr>
              <w:rStyle w:val="45"/>
              <w:rFonts w:ascii="Times New Roman" w:hAnsi="Times New Roman" w:cs="Times New Roman"/>
              <w:bCs/>
            </w:rPr>
            <w:fldChar w:fldCharType="separate"/>
          </w:r>
          <w:r>
            <w:rPr>
              <w:rStyle w:val="45"/>
              <w:rFonts w:ascii="Times New Roman" w:hAnsi="Times New Roman" w:cs="Times New Roman"/>
              <w:bCs/>
            </w:rPr>
            <w:t>162</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"_Toc194481273" </w:instrText>
          </w:r>
          <w:r>
            <w:fldChar w:fldCharType="separate"/>
          </w:r>
          <w:r>
            <w:rPr>
              <w:rStyle w:val="45"/>
              <w:rFonts w:ascii="Times New Roman" w:hAnsi="Times New Roman" w:cs="Times New Roman"/>
              <w:bCs/>
            </w:rPr>
            <w:t>9.4.2 排污口建档管理</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_Toc194481273 \h </w:instrText>
          </w:r>
          <w:r>
            <w:rPr>
              <w:rStyle w:val="45"/>
              <w:rFonts w:ascii="Times New Roman" w:hAnsi="Times New Roman" w:cs="Times New Roman"/>
              <w:bCs/>
            </w:rPr>
            <w:fldChar w:fldCharType="separate"/>
          </w:r>
          <w:r>
            <w:rPr>
              <w:rStyle w:val="45"/>
              <w:rFonts w:ascii="Times New Roman" w:hAnsi="Times New Roman" w:cs="Times New Roman"/>
              <w:bCs/>
            </w:rPr>
            <w:t>163</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"_Toc194481274" </w:instrText>
          </w:r>
          <w:r>
            <w:fldChar w:fldCharType="separate"/>
          </w:r>
          <w:r>
            <w:rPr>
              <w:rStyle w:val="45"/>
              <w:rFonts w:ascii="Times New Roman" w:hAnsi="Times New Roman" w:cs="Times New Roman"/>
              <w:bCs/>
            </w:rPr>
            <w:t>9.5 环境保护“三同时”验收</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_Toc194481274 \h </w:instrText>
          </w:r>
          <w:r>
            <w:rPr>
              <w:rFonts w:ascii="Times New Roman" w:hAnsi="Times New Roman" w:cs="Times New Roman"/>
              <w:bCs/>
            </w:rPr>
            <w:fldChar w:fldCharType="separate"/>
          </w:r>
          <w:r>
            <w:rPr>
              <w:rFonts w:ascii="Times New Roman" w:hAnsi="Times New Roman" w:cs="Times New Roman"/>
              <w:bCs/>
            </w:rPr>
            <w:t>164</w:t>
          </w:r>
          <w:r>
            <w:rPr>
              <w:rFonts w:ascii="Times New Roman" w:hAnsi="Times New Roman" w:cs="Times New Roman"/>
              <w:bCs/>
            </w:rPr>
            <w:fldChar w:fldCharType="end"/>
          </w:r>
          <w:r>
            <w:rPr>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"_Toc194481275" </w:instrText>
          </w:r>
          <w:r>
            <w:fldChar w:fldCharType="separate"/>
          </w:r>
          <w:r>
            <w:rPr>
              <w:rStyle w:val="45"/>
              <w:rFonts w:ascii="Times New Roman" w:hAnsi="Times New Roman" w:cs="Times New Roman"/>
              <w:bCs/>
            </w:rPr>
            <w:t>9.6 污染物排放总量控制指标</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_Toc194481275 \h </w:instrText>
          </w:r>
          <w:r>
            <w:rPr>
              <w:rFonts w:ascii="Times New Roman" w:hAnsi="Times New Roman" w:cs="Times New Roman"/>
              <w:bCs/>
            </w:rPr>
            <w:fldChar w:fldCharType="separate"/>
          </w:r>
          <w:r>
            <w:rPr>
              <w:rFonts w:ascii="Times New Roman" w:hAnsi="Times New Roman" w:cs="Times New Roman"/>
              <w:bCs/>
            </w:rPr>
            <w:t>164</w:t>
          </w:r>
          <w:r>
            <w:rPr>
              <w:rFonts w:ascii="Times New Roman" w:hAnsi="Times New Roman" w:cs="Times New Roman"/>
              <w:bCs/>
            </w:rPr>
            <w:fldChar w:fldCharType="end"/>
          </w:r>
          <w:r>
            <w:rPr>
              <w:rFonts w:ascii="Times New Roman" w:hAnsi="Times New Roman" w:cs="Times New Roman"/>
              <w:bCs/>
            </w:rPr>
            <w:fldChar w:fldCharType="end"/>
          </w:r>
        </w:p>
        <w:p>
          <w:pPr>
            <w:pStyle w:val="27"/>
            <w:rPr>
              <w:rFonts w:ascii="Times New Roman" w:hAnsi="Times New Roman" w:cs="Times New Roman"/>
              <w:b w:val="0"/>
              <w:bCs/>
              <w:kern w:val="2"/>
              <w:sz w:val="22"/>
            </w:rPr>
          </w:pPr>
          <w:r>
            <w:fldChar w:fldCharType="begin"/>
          </w:r>
          <w:r>
            <w:instrText xml:space="preserve"> HYPERLINK \l "_Toc194481276" </w:instrText>
          </w:r>
          <w:r>
            <w:fldChar w:fldCharType="separate"/>
          </w:r>
          <w:r>
            <w:rPr>
              <w:rStyle w:val="45"/>
              <w:rFonts w:ascii="Times New Roman" w:hAnsi="Times New Roman" w:cs="Times New Roman"/>
              <w:b w:val="0"/>
              <w:bCs/>
            </w:rPr>
            <w:t>第10章 环境影响评价结论</w:t>
          </w:r>
          <w:r>
            <w:rPr>
              <w:rFonts w:ascii="Times New Roman" w:hAnsi="Times New Roman" w:cs="Times New Roman"/>
              <w:b w:val="0"/>
              <w:bCs/>
            </w:rPr>
            <w:tab/>
          </w:r>
          <w:r>
            <w:rPr>
              <w:rFonts w:ascii="Times New Roman" w:hAnsi="Times New Roman" w:cs="Times New Roman"/>
              <w:b w:val="0"/>
              <w:bCs/>
            </w:rPr>
            <w:fldChar w:fldCharType="begin"/>
          </w:r>
          <w:r>
            <w:rPr>
              <w:rFonts w:ascii="Times New Roman" w:hAnsi="Times New Roman" w:cs="Times New Roman"/>
              <w:b w:val="0"/>
              <w:bCs/>
            </w:rPr>
            <w:instrText xml:space="preserve"> PAGEREF _Toc194481276 \h </w:instrText>
          </w:r>
          <w:r>
            <w:rPr>
              <w:rFonts w:ascii="Times New Roman" w:hAnsi="Times New Roman" w:cs="Times New Roman"/>
              <w:b w:val="0"/>
              <w:bCs/>
            </w:rPr>
            <w:fldChar w:fldCharType="separate"/>
          </w:r>
          <w:r>
            <w:rPr>
              <w:rFonts w:ascii="Times New Roman" w:hAnsi="Times New Roman" w:cs="Times New Roman"/>
              <w:b w:val="0"/>
              <w:bCs/>
            </w:rPr>
            <w:t>166</w:t>
          </w:r>
          <w:r>
            <w:rPr>
              <w:rFonts w:ascii="Times New Roman" w:hAnsi="Times New Roman" w:cs="Times New Roman"/>
              <w:b w:val="0"/>
              <w:bCs/>
            </w:rPr>
            <w:fldChar w:fldCharType="end"/>
          </w:r>
          <w:r>
            <w:rPr>
              <w:rFonts w:ascii="Times New Roman" w:hAnsi="Times New Roman" w:cs="Times New Roman"/>
              <w:b w:val="0"/>
              <w:bCs/>
            </w:rPr>
            <w:fldChar w:fldCharType="end"/>
          </w:r>
        </w:p>
        <w:p>
          <w:pPr>
            <w:pStyle w:val="33"/>
            <w:rPr>
              <w:rFonts w:ascii="Times New Roman" w:hAnsi="Times New Roman" w:cs="Times New Roman"/>
              <w:bCs/>
              <w:kern w:val="2"/>
              <w:sz w:val="22"/>
            </w:rPr>
          </w:pPr>
          <w:r>
            <w:fldChar w:fldCharType="begin"/>
          </w:r>
          <w:r>
            <w:instrText xml:space="preserve"> HYPERLINK \l "_Toc194481277" </w:instrText>
          </w:r>
          <w:r>
            <w:fldChar w:fldCharType="separate"/>
          </w:r>
          <w:r>
            <w:rPr>
              <w:rStyle w:val="45"/>
              <w:rFonts w:ascii="Times New Roman" w:hAnsi="Times New Roman" w:cs="Times New Roman"/>
              <w:bCs/>
            </w:rPr>
            <w:t>10.1 结论</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_Toc194481277 \h </w:instrText>
          </w:r>
          <w:r>
            <w:rPr>
              <w:rFonts w:ascii="Times New Roman" w:hAnsi="Times New Roman" w:cs="Times New Roman"/>
              <w:bCs/>
            </w:rPr>
            <w:fldChar w:fldCharType="separate"/>
          </w:r>
          <w:r>
            <w:rPr>
              <w:rFonts w:ascii="Times New Roman" w:hAnsi="Times New Roman" w:cs="Times New Roman"/>
              <w:bCs/>
            </w:rPr>
            <w:t>166</w:t>
          </w:r>
          <w:r>
            <w:rPr>
              <w:rFonts w:ascii="Times New Roman" w:hAnsi="Times New Roman" w:cs="Times New Roman"/>
              <w:bCs/>
            </w:rPr>
            <w:fldChar w:fldCharType="end"/>
          </w:r>
          <w:r>
            <w:rPr>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"_Toc194481278" </w:instrText>
          </w:r>
          <w:r>
            <w:fldChar w:fldCharType="separate"/>
          </w:r>
          <w:r>
            <w:rPr>
              <w:rStyle w:val="45"/>
              <w:rFonts w:ascii="Times New Roman" w:hAnsi="Times New Roman" w:cs="Times New Roman"/>
              <w:bCs/>
            </w:rPr>
            <w:t>10.1.1 项目概况</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_Toc194481278 \h </w:instrText>
          </w:r>
          <w:r>
            <w:rPr>
              <w:rStyle w:val="45"/>
              <w:rFonts w:ascii="Times New Roman" w:hAnsi="Times New Roman" w:cs="Times New Roman"/>
              <w:bCs/>
            </w:rPr>
            <w:fldChar w:fldCharType="separate"/>
          </w:r>
          <w:r>
            <w:rPr>
              <w:rStyle w:val="45"/>
              <w:rFonts w:ascii="Times New Roman" w:hAnsi="Times New Roman" w:cs="Times New Roman"/>
              <w:bCs/>
            </w:rPr>
            <w:t>166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"_Toc194481279" </w:instrText>
          </w:r>
          <w:r>
            <w:fldChar w:fldCharType="separate"/>
          </w:r>
          <w:r>
            <w:rPr>
              <w:rStyle w:val="45"/>
              <w:rFonts w:ascii="Times New Roman" w:hAnsi="Times New Roman" w:cs="Times New Roman"/>
              <w:bCs/>
            </w:rPr>
            <w:t>10.1.2 环境质量现状</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_Toc194481279 \h </w:instrText>
          </w:r>
          <w:r>
            <w:rPr>
              <w:rStyle w:val="45"/>
              <w:rFonts w:ascii="Times New Roman" w:hAnsi="Times New Roman" w:cs="Times New Roman"/>
              <w:bCs/>
            </w:rPr>
            <w:fldChar w:fldCharType="separate"/>
          </w:r>
          <w:r>
            <w:rPr>
              <w:rStyle w:val="45"/>
              <w:rFonts w:ascii="Times New Roman" w:hAnsi="Times New Roman" w:cs="Times New Roman"/>
              <w:bCs/>
            </w:rPr>
            <w:t>166</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"_Toc194481280" </w:instrText>
          </w:r>
          <w:r>
            <w:fldChar w:fldCharType="separate"/>
          </w:r>
          <w:r>
            <w:rPr>
              <w:rStyle w:val="45"/>
              <w:rFonts w:ascii="Times New Roman" w:hAnsi="Times New Roman" w:cs="Times New Roman"/>
              <w:bCs/>
            </w:rPr>
            <w:t>10.1.3 环境影响分析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_Toc194481280 \h </w:instrText>
          </w:r>
          <w:r>
            <w:rPr>
              <w:rStyle w:val="45"/>
              <w:rFonts w:ascii="Times New Roman" w:hAnsi="Times New Roman" w:cs="Times New Roman"/>
              <w:bCs/>
            </w:rPr>
            <w:fldChar w:fldCharType="separate"/>
          </w:r>
          <w:r>
            <w:rPr>
              <w:rStyle w:val="45"/>
              <w:rFonts w:ascii="Times New Roman" w:hAnsi="Times New Roman" w:cs="Times New Roman"/>
              <w:bCs/>
            </w:rPr>
            <w:t>167</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"_Toc194481281" </w:instrText>
          </w:r>
          <w:r>
            <w:fldChar w:fldCharType="separate"/>
          </w:r>
          <w:r>
            <w:rPr>
              <w:rStyle w:val="45"/>
              <w:rFonts w:ascii="Times New Roman" w:hAnsi="Times New Roman" w:cs="Times New Roman"/>
              <w:bCs/>
            </w:rPr>
            <w:t>10.1.4 环境风险分析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_Toc194481281 \h </w:instrText>
          </w:r>
          <w:r>
            <w:rPr>
              <w:rStyle w:val="45"/>
              <w:rFonts w:ascii="Times New Roman" w:hAnsi="Times New Roman" w:cs="Times New Roman"/>
              <w:bCs/>
            </w:rPr>
            <w:fldChar w:fldCharType="separate"/>
          </w:r>
          <w:r>
            <w:rPr>
              <w:rStyle w:val="45"/>
              <w:rFonts w:ascii="Times New Roman" w:hAnsi="Times New Roman" w:cs="Times New Roman"/>
              <w:bCs/>
            </w:rPr>
            <w:t>169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"_Toc194481282" </w:instrText>
          </w:r>
          <w:r>
            <w:fldChar w:fldCharType="separate"/>
          </w:r>
          <w:r>
            <w:rPr>
              <w:rStyle w:val="45"/>
              <w:rFonts w:ascii="Times New Roman" w:hAnsi="Times New Roman" w:cs="Times New Roman"/>
              <w:bCs/>
            </w:rPr>
            <w:t>10.1.5 总量控制</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_Toc194481282 \h </w:instrText>
          </w:r>
          <w:r>
            <w:rPr>
              <w:rStyle w:val="45"/>
              <w:rFonts w:ascii="Times New Roman" w:hAnsi="Times New Roman" w:cs="Times New Roman"/>
              <w:bCs/>
            </w:rPr>
            <w:fldChar w:fldCharType="separate"/>
          </w:r>
          <w:r>
            <w:rPr>
              <w:rStyle w:val="45"/>
              <w:rFonts w:ascii="Times New Roman" w:hAnsi="Times New Roman" w:cs="Times New Roman"/>
              <w:bCs/>
            </w:rPr>
            <w:t>169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"_Toc194481283" </w:instrText>
          </w:r>
          <w:r>
            <w:fldChar w:fldCharType="separate"/>
          </w:r>
          <w:r>
            <w:rPr>
              <w:rStyle w:val="45"/>
              <w:rFonts w:ascii="Times New Roman" w:hAnsi="Times New Roman" w:cs="Times New Roman"/>
              <w:bCs/>
            </w:rPr>
            <w:t>10.1.6 环境经济损益分析</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_Toc194481283 \h </w:instrText>
          </w:r>
          <w:r>
            <w:rPr>
              <w:rStyle w:val="45"/>
              <w:rFonts w:ascii="Times New Roman" w:hAnsi="Times New Roman" w:cs="Times New Roman"/>
              <w:bCs/>
            </w:rPr>
            <w:fldChar w:fldCharType="separate"/>
          </w:r>
          <w:r>
            <w:rPr>
              <w:rStyle w:val="45"/>
              <w:rFonts w:ascii="Times New Roman" w:hAnsi="Times New Roman" w:cs="Times New Roman"/>
              <w:bCs/>
            </w:rPr>
            <w:t>169</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"_Toc194481284" </w:instrText>
          </w:r>
          <w:r>
            <w:fldChar w:fldCharType="separate"/>
          </w:r>
          <w:r>
            <w:rPr>
              <w:rStyle w:val="45"/>
              <w:rFonts w:ascii="Times New Roman" w:hAnsi="Times New Roman" w:cs="Times New Roman"/>
              <w:bCs/>
            </w:rPr>
            <w:t>10.1.7 公众参与结论</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_Toc194481284 \h </w:instrText>
          </w:r>
          <w:r>
            <w:rPr>
              <w:rStyle w:val="45"/>
              <w:rFonts w:ascii="Times New Roman" w:hAnsi="Times New Roman" w:cs="Times New Roman"/>
              <w:bCs/>
            </w:rPr>
            <w:fldChar w:fldCharType="separate"/>
          </w:r>
          <w:r>
            <w:rPr>
              <w:rStyle w:val="45"/>
              <w:rFonts w:ascii="Times New Roman" w:hAnsi="Times New Roman" w:cs="Times New Roman"/>
              <w:bCs/>
            </w:rPr>
            <w:t>170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"_Toc194481285" </w:instrText>
          </w:r>
          <w:r>
            <w:fldChar w:fldCharType="separate"/>
          </w:r>
          <w:r>
            <w:rPr>
              <w:rStyle w:val="45"/>
              <w:rFonts w:ascii="Times New Roman" w:hAnsi="Times New Roman" w:cs="Times New Roman"/>
              <w:bCs/>
            </w:rPr>
            <w:t>10.1.8 项目建设的可行性</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_Toc194481285 \h </w:instrText>
          </w:r>
          <w:r>
            <w:rPr>
              <w:rStyle w:val="45"/>
              <w:rFonts w:ascii="Times New Roman" w:hAnsi="Times New Roman" w:cs="Times New Roman"/>
              <w:bCs/>
            </w:rPr>
            <w:fldChar w:fldCharType="separate"/>
          </w:r>
          <w:r>
            <w:rPr>
              <w:rStyle w:val="45"/>
              <w:rFonts w:ascii="Times New Roman" w:hAnsi="Times New Roman" w:cs="Times New Roman"/>
              <w:bCs/>
            </w:rPr>
            <w:t>170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21"/>
            <w:tabs>
              <w:tab w:val="right" w:leader="dot" w:pos="8296"/>
            </w:tabs>
            <w:ind w:left="480" w:leftChars="200"/>
            <w:rPr>
              <w:rStyle w:val="45"/>
              <w:rFonts w:ascii="Times New Roman" w:hAnsi="Times New Roman" w:cs="Times New Roman"/>
              <w:bCs/>
            </w:rPr>
          </w:pPr>
          <w:r>
            <w:fldChar w:fldCharType="begin"/>
          </w:r>
          <w:r>
            <w:instrText xml:space="preserve"> HYPERLINK \l "_Toc194481286" </w:instrText>
          </w:r>
          <w:r>
            <w:fldChar w:fldCharType="separate"/>
          </w:r>
          <w:r>
            <w:rPr>
              <w:rStyle w:val="45"/>
              <w:rFonts w:ascii="Times New Roman" w:hAnsi="Times New Roman" w:cs="Times New Roman"/>
              <w:bCs/>
            </w:rPr>
            <w:t>10.1.9 综合评价结论</w:t>
          </w:r>
          <w:r>
            <w:rPr>
              <w:rStyle w:val="45"/>
              <w:rFonts w:ascii="Times New Roman" w:hAnsi="Times New Roman" w:cs="Times New Roman"/>
              <w:bCs/>
            </w:rPr>
            <w:tab/>
          </w:r>
          <w:r>
            <w:rPr>
              <w:rStyle w:val="45"/>
              <w:rFonts w:ascii="Times New Roman" w:hAnsi="Times New Roman" w:cs="Times New Roman"/>
              <w:bCs/>
            </w:rPr>
            <w:fldChar w:fldCharType="begin"/>
          </w:r>
          <w:r>
            <w:rPr>
              <w:rStyle w:val="45"/>
              <w:rFonts w:ascii="Times New Roman" w:hAnsi="Times New Roman" w:cs="Times New Roman"/>
              <w:bCs/>
            </w:rPr>
            <w:instrText xml:space="preserve"> PAGEREF _Toc194481286 \h </w:instrText>
          </w:r>
          <w:r>
            <w:rPr>
              <w:rStyle w:val="45"/>
              <w:rFonts w:ascii="Times New Roman" w:hAnsi="Times New Roman" w:cs="Times New Roman"/>
              <w:bCs/>
            </w:rPr>
            <w:fldChar w:fldCharType="separate"/>
          </w:r>
          <w:r>
            <w:rPr>
              <w:rStyle w:val="45"/>
              <w:rFonts w:ascii="Times New Roman" w:hAnsi="Times New Roman" w:cs="Times New Roman"/>
              <w:bCs/>
            </w:rPr>
            <w:t>170</w:t>
          </w:r>
          <w:r>
            <w:rPr>
              <w:rStyle w:val="45"/>
              <w:rFonts w:ascii="Times New Roman" w:hAnsi="Times New Roman" w:cs="Times New Roman"/>
              <w:bCs/>
            </w:rPr>
            <w:fldChar w:fldCharType="end"/>
          </w:r>
          <w:r>
            <w:rPr>
              <w:rStyle w:val="45"/>
              <w:rFonts w:ascii="Times New Roman" w:hAnsi="Times New Roman" w:cs="Times New Roman"/>
              <w:bCs/>
            </w:rPr>
            <w:fldChar w:fldCharType="end"/>
          </w:r>
        </w:p>
        <w:p>
          <w:pPr>
            <w:pStyle w:val="33"/>
            <w:rPr>
              <w:rFonts w:ascii="Times New Roman" w:hAnsi="Times New Roman" w:cs="Times New Roman"/>
              <w:bCs/>
              <w:kern w:val="2"/>
              <w:sz w:val="22"/>
            </w:rPr>
          </w:pPr>
          <w:r>
            <w:fldChar w:fldCharType="begin"/>
          </w:r>
          <w:r>
            <w:instrText xml:space="preserve"> HYPERLINK \l "_Toc194481287" </w:instrText>
          </w:r>
          <w:r>
            <w:fldChar w:fldCharType="separate"/>
          </w:r>
          <w:r>
            <w:rPr>
              <w:rStyle w:val="45"/>
              <w:rFonts w:ascii="Times New Roman" w:hAnsi="Times New Roman" w:cs="Times New Roman"/>
              <w:bCs/>
            </w:rPr>
            <w:t>10.2 建议</w:t>
          </w:r>
          <w:r>
            <w:rPr>
              <w:rFonts w:ascii="Times New Roman" w:hAnsi="Times New Roman" w:cs="Times New Roman"/>
              <w:bCs/>
            </w:rPr>
            <w:tab/>
          </w:r>
          <w:r>
            <w:rPr>
              <w:rFonts w:ascii="Times New Roman" w:hAnsi="Times New Roman" w:cs="Times New Roman"/>
              <w:bCs/>
            </w:rPr>
            <w:fldChar w:fldCharType="begin"/>
          </w:r>
          <w:r>
            <w:rPr>
              <w:rFonts w:ascii="Times New Roman" w:hAnsi="Times New Roman" w:cs="Times New Roman"/>
              <w:bCs/>
            </w:rPr>
            <w:instrText xml:space="preserve"> PAGEREF _Toc194481287 \h </w:instrText>
          </w:r>
          <w:r>
            <w:rPr>
              <w:rFonts w:ascii="Times New Roman" w:hAnsi="Times New Roman" w:cs="Times New Roman"/>
              <w:bCs/>
            </w:rPr>
            <w:fldChar w:fldCharType="separate"/>
          </w:r>
          <w:r>
            <w:rPr>
              <w:rFonts w:ascii="Times New Roman" w:hAnsi="Times New Roman" w:cs="Times New Roman"/>
              <w:bCs/>
            </w:rPr>
            <w:t>170</w:t>
          </w:r>
          <w:r>
            <w:rPr>
              <w:rFonts w:ascii="Times New Roman" w:hAnsi="Times New Roman" w:cs="Times New Roman"/>
              <w:bCs/>
            </w:rPr>
            <w:fldChar w:fldCharType="end"/>
          </w:r>
          <w:r>
            <w:rPr>
              <w:rFonts w:ascii="Times New Roman" w:hAnsi="Times New Roman" w:cs="Times New Roman"/>
              <w:bCs/>
            </w:rPr>
            <w:fldChar w:fldCharType="end"/>
          </w:r>
        </w:p>
        <w:p>
          <w:pPr>
            <w:rPr>
              <w:rFonts w:hint="eastAsia"/>
            </w:rPr>
          </w:pPr>
          <w:r>
            <w:rPr>
              <w:rFonts w:ascii="Times New Roman" w:hAnsi="Times New Roman" w:cs="Times New Roman"/>
              <w:bCs/>
              <w:lang w:val="zh-CN"/>
            </w:rPr>
            <w:fldChar w:fldCharType="end"/>
          </w:r>
        </w:p>
      </w:sdtContent>
    </w:sdt>
    <w:p>
      <w:pPr>
        <w:pStyle w:val="49"/>
        <w:ind w:firstLine="0" w:firstLineChars="0"/>
        <w:jc w:val="center"/>
        <w:rPr>
          <w:b/>
          <w:bCs/>
          <w:sz w:val="36"/>
          <w:szCs w:val="32"/>
        </w:rPr>
        <w:sectPr>
          <w:headerReference r:id="rId9" w:type="default"/>
          <w:pgSz w:w="11906" w:h="16838"/>
          <w:pgMar w:top="1440" w:right="1800" w:bottom="1440" w:left="1800" w:header="851" w:footer="992" w:gutter="0"/>
          <w:cols w:space="425" w:num="1"/>
          <w:docGrid w:type="lines" w:linePitch="312" w:charSpace="0"/>
        </w:sectPr>
      </w:pPr>
    </w:p>
    <w:p>
      <w:pPr>
        <w:pStyle w:val="2"/>
        <w:jc w:val="center"/>
        <w:rPr>
          <w:sz w:val="44"/>
          <w:szCs w:val="56"/>
        </w:rPr>
      </w:pPr>
      <w:bookmarkStart w:id="1" w:name="_Toc6257_WPSOffice_Level1"/>
      <w:bookmarkStart w:id="2" w:name="_Toc10615"/>
      <w:bookmarkStart w:id="3" w:name="_Toc17507"/>
      <w:bookmarkStart w:id="4" w:name="_Toc26863"/>
      <w:bookmarkStart w:id="5" w:name="_Toc14232"/>
      <w:bookmarkStart w:id="6" w:name="_Toc8174"/>
      <w:bookmarkStart w:id="7" w:name="_Toc3522"/>
      <w:bookmarkStart w:id="8" w:name="_Toc194481094"/>
      <w:r>
        <w:rPr>
          <w:rFonts w:hint="eastAsia"/>
          <w:sz w:val="44"/>
          <w:szCs w:val="56"/>
        </w:rPr>
        <w:t xml:space="preserve">第1章 </w:t>
      </w:r>
      <w:r>
        <w:rPr>
          <w:sz w:val="44"/>
          <w:szCs w:val="56"/>
        </w:rPr>
        <w:t>概述</w:t>
      </w:r>
      <w:bookmarkEnd w:id="1"/>
      <w:bookmarkEnd w:id="2"/>
      <w:bookmarkEnd w:id="3"/>
      <w:bookmarkEnd w:id="4"/>
      <w:bookmarkEnd w:id="5"/>
      <w:bookmarkEnd w:id="6"/>
      <w:bookmarkEnd w:id="7"/>
      <w:bookmarkEnd w:id="8"/>
    </w:p>
    <w:p>
      <w:pPr>
        <w:pStyle w:val="3"/>
      </w:pPr>
      <w:bookmarkStart w:id="9" w:name="_Toc7709"/>
      <w:bookmarkStart w:id="10" w:name="_Toc1642"/>
      <w:bookmarkStart w:id="11" w:name="_Toc9844"/>
      <w:bookmarkStart w:id="12" w:name="_Toc22567"/>
      <w:bookmarkStart w:id="13" w:name="_Toc194481095"/>
      <w:bookmarkStart w:id="14" w:name="_Toc23305"/>
      <w:bookmarkStart w:id="15" w:name="_Toc28029_WPSOffice_Level2"/>
      <w:bookmarkStart w:id="16" w:name="_Toc22499"/>
      <w:r>
        <w:t>1.1 项目由来</w:t>
      </w:r>
      <w:bookmarkEnd w:id="9"/>
      <w:bookmarkEnd w:id="10"/>
      <w:bookmarkEnd w:id="11"/>
      <w:bookmarkEnd w:id="12"/>
      <w:bookmarkEnd w:id="13"/>
      <w:bookmarkEnd w:id="14"/>
      <w:bookmarkEnd w:id="15"/>
      <w:bookmarkEnd w:id="16"/>
    </w:p>
    <w:p>
      <w:pPr>
        <w:pStyle w:val="82"/>
        <w:ind w:firstLine="480"/>
      </w:pPr>
      <w:bookmarkStart w:id="17" w:name="_Hlk194490371"/>
      <w:bookmarkStart w:id="18" w:name="_Hlk179883613"/>
      <w:r>
        <w:rPr>
          <w:rFonts w:hint="eastAsia"/>
        </w:rPr>
        <w:t>禽类养殖业是我国农业和农村经济的重要产业，蛋鸡养殖是禽类养殖的发展重点之近年来，随着国民经济的持续发展，特别是农村经济结构的战略性调整，促进了我国“集约化、机械化、产业化”禽类养殖业的发展，国家已经将“加快禽类养殖发展”作为“大力优化农业结构、积极拓宽农民增收领域”的三个环节之一，这为我国养殖业带来空前的发展机会。</w:t>
      </w:r>
    </w:p>
    <w:p>
      <w:pPr>
        <w:pStyle w:val="49"/>
        <w:ind w:firstLine="480"/>
      </w:pPr>
      <w:r>
        <w:rPr>
          <w:rFonts w:hint="eastAsia"/>
        </w:rPr>
        <w:t>按照“科学养殖、集中发展”的思路，结合现代化农业规模种植基地建设，湖南湘五永兴农业发展有限公司拟永州市冷水滩区岚角山街道飞跃村、高桥头村建设湘五永兴120万羽智能化蛋鸡养殖场项目。项目总投资23000万元，占地面积</w:t>
      </w:r>
      <w:r>
        <w:rPr>
          <w:rFonts w:hint="eastAsia" w:cs="Times New Roman"/>
          <w:szCs w:val="28"/>
        </w:rPr>
        <w:t>76953</w:t>
      </w:r>
      <w:r>
        <w:rPr>
          <w:rFonts w:hint="eastAsia"/>
        </w:rPr>
        <w:t>m</w:t>
      </w:r>
      <w:r>
        <w:rPr>
          <w:rFonts w:hint="eastAsia"/>
          <w:vertAlign w:val="superscript"/>
        </w:rPr>
        <w:t>2</w:t>
      </w:r>
      <w:r>
        <w:rPr>
          <w:rFonts w:hint="eastAsia"/>
        </w:rPr>
        <w:t>，总建筑面积约18775m</w:t>
      </w:r>
      <w:r>
        <w:rPr>
          <w:rFonts w:hint="eastAsia"/>
          <w:vertAlign w:val="superscript"/>
        </w:rPr>
        <w:t>2</w:t>
      </w:r>
      <w:r>
        <w:rPr>
          <w:rFonts w:hint="eastAsia"/>
        </w:rPr>
        <w:t>，主要建设内容包括7栋标准化鸡舍及配套的蛋库、料塔、鸡粪风干车间、办公生活区、门卫室、多媒体教室、宿舍、维修房及库房、配电房、冰冻库、一体化污水处理设施等。项目建成后，年存栏120万羽蛋鸡，年产鸡蛋4.4亿枚。</w:t>
      </w:r>
    </w:p>
    <w:bookmarkEnd w:id="17"/>
    <w:p>
      <w:pPr>
        <w:pStyle w:val="49"/>
        <w:ind w:firstLine="480"/>
      </w:pPr>
      <w:r>
        <w:rPr>
          <w:rFonts w:hint="eastAsia"/>
        </w:rPr>
        <w:t>根据《</w:t>
      </w:r>
      <w:bookmarkStart w:id="19" w:name="OLE_LINK2"/>
      <w:r>
        <w:rPr>
          <w:rFonts w:hint="eastAsia"/>
        </w:rPr>
        <w:t>畜禽养殖业污染物排放标准</w:t>
      </w:r>
      <w:bookmarkEnd w:id="19"/>
      <w:r>
        <w:rPr>
          <w:rFonts w:hint="eastAsia"/>
        </w:rPr>
        <w:t>》 （</w:t>
      </w:r>
      <w:r>
        <w:t>GB18596-2001</w:t>
      </w:r>
      <w:r>
        <w:rPr>
          <w:rFonts w:hint="eastAsia"/>
        </w:rPr>
        <w:t>）中</w:t>
      </w:r>
      <w:r>
        <w:rPr>
          <w:rFonts w:ascii="宋体" w:hAnsi="宋体"/>
        </w:rPr>
        <w:t>“</w:t>
      </w:r>
      <w:r>
        <w:rPr>
          <w:rFonts w:hint="eastAsia"/>
        </w:rPr>
        <w:t>3</w:t>
      </w:r>
      <w:r>
        <w:t xml:space="preserve">0 </w:t>
      </w:r>
      <w:r>
        <w:rPr>
          <w:rFonts w:hint="eastAsia"/>
        </w:rPr>
        <w:t xml:space="preserve">只蛋鸡折算成 </w:t>
      </w:r>
      <w:r>
        <w:t xml:space="preserve">1 </w:t>
      </w:r>
      <w:r>
        <w:rPr>
          <w:rFonts w:hint="eastAsia"/>
        </w:rPr>
        <w:t>头成年猪</w:t>
      </w:r>
      <w:r>
        <w:rPr>
          <w:rFonts w:ascii="宋体" w:hAnsi="宋体"/>
        </w:rPr>
        <w:t>”</w:t>
      </w:r>
      <w:r>
        <w:rPr>
          <w:rFonts w:hint="eastAsia"/>
        </w:rPr>
        <w:t>的折算标准，本项目年存栏120万羽蛋鸡，参照蛋鸡换算比例折合猪的养殖规模为年存栏4万头生猪。根据《中华人民共和国环境保护法》（</w:t>
      </w:r>
      <w:r>
        <w:t>2015</w:t>
      </w:r>
      <w:r>
        <w:rPr>
          <w:rFonts w:hint="eastAsia"/>
        </w:rPr>
        <w:t>年</w:t>
      </w:r>
      <w:r>
        <w:t>1</w:t>
      </w:r>
      <w:r>
        <w:rPr>
          <w:rFonts w:hint="eastAsia"/>
        </w:rPr>
        <w:t>月</w:t>
      </w:r>
      <w:r>
        <w:t>1</w:t>
      </w:r>
      <w:r>
        <w:rPr>
          <w:rFonts w:hint="eastAsia"/>
        </w:rPr>
        <w:t>日）、《中华人民共和国环境影响评价法》（</w:t>
      </w:r>
      <w:r>
        <w:t xml:space="preserve">2018 </w:t>
      </w:r>
      <w:r>
        <w:rPr>
          <w:rFonts w:hint="eastAsia"/>
        </w:rPr>
        <w:t xml:space="preserve">年 </w:t>
      </w:r>
      <w:r>
        <w:t xml:space="preserve">12 </w:t>
      </w:r>
      <w:r>
        <w:rPr>
          <w:rFonts w:hint="eastAsia"/>
        </w:rPr>
        <w:t>月）、《建设项目环境保护管理条例》（</w:t>
      </w:r>
      <w:r>
        <w:t xml:space="preserve">2017 </w:t>
      </w:r>
      <w:r>
        <w:rPr>
          <w:rFonts w:hint="eastAsia"/>
        </w:rPr>
        <w:t>年</w:t>
      </w:r>
      <w:r>
        <w:t xml:space="preserve">10 </w:t>
      </w:r>
      <w:r>
        <w:rPr>
          <w:rFonts w:hint="eastAsia"/>
        </w:rPr>
        <w:t xml:space="preserve">月 </w:t>
      </w:r>
      <w:r>
        <w:t xml:space="preserve">1 </w:t>
      </w:r>
      <w:r>
        <w:rPr>
          <w:rFonts w:hint="eastAsia"/>
        </w:rPr>
        <w:t>日施行）等相关法律、法规的规定，本项目属于《建设项目环境影响评价分类管理名录（</w:t>
      </w:r>
      <w:r>
        <w:t>2021</w:t>
      </w:r>
      <w:r>
        <w:rPr>
          <w:rFonts w:hint="eastAsia"/>
        </w:rPr>
        <w:t>年</w:t>
      </w:r>
      <w:r>
        <w:t>1</w:t>
      </w:r>
      <w:r>
        <w:rPr>
          <w:rFonts w:hint="eastAsia"/>
        </w:rPr>
        <w:t>月</w:t>
      </w:r>
      <w:r>
        <w:t>1</w:t>
      </w:r>
      <w:r>
        <w:rPr>
          <w:rFonts w:hint="eastAsia"/>
        </w:rPr>
        <w:t>日施行）》中的</w:t>
      </w:r>
      <w:r>
        <w:rPr>
          <w:rFonts w:ascii="宋体" w:hAnsi="宋体"/>
        </w:rPr>
        <w:t>“</w:t>
      </w:r>
      <w:r>
        <w:rPr>
          <w:rFonts w:hint="eastAsia"/>
        </w:rPr>
        <w:t xml:space="preserve">二、畜牧业 </w:t>
      </w:r>
      <w:r>
        <w:t>03</w:t>
      </w:r>
      <w:r>
        <w:rPr>
          <w:rFonts w:hint="eastAsia"/>
        </w:rPr>
        <w:t xml:space="preserve">：家禽饲养 </w:t>
      </w:r>
      <w:r>
        <w:t>032</w:t>
      </w:r>
      <w:r>
        <w:rPr>
          <w:rFonts w:hint="eastAsia"/>
        </w:rPr>
        <w:t>：存栏生猪2500头（其他畜禽种类折合猪的养殖规模）及以上无出栏量的规模化畜禽养殖”，应编制环境影响报告书。</w:t>
      </w:r>
    </w:p>
    <w:bookmarkEnd w:id="18"/>
    <w:p>
      <w:pPr>
        <w:pStyle w:val="49"/>
        <w:ind w:firstLine="480"/>
      </w:pPr>
      <w:r>
        <w:rPr>
          <w:rFonts w:hint="eastAsia"/>
        </w:rPr>
        <w:t>湖南湘五永兴农业发展有限公司</w:t>
      </w:r>
      <w:r>
        <w:t>委托湖南博然环保科技有限公司承担项目的环境影响评价工作，</w:t>
      </w:r>
      <w:r>
        <w:rPr>
          <w:color w:val="000000"/>
        </w:rPr>
        <w:t>接受委托后，</w:t>
      </w:r>
      <w:r>
        <w:rPr>
          <w:rFonts w:hint="eastAsia"/>
          <w:color w:val="000000"/>
        </w:rPr>
        <w:t>我司</w:t>
      </w:r>
      <w:r>
        <w:rPr>
          <w:color w:val="000000"/>
        </w:rPr>
        <w:t>立即组织技术人员对该建设项目进行了现场勘察和调查研究</w:t>
      </w:r>
      <w:r>
        <w:rPr>
          <w:rFonts w:hint="eastAsia"/>
          <w:color w:val="000000"/>
        </w:rPr>
        <w:t>，</w:t>
      </w:r>
      <w:r>
        <w:t>并搜集了有关资料，按照国家、湖南省有关法律、法规以及相关环境影响评价技术导则的要求，编制了《</w:t>
      </w:r>
      <w:r>
        <w:rPr>
          <w:rFonts w:hint="eastAsia"/>
        </w:rPr>
        <w:t>湘五永兴120万羽智能化蛋鸡养殖场项目</w:t>
      </w:r>
      <w:r>
        <w:t>环境影响报告书》。</w:t>
      </w:r>
    </w:p>
    <w:p>
      <w:pPr>
        <w:pStyle w:val="3"/>
      </w:pPr>
      <w:bookmarkStart w:id="20" w:name="_Toc138257121"/>
      <w:bookmarkStart w:id="21" w:name="_Toc6323"/>
      <w:bookmarkStart w:id="22" w:name="_Toc3351"/>
      <w:bookmarkStart w:id="23" w:name="_Toc19527"/>
      <w:bookmarkStart w:id="24" w:name="_Toc32579"/>
      <w:bookmarkStart w:id="25" w:name="_Toc17211"/>
      <w:bookmarkStart w:id="26" w:name="_Toc194481096"/>
      <w:r>
        <w:t>1.</w:t>
      </w:r>
      <w:r>
        <w:rPr>
          <w:rFonts w:hint="eastAsia"/>
        </w:rPr>
        <w:t>2</w:t>
      </w:r>
      <w:bookmarkEnd w:id="20"/>
      <w:bookmarkEnd w:id="21"/>
      <w:bookmarkEnd w:id="22"/>
      <w:bookmarkEnd w:id="23"/>
      <w:bookmarkEnd w:id="24"/>
      <w:bookmarkEnd w:id="25"/>
      <w:r>
        <w:rPr>
          <w:rFonts w:hint="eastAsia"/>
        </w:rPr>
        <w:t xml:space="preserve"> </w:t>
      </w:r>
      <w:r>
        <w:t>环境影响评价的工作过程</w:t>
      </w:r>
      <w:bookmarkEnd w:id="26"/>
    </w:p>
    <w:p>
      <w:pPr>
        <w:pStyle w:val="49"/>
        <w:ind w:firstLine="480"/>
      </w:pPr>
      <w:r>
        <w:rPr>
          <w:rFonts w:hint="eastAsia"/>
        </w:rPr>
        <w:t xml:space="preserve">第一阶段： </w:t>
      </w:r>
    </w:p>
    <w:p>
      <w:pPr>
        <w:pStyle w:val="49"/>
        <w:ind w:firstLine="480"/>
      </w:pPr>
      <w:r>
        <w:rPr>
          <w:rFonts w:hint="eastAsia"/>
        </w:rPr>
        <w:t>（</w:t>
      </w:r>
      <w:r>
        <w:rPr>
          <w:rFonts w:cs="Times New Roman"/>
        </w:rPr>
        <w:t>1</w:t>
      </w:r>
      <w:r>
        <w:rPr>
          <w:rFonts w:hint="eastAsia"/>
        </w:rPr>
        <w:t>）按照《建设项目环境影响评价技术导则 总纲》（</w:t>
      </w:r>
      <w:r>
        <w:rPr>
          <w:rFonts w:cs="Times New Roman"/>
        </w:rPr>
        <w:t>HJ2.1-2016</w:t>
      </w:r>
      <w:r>
        <w:rPr>
          <w:rFonts w:hint="eastAsia"/>
        </w:rPr>
        <w:t xml:space="preserve">）要求，在接受企业委托后，研究国家和地方有关环境保护的法律法规、政策、标准及相关规划等，确定项目环境影响评价文件类型为报告书。 </w:t>
      </w:r>
    </w:p>
    <w:p>
      <w:pPr>
        <w:pStyle w:val="49"/>
        <w:ind w:firstLine="480"/>
      </w:pPr>
      <w:r>
        <w:rPr>
          <w:rFonts w:hint="eastAsia"/>
        </w:rPr>
        <w:t>（</w:t>
      </w:r>
      <w:r>
        <w:rPr>
          <w:rFonts w:cs="Times New Roman"/>
        </w:rPr>
        <w:t>2</w:t>
      </w:r>
      <w:r>
        <w:rPr>
          <w:rFonts w:hint="eastAsia"/>
        </w:rPr>
        <w:t xml:space="preserve">）根据项目特点，研究相关技术文件和其他有关文件，明确本项目的评价重点，识别环境影响因素、筛选评价因子，对项目进行初步工程分析。对项目选址地进行实地踏勘，对场区及周围地区社会、气象、水文、项目所在地周围污染源分布情况进行了调查分析，确定项目环境保护目标、环评工作等级、评价范围和标准。 </w:t>
      </w:r>
    </w:p>
    <w:p>
      <w:pPr>
        <w:pStyle w:val="49"/>
        <w:ind w:firstLine="480"/>
      </w:pPr>
      <w:r>
        <w:rPr>
          <w:rFonts w:hint="eastAsia"/>
        </w:rPr>
        <w:t>（</w:t>
      </w:r>
      <w:r>
        <w:rPr>
          <w:rFonts w:cs="Times New Roman"/>
        </w:rPr>
        <w:t>3</w:t>
      </w:r>
      <w:r>
        <w:rPr>
          <w:rFonts w:hint="eastAsia"/>
        </w:rPr>
        <w:t>）制定工作方案</w:t>
      </w:r>
    </w:p>
    <w:p>
      <w:pPr>
        <w:pStyle w:val="49"/>
        <w:ind w:firstLine="480"/>
      </w:pPr>
      <w:r>
        <w:rPr>
          <w:rFonts w:hint="eastAsia"/>
        </w:rPr>
        <w:t xml:space="preserve">第二阶段： </w:t>
      </w:r>
    </w:p>
    <w:p>
      <w:pPr>
        <w:pStyle w:val="49"/>
        <w:ind w:firstLine="480"/>
      </w:pPr>
      <w:r>
        <w:rPr>
          <w:rFonts w:hint="eastAsia"/>
        </w:rPr>
        <w:t>（</w:t>
      </w:r>
      <w:r>
        <w:t>1</w:t>
      </w:r>
      <w:r>
        <w:rPr>
          <w:rFonts w:hint="eastAsia"/>
        </w:rPr>
        <w:t xml:space="preserve">）收集项目所在区域环境现状监测数据，并进行分析。 </w:t>
      </w:r>
    </w:p>
    <w:p>
      <w:pPr>
        <w:pStyle w:val="49"/>
        <w:ind w:firstLine="480"/>
      </w:pPr>
      <w:r>
        <w:rPr>
          <w:rFonts w:hint="eastAsia"/>
        </w:rPr>
        <w:t>（</w:t>
      </w:r>
      <w:r>
        <w:t>2</w:t>
      </w:r>
      <w:r>
        <w:rPr>
          <w:rFonts w:hint="eastAsia"/>
        </w:rPr>
        <w:t xml:space="preserve">）根据建设单位提供的可行性研究报告及其他相关资料，完成建设项目工程分析章节，进行项目主要污染物源强核算。 </w:t>
      </w:r>
    </w:p>
    <w:p>
      <w:pPr>
        <w:pStyle w:val="49"/>
        <w:ind w:firstLine="480"/>
      </w:pPr>
      <w:r>
        <w:rPr>
          <w:rFonts w:hint="eastAsia"/>
        </w:rPr>
        <w:t>（</w:t>
      </w:r>
      <w:r>
        <w:t>3</w:t>
      </w:r>
      <w:r>
        <w:rPr>
          <w:rFonts w:hint="eastAsia"/>
        </w:rPr>
        <w:t xml:space="preserve">）收集所在地环境特征资料包括自然环境、区域污染源情况。完成环境现状调查与评价章节。 </w:t>
      </w:r>
    </w:p>
    <w:p>
      <w:pPr>
        <w:pStyle w:val="49"/>
        <w:ind w:firstLine="480"/>
      </w:pPr>
      <w:r>
        <w:rPr>
          <w:rFonts w:hint="eastAsia"/>
        </w:rPr>
        <w:t>（</w:t>
      </w:r>
      <w:r>
        <w:rPr>
          <w:rFonts w:cs="Times New Roman"/>
        </w:rPr>
        <w:t>4</w:t>
      </w:r>
      <w:r>
        <w:rPr>
          <w:rFonts w:hint="eastAsia"/>
        </w:rPr>
        <w:t xml:space="preserve">）根据工程分析，完成环境影响预测与评价。 </w:t>
      </w:r>
    </w:p>
    <w:p>
      <w:pPr>
        <w:pStyle w:val="49"/>
        <w:ind w:firstLine="480"/>
      </w:pPr>
      <w:r>
        <w:rPr>
          <w:rFonts w:hint="eastAsia"/>
        </w:rPr>
        <w:t xml:space="preserve">第三阶段： </w:t>
      </w:r>
    </w:p>
    <w:p>
      <w:pPr>
        <w:pStyle w:val="49"/>
        <w:ind w:firstLine="480"/>
      </w:pPr>
      <w:r>
        <w:rPr>
          <w:rFonts w:hint="eastAsia"/>
        </w:rPr>
        <w:t>（</w:t>
      </w:r>
      <w:r>
        <w:rPr>
          <w:rFonts w:cs="Times New Roman"/>
        </w:rPr>
        <w:t>1</w:t>
      </w:r>
      <w:r>
        <w:rPr>
          <w:rFonts w:hint="eastAsia"/>
        </w:rPr>
        <w:t xml:space="preserve">）根据工程分析，完成环境保护措施及可行性论证章节。 </w:t>
      </w:r>
    </w:p>
    <w:p>
      <w:pPr>
        <w:pStyle w:val="49"/>
        <w:ind w:firstLine="480"/>
      </w:pPr>
      <w:r>
        <w:rPr>
          <w:rFonts w:hint="eastAsia"/>
        </w:rPr>
        <w:t>（</w:t>
      </w:r>
      <w:r>
        <w:rPr>
          <w:rFonts w:cs="Times New Roman"/>
        </w:rPr>
        <w:t>2</w:t>
      </w:r>
      <w:r>
        <w:rPr>
          <w:rFonts w:hint="eastAsia"/>
        </w:rPr>
        <w:t xml:space="preserve">）根据建设项目环境影响情况，完成环境影响经济损益分析、环境管理 与监测计划章节的撰写。 </w:t>
      </w:r>
    </w:p>
    <w:p>
      <w:pPr>
        <w:pStyle w:val="49"/>
        <w:ind w:firstLine="480"/>
      </w:pPr>
      <w:r>
        <w:rPr>
          <w:rFonts w:hint="eastAsia"/>
        </w:rPr>
        <w:t>（</w:t>
      </w:r>
      <w:r>
        <w:rPr>
          <w:rFonts w:cs="Times New Roman"/>
        </w:rPr>
        <w:t>3</w:t>
      </w:r>
      <w:r>
        <w:rPr>
          <w:rFonts w:hint="eastAsia"/>
        </w:rPr>
        <w:t xml:space="preserve">）在报告编制过程中协助建设单位完成公众参与相关内容。 </w:t>
      </w:r>
    </w:p>
    <w:p>
      <w:pPr>
        <w:pStyle w:val="49"/>
        <w:ind w:firstLine="480"/>
      </w:pPr>
      <w:r>
        <w:rPr>
          <w:rFonts w:hint="eastAsia"/>
        </w:rPr>
        <w:t>（</w:t>
      </w:r>
      <w:r>
        <w:rPr>
          <w:rFonts w:cs="Times New Roman"/>
        </w:rPr>
        <w:t>4</w:t>
      </w:r>
      <w:r>
        <w:rPr>
          <w:rFonts w:hint="eastAsia"/>
        </w:rPr>
        <w:t>）完成环境影响报告书的编制工作，送生态环境主管部门审查。</w:t>
      </w:r>
    </w:p>
    <w:p>
      <w:pPr>
        <w:pStyle w:val="49"/>
        <w:ind w:firstLine="480"/>
      </w:pPr>
      <w:r>
        <w:rPr>
          <w:rFonts w:hint="eastAsia"/>
        </w:rPr>
        <w:t xml:space="preserve">环境影响评价的工作流程见图 </w:t>
      </w:r>
      <w:r>
        <w:t>1.2-1</w:t>
      </w:r>
      <w:r>
        <w:rPr>
          <w:rFonts w:hint="eastAsia"/>
        </w:rPr>
        <w:t>。</w:t>
      </w:r>
    </w:p>
    <w:p>
      <w:pPr>
        <w:pStyle w:val="49"/>
        <w:ind w:firstLine="0" w:firstLineChars="0"/>
        <w:jc w:val="center"/>
      </w:pPr>
      <w:r>
        <w:drawing>
          <wp:inline distT="0" distB="0" distL="0" distR="0">
            <wp:extent cx="5274310" cy="5050790"/>
            <wp:effectExtent l="0" t="0" r="0" b="0"/>
            <wp:docPr id="89414484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4144844" name="图片 1"/>
                    <pic:cNvPicPr>
                      <a:picLocks noChangeAspect="true"/>
                    </pic:cNvPicPr>
                  </pic:nvPicPr>
                  <pic:blipFill>
                    <a:blip r:embed="rId14"/>
                    <a:stretch>
                      <a:fillRect/>
                    </a:stretch>
                  </pic:blipFill>
                  <pic:spPr>
                    <a:xfrm>
                      <a:off x="0" y="0"/>
                      <a:ext cx="5274310" cy="5050790"/>
                    </a:xfrm>
                    <a:prstGeom prst="rect">
                      <a:avLst/>
                    </a:prstGeom>
                  </pic:spPr>
                </pic:pic>
              </a:graphicData>
            </a:graphic>
          </wp:inline>
        </w:drawing>
      </w:r>
    </w:p>
    <w:p>
      <w:pPr>
        <w:pStyle w:val="49"/>
        <w:ind w:firstLine="0" w:firstLineChars="0"/>
        <w:jc w:val="center"/>
        <w:rPr>
          <w:b/>
          <w:bCs/>
        </w:rPr>
      </w:pPr>
      <w:r>
        <w:rPr>
          <w:rFonts w:hint="eastAsia"/>
          <w:b/>
          <w:bCs/>
        </w:rPr>
        <w:t>图</w:t>
      </w:r>
      <w:r>
        <w:rPr>
          <w:b/>
          <w:bCs/>
        </w:rPr>
        <w:t xml:space="preserve">1.2-1 </w:t>
      </w:r>
      <w:r>
        <w:rPr>
          <w:rFonts w:hint="eastAsia"/>
          <w:b/>
          <w:bCs/>
        </w:rPr>
        <w:t>评价工作程序框图</w:t>
      </w:r>
    </w:p>
    <w:p>
      <w:pPr>
        <w:pStyle w:val="3"/>
      </w:pPr>
      <w:bookmarkStart w:id="27" w:name="_Toc194481097"/>
      <w:r>
        <w:t>1.</w:t>
      </w:r>
      <w:r>
        <w:rPr>
          <w:rFonts w:hint="eastAsia"/>
        </w:rPr>
        <w:t>3 项目特点</w:t>
      </w:r>
      <w:bookmarkEnd w:id="27"/>
    </w:p>
    <w:p>
      <w:pPr>
        <w:pStyle w:val="49"/>
        <w:ind w:firstLine="480"/>
      </w:pPr>
      <w:r>
        <w:rPr>
          <w:rFonts w:hint="eastAsia"/>
        </w:rPr>
        <w:t>本项目主要的特点有：</w:t>
      </w:r>
    </w:p>
    <w:p>
      <w:pPr>
        <w:pStyle w:val="49"/>
        <w:ind w:firstLine="480"/>
      </w:pPr>
      <w:r>
        <w:rPr>
          <w:rFonts w:hint="eastAsia"/>
        </w:rPr>
        <w:t>（1）本项目为新建项目，采用国际先进的工艺技术设计和配置，建设规模化、集约化、标准化的养鸡场，并采用种养结合的方式使得资源合理化利用。</w:t>
      </w:r>
    </w:p>
    <w:p>
      <w:pPr>
        <w:pStyle w:val="49"/>
        <w:ind w:firstLine="480"/>
      </w:pPr>
      <w:r>
        <w:rPr>
          <w:rFonts w:hint="eastAsia" w:cs="Times New Roman"/>
        </w:rPr>
        <w:t>（2）</w:t>
      </w:r>
      <w:r>
        <w:rPr>
          <w:rFonts w:hint="eastAsia"/>
        </w:rPr>
        <w:t>本项目产生的污染物主要为废气、废水、噪声和固废。</w:t>
      </w:r>
    </w:p>
    <w:p>
      <w:pPr>
        <w:pStyle w:val="49"/>
        <w:ind w:firstLine="480"/>
      </w:pPr>
      <w:r>
        <w:rPr>
          <w:rFonts w:hint="eastAsia"/>
        </w:rPr>
        <w:t>废气主要为鸡舍、鸡粪风干车间产生的恶臭和颗粒物、</w:t>
      </w:r>
      <w:r>
        <w:rPr>
          <w:rFonts w:hint="eastAsia"/>
          <w:color w:val="000000"/>
        </w:rPr>
        <w:t>一体化污水处理设施恶臭产生的恶臭、</w:t>
      </w:r>
      <w:r>
        <w:rPr>
          <w:rFonts w:hint="eastAsia"/>
        </w:rPr>
        <w:t>备用柴油发电机废气、食堂油烟。鸡舍采取在饲料中添加EM菌对蛋鸡进行喂养，同时鸡粪采用干清粪封闭式输送带输送，每天及时清运、加强通风，定期喷洒生物除臭剂，加强绿化；</w:t>
      </w: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r>
        <w:rPr>
          <w:rFonts w:hint="eastAsia"/>
        </w:rPr>
        <w:t>鸡粪风干车间采取在鸡粪风干车间风道出口设置高压水帘装置，并使用微生物除臭剂溶液作为循环水，每日对车间周边喷洒生物除臭剂；一体化污水处理设施厌氧段污水处理设施均密闭，定期喷洒除臭剂，加强绿化；备用柴油发电机废气由专用烟道引至发电机房屋顶烟囱排放；食堂油烟经油烟净化器处理后引至屋顶排放。采取上述措施后，对周边环境影响较小。</w:t>
      </w:r>
    </w:p>
    <w:p>
      <w:pPr>
        <w:pStyle w:val="49"/>
        <w:ind w:firstLine="480"/>
      </w:pPr>
      <w:r>
        <w:rPr>
          <w:rFonts w:hint="eastAsia"/>
        </w:rPr>
        <w:t>项目废水主要鸡舍冲洗废水和生活污水，一起进入一体化污水处理设施处理达标后，用于周边林地灌溉，不外排。</w:t>
      </w:r>
    </w:p>
    <w:p>
      <w:pPr>
        <w:pStyle w:val="49"/>
        <w:ind w:firstLine="480"/>
      </w:pPr>
      <w:r>
        <w:rPr>
          <w:rFonts w:hint="eastAsia"/>
        </w:rPr>
        <w:t>生产过程中产生的噪声主要来源于鸡舍的鸡叫声、风机等各类机械设备噪声，以及运输车辆噪声等。建设项目通过场内合理布局，尽可能满足鸡饮食需要，避免因饥饿或口渴而发出叫声，并对高噪声设备采用隔声、减振等措施进行处理，在办公区、生产区、道路两侧、场四周等设置绿化隔离带等，使场区边界的噪声达到《声环境质量标准》（</w:t>
      </w:r>
      <w:r>
        <w:rPr>
          <w:rFonts w:cs="Times New Roman"/>
        </w:rPr>
        <w:t>GB3096-2008</w:t>
      </w:r>
      <w:r>
        <w:rPr>
          <w:rFonts w:hint="eastAsia"/>
        </w:rPr>
        <w:t>）</w:t>
      </w:r>
      <w:r>
        <w:rPr>
          <w:rFonts w:cs="Times New Roman"/>
        </w:rPr>
        <w:t>2</w:t>
      </w:r>
      <w:r>
        <w:rPr>
          <w:rFonts w:hint="eastAsia"/>
        </w:rPr>
        <w:t>类标准。</w:t>
      </w:r>
    </w:p>
    <w:p>
      <w:pPr>
        <w:pStyle w:val="49"/>
        <w:ind w:firstLine="480"/>
      </w:pPr>
      <w:r>
        <w:rPr>
          <w:rFonts w:hint="eastAsia"/>
        </w:rPr>
        <w:t>本项目营运期产生的固体废物主要包括鸡粪、病死鸡、污泥、废包装材料、医疗垃圾和生活垃圾。鸡粪、污泥收集转运至鸡粪风干车间风干后，转</w:t>
      </w:r>
      <w:bookmarkStart w:id="28" w:name="_Hlk193963233"/>
      <w:r>
        <w:rPr>
          <w:rFonts w:hint="eastAsia"/>
        </w:rPr>
        <w:t>运至湖南恩润生物科技有限公司制造有机肥；</w:t>
      </w:r>
      <w:bookmarkEnd w:id="28"/>
      <w:r>
        <w:rPr>
          <w:rFonts w:hint="eastAsia"/>
        </w:rPr>
        <w:t>病死鸡在冷冻库暂存后定期交由永州恩泉环保科技有限公司无害化处置；废包装材料收集在一般固废暂存间内暂存，再外售综合利用；医疗垃圾分类收集在危废暂存间内暂存，再定期交有资质单位处置；</w:t>
      </w:r>
      <w:r>
        <w:rPr>
          <w:rFonts w:hint="eastAsia" w:ascii="宋体" w:hAnsi="宋体"/>
        </w:rPr>
        <w:t>生活垃圾交由环卫部门统一清运处理。</w:t>
      </w:r>
      <w:r>
        <w:rPr>
          <w:rFonts w:hint="eastAsia"/>
        </w:rPr>
        <w:t>项目营运期固体废物均能得到合理处置，使废物达到减量化、资源化和无害化。</w:t>
      </w:r>
    </w:p>
    <w:p>
      <w:pPr>
        <w:pStyle w:val="3"/>
      </w:pPr>
      <w:bookmarkStart w:id="29" w:name="_Toc194481098"/>
      <w:r>
        <w:t>1.</w:t>
      </w:r>
      <w:r>
        <w:rPr>
          <w:rFonts w:hint="eastAsia"/>
        </w:rPr>
        <w:t>4 评价关注的环境问题</w:t>
      </w:r>
      <w:bookmarkEnd w:id="29"/>
    </w:p>
    <w:p>
      <w:pPr>
        <w:pStyle w:val="49"/>
        <w:ind w:firstLine="480"/>
      </w:pPr>
      <w:r>
        <w:rPr>
          <w:rFonts w:hint="eastAsia"/>
        </w:rPr>
        <w:t xml:space="preserve">本次评价主要关注的环境问题是建设项目投入营运后主要污染物的产生、控制和环境风险。本项目主要关注的环境问题是： </w:t>
      </w:r>
    </w:p>
    <w:p>
      <w:pPr>
        <w:pStyle w:val="49"/>
        <w:ind w:firstLine="480"/>
      </w:pPr>
      <w:r>
        <w:rPr>
          <w:rFonts w:hint="eastAsia"/>
        </w:rPr>
        <w:t>（</w:t>
      </w:r>
      <w:r>
        <w:t>1</w:t>
      </w:r>
      <w:r>
        <w:rPr>
          <w:rFonts w:hint="eastAsia"/>
        </w:rPr>
        <w:t xml:space="preserve">）项目恶臭气体处理措施及对外环境的影响分析； </w:t>
      </w:r>
    </w:p>
    <w:p>
      <w:pPr>
        <w:pStyle w:val="49"/>
        <w:ind w:firstLine="480"/>
      </w:pPr>
      <w:r>
        <w:rPr>
          <w:rFonts w:hint="eastAsia"/>
        </w:rPr>
        <w:t>（</w:t>
      </w:r>
      <w:r>
        <w:t>2</w:t>
      </w:r>
      <w:r>
        <w:rPr>
          <w:rFonts w:hint="eastAsia"/>
        </w:rPr>
        <w:t xml:space="preserve">）项目废水污染物处理措施可行性以及消纳可行性； </w:t>
      </w:r>
    </w:p>
    <w:p>
      <w:pPr>
        <w:pStyle w:val="49"/>
        <w:ind w:firstLine="480"/>
      </w:pPr>
      <w:r>
        <w:rPr>
          <w:rFonts w:hint="eastAsia"/>
        </w:rPr>
        <w:t>（</w:t>
      </w:r>
      <w:r>
        <w:t>3</w:t>
      </w:r>
      <w:r>
        <w:rPr>
          <w:rFonts w:hint="eastAsia"/>
        </w:rPr>
        <w:t xml:space="preserve">）项目固体废物处置的可行性； </w:t>
      </w:r>
    </w:p>
    <w:p>
      <w:pPr>
        <w:pStyle w:val="49"/>
        <w:ind w:firstLine="480"/>
      </w:pPr>
      <w:r>
        <w:rPr>
          <w:rFonts w:hint="eastAsia"/>
        </w:rPr>
        <w:t>（</w:t>
      </w:r>
      <w:r>
        <w:t>4</w:t>
      </w:r>
      <w:r>
        <w:rPr>
          <w:rFonts w:hint="eastAsia"/>
        </w:rPr>
        <w:t xml:space="preserve">）项目建成后运营场界噪声是否达标，是否会对周围环境造成影响等； </w:t>
      </w:r>
    </w:p>
    <w:p>
      <w:pPr>
        <w:pStyle w:val="49"/>
        <w:ind w:firstLine="480"/>
      </w:pPr>
      <w:r>
        <w:rPr>
          <w:rFonts w:hint="eastAsia"/>
        </w:rPr>
        <w:t>（</w:t>
      </w:r>
      <w:r>
        <w:t>5</w:t>
      </w:r>
      <w:r>
        <w:rPr>
          <w:rFonts w:hint="eastAsia"/>
        </w:rPr>
        <w:t>）项目的环境风险是否可接受，风险防范措施是否符合要求。</w:t>
      </w:r>
    </w:p>
    <w:p>
      <w:pPr>
        <w:pStyle w:val="3"/>
        <w:keepNext w:val="0"/>
        <w:keepLines w:val="0"/>
        <w:widowControl w:val="0"/>
      </w:pPr>
      <w:bookmarkStart w:id="30" w:name="_Toc194481099"/>
      <w:r>
        <w:t xml:space="preserve">1.5 </w:t>
      </w:r>
      <w:r>
        <w:rPr>
          <w:rFonts w:hint="eastAsia"/>
        </w:rPr>
        <w:t>分析判定相关环保政策符合性</w:t>
      </w:r>
      <w:bookmarkEnd w:id="30"/>
    </w:p>
    <w:p>
      <w:pPr>
        <w:pStyle w:val="4"/>
        <w:keepNext w:val="0"/>
        <w:keepLines w:val="0"/>
        <w:widowControl w:val="0"/>
      </w:pPr>
      <w:bookmarkStart w:id="31" w:name="_Toc194481100"/>
      <w:r>
        <w:t>1.5.1 产业政策符合性分析</w:t>
      </w:r>
      <w:bookmarkEnd w:id="31"/>
    </w:p>
    <w:p>
      <w:pPr>
        <w:pStyle w:val="49"/>
        <w:ind w:firstLine="480"/>
      </w:pPr>
      <w:r>
        <w:rPr>
          <w:rFonts w:hint="eastAsia"/>
        </w:rPr>
        <w:t>本项目属于《国民经济行业分类》（</w:t>
      </w:r>
      <w:r>
        <w:t>GB/T 4754-2017</w:t>
      </w:r>
      <w:r>
        <w:rPr>
          <w:rFonts w:hint="eastAsia"/>
        </w:rPr>
        <w:t>）分类中的</w:t>
      </w:r>
      <w:r>
        <w:rPr>
          <w:rFonts w:ascii="宋体" w:hAnsi="宋体"/>
        </w:rPr>
        <w:t>“</w:t>
      </w:r>
      <w:r>
        <w:t>A0321</w:t>
      </w:r>
      <w:r>
        <w:rPr>
          <w:rFonts w:hint="eastAsia"/>
        </w:rPr>
        <w:t>鸡的饲养</w:t>
      </w:r>
      <w:r>
        <w:rPr>
          <w:rFonts w:ascii="宋体" w:hAnsi="宋体"/>
        </w:rPr>
        <w:t>”</w:t>
      </w:r>
      <w:r>
        <w:rPr>
          <w:rFonts w:hint="eastAsia"/>
        </w:rPr>
        <w:t>。对照《产业结构调整指导目录（</w:t>
      </w:r>
      <w:r>
        <w:t xml:space="preserve">2019 </w:t>
      </w:r>
      <w:r>
        <w:rPr>
          <w:rFonts w:hint="eastAsia"/>
        </w:rPr>
        <w:t>年本）》，本项目属于鼓励类第一项</w:t>
      </w:r>
      <w:r>
        <w:rPr>
          <w:rFonts w:ascii="宋体" w:hAnsi="宋体"/>
        </w:rPr>
        <w:t>“</w:t>
      </w:r>
      <w:r>
        <w:rPr>
          <w:rFonts w:hint="eastAsia"/>
        </w:rPr>
        <w:t>农林业</w:t>
      </w:r>
      <w:r>
        <w:rPr>
          <w:rFonts w:ascii="宋体" w:hAnsi="宋体"/>
        </w:rPr>
        <w:t>”</w:t>
      </w:r>
      <w:r>
        <w:rPr>
          <w:rFonts w:hint="eastAsia"/>
        </w:rPr>
        <w:t xml:space="preserve">第 </w:t>
      </w:r>
      <w:r>
        <w:t xml:space="preserve">4 </w:t>
      </w:r>
      <w:r>
        <w:rPr>
          <w:rFonts w:hint="eastAsia"/>
        </w:rPr>
        <w:t>条</w:t>
      </w:r>
      <w:r>
        <w:rPr>
          <w:rFonts w:ascii="宋体" w:hAnsi="宋体"/>
        </w:rPr>
        <w:t>“</w:t>
      </w:r>
      <w:r>
        <w:rPr>
          <w:rFonts w:hint="eastAsia"/>
        </w:rPr>
        <w:t>畜禽标准化规模养殖技术开发与应用</w:t>
      </w:r>
      <w:r>
        <w:rPr>
          <w:rFonts w:ascii="宋体" w:hAnsi="宋体"/>
        </w:rPr>
        <w:t>”</w:t>
      </w:r>
      <w:r>
        <w:rPr>
          <w:rFonts w:hint="eastAsia"/>
        </w:rPr>
        <w:t>，符合国家产业政策。</w:t>
      </w:r>
    </w:p>
    <w:p>
      <w:pPr>
        <w:pStyle w:val="4"/>
        <w:keepNext w:val="0"/>
        <w:keepLines w:val="0"/>
        <w:widowControl w:val="0"/>
      </w:pPr>
      <w:bookmarkStart w:id="32" w:name="_Toc194481101"/>
      <w:r>
        <w:t>1.5.</w:t>
      </w:r>
      <w:r>
        <w:rPr>
          <w:rFonts w:hint="eastAsia"/>
        </w:rPr>
        <w:t>2 与“生态环境分区管控”符合性分析</w:t>
      </w:r>
      <w:bookmarkEnd w:id="32"/>
    </w:p>
    <w:p>
      <w:pPr>
        <w:pStyle w:val="49"/>
        <w:ind w:firstLine="480"/>
      </w:pPr>
      <w:r>
        <w:rPr>
          <w:rFonts w:hint="eastAsia"/>
        </w:rPr>
        <w:t>1、生态保护红线</w:t>
      </w:r>
    </w:p>
    <w:p>
      <w:pPr>
        <w:pStyle w:val="49"/>
        <w:ind w:firstLine="480"/>
      </w:pPr>
      <w:r>
        <w:rPr>
          <w:rFonts w:hint="eastAsia"/>
        </w:rPr>
        <w:t>本项目位于永州市冷水滩区岚角山街道飞跃村、高桥头村，</w:t>
      </w:r>
      <w:r>
        <w:t>不涉及生态保护红线，符合生态保护红线的相关要求。</w:t>
      </w:r>
    </w:p>
    <w:p>
      <w:pPr>
        <w:pStyle w:val="49"/>
        <w:ind w:firstLine="480"/>
      </w:pPr>
      <w:r>
        <w:rPr>
          <w:rFonts w:hint="eastAsia"/>
        </w:rPr>
        <w:t>2、环境质量底线</w:t>
      </w:r>
    </w:p>
    <w:p>
      <w:pPr>
        <w:pStyle w:val="49"/>
        <w:ind w:firstLine="480"/>
      </w:pPr>
      <w:r>
        <w:rPr>
          <w:rFonts w:hint="eastAsia"/>
        </w:rPr>
        <w:t>由环境质量现状监测可知，区域环境空气质量各常规监测因子均达到《环境空气质量标准》（</w:t>
      </w:r>
      <w:r>
        <w:t>GB3095-2012</w:t>
      </w:r>
      <w:r>
        <w:rPr>
          <w:rFonts w:hint="eastAsia"/>
        </w:rPr>
        <w:t>）二级标准要求；特征因子硫化氢、氨《环境影响评价技术导则大气环境》（</w:t>
      </w:r>
      <w:r>
        <w:t>HJ2.2-2018</w:t>
      </w:r>
      <w:r>
        <w:rPr>
          <w:rFonts w:hint="eastAsia"/>
        </w:rPr>
        <w:t xml:space="preserve">）附录 </w:t>
      </w:r>
      <w:r>
        <w:t>D</w:t>
      </w:r>
      <w:r>
        <w:rPr>
          <w:rFonts w:hint="eastAsia"/>
        </w:rPr>
        <w:t>中其他污染物空气质量浓度参考限值要求。区域地表水环境各监测因子均达到《地表水环境质量标准》（</w:t>
      </w:r>
      <w:r>
        <w:t>GB3838-2002</w:t>
      </w:r>
      <w:r>
        <w:rPr>
          <w:rFonts w:hint="eastAsia"/>
        </w:rPr>
        <w:t>）</w:t>
      </w:r>
      <w:r>
        <w:rPr>
          <w:rFonts w:cs="Times New Roman"/>
        </w:rPr>
        <w:t>Ⅲ</w:t>
      </w:r>
      <w:r>
        <w:rPr>
          <w:rFonts w:hint="eastAsia"/>
        </w:rPr>
        <w:t>类标准要求。区域地下水环境各监测因子均达到《地下水质量标准》（</w:t>
      </w:r>
      <w:r>
        <w:t>GB/T14848-2017</w:t>
      </w:r>
      <w:r>
        <w:rPr>
          <w:rFonts w:hint="eastAsia"/>
        </w:rPr>
        <w:t>）</w:t>
      </w:r>
      <w:r>
        <w:rPr>
          <w:rFonts w:cs="Times New Roman"/>
        </w:rPr>
        <w:t>Ⅲ</w:t>
      </w:r>
      <w:r>
        <w:rPr>
          <w:rFonts w:hint="eastAsia"/>
        </w:rPr>
        <w:t>类标准要求。区域土壤环境各监测因子均满足</w:t>
      </w:r>
      <w:r>
        <w:rPr>
          <w:rFonts w:cs="Times New Roman"/>
        </w:rPr>
        <w:t>《土壤环境质量</w:t>
      </w:r>
      <w:r>
        <w:rPr>
          <w:rFonts w:hint="eastAsia" w:cs="Times New Roman"/>
        </w:rPr>
        <w:t xml:space="preserve">  </w:t>
      </w:r>
      <w:r>
        <w:rPr>
          <w:rFonts w:cs="Times New Roman"/>
        </w:rPr>
        <w:t>农用地土壤污染风险管控标准（试行）》（GB15618-2018）</w:t>
      </w:r>
      <w:r>
        <w:rPr>
          <w:rFonts w:hint="eastAsia" w:cs="Times New Roman"/>
        </w:rPr>
        <w:t>筛选值标准</w:t>
      </w:r>
      <w:r>
        <w:rPr>
          <w:rFonts w:hint="eastAsia"/>
        </w:rPr>
        <w:t>。厂界四周噪声能满足《声环境质量标准》（</w:t>
      </w:r>
      <w:r>
        <w:rPr>
          <w:rFonts w:cs="Times New Roman"/>
        </w:rPr>
        <w:t>GB3096-2008</w:t>
      </w:r>
      <w:r>
        <w:rPr>
          <w:rFonts w:hint="eastAsia"/>
        </w:rPr>
        <w:t>）中的</w:t>
      </w:r>
      <w:r>
        <w:rPr>
          <w:rFonts w:hint="eastAsia" w:cs="Times New Roman"/>
        </w:rPr>
        <w:t>2</w:t>
      </w:r>
      <w:r>
        <w:rPr>
          <w:rFonts w:hint="eastAsia"/>
        </w:rPr>
        <w:t>类区标准要求。综上所述，本项目周边环境具有一定的环境容量，本项目新增的各项污</w:t>
      </w:r>
      <w:r>
        <w:rPr>
          <w:rFonts w:hint="eastAsia" w:ascii="宋体" w:hAnsi="宋体"/>
        </w:rPr>
        <w:t>染物的排放不会造成区域环境质量的下降。</w:t>
      </w:r>
    </w:p>
    <w:p>
      <w:pPr>
        <w:pStyle w:val="49"/>
        <w:ind w:firstLine="480"/>
      </w:pPr>
      <w:r>
        <w:rPr>
          <w:rFonts w:hint="eastAsia"/>
        </w:rPr>
        <w:t>3、资源利用上线</w:t>
      </w:r>
    </w:p>
    <w:p>
      <w:pPr>
        <w:pStyle w:val="49"/>
        <w:ind w:firstLine="480"/>
      </w:pPr>
      <w:r>
        <w:rPr>
          <w:rFonts w:hint="eastAsia"/>
        </w:rPr>
        <w:t xml:space="preserve">本项目生产、建设过程中所利用的资源主要为水资源、电，电为清洁能源， </w:t>
      </w:r>
    </w:p>
    <w:p>
      <w:pPr>
        <w:pStyle w:val="49"/>
        <w:wordWrap w:val="0"/>
        <w:ind w:firstLine="0" w:firstLineChars="0"/>
      </w:pPr>
      <w:r>
        <w:rPr>
          <w:rFonts w:hint="eastAsia"/>
        </w:rPr>
        <w:t>项目所在区域水资源丰富，不会突破当地的资源利用上线，符合资源利用上线要求。</w:t>
      </w:r>
    </w:p>
    <w:p>
      <w:pPr>
        <w:pStyle w:val="49"/>
        <w:wordWrap w:val="0"/>
        <w:ind w:firstLine="480"/>
      </w:pPr>
      <w:r>
        <w:rPr>
          <w:rFonts w:hint="eastAsia"/>
        </w:rPr>
        <w:t>4、环境准入负面清单</w:t>
      </w:r>
    </w:p>
    <w:p>
      <w:pPr>
        <w:pStyle w:val="49"/>
        <w:ind w:firstLine="480"/>
      </w:pPr>
      <w:r>
        <w:rPr>
          <w:rFonts w:hint="eastAsia"/>
        </w:rPr>
        <w:t>根据《</w:t>
      </w:r>
      <w:r>
        <w:t>永州市环境管控单元（省级以上产业园区除外）生态环境准入清单</w:t>
      </w:r>
      <w:r>
        <w:rPr>
          <w:rFonts w:hint="eastAsia"/>
        </w:rPr>
        <w:t>（2</w:t>
      </w:r>
      <w:r>
        <w:t>023</w:t>
      </w:r>
      <w:r>
        <w:rPr>
          <w:rFonts w:hint="eastAsia"/>
        </w:rPr>
        <w:t>版）</w:t>
      </w:r>
      <w:r>
        <w:rPr>
          <w:rFonts w:hint="eastAsia" w:ascii="宋体" w:hAnsi="宋体"/>
          <w:szCs w:val="32"/>
        </w:rPr>
        <w:t>》，本项目与</w:t>
      </w:r>
      <w:r>
        <w:t>永州市环境管控单元（省级以上产业园区除外）生态环境准入清单</w:t>
      </w:r>
      <w:r>
        <w:rPr>
          <w:rFonts w:hint="eastAsia"/>
        </w:rPr>
        <w:t>（2</w:t>
      </w:r>
      <w:r>
        <w:t>023</w:t>
      </w:r>
      <w:r>
        <w:rPr>
          <w:rFonts w:hint="eastAsia"/>
        </w:rPr>
        <w:t>版）符合性分析详见下表。</w:t>
      </w:r>
    </w:p>
    <w:p>
      <w:pPr>
        <w:pStyle w:val="49"/>
        <w:wordWrap w:val="0"/>
        <w:ind w:firstLine="480"/>
        <w:sectPr>
          <w:footerReference r:id="rId10" w:type="default"/>
          <w:pgSz w:w="11906" w:h="16838"/>
          <w:pgMar w:top="1440" w:right="1800" w:bottom="1440" w:left="1800" w:header="851" w:footer="992" w:gutter="0"/>
          <w:pgNumType w:start="1"/>
          <w:cols w:space="425" w:num="1"/>
          <w:docGrid w:type="lines" w:linePitch="312" w:charSpace="0"/>
        </w:sectPr>
      </w:pPr>
    </w:p>
    <w:p>
      <w:pPr>
        <w:pStyle w:val="53"/>
      </w:pPr>
      <w:r>
        <w:rPr>
          <w:rFonts w:hint="eastAsia"/>
        </w:rPr>
        <w:t>表1.5-1 项目与</w:t>
      </w:r>
      <w:r>
        <w:t>永州市环境管控单元（省级以上产业园区除外）生态环境准入清单</w:t>
      </w:r>
      <w:r>
        <w:rPr>
          <w:rFonts w:hint="eastAsia"/>
        </w:rPr>
        <w:t>（2</w:t>
      </w:r>
      <w:r>
        <w:t>023</w:t>
      </w:r>
      <w:r>
        <w:rPr>
          <w:rFonts w:hint="eastAsia"/>
        </w:rPr>
        <w:t>版）符合性分析一览表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989"/>
        <w:gridCol w:w="1561"/>
        <w:gridCol w:w="1679"/>
        <w:gridCol w:w="1979"/>
        <w:gridCol w:w="2059"/>
        <w:gridCol w:w="1768"/>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shd w:val="clear" w:color="auto" w:fill="auto"/>
            <w:vAlign w:val="center"/>
          </w:tcPr>
          <w:p>
            <w:pPr>
              <w:pStyle w:val="201"/>
            </w:pPr>
            <w:r>
              <w:rPr>
                <w:rFonts w:hint="eastAsia"/>
                <w:b/>
                <w:bCs/>
              </w:rPr>
              <w:t>环境管控单元编码</w:t>
            </w:r>
          </w:p>
        </w:tc>
        <w:tc>
          <w:tcPr>
            <w:tcW w:w="1989" w:type="dxa"/>
            <w:shd w:val="clear" w:color="auto" w:fill="auto"/>
            <w:vAlign w:val="center"/>
          </w:tcPr>
          <w:p>
            <w:pPr>
              <w:pStyle w:val="201"/>
            </w:pPr>
            <w:r>
              <w:rPr>
                <w:rFonts w:hint="eastAsia"/>
                <w:b/>
                <w:bCs/>
              </w:rPr>
              <w:t>单元名称</w:t>
            </w:r>
          </w:p>
        </w:tc>
        <w:tc>
          <w:tcPr>
            <w:tcW w:w="1561" w:type="dxa"/>
            <w:shd w:val="clear" w:color="auto" w:fill="auto"/>
            <w:vAlign w:val="center"/>
          </w:tcPr>
          <w:p>
            <w:pPr>
              <w:pStyle w:val="201"/>
            </w:pPr>
            <w:r>
              <w:rPr>
                <w:rFonts w:hint="eastAsia"/>
                <w:b/>
                <w:bCs/>
              </w:rPr>
              <w:t>单元分类</w:t>
            </w:r>
          </w:p>
        </w:tc>
        <w:tc>
          <w:tcPr>
            <w:tcW w:w="1679" w:type="dxa"/>
            <w:shd w:val="clear" w:color="auto" w:fill="auto"/>
            <w:vAlign w:val="center"/>
          </w:tcPr>
          <w:p>
            <w:pPr>
              <w:pStyle w:val="201"/>
            </w:pPr>
            <w:r>
              <w:rPr>
                <w:rFonts w:hint="eastAsia"/>
                <w:b/>
                <w:bCs/>
              </w:rPr>
              <w:t xml:space="preserve">单元面积 </w:t>
            </w:r>
            <w:r>
              <w:rPr>
                <w:b/>
                <w:bCs/>
              </w:rPr>
              <w:t>(km</w:t>
            </w:r>
            <w:r>
              <w:rPr>
                <w:b/>
                <w:bCs/>
                <w:vertAlign w:val="superscript"/>
              </w:rPr>
              <w:t>2</w:t>
            </w:r>
            <w:r>
              <w:rPr>
                <w:b/>
                <w:bCs/>
              </w:rPr>
              <w:t>)</w:t>
            </w:r>
          </w:p>
        </w:tc>
        <w:tc>
          <w:tcPr>
            <w:tcW w:w="1979" w:type="dxa"/>
            <w:shd w:val="clear" w:color="auto" w:fill="auto"/>
            <w:vAlign w:val="center"/>
          </w:tcPr>
          <w:p>
            <w:pPr>
              <w:pStyle w:val="201"/>
            </w:pPr>
            <w:r>
              <w:rPr>
                <w:rFonts w:hint="eastAsia"/>
                <w:b/>
                <w:bCs/>
              </w:rPr>
              <w:t xml:space="preserve">涉及乡镇 </w:t>
            </w:r>
            <w:r>
              <w:rPr>
                <w:b/>
                <w:bCs/>
              </w:rPr>
              <w:t>(</w:t>
            </w:r>
            <w:r>
              <w:rPr>
                <w:rFonts w:hint="eastAsia"/>
                <w:b/>
                <w:bCs/>
              </w:rPr>
              <w:t>街道</w:t>
            </w:r>
            <w:r>
              <w:rPr>
                <w:b/>
                <w:bCs/>
              </w:rPr>
              <w:t>)</w:t>
            </w:r>
          </w:p>
        </w:tc>
        <w:tc>
          <w:tcPr>
            <w:tcW w:w="2059" w:type="dxa"/>
            <w:shd w:val="clear" w:color="auto" w:fill="auto"/>
            <w:vAlign w:val="center"/>
          </w:tcPr>
          <w:p>
            <w:pPr>
              <w:pStyle w:val="201"/>
            </w:pPr>
            <w:r>
              <w:rPr>
                <w:rFonts w:hint="eastAsia"/>
                <w:b/>
                <w:bCs/>
              </w:rPr>
              <w:t>主体功能 定位</w:t>
            </w:r>
          </w:p>
        </w:tc>
        <w:tc>
          <w:tcPr>
            <w:tcW w:w="2680" w:type="dxa"/>
            <w:gridSpan w:val="2"/>
            <w:shd w:val="clear" w:color="auto" w:fill="auto"/>
            <w:vAlign w:val="center"/>
          </w:tcPr>
          <w:p>
            <w:pPr>
              <w:pStyle w:val="201"/>
            </w:pPr>
            <w:r>
              <w:rPr>
                <w:rFonts w:hint="eastAsia"/>
                <w:b/>
                <w:bCs/>
              </w:rPr>
              <w:t>经济产业布局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shd w:val="clear" w:color="auto" w:fill="auto"/>
            <w:vAlign w:val="center"/>
          </w:tcPr>
          <w:p>
            <w:pPr>
              <w:pStyle w:val="201"/>
            </w:pPr>
            <w:r>
              <w:t>ZH431103</w:t>
            </w:r>
            <w:r>
              <w:rPr>
                <w:rFonts w:hint="eastAsia"/>
              </w:rPr>
              <w:t>2</w:t>
            </w:r>
            <w:r>
              <w:t>0001</w:t>
            </w:r>
          </w:p>
        </w:tc>
        <w:tc>
          <w:tcPr>
            <w:tcW w:w="1989" w:type="dxa"/>
            <w:shd w:val="clear" w:color="auto" w:fill="auto"/>
            <w:vAlign w:val="center"/>
          </w:tcPr>
          <w:p>
            <w:pPr>
              <w:pStyle w:val="201"/>
            </w:pPr>
            <w:r>
              <w:rPr>
                <w:rFonts w:hint="eastAsia"/>
              </w:rPr>
              <w:t>仁湾街道</w:t>
            </w:r>
            <w:r>
              <w:t xml:space="preserve">/ </w:t>
            </w:r>
            <w:r>
              <w:rPr>
                <w:rFonts w:hint="eastAsia"/>
              </w:rPr>
              <w:t>珊瑚街道</w:t>
            </w:r>
            <w:r>
              <w:t xml:space="preserve">/ </w:t>
            </w:r>
            <w:r>
              <w:rPr>
                <w:rFonts w:hint="eastAsia"/>
              </w:rPr>
              <w:t>凤凰街道</w:t>
            </w:r>
            <w:r>
              <w:t xml:space="preserve">/ </w:t>
            </w:r>
            <w:r>
              <w:rPr>
                <w:rFonts w:hint="eastAsia"/>
              </w:rPr>
              <w:t>高溪市镇</w:t>
            </w:r>
            <w:r>
              <w:t>/</w:t>
            </w:r>
            <w:r>
              <w:rPr>
                <w:rFonts w:hint="eastAsia"/>
              </w:rPr>
              <w:t>岚角山街道</w:t>
            </w:r>
            <w:r>
              <w:t>/</w:t>
            </w:r>
            <w:r>
              <w:rPr>
                <w:rFonts w:hint="eastAsia"/>
              </w:rPr>
              <w:t>菱角山街道</w:t>
            </w:r>
            <w:r>
              <w:t>/</w:t>
            </w:r>
            <w:r>
              <w:rPr>
                <w:rFonts w:hint="eastAsia"/>
              </w:rPr>
              <w:t>梅湾街道</w:t>
            </w:r>
            <w:r>
              <w:t>/</w:t>
            </w:r>
            <w:r>
              <w:rPr>
                <w:rFonts w:hint="eastAsia"/>
              </w:rPr>
              <w:t>曲河街道</w:t>
            </w:r>
            <w:r>
              <w:t>/</w:t>
            </w:r>
            <w:r>
              <w:rPr>
                <w:rFonts w:hint="eastAsia"/>
              </w:rPr>
              <w:t>上岭 桥镇</w:t>
            </w:r>
            <w:r>
              <w:t>/</w:t>
            </w:r>
            <w:r>
              <w:rPr>
                <w:rFonts w:hint="eastAsia"/>
              </w:rPr>
              <w:t>梧桐街道</w:t>
            </w:r>
            <w:r>
              <w:t>/</w:t>
            </w:r>
            <w:r>
              <w:rPr>
                <w:rFonts w:hint="eastAsia"/>
              </w:rPr>
              <w:t>肖家园街道</w:t>
            </w:r>
            <w:r>
              <w:t>/</w:t>
            </w:r>
            <w:r>
              <w:rPr>
                <w:rFonts w:hint="eastAsia"/>
              </w:rPr>
              <w:t>杨家桥街道</w:t>
            </w:r>
            <w:r>
              <w:t xml:space="preserve">/ </w:t>
            </w:r>
            <w:r>
              <w:rPr>
                <w:rFonts w:hint="eastAsia"/>
              </w:rPr>
              <w:t>伊塘镇</w:t>
            </w:r>
          </w:p>
        </w:tc>
        <w:tc>
          <w:tcPr>
            <w:tcW w:w="1561" w:type="dxa"/>
            <w:shd w:val="clear" w:color="auto" w:fill="auto"/>
            <w:vAlign w:val="center"/>
          </w:tcPr>
          <w:p>
            <w:pPr>
              <w:pStyle w:val="201"/>
            </w:pPr>
            <w:r>
              <w:rPr>
                <w:rFonts w:hint="eastAsia"/>
              </w:rPr>
              <w:t xml:space="preserve">重点管 </w:t>
            </w:r>
          </w:p>
          <w:p>
            <w:pPr>
              <w:pStyle w:val="201"/>
            </w:pPr>
            <w:r>
              <w:rPr>
                <w:rFonts w:hint="eastAsia"/>
              </w:rPr>
              <w:t>控单元</w:t>
            </w:r>
          </w:p>
        </w:tc>
        <w:tc>
          <w:tcPr>
            <w:tcW w:w="1679" w:type="dxa"/>
            <w:shd w:val="clear" w:color="auto" w:fill="auto"/>
            <w:vAlign w:val="center"/>
          </w:tcPr>
          <w:p>
            <w:pPr>
              <w:pStyle w:val="201"/>
            </w:pPr>
            <w:r>
              <w:rPr>
                <w:rFonts w:hint="eastAsia" w:eastAsia="仿宋"/>
                <w:szCs w:val="21"/>
              </w:rPr>
              <w:t>312.64</w:t>
            </w:r>
          </w:p>
        </w:tc>
        <w:tc>
          <w:tcPr>
            <w:tcW w:w="1979" w:type="dxa"/>
            <w:shd w:val="clear" w:color="auto" w:fill="auto"/>
            <w:vAlign w:val="center"/>
          </w:tcPr>
          <w:p>
            <w:pPr>
              <w:pStyle w:val="201"/>
            </w:pPr>
            <w:r>
              <w:rPr>
                <w:rFonts w:hint="eastAsia"/>
              </w:rPr>
              <w:t>岚角山街道</w:t>
            </w:r>
          </w:p>
        </w:tc>
        <w:tc>
          <w:tcPr>
            <w:tcW w:w="2059" w:type="dxa"/>
            <w:shd w:val="clear" w:color="auto" w:fill="auto"/>
            <w:vAlign w:val="center"/>
          </w:tcPr>
          <w:p>
            <w:pPr>
              <w:pStyle w:val="201"/>
            </w:pPr>
            <w:r>
              <w:rPr>
                <w:rFonts w:hint="eastAsia"/>
              </w:rPr>
              <w:t>城市化地区</w:t>
            </w:r>
          </w:p>
        </w:tc>
        <w:tc>
          <w:tcPr>
            <w:tcW w:w="2680" w:type="dxa"/>
            <w:gridSpan w:val="2"/>
            <w:shd w:val="clear" w:color="auto" w:fill="auto"/>
            <w:vAlign w:val="center"/>
          </w:tcPr>
          <w:p>
            <w:pPr>
              <w:pStyle w:val="201"/>
              <w:jc w:val="both"/>
            </w:pPr>
            <w:r>
              <w:rPr>
                <w:rFonts w:hint="eastAsia"/>
              </w:rPr>
              <w:t>农业、生态旅游、农产品加工业等；高科园范围内以工业为主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shd w:val="clear" w:color="auto" w:fill="auto"/>
            <w:vAlign w:val="center"/>
          </w:tcPr>
          <w:p>
            <w:pPr>
              <w:pStyle w:val="201"/>
              <w:rPr>
                <w:b/>
                <w:bCs/>
              </w:rPr>
            </w:pPr>
            <w:r>
              <w:rPr>
                <w:rFonts w:hint="eastAsia"/>
                <w:b/>
                <w:bCs/>
              </w:rPr>
              <w:t>主要属性</w:t>
            </w:r>
          </w:p>
        </w:tc>
        <w:tc>
          <w:tcPr>
            <w:tcW w:w="11947" w:type="dxa"/>
            <w:gridSpan w:val="7"/>
            <w:shd w:val="clear" w:color="auto" w:fill="auto"/>
            <w:vAlign w:val="center"/>
          </w:tcPr>
          <w:p>
            <w:pPr>
              <w:pStyle w:val="201"/>
              <w:jc w:val="both"/>
            </w:pPr>
            <w:r>
              <w:rPr>
                <w:rFonts w:hint="eastAsia"/>
              </w:rPr>
              <w:t>红线</w:t>
            </w:r>
            <w:r>
              <w:t>/</w:t>
            </w:r>
            <w:r>
              <w:rPr>
                <w:rFonts w:hint="eastAsia"/>
              </w:rPr>
              <w:t>一般生态空间（湿地公园</w:t>
            </w:r>
            <w:r>
              <w:t>/</w:t>
            </w:r>
            <w:r>
              <w:rPr>
                <w:rFonts w:hint="eastAsia"/>
              </w:rPr>
              <w:t>生物多样性保护功能重要区</w:t>
            </w:r>
            <w:r>
              <w:t>/</w:t>
            </w:r>
            <w:r>
              <w:rPr>
                <w:rFonts w:hint="eastAsia"/>
              </w:rPr>
              <w:t>原生态红线</w:t>
            </w:r>
            <w:r>
              <w:t>/</w:t>
            </w:r>
            <w:r>
              <w:rPr>
                <w:rFonts w:hint="eastAsia"/>
              </w:rPr>
              <w:t>水土流失敏感区）；水环境优先保护区</w:t>
            </w:r>
            <w:r>
              <w:t>/</w:t>
            </w:r>
            <w:r>
              <w:rPr>
                <w:rFonts w:hint="eastAsia"/>
              </w:rPr>
              <w:t>水环境工业污染重点管控区</w:t>
            </w:r>
            <w:r>
              <w:t>/</w:t>
            </w:r>
            <w:r>
              <w:rPr>
                <w:rFonts w:hint="eastAsia"/>
              </w:rPr>
              <w:t>水环境一般管控区；大气环境优先保护区</w:t>
            </w:r>
            <w:r>
              <w:t>/</w:t>
            </w:r>
            <w:r>
              <w:rPr>
                <w:rFonts w:hint="eastAsia"/>
              </w:rPr>
              <w:t>大气环境受体敏感重点管控区</w:t>
            </w:r>
            <w:r>
              <w:t>/</w:t>
            </w:r>
            <w:r>
              <w:rPr>
                <w:rFonts w:hint="eastAsia"/>
              </w:rPr>
              <w:t>大气环境高排放重点管控区；农用地优先保护区</w:t>
            </w:r>
            <w:r>
              <w:t>/</w:t>
            </w:r>
            <w:r>
              <w:rPr>
                <w:rFonts w:hint="eastAsia"/>
              </w:rPr>
              <w:t>建设用地重点管控区</w:t>
            </w:r>
            <w:r>
              <w:t>/</w:t>
            </w:r>
            <w:r>
              <w:rPr>
                <w:rFonts w:hint="eastAsia"/>
              </w:rPr>
              <w:t>一般管控区；高污染燃料禁燃区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01" w:type="dxa"/>
            <w:shd w:val="clear" w:color="auto" w:fill="auto"/>
            <w:vAlign w:val="center"/>
          </w:tcPr>
          <w:p>
            <w:pPr>
              <w:pStyle w:val="201"/>
              <w:rPr>
                <w:b/>
                <w:bCs/>
              </w:rPr>
            </w:pPr>
            <w:r>
              <w:rPr>
                <w:rFonts w:hint="eastAsia"/>
                <w:b/>
                <w:bCs/>
              </w:rPr>
              <w:t>管控纬度</w:t>
            </w:r>
          </w:p>
        </w:tc>
        <w:tc>
          <w:tcPr>
            <w:tcW w:w="7208" w:type="dxa"/>
            <w:gridSpan w:val="4"/>
            <w:shd w:val="clear" w:color="auto" w:fill="auto"/>
            <w:vAlign w:val="center"/>
          </w:tcPr>
          <w:p>
            <w:pPr>
              <w:pStyle w:val="201"/>
              <w:rPr>
                <w:b/>
                <w:bCs/>
              </w:rPr>
            </w:pPr>
            <w:r>
              <w:rPr>
                <w:rFonts w:hint="eastAsia"/>
                <w:b/>
                <w:bCs/>
              </w:rPr>
              <w:t>管控要求</w:t>
            </w:r>
          </w:p>
        </w:tc>
        <w:tc>
          <w:tcPr>
            <w:tcW w:w="3827" w:type="dxa"/>
            <w:gridSpan w:val="2"/>
            <w:shd w:val="clear" w:color="auto" w:fill="auto"/>
            <w:vAlign w:val="center"/>
          </w:tcPr>
          <w:p>
            <w:pPr>
              <w:pStyle w:val="201"/>
              <w:rPr>
                <w:b/>
                <w:bCs/>
              </w:rPr>
            </w:pPr>
            <w:r>
              <w:rPr>
                <w:rFonts w:hint="eastAsia"/>
                <w:b/>
                <w:bCs/>
              </w:rPr>
              <w:t>本项目情况</w:t>
            </w:r>
          </w:p>
        </w:tc>
        <w:tc>
          <w:tcPr>
            <w:tcW w:w="912" w:type="dxa"/>
            <w:shd w:val="clear" w:color="auto" w:fill="auto"/>
            <w:vAlign w:val="center"/>
          </w:tcPr>
          <w:p>
            <w:pPr>
              <w:pStyle w:val="201"/>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vMerge w:val="restart"/>
            <w:shd w:val="clear" w:color="auto" w:fill="auto"/>
            <w:vAlign w:val="center"/>
          </w:tcPr>
          <w:p>
            <w:pPr>
              <w:pStyle w:val="201"/>
            </w:pPr>
            <w:r>
              <w:rPr>
                <w:rFonts w:hint="eastAsia"/>
                <w:b/>
                <w:bCs/>
              </w:rPr>
              <w:t>空间布局约束</w:t>
            </w:r>
          </w:p>
        </w:tc>
        <w:tc>
          <w:tcPr>
            <w:tcW w:w="7208" w:type="dxa"/>
            <w:gridSpan w:val="4"/>
            <w:shd w:val="clear" w:color="auto" w:fill="auto"/>
            <w:vAlign w:val="center"/>
          </w:tcPr>
          <w:p>
            <w:pPr>
              <w:pStyle w:val="208"/>
              <w:ind w:firstLine="0" w:firstLineChars="0"/>
              <w:rPr>
                <w:color w:val="000000"/>
              </w:rPr>
            </w:pPr>
            <w:r>
              <w:rPr>
                <w:rFonts w:hint="eastAsia"/>
                <w:color w:val="000000"/>
                <w:szCs w:val="24"/>
              </w:rPr>
              <w:t>（</w:t>
            </w:r>
            <w:r>
              <w:rPr>
                <w:color w:val="000000"/>
                <w:szCs w:val="24"/>
              </w:rPr>
              <w:t>1.1</w:t>
            </w:r>
            <w:r>
              <w:rPr>
                <w:rFonts w:hint="eastAsia"/>
                <w:color w:val="000000"/>
                <w:szCs w:val="24"/>
              </w:rPr>
              <w:t>）</w:t>
            </w:r>
            <w:r>
              <w:rPr>
                <w:rFonts w:hint="eastAsia"/>
                <w:color w:val="000000"/>
              </w:rPr>
              <w:t>畜禽养殖产业布局应符合《冷水滩区畜禽养殖规模</w:t>
            </w:r>
            <w:r>
              <w:rPr>
                <w:rFonts w:ascii="宋体" w:hAnsi="宋体"/>
                <w:color w:val="000000"/>
              </w:rPr>
              <w:t>“</w:t>
            </w:r>
            <w:r>
              <w:rPr>
                <w:rFonts w:hint="eastAsia"/>
                <w:color w:val="000000"/>
              </w:rPr>
              <w:t>三区</w:t>
            </w:r>
            <w:r>
              <w:rPr>
                <w:rFonts w:ascii="宋体" w:hAnsi="宋体"/>
                <w:color w:val="000000"/>
              </w:rPr>
              <w:t>”</w:t>
            </w:r>
            <w:r>
              <w:rPr>
                <w:rFonts w:hint="eastAsia"/>
                <w:color w:val="000000"/>
              </w:rPr>
              <w:t xml:space="preserve">划定方案》 </w:t>
            </w:r>
            <w:r>
              <w:rPr>
                <w:rFonts w:hint="eastAsia"/>
                <w:color w:val="000000"/>
                <w:szCs w:val="24"/>
              </w:rPr>
              <w:t>的规定。</w:t>
            </w:r>
          </w:p>
        </w:tc>
        <w:tc>
          <w:tcPr>
            <w:tcW w:w="3827" w:type="dxa"/>
            <w:gridSpan w:val="2"/>
            <w:shd w:val="clear" w:color="auto" w:fill="auto"/>
            <w:vAlign w:val="center"/>
          </w:tcPr>
          <w:p>
            <w:pPr>
              <w:pStyle w:val="201"/>
            </w:pPr>
            <w:r>
              <w:rPr>
                <w:rFonts w:hint="eastAsia"/>
              </w:rPr>
              <w:t>本项目符合《冷水滩区畜禽养殖规模</w:t>
            </w:r>
            <w:r>
              <w:rPr>
                <w:rFonts w:ascii="宋体" w:hAnsi="宋体"/>
              </w:rPr>
              <w:t>“</w:t>
            </w:r>
            <w:r>
              <w:rPr>
                <w:rFonts w:hint="eastAsia"/>
              </w:rPr>
              <w:t>三区</w:t>
            </w:r>
            <w:r>
              <w:rPr>
                <w:rFonts w:ascii="宋体" w:hAnsi="宋体"/>
              </w:rPr>
              <w:t>”</w:t>
            </w:r>
            <w:r>
              <w:rPr>
                <w:rFonts w:hint="eastAsia"/>
              </w:rPr>
              <w:t>划定方案》 的规定</w:t>
            </w:r>
          </w:p>
        </w:tc>
        <w:tc>
          <w:tcPr>
            <w:tcW w:w="912" w:type="dxa"/>
            <w:shd w:val="clear" w:color="auto" w:fill="auto"/>
            <w:vAlign w:val="center"/>
          </w:tcPr>
          <w:p>
            <w:pPr>
              <w:pStyle w:val="20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vMerge w:val="continue"/>
            <w:shd w:val="clear" w:color="auto" w:fill="auto"/>
            <w:vAlign w:val="center"/>
          </w:tcPr>
          <w:p>
            <w:pPr>
              <w:pStyle w:val="201"/>
              <w:rPr>
                <w:b/>
                <w:bCs/>
              </w:rPr>
            </w:pPr>
          </w:p>
        </w:tc>
        <w:tc>
          <w:tcPr>
            <w:tcW w:w="7208" w:type="dxa"/>
            <w:gridSpan w:val="4"/>
            <w:shd w:val="clear" w:color="auto" w:fill="auto"/>
            <w:vAlign w:val="center"/>
          </w:tcPr>
          <w:p>
            <w:pPr>
              <w:pStyle w:val="208"/>
              <w:ind w:firstLine="0" w:firstLineChars="0"/>
              <w:rPr>
                <w:color w:val="000000"/>
                <w:szCs w:val="24"/>
              </w:rPr>
            </w:pPr>
            <w:r>
              <w:rPr>
                <w:color w:val="000000"/>
                <w:szCs w:val="24"/>
              </w:rPr>
              <w:t>（1.2）砂石土矿的开采严格遵照《永州市冷水滩区普通建筑材料用砂石土矿专项规划（2019-2025年）》规定。禁止开采区不得设置砂石土矿，已有采矿权应立即退出。</w:t>
            </w:r>
          </w:p>
        </w:tc>
        <w:tc>
          <w:tcPr>
            <w:tcW w:w="3827" w:type="dxa"/>
            <w:gridSpan w:val="2"/>
            <w:shd w:val="clear" w:color="auto" w:fill="auto"/>
            <w:vAlign w:val="center"/>
          </w:tcPr>
          <w:p>
            <w:pPr>
              <w:pStyle w:val="201"/>
            </w:pPr>
            <w:r>
              <w:rPr>
                <w:rFonts w:hint="eastAsia"/>
              </w:rPr>
              <w:t>不涉及</w:t>
            </w:r>
          </w:p>
        </w:tc>
        <w:tc>
          <w:tcPr>
            <w:tcW w:w="912" w:type="dxa"/>
            <w:shd w:val="clear" w:color="auto" w:fill="auto"/>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01" w:type="dxa"/>
            <w:vMerge w:val="restart"/>
            <w:shd w:val="clear" w:color="auto" w:fill="auto"/>
            <w:vAlign w:val="center"/>
          </w:tcPr>
          <w:p>
            <w:pPr>
              <w:pStyle w:val="201"/>
              <w:rPr>
                <w:b/>
                <w:bCs/>
              </w:rPr>
            </w:pPr>
            <w:r>
              <w:rPr>
                <w:rFonts w:hint="eastAsia"/>
                <w:b/>
                <w:bCs/>
              </w:rPr>
              <w:t>污染物排放管控</w:t>
            </w:r>
          </w:p>
        </w:tc>
        <w:tc>
          <w:tcPr>
            <w:tcW w:w="7208" w:type="dxa"/>
            <w:gridSpan w:val="4"/>
            <w:shd w:val="clear" w:color="auto" w:fill="auto"/>
            <w:vAlign w:val="center"/>
          </w:tcPr>
          <w:p>
            <w:pPr>
              <w:pStyle w:val="201"/>
              <w:jc w:val="both"/>
            </w:pPr>
            <w:r>
              <w:rPr>
                <w:rFonts w:hint="eastAsia"/>
              </w:rPr>
              <w:t>（</w:t>
            </w:r>
            <w:r>
              <w:t>2.1</w:t>
            </w:r>
            <w:r>
              <w:rPr>
                <w:rFonts w:hint="eastAsia"/>
              </w:rPr>
              <w:t>）持续推进</w:t>
            </w:r>
            <w:r>
              <w:rPr>
                <w:rFonts w:ascii="宋体" w:hAnsi="宋体"/>
              </w:rPr>
              <w:t>“</w:t>
            </w:r>
            <w:r>
              <w:rPr>
                <w:rFonts w:hint="eastAsia"/>
              </w:rPr>
              <w:t>散乱污</w:t>
            </w:r>
            <w:r>
              <w:rPr>
                <w:rFonts w:ascii="宋体" w:hAnsi="宋体"/>
              </w:rPr>
              <w:t>”</w:t>
            </w:r>
            <w:r>
              <w:rPr>
                <w:rFonts w:hint="eastAsia"/>
              </w:rPr>
              <w:t>涉气企业整治，淘汰落后产能。</w:t>
            </w:r>
          </w:p>
        </w:tc>
        <w:tc>
          <w:tcPr>
            <w:tcW w:w="3827" w:type="dxa"/>
            <w:gridSpan w:val="2"/>
            <w:shd w:val="clear" w:color="auto" w:fill="auto"/>
            <w:vAlign w:val="center"/>
          </w:tcPr>
          <w:p>
            <w:pPr>
              <w:pStyle w:val="201"/>
              <w:rPr>
                <w:lang w:bidi="ar"/>
              </w:rPr>
            </w:pPr>
            <w:r>
              <w:rPr>
                <w:rFonts w:hint="eastAsia"/>
                <w:lang w:bidi="ar"/>
              </w:rPr>
              <w:t>不涉及</w:t>
            </w:r>
          </w:p>
        </w:tc>
        <w:tc>
          <w:tcPr>
            <w:tcW w:w="912" w:type="dxa"/>
            <w:shd w:val="clear" w:color="auto" w:fill="auto"/>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01" w:type="dxa"/>
            <w:vMerge w:val="continue"/>
            <w:shd w:val="clear" w:color="auto" w:fill="auto"/>
            <w:vAlign w:val="center"/>
          </w:tcPr>
          <w:p>
            <w:pPr>
              <w:pStyle w:val="201"/>
              <w:rPr>
                <w:b/>
                <w:bCs/>
              </w:rPr>
            </w:pPr>
          </w:p>
        </w:tc>
        <w:tc>
          <w:tcPr>
            <w:tcW w:w="7208" w:type="dxa"/>
            <w:gridSpan w:val="4"/>
            <w:shd w:val="clear" w:color="auto" w:fill="auto"/>
            <w:vAlign w:val="center"/>
          </w:tcPr>
          <w:p>
            <w:pPr>
              <w:pStyle w:val="201"/>
              <w:jc w:val="both"/>
            </w:pPr>
            <w:r>
              <w:t>（2.2）</w:t>
            </w:r>
            <w:r>
              <w:rPr>
                <w:rFonts w:hint="eastAsia"/>
              </w:rPr>
              <w:t>推进重点行业污染治理升级改造。建立工业炉窑管理台账，明确治理要求和期限，扎实推进工业炉窑治理。严格控制全区砖瓦、水泥等产能严重过剩行业的新增产能项目，积极化解水泥、砖瓦等过剩行业产能，依法淘汰落后产能</w:t>
            </w:r>
            <w:r>
              <w:t>。</w:t>
            </w:r>
          </w:p>
        </w:tc>
        <w:tc>
          <w:tcPr>
            <w:tcW w:w="3827" w:type="dxa"/>
            <w:gridSpan w:val="2"/>
            <w:shd w:val="clear" w:color="auto" w:fill="auto"/>
            <w:vAlign w:val="center"/>
          </w:tcPr>
          <w:p>
            <w:pPr>
              <w:pStyle w:val="201"/>
              <w:rPr>
                <w:lang w:bidi="ar"/>
              </w:rPr>
            </w:pPr>
            <w:r>
              <w:rPr>
                <w:rFonts w:hint="eastAsia"/>
                <w:lang w:bidi="ar"/>
              </w:rPr>
              <w:t>不涉及</w:t>
            </w:r>
          </w:p>
        </w:tc>
        <w:tc>
          <w:tcPr>
            <w:tcW w:w="912" w:type="dxa"/>
            <w:shd w:val="clear" w:color="auto" w:fill="auto"/>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01" w:type="dxa"/>
            <w:vMerge w:val="continue"/>
            <w:shd w:val="clear" w:color="auto" w:fill="auto"/>
            <w:vAlign w:val="center"/>
          </w:tcPr>
          <w:p>
            <w:pPr>
              <w:pStyle w:val="201"/>
              <w:rPr>
                <w:b/>
                <w:bCs/>
              </w:rPr>
            </w:pPr>
          </w:p>
        </w:tc>
        <w:tc>
          <w:tcPr>
            <w:tcW w:w="7208" w:type="dxa"/>
            <w:gridSpan w:val="4"/>
            <w:shd w:val="clear" w:color="auto" w:fill="auto"/>
            <w:vAlign w:val="center"/>
          </w:tcPr>
          <w:p>
            <w:pPr>
              <w:pStyle w:val="201"/>
              <w:jc w:val="both"/>
            </w:pPr>
            <w:r>
              <w:rPr>
                <w:rFonts w:hint="eastAsia"/>
              </w:rPr>
              <w:t>（</w:t>
            </w:r>
            <w:r>
              <w:t>2.3</w:t>
            </w:r>
            <w:r>
              <w:rPr>
                <w:rFonts w:hint="eastAsia"/>
              </w:rPr>
              <w:t xml:space="preserve">）新、改、扩建涉及 </w:t>
            </w:r>
            <w:r>
              <w:t xml:space="preserve">VOCs </w:t>
            </w:r>
            <w:r>
              <w:rPr>
                <w:rFonts w:hint="eastAsia"/>
              </w:rPr>
              <w:t>排放项目，从原辅材料和工艺流程大力推广使用低（无）</w:t>
            </w:r>
            <w:r>
              <w:t xml:space="preserve">VOCs </w:t>
            </w:r>
            <w:r>
              <w:rPr>
                <w:rFonts w:hint="eastAsia"/>
              </w:rPr>
              <w:t>含量的涂料、有机溶剂、胶黏剂、油墨等原辅材料，配套改进生产工艺。</w:t>
            </w:r>
          </w:p>
        </w:tc>
        <w:tc>
          <w:tcPr>
            <w:tcW w:w="3827" w:type="dxa"/>
            <w:gridSpan w:val="2"/>
            <w:shd w:val="clear" w:color="auto" w:fill="auto"/>
            <w:vAlign w:val="center"/>
          </w:tcPr>
          <w:p>
            <w:pPr>
              <w:pStyle w:val="201"/>
              <w:rPr>
                <w:lang w:bidi="ar"/>
              </w:rPr>
            </w:pPr>
            <w:r>
              <w:rPr>
                <w:rFonts w:hint="eastAsia"/>
                <w:lang w:bidi="ar"/>
              </w:rPr>
              <w:t>不涉及</w:t>
            </w:r>
          </w:p>
        </w:tc>
        <w:tc>
          <w:tcPr>
            <w:tcW w:w="912" w:type="dxa"/>
            <w:shd w:val="clear" w:color="auto" w:fill="auto"/>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01" w:type="dxa"/>
            <w:vMerge w:val="continue"/>
            <w:shd w:val="clear" w:color="auto" w:fill="auto"/>
            <w:vAlign w:val="center"/>
          </w:tcPr>
          <w:p>
            <w:pPr>
              <w:pStyle w:val="201"/>
              <w:rPr>
                <w:b/>
                <w:bCs/>
              </w:rPr>
            </w:pPr>
          </w:p>
        </w:tc>
        <w:tc>
          <w:tcPr>
            <w:tcW w:w="7208" w:type="dxa"/>
            <w:gridSpan w:val="4"/>
            <w:shd w:val="clear" w:color="auto" w:fill="auto"/>
            <w:vAlign w:val="center"/>
          </w:tcPr>
          <w:p>
            <w:pPr>
              <w:pStyle w:val="201"/>
              <w:jc w:val="both"/>
            </w:pPr>
            <w:r>
              <w:rPr>
                <w:rFonts w:hint="eastAsia"/>
              </w:rPr>
              <w:t>（</w:t>
            </w:r>
            <w:r>
              <w:t>2.4</w:t>
            </w:r>
            <w:r>
              <w:rPr>
                <w:rFonts w:hint="eastAsia"/>
              </w:rPr>
              <w:t>）中心城区建成区规模以上的餐饮服务单位全部安装高效油烟净化设施。</w:t>
            </w:r>
          </w:p>
        </w:tc>
        <w:tc>
          <w:tcPr>
            <w:tcW w:w="3827" w:type="dxa"/>
            <w:gridSpan w:val="2"/>
            <w:shd w:val="clear" w:color="auto" w:fill="auto"/>
            <w:vAlign w:val="center"/>
          </w:tcPr>
          <w:p>
            <w:pPr>
              <w:pStyle w:val="201"/>
              <w:rPr>
                <w:lang w:bidi="ar"/>
              </w:rPr>
            </w:pPr>
            <w:r>
              <w:rPr>
                <w:rFonts w:hint="eastAsia"/>
                <w:lang w:bidi="ar"/>
              </w:rPr>
              <w:t>不涉及</w:t>
            </w:r>
          </w:p>
        </w:tc>
        <w:tc>
          <w:tcPr>
            <w:tcW w:w="912" w:type="dxa"/>
            <w:shd w:val="clear" w:color="auto" w:fill="auto"/>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001" w:type="dxa"/>
            <w:vMerge w:val="continue"/>
            <w:shd w:val="clear" w:color="auto" w:fill="auto"/>
            <w:vAlign w:val="center"/>
          </w:tcPr>
          <w:p>
            <w:pPr>
              <w:pStyle w:val="201"/>
              <w:rPr>
                <w:b/>
                <w:bCs/>
              </w:rPr>
            </w:pPr>
          </w:p>
        </w:tc>
        <w:tc>
          <w:tcPr>
            <w:tcW w:w="7208" w:type="dxa"/>
            <w:gridSpan w:val="4"/>
            <w:shd w:val="clear" w:color="auto" w:fill="auto"/>
            <w:vAlign w:val="center"/>
          </w:tcPr>
          <w:p>
            <w:pPr>
              <w:pStyle w:val="201"/>
              <w:jc w:val="both"/>
            </w:pPr>
            <w:r>
              <w:rPr>
                <w:rFonts w:hint="eastAsia"/>
              </w:rPr>
              <w:t>（</w:t>
            </w:r>
            <w:r>
              <w:t>2.5</w:t>
            </w:r>
            <w:r>
              <w:rPr>
                <w:rFonts w:hint="eastAsia"/>
              </w:rPr>
              <w:t>）加大对畜禽养殖场粪污资源化利用扶持力度，加强畜禽养殖处理设施建设，对全区限养区、适养区内传统畜禽养殖场全面进行提质改造，配套建设畜禽废弃物无害化处理和资源化利用设施设备，使畜禽养殖污水稳定达标排放。</w:t>
            </w:r>
          </w:p>
        </w:tc>
        <w:tc>
          <w:tcPr>
            <w:tcW w:w="3827" w:type="dxa"/>
            <w:gridSpan w:val="2"/>
            <w:shd w:val="clear" w:color="auto" w:fill="auto"/>
            <w:vAlign w:val="center"/>
          </w:tcPr>
          <w:p>
            <w:pPr>
              <w:pStyle w:val="201"/>
              <w:rPr>
                <w:szCs w:val="21"/>
              </w:rPr>
            </w:pPr>
            <w:r>
              <w:rPr>
                <w:rFonts w:hint="eastAsia"/>
              </w:rPr>
              <w:t>本项目废水主要鸡舍冲洗废水和生活污水，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p>
        </w:tc>
        <w:tc>
          <w:tcPr>
            <w:tcW w:w="912" w:type="dxa"/>
            <w:shd w:val="clear" w:color="auto" w:fill="auto"/>
            <w:vAlign w:val="center"/>
          </w:tcPr>
          <w:p>
            <w:pPr>
              <w:pStyle w:val="20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01" w:type="dxa"/>
            <w:vMerge w:val="continue"/>
            <w:shd w:val="clear" w:color="auto" w:fill="auto"/>
            <w:vAlign w:val="center"/>
          </w:tcPr>
          <w:p>
            <w:pPr>
              <w:pStyle w:val="201"/>
              <w:rPr>
                <w:b/>
                <w:bCs/>
              </w:rPr>
            </w:pPr>
          </w:p>
        </w:tc>
        <w:tc>
          <w:tcPr>
            <w:tcW w:w="7208" w:type="dxa"/>
            <w:gridSpan w:val="4"/>
            <w:shd w:val="clear" w:color="auto" w:fill="auto"/>
            <w:vAlign w:val="center"/>
          </w:tcPr>
          <w:p>
            <w:pPr>
              <w:pStyle w:val="201"/>
              <w:jc w:val="both"/>
            </w:pPr>
            <w:r>
              <w:rPr>
                <w:rFonts w:hint="eastAsia"/>
              </w:rPr>
              <w:t>（</w:t>
            </w:r>
            <w:r>
              <w:t>2.6</w:t>
            </w:r>
            <w:r>
              <w:rPr>
                <w:rFonts w:hint="eastAsia"/>
              </w:rPr>
              <w:t xml:space="preserve">）建立健全符合农村实际、方式多样的生活垃圾收运处置体系，鼓励实行城乡垃圾处理一体化。到 </w:t>
            </w:r>
            <w:r>
              <w:t xml:space="preserve">2025 </w:t>
            </w:r>
            <w:r>
              <w:rPr>
                <w:rFonts w:hint="eastAsia"/>
              </w:rPr>
              <w:t xml:space="preserve">年，农村生活垃圾收集处置体系实现乡镇全覆盖，生活垃圾定点存放清运率 </w:t>
            </w:r>
            <w:r>
              <w:t>100%</w:t>
            </w:r>
            <w:r>
              <w:rPr>
                <w:rFonts w:hint="eastAsia"/>
              </w:rPr>
              <w:t xml:space="preserve">，垃圾分类减量 </w:t>
            </w:r>
            <w:r>
              <w:t>85%</w:t>
            </w:r>
            <w:r>
              <w:rPr>
                <w:rFonts w:hint="eastAsia"/>
              </w:rPr>
              <w:t xml:space="preserve">以上，集镇生活垃圾无害化处置率达 </w:t>
            </w:r>
            <w:r>
              <w:t>90%</w:t>
            </w:r>
            <w:r>
              <w:rPr>
                <w:rFonts w:hint="eastAsia"/>
              </w:rPr>
              <w:t>。</w:t>
            </w:r>
          </w:p>
        </w:tc>
        <w:tc>
          <w:tcPr>
            <w:tcW w:w="3827" w:type="dxa"/>
            <w:gridSpan w:val="2"/>
            <w:shd w:val="clear" w:color="auto" w:fill="auto"/>
            <w:vAlign w:val="center"/>
          </w:tcPr>
          <w:p>
            <w:pPr>
              <w:pStyle w:val="201"/>
              <w:rPr>
                <w:lang w:bidi="ar"/>
              </w:rPr>
            </w:pPr>
            <w:r>
              <w:rPr>
                <w:rFonts w:hint="eastAsia"/>
                <w:lang w:bidi="ar"/>
              </w:rPr>
              <w:t>本项目生活垃圾交由环卫部门统一清运处置</w:t>
            </w:r>
          </w:p>
        </w:tc>
        <w:tc>
          <w:tcPr>
            <w:tcW w:w="912" w:type="dxa"/>
            <w:shd w:val="clear" w:color="auto" w:fill="auto"/>
            <w:vAlign w:val="center"/>
          </w:tcPr>
          <w:p>
            <w:pPr>
              <w:pStyle w:val="20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01" w:type="dxa"/>
            <w:vMerge w:val="continue"/>
            <w:shd w:val="clear" w:color="auto" w:fill="auto"/>
            <w:vAlign w:val="center"/>
          </w:tcPr>
          <w:p>
            <w:pPr>
              <w:pStyle w:val="201"/>
              <w:rPr>
                <w:b/>
                <w:bCs/>
              </w:rPr>
            </w:pPr>
          </w:p>
        </w:tc>
        <w:tc>
          <w:tcPr>
            <w:tcW w:w="7208" w:type="dxa"/>
            <w:gridSpan w:val="4"/>
            <w:shd w:val="clear" w:color="auto" w:fill="auto"/>
            <w:vAlign w:val="center"/>
          </w:tcPr>
          <w:p>
            <w:pPr>
              <w:pStyle w:val="201"/>
              <w:jc w:val="both"/>
            </w:pPr>
            <w:r>
              <w:rPr>
                <w:rFonts w:hint="eastAsia"/>
              </w:rPr>
              <w:t>（</w:t>
            </w:r>
            <w:r>
              <w:t>2.7</w:t>
            </w:r>
            <w:r>
              <w:rPr>
                <w:rFonts w:hint="eastAsia"/>
              </w:rPr>
              <w:t>）永州市下河线污水处理厂要加强监督管理，防止异味扰民。</w:t>
            </w:r>
          </w:p>
        </w:tc>
        <w:tc>
          <w:tcPr>
            <w:tcW w:w="3827" w:type="dxa"/>
            <w:gridSpan w:val="2"/>
            <w:shd w:val="clear" w:color="auto" w:fill="auto"/>
            <w:vAlign w:val="center"/>
          </w:tcPr>
          <w:p>
            <w:pPr>
              <w:pStyle w:val="201"/>
              <w:rPr>
                <w:lang w:bidi="ar"/>
              </w:rPr>
            </w:pPr>
            <w:r>
              <w:rPr>
                <w:rFonts w:hint="eastAsia"/>
                <w:lang w:bidi="ar"/>
              </w:rPr>
              <w:t>不涉及</w:t>
            </w:r>
          </w:p>
        </w:tc>
        <w:tc>
          <w:tcPr>
            <w:tcW w:w="912" w:type="dxa"/>
            <w:shd w:val="clear" w:color="auto" w:fill="auto"/>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dxa"/>
            <w:vMerge w:val="restart"/>
            <w:shd w:val="clear" w:color="auto" w:fill="auto"/>
            <w:vAlign w:val="center"/>
          </w:tcPr>
          <w:p>
            <w:pPr>
              <w:pStyle w:val="201"/>
              <w:rPr>
                <w:b/>
                <w:bCs/>
              </w:rPr>
            </w:pPr>
            <w:r>
              <w:rPr>
                <w:rFonts w:hint="eastAsia"/>
                <w:b/>
                <w:bCs/>
              </w:rPr>
              <w:t>环境风险防控</w:t>
            </w:r>
          </w:p>
        </w:tc>
        <w:tc>
          <w:tcPr>
            <w:tcW w:w="7208" w:type="dxa"/>
            <w:gridSpan w:val="4"/>
            <w:shd w:val="clear" w:color="auto" w:fill="auto"/>
            <w:vAlign w:val="center"/>
          </w:tcPr>
          <w:p>
            <w:pPr>
              <w:pStyle w:val="201"/>
              <w:jc w:val="both"/>
            </w:pPr>
            <w:r>
              <w:rPr>
                <w:rFonts w:hint="eastAsia"/>
              </w:rPr>
              <w:t>（</w:t>
            </w:r>
            <w:r>
              <w:t>3.1</w:t>
            </w:r>
            <w:r>
              <w:rPr>
                <w:rFonts w:hint="eastAsia"/>
              </w:rPr>
              <w:t>）加强涉危涉重企业集中式饮用水水源地及重点流域环境风险调查评估， 实施分类分级风险管控，协同推进重点区域流域生态环境污染综合防治、风险防控与生态恢复，建设水源地水质在线生物预警系统，建设水环境风险预警平台。</w:t>
            </w:r>
          </w:p>
        </w:tc>
        <w:tc>
          <w:tcPr>
            <w:tcW w:w="3827" w:type="dxa"/>
            <w:gridSpan w:val="2"/>
            <w:shd w:val="clear" w:color="auto" w:fill="auto"/>
            <w:vAlign w:val="center"/>
          </w:tcPr>
          <w:p>
            <w:pPr>
              <w:pStyle w:val="201"/>
            </w:pPr>
            <w:r>
              <w:rPr>
                <w:rFonts w:hint="eastAsia"/>
                <w:lang w:bidi="ar"/>
              </w:rPr>
              <w:t>不涉及</w:t>
            </w:r>
          </w:p>
        </w:tc>
        <w:tc>
          <w:tcPr>
            <w:tcW w:w="912" w:type="dxa"/>
            <w:shd w:val="clear" w:color="auto" w:fill="auto"/>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01" w:type="dxa"/>
            <w:vMerge w:val="continue"/>
            <w:shd w:val="clear" w:color="auto" w:fill="auto"/>
            <w:vAlign w:val="center"/>
          </w:tcPr>
          <w:p>
            <w:pPr>
              <w:pStyle w:val="201"/>
              <w:rPr>
                <w:b/>
                <w:bCs/>
              </w:rPr>
            </w:pPr>
          </w:p>
        </w:tc>
        <w:tc>
          <w:tcPr>
            <w:tcW w:w="7208" w:type="dxa"/>
            <w:gridSpan w:val="4"/>
            <w:shd w:val="clear" w:color="auto" w:fill="auto"/>
            <w:vAlign w:val="center"/>
          </w:tcPr>
          <w:p>
            <w:pPr>
              <w:pStyle w:val="201"/>
              <w:jc w:val="both"/>
            </w:pPr>
            <w:r>
              <w:rPr>
                <w:rFonts w:hint="eastAsia"/>
              </w:rPr>
              <w:t>（</w:t>
            </w:r>
            <w:r>
              <w:t>3.</w:t>
            </w:r>
            <w:r>
              <w:rPr>
                <w:rFonts w:hint="eastAsia"/>
              </w:rPr>
              <w:t>2）</w:t>
            </w:r>
            <w:r>
              <w:t>企业应定期开展环境应急培训，加大应急预案演练频次和力度， 提高预案的可操作性和有效性。建设区域环境应急联防联控体系，建立紧密协同、快速反应的工作机制。</w:t>
            </w:r>
          </w:p>
        </w:tc>
        <w:tc>
          <w:tcPr>
            <w:tcW w:w="3827" w:type="dxa"/>
            <w:gridSpan w:val="2"/>
            <w:shd w:val="clear" w:color="auto" w:fill="auto"/>
            <w:vAlign w:val="center"/>
          </w:tcPr>
          <w:p>
            <w:pPr>
              <w:pStyle w:val="201"/>
            </w:pPr>
            <w:r>
              <w:rPr>
                <w:rFonts w:hint="eastAsia"/>
              </w:rPr>
              <w:t>定期开展环境应急培训</w:t>
            </w:r>
          </w:p>
        </w:tc>
        <w:tc>
          <w:tcPr>
            <w:tcW w:w="912" w:type="dxa"/>
            <w:shd w:val="clear" w:color="auto" w:fill="auto"/>
            <w:vAlign w:val="center"/>
          </w:tcPr>
          <w:p>
            <w:pPr>
              <w:pStyle w:val="20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01" w:type="dxa"/>
            <w:shd w:val="clear" w:color="auto" w:fill="auto"/>
            <w:vAlign w:val="center"/>
          </w:tcPr>
          <w:p>
            <w:pPr>
              <w:pStyle w:val="201"/>
              <w:rPr>
                <w:b/>
                <w:bCs/>
              </w:rPr>
            </w:pPr>
            <w:r>
              <w:rPr>
                <w:rFonts w:hint="eastAsia"/>
                <w:b/>
                <w:bCs/>
              </w:rPr>
              <w:t>资源开发效率要求</w:t>
            </w:r>
          </w:p>
        </w:tc>
        <w:tc>
          <w:tcPr>
            <w:tcW w:w="7208" w:type="dxa"/>
            <w:gridSpan w:val="4"/>
            <w:shd w:val="clear" w:color="auto" w:fill="auto"/>
            <w:vAlign w:val="center"/>
          </w:tcPr>
          <w:p>
            <w:pPr>
              <w:tabs>
                <w:tab w:val="left" w:pos="1021"/>
              </w:tabs>
              <w:rPr>
                <w:rFonts w:ascii="Times New Roman" w:hAnsi="Times New Roman" w:cs="Times New Roman"/>
                <w:color w:val="000000"/>
                <w:kern w:val="2"/>
                <w:sz w:val="21"/>
                <w14:ligatures w14:val="none"/>
              </w:rPr>
            </w:pPr>
            <w:r>
              <w:rPr>
                <w:rFonts w:hint="eastAsia" w:ascii="Times New Roman" w:hAnsi="Times New Roman" w:cs="Times New Roman"/>
                <w:color w:val="000000"/>
                <w:kern w:val="2"/>
                <w:sz w:val="21"/>
                <w14:ligatures w14:val="none"/>
              </w:rPr>
              <w:t>（</w:t>
            </w:r>
            <w:r>
              <w:rPr>
                <w:rFonts w:ascii="Times New Roman" w:hAnsi="Times New Roman" w:cs="Times New Roman"/>
                <w:color w:val="000000"/>
                <w:kern w:val="2"/>
                <w:sz w:val="21"/>
                <w14:ligatures w14:val="none"/>
              </w:rPr>
              <w:t>4.1</w:t>
            </w:r>
            <w:r>
              <w:rPr>
                <w:rFonts w:hint="eastAsia" w:ascii="Times New Roman" w:hAnsi="Times New Roman" w:cs="Times New Roman"/>
                <w:color w:val="000000"/>
                <w:kern w:val="2"/>
                <w:sz w:val="21"/>
                <w14:ligatures w14:val="none"/>
              </w:rPr>
              <w:t>）</w:t>
            </w:r>
            <w:r>
              <w:rPr>
                <w:rFonts w:ascii="Times New Roman" w:hAnsi="Times New Roman" w:cs="Times New Roman"/>
                <w:color w:val="000000"/>
                <w:kern w:val="2"/>
                <w:sz w:val="21"/>
                <w14:ligatures w14:val="none"/>
              </w:rPr>
              <w:t>能源：</w:t>
            </w:r>
            <w:r>
              <w:rPr>
                <w:rFonts w:hint="eastAsia" w:ascii="Times New Roman" w:hAnsi="Times New Roman" w:cs="Times New Roman"/>
                <w:color w:val="000000"/>
                <w:kern w:val="2"/>
                <w:sz w:val="21"/>
                <w14:ligatures w14:val="none"/>
              </w:rPr>
              <w:t>推动高耗能燃煤锅炉全面淘汰退出，推进集中供热和工业余热利用。</w:t>
            </w:r>
          </w:p>
          <w:p>
            <w:pPr>
              <w:tabs>
                <w:tab w:val="left" w:pos="1021"/>
              </w:tabs>
              <w:jc w:val="both"/>
              <w:rPr>
                <w:rStyle w:val="52"/>
                <w:sz w:val="21"/>
                <w:szCs w:val="21"/>
              </w:rPr>
            </w:pPr>
            <w:r>
              <w:rPr>
                <w:rFonts w:ascii="Times New Roman" w:hAnsi="Times New Roman" w:cs="Times New Roman"/>
                <w:color w:val="000000"/>
                <w:kern w:val="2"/>
                <w:sz w:val="21"/>
                <w14:ligatures w14:val="none"/>
              </w:rPr>
              <w:t>（4.2）水资源：</w:t>
            </w:r>
            <w:r>
              <w:rPr>
                <w:rStyle w:val="52"/>
                <w:sz w:val="21"/>
                <w:szCs w:val="21"/>
              </w:rPr>
              <w:t>到2025年，冷水滩区用水总量控制在32162万立方米以内，农业用水总量控制在15328万立方米以内，万元地区生产总值用水量、万元工业增加值用水量分别比2020年降低30.00%、8.87%，农田灌溉水有效利用系数为0.540。</w:t>
            </w:r>
          </w:p>
          <w:p>
            <w:pPr>
              <w:tabs>
                <w:tab w:val="left" w:pos="1021"/>
              </w:tabs>
              <w:jc w:val="both"/>
              <w:rPr>
                <w:rFonts w:ascii="Times New Roman" w:hAnsi="Times New Roman"/>
                <w:sz w:val="21"/>
                <w:szCs w:val="21"/>
              </w:rPr>
            </w:pPr>
            <w:r>
              <w:rPr>
                <w:rFonts w:hint="eastAsia" w:ascii="Times New Roman" w:hAnsi="Times New Roman"/>
                <w:szCs w:val="21"/>
              </w:rPr>
              <w:t>（</w:t>
            </w:r>
            <w:r>
              <w:rPr>
                <w:rStyle w:val="52"/>
                <w:sz w:val="21"/>
                <w:szCs w:val="21"/>
              </w:rPr>
              <w:t>4.3</w:t>
            </w:r>
            <w:r>
              <w:rPr>
                <w:rStyle w:val="52"/>
                <w:rFonts w:hint="eastAsia"/>
                <w:sz w:val="21"/>
                <w:szCs w:val="21"/>
              </w:rPr>
              <w:t>）高污染燃料禁燃区严格执行《永州市人民政府关于调整高污染燃料禁燃区的通告》（永政函〔</w:t>
            </w:r>
            <w:r>
              <w:rPr>
                <w:rStyle w:val="52"/>
                <w:sz w:val="21"/>
                <w:szCs w:val="21"/>
              </w:rPr>
              <w:t>2020</w:t>
            </w:r>
            <w:r>
              <w:rPr>
                <w:rStyle w:val="52"/>
                <w:rFonts w:hint="eastAsia"/>
                <w:sz w:val="21"/>
                <w:szCs w:val="21"/>
              </w:rPr>
              <w:t>〕</w:t>
            </w:r>
            <w:r>
              <w:rPr>
                <w:rStyle w:val="52"/>
                <w:sz w:val="21"/>
                <w:szCs w:val="21"/>
              </w:rPr>
              <w:t xml:space="preserve">30 </w:t>
            </w:r>
            <w:r>
              <w:rPr>
                <w:rStyle w:val="52"/>
                <w:rFonts w:hint="eastAsia"/>
                <w:sz w:val="21"/>
                <w:szCs w:val="21"/>
              </w:rPr>
              <w:t>号）的规定</w:t>
            </w:r>
            <w:r>
              <w:rPr>
                <w:rFonts w:hint="eastAsia" w:ascii="Times New Roman" w:hAnsi="Times New Roman"/>
                <w:szCs w:val="21"/>
              </w:rPr>
              <w:t>。</w:t>
            </w:r>
          </w:p>
        </w:tc>
        <w:tc>
          <w:tcPr>
            <w:tcW w:w="3827" w:type="dxa"/>
            <w:gridSpan w:val="2"/>
            <w:shd w:val="clear" w:color="auto" w:fill="auto"/>
            <w:vAlign w:val="center"/>
          </w:tcPr>
          <w:p>
            <w:pPr>
              <w:pStyle w:val="201"/>
            </w:pPr>
            <w:r>
              <w:rPr>
                <w:rFonts w:hint="eastAsia"/>
              </w:rPr>
              <w:t>本项目主要能源为电能；项目生产、生活用水均为地下水</w:t>
            </w:r>
          </w:p>
        </w:tc>
        <w:tc>
          <w:tcPr>
            <w:tcW w:w="912" w:type="dxa"/>
            <w:shd w:val="clear" w:color="auto" w:fill="auto"/>
            <w:vAlign w:val="center"/>
          </w:tcPr>
          <w:p>
            <w:pPr>
              <w:pStyle w:val="201"/>
            </w:pPr>
            <w:r>
              <w:rPr>
                <w:rFonts w:hint="eastAsia"/>
              </w:rPr>
              <w:t>符合</w:t>
            </w:r>
          </w:p>
        </w:tc>
      </w:tr>
    </w:tbl>
    <w:p>
      <w:pPr>
        <w:pStyle w:val="199"/>
      </w:pPr>
      <w:r>
        <w:rPr>
          <w:lang w:bidi="ar"/>
        </w:rPr>
        <w:t>综上所述，</w:t>
      </w:r>
      <w:r>
        <w:rPr>
          <w:rFonts w:hint="eastAsia"/>
        </w:rPr>
        <w:t>本项目建设符合生态环境分区管控要求。</w:t>
      </w:r>
    </w:p>
    <w:p>
      <w:pPr>
        <w:pStyle w:val="49"/>
        <w:wordWrap w:val="0"/>
        <w:ind w:firstLine="480"/>
        <w:sectPr>
          <w:pgSz w:w="16838" w:h="11906" w:orient="landscape"/>
          <w:pgMar w:top="1800" w:right="1440" w:bottom="1800" w:left="1440" w:header="851" w:footer="992" w:gutter="0"/>
          <w:cols w:space="425" w:num="1"/>
          <w:docGrid w:type="lines" w:linePitch="326" w:charSpace="0"/>
        </w:sectPr>
      </w:pPr>
    </w:p>
    <w:p>
      <w:pPr>
        <w:pStyle w:val="4"/>
        <w:keepNext w:val="0"/>
        <w:keepLines w:val="0"/>
        <w:widowControl w:val="0"/>
      </w:pPr>
      <w:bookmarkStart w:id="33" w:name="_Toc194481102"/>
      <w:r>
        <w:t>1.5.</w:t>
      </w:r>
      <w:r>
        <w:rPr>
          <w:rFonts w:hint="eastAsia"/>
        </w:rPr>
        <w:t>3 与行业规划符合性分析</w:t>
      </w:r>
      <w:bookmarkEnd w:id="33"/>
    </w:p>
    <w:p>
      <w:pPr>
        <w:pStyle w:val="49"/>
        <w:wordWrap w:val="0"/>
        <w:ind w:firstLine="480"/>
      </w:pPr>
      <w:r>
        <w:rPr>
          <w:rFonts w:hint="eastAsia"/>
        </w:rPr>
        <w:t>《农业农村部办公厅 生态环境部办公厅关于促进畜禽粪污还田利用依 法加强养殖污染治理的指导意见》（农办牧</w:t>
      </w:r>
      <w:r>
        <w:t xml:space="preserve">[2019]84 </w:t>
      </w:r>
      <w:r>
        <w:rPr>
          <w:rFonts w:hint="eastAsia"/>
        </w:rPr>
        <w:t>号）提出</w:t>
      </w:r>
      <w:r>
        <w:rPr>
          <w:rFonts w:ascii="宋体" w:hAnsi="宋体"/>
        </w:rPr>
        <w:t>“</w:t>
      </w:r>
      <w:r>
        <w:rPr>
          <w:rFonts w:hint="eastAsia"/>
        </w:rPr>
        <w:t xml:space="preserve">到 </w:t>
      </w:r>
      <w:r>
        <w:t xml:space="preserve">2025 </w:t>
      </w:r>
      <w:r>
        <w:rPr>
          <w:rFonts w:hint="eastAsia"/>
        </w:rPr>
        <w:t xml:space="preserve">年，畜禽粪污综合利用率达到 </w:t>
      </w:r>
      <w:r>
        <w:t>80%</w:t>
      </w:r>
      <w:r>
        <w:rPr>
          <w:rFonts w:hint="eastAsia"/>
        </w:rPr>
        <w:t xml:space="preserve">；到 </w:t>
      </w:r>
      <w:r>
        <w:t xml:space="preserve">2035 </w:t>
      </w:r>
      <w:r>
        <w:rPr>
          <w:rFonts w:hint="eastAsia"/>
        </w:rPr>
        <w:t xml:space="preserve">年，畜禽粪污综合利用率达到 </w:t>
      </w:r>
      <w:r>
        <w:t>90%</w:t>
      </w:r>
      <w:r>
        <w:rPr>
          <w:rFonts w:ascii="宋体" w:hAnsi="宋体"/>
        </w:rPr>
        <w:t>”</w:t>
      </w:r>
      <w:r>
        <w:rPr>
          <w:rFonts w:hint="eastAsia"/>
        </w:rPr>
        <w:t>。《农业农村部办公厅 生态环境部办公厅关于进一步明确畜禽粪污还田利用要求强化养殖污染监管的通知》（农办牧</w:t>
      </w:r>
      <w:r>
        <w:t xml:space="preserve">[2020]23 </w:t>
      </w:r>
      <w:r>
        <w:rPr>
          <w:rFonts w:hint="eastAsia"/>
        </w:rPr>
        <w:t>号）提出</w:t>
      </w:r>
      <w:r>
        <w:t xml:space="preserve"> </w:t>
      </w:r>
      <w:r>
        <w:rPr>
          <w:rFonts w:ascii="宋体" w:hAnsi="宋体"/>
        </w:rPr>
        <w:t>“</w:t>
      </w:r>
      <w:r>
        <w:rPr>
          <w:rFonts w:hint="eastAsia"/>
        </w:rPr>
        <w:t>一、畅通还田利用渠道（一）鼓励畜禽粪污还田利用。国家支持畜禽养殖场户建设畜禽粪污无害化处理和资源化利用设施，鼓励采取粪肥还田、制取沼气、生产有机肥等方式进行资源化利用。已获得环评批复的规模养殖场在建设和运营过程中，如需将粪污处理由达标排放（含按农田灌溉水标准排放）变更为资源化利用（不含商业化沼气工程和商品有机肥生产），在项目竣工环保验收前变更的，按照非重大变动纳入竣工环境保护验收管理；在竣工环保验收后变更的，按照改建项目依法开展环评。（二）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25246），配套土地面积应达到《畜禽粪污土地承载力测算技术指南》（以下简称《指南》）要求的最小面积。对配套土地不足的养殖场户，粪污经处理后向环境排放的，应符合《畜禽养殖业污染物排放标准》（GB 18596）和地方有关排放标准。用于农田灌溉的，应符合《农田灌溉水质标准》（GB5084）。”</w:t>
      </w:r>
    </w:p>
    <w:p>
      <w:pPr>
        <w:pStyle w:val="49"/>
        <w:ind w:firstLine="480"/>
      </w:pPr>
      <w:r>
        <w:rPr>
          <w:rFonts w:hint="eastAsia"/>
        </w:rPr>
        <w:t>本项目采用干清粪工艺，废水主要为鸡舍冲洗废水和生活污水，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r>
        <w:rPr>
          <w:rFonts w:hint="eastAsia"/>
        </w:rPr>
        <w:t>。综上所述，本项目建设符合行业规划。</w:t>
      </w:r>
    </w:p>
    <w:p>
      <w:pPr>
        <w:pStyle w:val="4"/>
        <w:keepNext w:val="0"/>
        <w:keepLines w:val="0"/>
        <w:widowControl w:val="0"/>
      </w:pPr>
      <w:bookmarkStart w:id="34" w:name="_Toc194481103"/>
      <w:r>
        <w:t>1.5.</w:t>
      </w:r>
      <w:r>
        <w:rPr>
          <w:rFonts w:hint="eastAsia"/>
        </w:rPr>
        <w:t>4 与污染防治规划、防治规定符合性分析</w:t>
      </w:r>
      <w:bookmarkEnd w:id="34"/>
    </w:p>
    <w:p>
      <w:pPr>
        <w:pStyle w:val="49"/>
        <w:ind w:firstLine="480"/>
      </w:pPr>
      <w:r>
        <w:t xml:space="preserve">2017 </w:t>
      </w:r>
      <w:r>
        <w:rPr>
          <w:rFonts w:hint="eastAsia"/>
        </w:rPr>
        <w:t xml:space="preserve">年 </w:t>
      </w:r>
      <w:r>
        <w:t xml:space="preserve">5 </w:t>
      </w:r>
      <w:r>
        <w:rPr>
          <w:rFonts w:hint="eastAsia"/>
        </w:rPr>
        <w:t xml:space="preserve">月 </w:t>
      </w:r>
      <w:r>
        <w:t xml:space="preserve">31 </w:t>
      </w:r>
      <w:r>
        <w:rPr>
          <w:rFonts w:hint="eastAsia"/>
        </w:rPr>
        <w:t>日国务院办公厅发布《关于加快推进畜禽养殖废弃物资源化 利用的意见》（国办发〔</w:t>
      </w:r>
      <w:r>
        <w:t>2017</w:t>
      </w:r>
      <w:r>
        <w:rPr>
          <w:rFonts w:hint="eastAsia"/>
        </w:rPr>
        <w:t>〕</w:t>
      </w:r>
      <w:r>
        <w:t xml:space="preserve">48 </w:t>
      </w:r>
      <w:r>
        <w:rPr>
          <w:rFonts w:hint="eastAsia"/>
        </w:rPr>
        <w:t>号）文件，要求新建或改扩建畜禽规模养殖 场，应突出养分综合利用，配套与养殖规模和处理工艺相适应的粪污消纳用地，配备必要的粪污收集、贮存、处理、利用设施；切实履行环境保护主体责任，建设污染防治配套设施并保持正常运行，或者委托第三方进行粪污处理，确保粪污资源化利用。鼓励沼液和经无害化处理的畜禽养殖废水作为肥料科学还田利用。</w:t>
      </w:r>
    </w:p>
    <w:p>
      <w:pPr>
        <w:pStyle w:val="49"/>
        <w:ind w:firstLine="480"/>
      </w:pPr>
      <w:r>
        <w:rPr>
          <w:rFonts w:hint="eastAsia"/>
        </w:rPr>
        <w:t>本项目采用干清粪工艺，废水主要为鸡舍冲洗废水和生活污水，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r>
        <w:rPr>
          <w:rFonts w:hint="eastAsia"/>
        </w:rPr>
        <w:t>；病死鸡在冷冻库暂存后定期交由永州恩泉环保科技有限公司无害化处置。从源头对鸡粪进行资源化、减量化、无害化处理，与国务院办公厅《关于加快推进畜禽养殖废弃物资源化利用的意见》（国办发〔</w:t>
      </w:r>
      <w:r>
        <w:t>2017</w:t>
      </w:r>
      <w:r>
        <w:rPr>
          <w:rFonts w:hint="eastAsia"/>
        </w:rPr>
        <w:t>〕</w:t>
      </w:r>
      <w:r>
        <w:t xml:space="preserve">48 </w:t>
      </w:r>
      <w:r>
        <w:rPr>
          <w:rFonts w:hint="eastAsia"/>
        </w:rPr>
        <w:t>号）具有相符性，且符合《湖南省人民政府办公厅关于印发〈湖南省畜禽规模养殖污染防治规定〉的通知》（湘政办发〔</w:t>
      </w:r>
      <w:r>
        <w:t>2022</w:t>
      </w:r>
      <w:r>
        <w:rPr>
          <w:rFonts w:hint="eastAsia"/>
        </w:rPr>
        <w:t>〕</w:t>
      </w:r>
      <w:r>
        <w:t xml:space="preserve">46 </w:t>
      </w:r>
      <w:r>
        <w:rPr>
          <w:rFonts w:hint="eastAsia"/>
        </w:rPr>
        <w:t>号）要求。项目建设规模满足农业农村部办公厅 生态环境部办公厅关于印发《畜禽养殖场（户）粪污处理设施建设技术指南》的通知（农办牧〔</w:t>
      </w:r>
      <w:r>
        <w:t>2022</w:t>
      </w:r>
      <w:r>
        <w:rPr>
          <w:rFonts w:hint="eastAsia"/>
        </w:rPr>
        <w:t>〕</w:t>
      </w:r>
      <w:r>
        <w:t xml:space="preserve">19 </w:t>
      </w:r>
      <w:r>
        <w:rPr>
          <w:rFonts w:hint="eastAsia"/>
        </w:rPr>
        <w:t>号）对污染防治设施规格要求。</w:t>
      </w:r>
    </w:p>
    <w:p>
      <w:pPr>
        <w:pStyle w:val="49"/>
        <w:ind w:firstLine="480"/>
      </w:pPr>
      <w:r>
        <w:rPr>
          <w:rFonts w:hint="eastAsia"/>
        </w:rPr>
        <w:t>综上所述，本项目建设符合污染防治规划、防治规定。</w:t>
      </w:r>
    </w:p>
    <w:p>
      <w:pPr>
        <w:pStyle w:val="4"/>
        <w:keepNext w:val="0"/>
        <w:keepLines w:val="0"/>
        <w:widowControl w:val="0"/>
      </w:pPr>
      <w:bookmarkStart w:id="35" w:name="_Toc194481104"/>
      <w:r>
        <w:t>1.5.</w:t>
      </w:r>
      <w:r>
        <w:rPr>
          <w:rFonts w:hint="eastAsia"/>
        </w:rPr>
        <w:t>5 与《湖南省</w:t>
      </w:r>
      <w:r>
        <w:t>“</w:t>
      </w:r>
      <w:r>
        <w:rPr>
          <w:rFonts w:hint="eastAsia"/>
        </w:rPr>
        <w:t>十四五</w:t>
      </w:r>
      <w:r>
        <w:t>”</w:t>
      </w:r>
      <w:r>
        <w:rPr>
          <w:rFonts w:hint="eastAsia"/>
        </w:rPr>
        <w:t>生态环境保护规划》符合性分析</w:t>
      </w:r>
      <w:bookmarkEnd w:id="35"/>
    </w:p>
    <w:p>
      <w:pPr>
        <w:pStyle w:val="49"/>
        <w:ind w:firstLine="480"/>
      </w:pPr>
      <w:r>
        <w:rPr>
          <w:rFonts w:hint="eastAsia"/>
        </w:rPr>
        <w:t>《湖南省</w:t>
      </w:r>
      <w:r>
        <w:t>“</w:t>
      </w:r>
      <w:r>
        <w:rPr>
          <w:rFonts w:hint="eastAsia"/>
        </w:rPr>
        <w:t>十四五</w:t>
      </w:r>
      <w:r>
        <w:t>”</w:t>
      </w:r>
      <w:r>
        <w:rPr>
          <w:rFonts w:hint="eastAsia"/>
        </w:rPr>
        <w:t>生态环境保护规划》提出</w:t>
      </w:r>
      <w:r>
        <w:rPr>
          <w:rFonts w:ascii="宋体" w:hAnsi="宋体"/>
        </w:rPr>
        <w:t>“</w:t>
      </w:r>
      <w:r>
        <w:rPr>
          <w:rFonts w:hint="eastAsia"/>
        </w:rPr>
        <w:t>推动农业生产绿色发展。引导畜禽养殖合理布局，推行种养结合。加大畜禽养殖粪污资源化利用扶持力度， 加强畜禽养殖废弃物处理设施建设。推进科学施肥、施药、有机肥替代化肥，有序推进水肥一体化发展。推动农作物秸秆、畜禽粪污、林业废弃物、农产品加工副产品等农林废弃物的高效利用。支持乡镇建设废旧农膜、化肥与农药包装、灌溉器材、农机具等废旧农用物资回收利用体系。推进畜禽、鱼、粮、菜、果、茶协调发展，推进种植、养殖、农产品加工、生物质能源、生态旅游等循环发展，鼓励一二三产业融合发展。</w:t>
      </w:r>
      <w:r>
        <w:rPr>
          <w:rFonts w:ascii="宋体" w:hAnsi="宋体"/>
        </w:rPr>
        <w:t>”</w:t>
      </w:r>
    </w:p>
    <w:p>
      <w:pPr>
        <w:pStyle w:val="49"/>
        <w:ind w:firstLine="480"/>
      </w:pPr>
      <w:r>
        <w:rPr>
          <w:rFonts w:hint="eastAsia"/>
        </w:rPr>
        <w:t>本项目采用干清粪工艺，废水主要为鸡舍冲洗废水和生活污水，</w:t>
      </w:r>
      <w:bookmarkStart w:id="36" w:name="_Hlk193963307"/>
      <w:r>
        <w:rPr>
          <w:rFonts w:hint="eastAsia"/>
          <w:szCs w:val="21"/>
        </w:rPr>
        <w:t>一起进入一体化污水处理设施处理达标后，用于周边林地灌溉，不外排</w:t>
      </w:r>
      <w:r>
        <w:rPr>
          <w:rFonts w:hint="eastAsia"/>
        </w:rPr>
        <w:t>；</w:t>
      </w:r>
      <w:bookmarkEnd w:id="36"/>
      <w:bookmarkStart w:id="37" w:name="_Hlk193963326"/>
      <w:r>
        <w:rPr>
          <w:rFonts w:hint="eastAsia" w:ascii="宋体" w:hAnsi="宋体"/>
        </w:rPr>
        <w:t>鸡粪送鸡粪风干车间风干后，转运至湖南恩润生物科技有限公司制造有机肥。</w:t>
      </w:r>
      <w:bookmarkEnd w:id="37"/>
      <w:r>
        <w:rPr>
          <w:rFonts w:hint="eastAsia"/>
        </w:rPr>
        <w:t>符合《湖南省</w:t>
      </w:r>
      <w:r>
        <w:rPr>
          <w:rFonts w:ascii="宋体" w:hAnsi="宋体"/>
        </w:rPr>
        <w:t>“</w:t>
      </w:r>
      <w:r>
        <w:rPr>
          <w:rFonts w:hint="eastAsia"/>
        </w:rPr>
        <w:t>十四五</w:t>
      </w:r>
      <w:r>
        <w:rPr>
          <w:rFonts w:ascii="宋体" w:hAnsi="宋体"/>
        </w:rPr>
        <w:t>”</w:t>
      </w:r>
      <w:r>
        <w:rPr>
          <w:rFonts w:hint="eastAsia" w:ascii="宋体" w:hAnsi="宋体"/>
        </w:rPr>
        <w:t>生态</w:t>
      </w:r>
      <w:r>
        <w:rPr>
          <w:rFonts w:hint="eastAsia"/>
        </w:rPr>
        <w:t>环境保护规划》要求。</w:t>
      </w:r>
    </w:p>
    <w:p>
      <w:pPr>
        <w:pStyle w:val="4"/>
        <w:keepNext w:val="0"/>
        <w:keepLines w:val="0"/>
        <w:widowControl w:val="0"/>
      </w:pPr>
      <w:bookmarkStart w:id="38" w:name="_Toc194481105"/>
      <w:r>
        <w:t>1.5.</w:t>
      </w:r>
      <w:r>
        <w:rPr>
          <w:rFonts w:hint="eastAsia"/>
        </w:rPr>
        <w:t>6 与《永州市</w:t>
      </w:r>
      <w:r>
        <w:t>“</w:t>
      </w:r>
      <w:r>
        <w:rPr>
          <w:rFonts w:hint="eastAsia"/>
        </w:rPr>
        <w:t>十四五</w:t>
      </w:r>
      <w:r>
        <w:t>”</w:t>
      </w:r>
      <w:r>
        <w:rPr>
          <w:rFonts w:hint="eastAsia"/>
        </w:rPr>
        <w:t>生态环境保护规划》符合性分析</w:t>
      </w:r>
      <w:bookmarkEnd w:id="38"/>
    </w:p>
    <w:p>
      <w:pPr>
        <w:pStyle w:val="49"/>
        <w:ind w:firstLine="0" w:firstLineChars="0"/>
        <w:jc w:val="center"/>
        <w:rPr>
          <w:b/>
          <w:bCs/>
          <w:sz w:val="21"/>
          <w:szCs w:val="21"/>
        </w:rPr>
      </w:pPr>
      <w:r>
        <w:rPr>
          <w:rFonts w:hint="eastAsia"/>
          <w:b/>
          <w:bCs/>
          <w:sz w:val="21"/>
          <w:szCs w:val="21"/>
        </w:rPr>
        <w:t>表1.5-1 项目与永州市“十四五”生态环境保护规划符合性分析</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1984"/>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vAlign w:val="center"/>
          </w:tcPr>
          <w:p>
            <w:pPr>
              <w:pStyle w:val="51"/>
              <w:rPr>
                <w:b/>
                <w:bCs/>
              </w:rPr>
            </w:pPr>
            <w:r>
              <w:rPr>
                <w:rFonts w:hint="eastAsia"/>
                <w:b/>
                <w:bCs/>
              </w:rPr>
              <w:t>永州市“十四五”生态环境保护规划</w:t>
            </w:r>
          </w:p>
        </w:tc>
        <w:tc>
          <w:tcPr>
            <w:tcW w:w="1984" w:type="dxa"/>
            <w:vAlign w:val="center"/>
          </w:tcPr>
          <w:p>
            <w:pPr>
              <w:pStyle w:val="51"/>
              <w:rPr>
                <w:b/>
                <w:bCs/>
              </w:rPr>
            </w:pPr>
            <w:r>
              <w:rPr>
                <w:rFonts w:hint="eastAsia"/>
                <w:b/>
                <w:bCs/>
              </w:rPr>
              <w:t>本项目情况</w:t>
            </w:r>
          </w:p>
        </w:tc>
        <w:tc>
          <w:tcPr>
            <w:tcW w:w="930" w:type="dxa"/>
            <w:vAlign w:val="center"/>
          </w:tcPr>
          <w:p>
            <w:pPr>
              <w:pStyle w:val="51"/>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vAlign w:val="center"/>
          </w:tcPr>
          <w:p>
            <w:pPr>
              <w:pStyle w:val="51"/>
              <w:jc w:val="both"/>
              <w:rPr>
                <w:b/>
              </w:rPr>
            </w:pPr>
            <w:r>
              <w:rPr>
                <w:rFonts w:hint="eastAsia"/>
                <w:b/>
              </w:rPr>
              <w:t>（三）推动形成绿色生产方式</w:t>
            </w:r>
          </w:p>
          <w:p>
            <w:pPr>
              <w:pStyle w:val="51"/>
              <w:jc w:val="both"/>
            </w:pPr>
            <w:r>
              <w:rPr>
                <w:rFonts w:hint="eastAsia"/>
                <w:b/>
                <w:bCs/>
              </w:rPr>
              <w:t>推动农业绿色发展。</w:t>
            </w:r>
            <w:r>
              <w:rPr>
                <w:rFonts w:hint="eastAsia"/>
              </w:rPr>
              <w:t>引导畜禽养殖合理布局，推行种养结合。加大畜禽养殖粪污资源化利用扶持力度，加强畜禽养殖废弃物处理设施建设。推进科学施肥、施药、有机肥替代化肥，有序推进水肥一体化发展。推进农作物秸秆、畜禽粪污、林业废弃物、农产品加工副产物等农林废弃物的综合利用。加强农膜污染治理，支持乡镇建设废旧农膜、化肥与农药包装、灌溉器材、农机具等废旧农用物资回收利用体系。推进畜禽、鱼、粮、菜、果、茶协调发展，推进种植、养殖、农产品加工、生物质能源、生态旅游等循环发展，建设一批现代化草食畜牧业生产示范基地。积极推进农业现代化建设，打造“两茶一柑一菜一药”等特色产业，鼓励一二三产业融合发展。加强绿色食品、有机农产品认证和管理，打造 “永州之野”农业公用品牌。</w:t>
            </w:r>
          </w:p>
        </w:tc>
        <w:tc>
          <w:tcPr>
            <w:tcW w:w="1984" w:type="dxa"/>
            <w:vMerge w:val="restart"/>
            <w:vAlign w:val="center"/>
          </w:tcPr>
          <w:p>
            <w:pPr>
              <w:pStyle w:val="51"/>
              <w:jc w:val="both"/>
            </w:pPr>
            <w:r>
              <w:rPr>
                <w:rFonts w:hint="eastAsia"/>
              </w:rPr>
              <w:t>本项目采用干清粪工艺，废水主要为鸡舍冲洗废水和生活污水，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vAlign w:val="center"/>
          </w:tcPr>
          <w:p>
            <w:pPr>
              <w:pStyle w:val="51"/>
              <w:jc w:val="both"/>
              <w:rPr>
                <w:b/>
              </w:rPr>
            </w:pPr>
            <w:r>
              <w:rPr>
                <w:rFonts w:hint="eastAsia"/>
                <w:b/>
              </w:rPr>
              <w:t>（四）加强农村环保，助力乡村振兴</w:t>
            </w:r>
          </w:p>
          <w:p>
            <w:pPr>
              <w:pStyle w:val="51"/>
              <w:jc w:val="both"/>
              <w:rPr>
                <w:b/>
              </w:rPr>
            </w:pPr>
            <w:r>
              <w:rPr>
                <w:rFonts w:hint="eastAsia"/>
                <w:b/>
              </w:rPr>
              <w:t>2、加强治理农村农业污染。强化畜禽污染防治。</w:t>
            </w:r>
            <w:r>
              <w:rPr>
                <w:rFonts w:hint="eastAsia"/>
              </w:rPr>
              <w:t>开展畜禽（水产）养殖污染防治，严格禁养区管理，依法处理违规畜禽养殖行为。引导畜禽养殖合理布局，推行种养结合，加大对畜禽养殖场粪污资源化利用扶持力度，加强畜禽养殖处理设施建设。新建一批规模化畜禽养殖场粪污治理示范工程和以畜禽粪便为原料的商品肥料生产企业。对全市限养区、适养区内传统畜禽养殖场全面进行提质改造，配套建设畜禽废弃物无害化处理和资源化利用设施设备，使畜禽养殖污水稳定达标排放。</w:t>
            </w:r>
          </w:p>
        </w:tc>
        <w:tc>
          <w:tcPr>
            <w:tcW w:w="1984" w:type="dxa"/>
            <w:vMerge w:val="continue"/>
            <w:vAlign w:val="center"/>
          </w:tcPr>
          <w:p>
            <w:pPr>
              <w:pStyle w:val="51"/>
              <w:jc w:val="both"/>
              <w:rPr>
                <w:snapToGrid w:val="0"/>
              </w:rPr>
            </w:pPr>
          </w:p>
        </w:tc>
        <w:tc>
          <w:tcPr>
            <w:tcW w:w="930" w:type="dxa"/>
            <w:vAlign w:val="center"/>
          </w:tcPr>
          <w:p>
            <w:pPr>
              <w:pStyle w:val="51"/>
            </w:pPr>
            <w:r>
              <w:rPr>
                <w:rFonts w:hint="eastAsia"/>
              </w:rPr>
              <w:t>符合</w:t>
            </w:r>
          </w:p>
        </w:tc>
      </w:tr>
    </w:tbl>
    <w:p>
      <w:pPr>
        <w:pStyle w:val="49"/>
        <w:ind w:firstLine="480"/>
      </w:pPr>
      <w:r>
        <w:rPr>
          <w:rFonts w:hint="eastAsia"/>
        </w:rPr>
        <w:t>由上表可知，本项目符合《永州市</w:t>
      </w:r>
      <w:r>
        <w:rPr>
          <w:rFonts w:ascii="宋体" w:hAnsi="宋体"/>
        </w:rPr>
        <w:t>“</w:t>
      </w:r>
      <w:r>
        <w:rPr>
          <w:rFonts w:hint="eastAsia"/>
        </w:rPr>
        <w:t>十四五</w:t>
      </w:r>
      <w:r>
        <w:rPr>
          <w:rFonts w:ascii="宋体" w:hAnsi="宋体"/>
        </w:rPr>
        <w:t>”</w:t>
      </w:r>
      <w:r>
        <w:rPr>
          <w:rFonts w:hint="eastAsia"/>
        </w:rPr>
        <w:t>生态环境保护规划》的相关要求。</w:t>
      </w:r>
    </w:p>
    <w:p>
      <w:pPr>
        <w:pStyle w:val="49"/>
        <w:ind w:firstLine="480"/>
        <w:sectPr>
          <w:pgSz w:w="11906" w:h="16838"/>
          <w:pgMar w:top="1440" w:right="1800" w:bottom="1440" w:left="1800" w:header="851" w:footer="992" w:gutter="0"/>
          <w:cols w:space="425" w:num="1"/>
          <w:docGrid w:type="lines" w:linePitch="326" w:charSpace="0"/>
        </w:sectPr>
      </w:pPr>
    </w:p>
    <w:p>
      <w:pPr>
        <w:pStyle w:val="4"/>
        <w:keepNext w:val="0"/>
        <w:keepLines w:val="0"/>
        <w:widowControl w:val="0"/>
      </w:pPr>
      <w:bookmarkStart w:id="39" w:name="_Toc194481106"/>
      <w:r>
        <w:t>1.5.</w:t>
      </w:r>
      <w:r>
        <w:rPr>
          <w:rFonts w:hint="eastAsia"/>
        </w:rPr>
        <w:t>7 与《湖南省畜禽养殖污染防治规划（</w:t>
      </w:r>
      <w:r>
        <w:t xml:space="preserve">2021 </w:t>
      </w:r>
      <w:r>
        <w:rPr>
          <w:rFonts w:hint="eastAsia"/>
        </w:rPr>
        <w:t>年</w:t>
      </w:r>
      <w:r>
        <w:t xml:space="preserve">-2025 </w:t>
      </w:r>
      <w:r>
        <w:rPr>
          <w:rFonts w:hint="eastAsia"/>
        </w:rPr>
        <w:t>年）》符合性分析</w:t>
      </w:r>
      <w:bookmarkEnd w:id="39"/>
    </w:p>
    <w:p>
      <w:pPr>
        <w:pStyle w:val="53"/>
      </w:pPr>
      <w:r>
        <w:rPr>
          <w:rFonts w:hint="eastAsia"/>
        </w:rPr>
        <w:t>表1.5-2  本项目与《湖南省畜禽养殖污染防治规划（2021~2025年）》符合性分析一览表</w:t>
      </w:r>
    </w:p>
    <w:tbl>
      <w:tblPr>
        <w:tblStyle w:val="40"/>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2"/>
        <w:gridCol w:w="510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vAlign w:val="center"/>
          </w:tcPr>
          <w:p>
            <w:pPr>
              <w:pStyle w:val="51"/>
            </w:pPr>
            <w:r>
              <w:rPr>
                <w:rFonts w:hint="eastAsia"/>
                <w:b/>
                <w:bCs/>
              </w:rPr>
              <w:t>湖南省畜禽养殖污染防治规划（2021~2025年）</w:t>
            </w:r>
          </w:p>
        </w:tc>
        <w:tc>
          <w:tcPr>
            <w:tcW w:w="5103" w:type="dxa"/>
            <w:vAlign w:val="center"/>
          </w:tcPr>
          <w:p>
            <w:pPr>
              <w:pStyle w:val="51"/>
            </w:pPr>
            <w:r>
              <w:rPr>
                <w:rFonts w:hint="eastAsia"/>
                <w:b/>
                <w:bCs/>
              </w:rPr>
              <w:t>本项目情况</w:t>
            </w:r>
          </w:p>
        </w:tc>
        <w:tc>
          <w:tcPr>
            <w:tcW w:w="851" w:type="dxa"/>
            <w:vAlign w:val="center"/>
          </w:tcPr>
          <w:p>
            <w:pPr>
              <w:pStyle w:val="51"/>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vAlign w:val="center"/>
          </w:tcPr>
          <w:p>
            <w:pPr>
              <w:pStyle w:val="51"/>
              <w:jc w:val="both"/>
            </w:pPr>
            <w:r>
              <w:rPr>
                <w:rFonts w:hint="eastAsia"/>
              </w:rPr>
              <w:t xml:space="preserve">到 </w:t>
            </w:r>
            <w:r>
              <w:t xml:space="preserve">2025 </w:t>
            </w:r>
            <w:r>
              <w:rPr>
                <w:rFonts w:hint="eastAsia"/>
              </w:rPr>
              <w:t xml:space="preserve">年，空间布局合理、种养结合紧密、粪污高效利用、污染治理能力大幅提升、污染排放有效控制的畜牧业发展与污染防治格局基本建立。全省畜禽粪污综合利用率达到 </w:t>
            </w:r>
            <w:r>
              <w:t>80%</w:t>
            </w:r>
            <w:r>
              <w:rPr>
                <w:rFonts w:hint="eastAsia"/>
              </w:rPr>
              <w:t xml:space="preserve">以上，规模养殖场粪污处理设施装备配套率稳定在 </w:t>
            </w:r>
            <w:r>
              <w:t>97%</w:t>
            </w:r>
            <w:r>
              <w:rPr>
                <w:rFonts w:hint="eastAsia"/>
              </w:rPr>
              <w:t xml:space="preserve">以上，规模养殖场粪污资源化利用计划编制与台账建立率 </w:t>
            </w:r>
            <w:r>
              <w:t>100%</w:t>
            </w:r>
            <w:r>
              <w:rPr>
                <w:rFonts w:hint="eastAsia"/>
              </w:rPr>
              <w:t xml:space="preserve">，粪肥还田利用取得阶段性成效。推动病死畜禽集中收集、无害化处理，规模畜禽养殖病死畜禽集中无害化处理率达到 </w:t>
            </w:r>
            <w:r>
              <w:t>80%</w:t>
            </w:r>
            <w:r>
              <w:rPr>
                <w:rFonts w:hint="eastAsia"/>
              </w:rPr>
              <w:t xml:space="preserve">以上。新（改、扩）建规模畜禽养殖场环境影响评价执行率 </w:t>
            </w:r>
            <w:r>
              <w:t>100%</w:t>
            </w:r>
            <w:r>
              <w:rPr>
                <w:rFonts w:hint="eastAsia"/>
              </w:rPr>
              <w:t xml:space="preserve">，设有污水排放口的规模畜禽养殖场排污许可证执行率 </w:t>
            </w:r>
            <w:r>
              <w:t>100%</w:t>
            </w:r>
            <w:r>
              <w:rPr>
                <w:rFonts w:hint="eastAsia"/>
              </w:rPr>
              <w:t xml:space="preserve">，纳入重点排污单位畜禽养殖场环境保护信息公开率 </w:t>
            </w:r>
            <w:r>
              <w:t>100%</w:t>
            </w:r>
            <w:r>
              <w:rPr>
                <w:rFonts w:hint="eastAsia"/>
              </w:rPr>
              <w:t>。</w:t>
            </w:r>
          </w:p>
        </w:tc>
        <w:tc>
          <w:tcPr>
            <w:tcW w:w="5103" w:type="dxa"/>
            <w:vAlign w:val="center"/>
          </w:tcPr>
          <w:p>
            <w:pPr>
              <w:pStyle w:val="51"/>
              <w:jc w:val="both"/>
            </w:pPr>
            <w:r>
              <w:rPr>
                <w:rFonts w:hint="eastAsia"/>
              </w:rPr>
              <w:t>本项目采用干清粪工艺，废水主要为鸡舍冲洗废水和生活污水，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r>
              <w:rPr>
                <w:rFonts w:hint="eastAsia"/>
              </w:rPr>
              <w:t>病死鸡在冷冻库暂存后定期交由永州恩泉环保科技有限公司无害化处置。本项目不设污水排放口。本项目已按要求开展环境影响评价。</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vAlign w:val="center"/>
          </w:tcPr>
          <w:p>
            <w:pPr>
              <w:pStyle w:val="51"/>
              <w:jc w:val="both"/>
            </w:pPr>
            <w:r>
              <w:rPr>
                <w:rFonts w:hint="eastAsia"/>
              </w:rPr>
              <w:t>坚持有条件的养殖场优先实施畜禽粪污资源化利用，确实无法实现资源化利用的养殖场应坚持畜禽粪污处理后达标排放的原则，完善畜禽粪污资源化体制机制，全面推动畜禽粪污资源化利用。</w:t>
            </w:r>
          </w:p>
        </w:tc>
        <w:tc>
          <w:tcPr>
            <w:tcW w:w="5103" w:type="dxa"/>
            <w:vAlign w:val="center"/>
          </w:tcPr>
          <w:p>
            <w:pPr>
              <w:pStyle w:val="51"/>
            </w:pPr>
            <w:r>
              <w:rPr>
                <w:rFonts w:hint="eastAsia"/>
                <w:snapToGrid w:val="0"/>
              </w:rPr>
              <w:t>本项目实施禽畜粪污资源化利用。</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42" w:type="dxa"/>
            <w:vAlign w:val="center"/>
          </w:tcPr>
          <w:p>
            <w:pPr>
              <w:pStyle w:val="51"/>
              <w:jc w:val="both"/>
            </w:pPr>
            <w:r>
              <w:rPr>
                <w:rFonts w:hint="eastAsia"/>
              </w:rPr>
              <w:t>坚持</w:t>
            </w:r>
            <w:r>
              <w:rPr>
                <w:rFonts w:ascii="宋体" w:hAnsi="宋体"/>
              </w:rPr>
              <w:t>“</w:t>
            </w:r>
            <w:r>
              <w:rPr>
                <w:rFonts w:hint="eastAsia"/>
              </w:rPr>
              <w:t>以种定养、以养促种、种养结合、循环利用</w:t>
            </w:r>
            <w:r>
              <w:rPr>
                <w:rFonts w:ascii="宋体" w:hAnsi="宋体"/>
              </w:rPr>
              <w:t>”</w:t>
            </w:r>
            <w:r>
              <w:rPr>
                <w:rFonts w:hint="eastAsia"/>
              </w:rPr>
              <w:t>原则，推进畜禽养殖业主、种植业主之间的有效联结，统筹开发畜牧业养殖粪污、农作物秸秆等废弃物资源化，实施粪便收集、贮运、处理、利用设施建设与改造，建立粪便分散储存、统一运输、集中处理的收运体系，形成以畜禽规模养殖场沼气工程、有机肥等为纽带的区域循环利用模式，构建</w:t>
            </w:r>
            <w:r>
              <w:t>“</w:t>
            </w:r>
            <w:r>
              <w:rPr>
                <w:rFonts w:hint="eastAsia"/>
              </w:rPr>
              <w:t>县域立体大循环、区域多向中循环和主体双向小循环</w:t>
            </w:r>
            <w:r>
              <w:t>”</w:t>
            </w:r>
            <w:r>
              <w:rPr>
                <w:rFonts w:hint="eastAsia"/>
              </w:rPr>
              <w:t>的种养结合生态循环体系。鼓励养殖场流转承包周边农田、林地进行畜禽粪污就近还田利用。规模养殖场自有、租赁、协议与养殖量匹配的土地，确保粪污在一定运输半径内还田消纳。推进大企业、家庭养殖场与周边农户签订粪便污水还田协议。对不能就近还田消纳的，可以通过与第三方签订协议的方式进行畜禽粪污的异地还田利用。发挥倒逼机制作用，鼓励有机肥生产使用，减少化肥施用，促进畜禽粪污资源化利用。到</w:t>
            </w:r>
            <w:r>
              <w:t>2025</w:t>
            </w:r>
            <w:r>
              <w:rPr>
                <w:rFonts w:hint="eastAsia"/>
              </w:rPr>
              <w:t>年，全省畜禽粪污综合利用率稳定在</w:t>
            </w:r>
            <w:r>
              <w:t>80%</w:t>
            </w:r>
            <w:r>
              <w:rPr>
                <w:rFonts w:hint="eastAsia"/>
              </w:rPr>
              <w:t>以上。探索规模化、专业化、社会化运营机制</w:t>
            </w:r>
            <w:r>
              <w:t>,</w:t>
            </w:r>
            <w:r>
              <w:rPr>
                <w:rFonts w:hint="eastAsia"/>
              </w:rPr>
              <w:t>建立健全畜禽粪污收集、转化、利用体系，建立沼液就地消纳和县域配送的有效运行机制，打通粪便还田利用通道，促进畜禽粪污就地就近综合利用。</w:t>
            </w:r>
          </w:p>
        </w:tc>
        <w:tc>
          <w:tcPr>
            <w:tcW w:w="5103" w:type="dxa"/>
            <w:vAlign w:val="center"/>
          </w:tcPr>
          <w:p>
            <w:pPr>
              <w:pStyle w:val="51"/>
              <w:jc w:val="both"/>
            </w:pPr>
            <w:r>
              <w:rPr>
                <w:rFonts w:hint="eastAsia"/>
              </w:rPr>
              <w:t>本项目采用干清粪工艺，废水主要为鸡舍冲洗废水和生活污水，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vAlign w:val="center"/>
          </w:tcPr>
          <w:p>
            <w:pPr>
              <w:pStyle w:val="51"/>
              <w:jc w:val="both"/>
            </w:pPr>
            <w:r>
              <w:rPr>
                <w:rFonts w:hint="eastAsia"/>
              </w:rPr>
              <w:t>引导扶持固体粪便肥料化利用，大力推广工厂化堆肥处理和商品化有机肥生产技术</w:t>
            </w:r>
            <w:r>
              <w:t>,</w:t>
            </w:r>
            <w:r>
              <w:rPr>
                <w:rFonts w:hint="eastAsia"/>
              </w:rPr>
              <w:t>鼓励有能力的大型规模养殖场建设有机肥厂，将畜禽粪便加工成有机肥，根据畜禽饲养量和固体粪便产生量，科学布局、建设配套堆肥场和有机肥加工厂。推动在畜禽养殖大县（市、区）建设以畜禽粪污为原料的有机肥加工厂；同时以乡镇（街道）为单位，配套建设区域畜禽粪污收集处理站，收集、贮存和堆肥处理</w:t>
            </w:r>
            <w:r>
              <w:t>-</w:t>
            </w:r>
            <w:r>
              <w:rPr>
                <w:rFonts w:hint="eastAsia"/>
              </w:rPr>
              <w:t>定范围内中小规模养殖场或散养密集区内畜禽粪便，堆肥后就地还田利用或作为有机肥生产原料。</w:t>
            </w:r>
          </w:p>
        </w:tc>
        <w:tc>
          <w:tcPr>
            <w:tcW w:w="5103" w:type="dxa"/>
            <w:vAlign w:val="center"/>
          </w:tcPr>
          <w:p>
            <w:pPr>
              <w:pStyle w:val="51"/>
              <w:jc w:val="both"/>
            </w:pPr>
            <w:r>
              <w:rPr>
                <w:rFonts w:hint="eastAsia"/>
              </w:rPr>
              <w:t>本项目</w:t>
            </w:r>
            <w:r>
              <w:rPr>
                <w:rFonts w:hint="eastAsia" w:ascii="宋体" w:hAnsi="宋体"/>
              </w:rPr>
              <w:t>鸡粪送鸡粪风干车间风干后，转运至湖南恩润生物科技有限公司制造有机肥。</w:t>
            </w:r>
          </w:p>
        </w:tc>
        <w:tc>
          <w:tcPr>
            <w:tcW w:w="851" w:type="dxa"/>
            <w:vAlign w:val="center"/>
          </w:tcPr>
          <w:p>
            <w:pPr>
              <w:pStyle w:val="51"/>
            </w:pPr>
            <w:r>
              <w:rPr>
                <w:rFonts w:hint="eastAsia"/>
              </w:rPr>
              <w:t>符合</w:t>
            </w:r>
          </w:p>
        </w:tc>
      </w:tr>
    </w:tbl>
    <w:p>
      <w:pPr>
        <w:pStyle w:val="49"/>
        <w:ind w:firstLine="480"/>
      </w:pPr>
      <w:r>
        <w:rPr>
          <w:rFonts w:hint="eastAsia"/>
        </w:rPr>
        <w:t>由上表可知，本项目符合《湖南省畜禽养殖污染防治规划（</w:t>
      </w:r>
      <w:r>
        <w:t xml:space="preserve">2021 </w:t>
      </w:r>
      <w:r>
        <w:rPr>
          <w:rFonts w:hint="eastAsia"/>
        </w:rPr>
        <w:t>年</w:t>
      </w:r>
      <w:r>
        <w:t xml:space="preserve">-2025 </w:t>
      </w:r>
      <w:r>
        <w:rPr>
          <w:rFonts w:hint="eastAsia"/>
        </w:rPr>
        <w:t>年）》的相关要求。</w:t>
      </w:r>
    </w:p>
    <w:p>
      <w:pPr>
        <w:pStyle w:val="4"/>
      </w:pPr>
      <w:bookmarkStart w:id="40" w:name="_Toc194481107"/>
      <w:r>
        <w:t>1.5.</w:t>
      </w:r>
      <w:r>
        <w:rPr>
          <w:rFonts w:hint="eastAsia"/>
        </w:rPr>
        <w:t>8 与《冷水滩区畜禽养殖污染防治规划（2021年-2025年）》符合性分析</w:t>
      </w:r>
      <w:bookmarkEnd w:id="40"/>
    </w:p>
    <w:p>
      <w:pPr>
        <w:pStyle w:val="53"/>
      </w:pPr>
      <w:r>
        <w:rPr>
          <w:rFonts w:hint="eastAsia"/>
        </w:rPr>
        <w:t>表1.5-2  本项目与《冷水滩区畜禽养殖污染防治规划（2021年-2025年）》符合性分析一览表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gridCol w:w="3685"/>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1" w:type="dxa"/>
            <w:vAlign w:val="center"/>
          </w:tcPr>
          <w:p>
            <w:pPr>
              <w:pStyle w:val="51"/>
            </w:pPr>
            <w:r>
              <w:rPr>
                <w:rFonts w:hint="eastAsia"/>
                <w:b/>
                <w:bCs/>
              </w:rPr>
              <w:t>冷水滩区畜禽养殖污染防治规划（2021年-2025年</w:t>
            </w:r>
            <w:r>
              <w:rPr>
                <w:rFonts w:hint="eastAsia"/>
              </w:rPr>
              <w:t>）</w:t>
            </w:r>
          </w:p>
        </w:tc>
        <w:tc>
          <w:tcPr>
            <w:tcW w:w="3685" w:type="dxa"/>
            <w:vAlign w:val="center"/>
          </w:tcPr>
          <w:p>
            <w:pPr>
              <w:pStyle w:val="51"/>
            </w:pPr>
            <w:r>
              <w:rPr>
                <w:rFonts w:hint="eastAsia"/>
                <w:b/>
                <w:bCs/>
              </w:rPr>
              <w:t>本项目情况</w:t>
            </w:r>
          </w:p>
        </w:tc>
        <w:tc>
          <w:tcPr>
            <w:tcW w:w="912" w:type="dxa"/>
            <w:vAlign w:val="center"/>
          </w:tcPr>
          <w:p>
            <w:pPr>
              <w:pStyle w:val="51"/>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1" w:type="dxa"/>
            <w:vAlign w:val="center"/>
          </w:tcPr>
          <w:p>
            <w:pPr>
              <w:pStyle w:val="51"/>
              <w:jc w:val="both"/>
              <w:rPr>
                <w:b/>
                <w:bCs/>
              </w:rPr>
            </w:pPr>
            <w:r>
              <w:rPr>
                <w:rFonts w:hint="eastAsia"/>
                <w:b/>
                <w:bCs/>
              </w:rPr>
              <w:t>4.1畜禽养殖污染治理总体要求</w:t>
            </w:r>
          </w:p>
          <w:p>
            <w:pPr>
              <w:pStyle w:val="51"/>
              <w:jc w:val="both"/>
              <w:rPr>
                <w:b/>
                <w:bCs/>
              </w:rPr>
            </w:pPr>
            <w:r>
              <w:rPr>
                <w:rFonts w:hint="eastAsia"/>
                <w:b/>
                <w:bCs/>
              </w:rPr>
              <w:t>4.1.3</w:t>
            </w:r>
            <w:r>
              <w:rPr>
                <w:b/>
                <w:bCs/>
              </w:rPr>
              <w:t>合理规划，严格规模化养殖场准入条件</w:t>
            </w:r>
          </w:p>
          <w:p>
            <w:pPr>
              <w:pStyle w:val="51"/>
              <w:jc w:val="both"/>
            </w:pPr>
            <w:r>
              <w:t>严格执行环境影响评价和</w:t>
            </w:r>
            <w:r>
              <w:rPr>
                <w:rFonts w:ascii="宋体" w:hAnsi="宋体"/>
              </w:rPr>
              <w:t>“</w:t>
            </w:r>
            <w:r>
              <w:t>三同时</w:t>
            </w:r>
            <w:r>
              <w:rPr>
                <w:rFonts w:ascii="宋体" w:hAnsi="宋体"/>
              </w:rPr>
              <w:t>”</w:t>
            </w:r>
            <w:r>
              <w:t>制度。依法开展畜禽养殖产业发展规划的环境影响评价，确保畜禽养殖产业发展符合区域环境功能定位和环境保护要求。严格执行新建、改建、扩建规模化畜禽养殖场</w:t>
            </w:r>
            <w:r>
              <w:rPr>
                <w:rFonts w:hint="eastAsia"/>
              </w:rPr>
              <w:t>（小区）</w:t>
            </w:r>
            <w:r>
              <w:t>建设项目环境影响评价和</w:t>
            </w:r>
            <w:r>
              <w:rPr>
                <w:rFonts w:hint="eastAsia"/>
              </w:rPr>
              <w:t>“</w:t>
            </w:r>
            <w:r>
              <w:t>三同时</w:t>
            </w:r>
            <w:r>
              <w:rPr>
                <w:rFonts w:hint="eastAsia"/>
              </w:rPr>
              <w:t>”</w:t>
            </w:r>
            <w:r>
              <w:t>制度，提高新建规模化养殖场准入条件，实综合利用和污染治理措施，加强建设项目工程监理，严格项目验收，确保综合利用和污染防治效果。落实好</w:t>
            </w:r>
            <w:r>
              <w:rPr>
                <w:rFonts w:ascii="宋体" w:hAnsi="宋体"/>
              </w:rPr>
              <w:t>“</w:t>
            </w:r>
            <w:r>
              <w:t>以奖促治、以奖代补</w:t>
            </w:r>
            <w:r>
              <w:rPr>
                <w:rFonts w:ascii="宋体" w:hAnsi="宋体"/>
              </w:rPr>
              <w:t>”</w:t>
            </w:r>
            <w:r>
              <w:t>政策措施， 对原有养殖场</w:t>
            </w:r>
            <w:r>
              <w:rPr>
                <w:rFonts w:hint="eastAsia"/>
              </w:rPr>
              <w:t>（小区）</w:t>
            </w:r>
            <w:r>
              <w:t>进行综合治理，提高污染物去除效率， 对达不到要求的规模畜禽养殖场</w:t>
            </w:r>
            <w:r>
              <w:rPr>
                <w:rFonts w:hint="eastAsia"/>
              </w:rPr>
              <w:t>（小区）</w:t>
            </w:r>
            <w:r>
              <w:t>实行限期治理或强制关停措施，有计划、分步骤削减畜禽养殖污染物。</w:t>
            </w:r>
          </w:p>
        </w:tc>
        <w:tc>
          <w:tcPr>
            <w:tcW w:w="3685" w:type="dxa"/>
            <w:vMerge w:val="restart"/>
            <w:vAlign w:val="center"/>
          </w:tcPr>
          <w:p>
            <w:pPr>
              <w:pStyle w:val="51"/>
              <w:jc w:val="both"/>
              <w:rPr>
                <w:rFonts w:cs="Times New Roman"/>
                <w:szCs w:val="16"/>
                <w14:ligatures w14:val="none"/>
              </w:rPr>
            </w:pPr>
            <w:r>
              <w:rPr>
                <w:rFonts w:hint="eastAsia"/>
              </w:rPr>
              <w:t>本项目已按要求开展环境影响评价。项目位于永州市冷水滩区岚角山街道飞跃村、高桥头村，属于适养区。项目采用干清粪工艺，废水主要鸡舍冲洗废水和生活污水，</w:t>
            </w:r>
            <w:r>
              <w:rPr>
                <w:rFonts w:hint="eastAsia"/>
                <w:szCs w:val="21"/>
              </w:rPr>
              <w:t>一起进入一体化污水处理设施处理达</w:t>
            </w:r>
            <w:r>
              <w:rPr>
                <w:rStyle w:val="83"/>
                <w:rFonts w:hint="eastAsia"/>
                <w:sz w:val="21"/>
                <w:szCs w:val="16"/>
              </w:rPr>
              <w:t>《污水综合排放标准》（GB8978-1996）表4中一级标准</w:t>
            </w:r>
            <w:r>
              <w:rPr>
                <w:rFonts w:hint="eastAsia"/>
                <w:szCs w:val="21"/>
              </w:rPr>
              <w:t>后，</w:t>
            </w:r>
            <w:r>
              <w:rPr>
                <w:szCs w:val="21"/>
              </w:rPr>
              <w:t xml:space="preserve"> </w:t>
            </w:r>
            <w:r>
              <w:rPr>
                <w:rFonts w:hint="eastAsia"/>
                <w:szCs w:val="21"/>
              </w:rPr>
              <w:t>用于周边林地灌溉，不外排</w:t>
            </w:r>
            <w:r>
              <w:rPr>
                <w:rFonts w:hint="eastAsia"/>
              </w:rPr>
              <w:t>；</w:t>
            </w:r>
            <w:r>
              <w:rPr>
                <w:rFonts w:hint="eastAsia" w:ascii="宋体" w:hAnsi="宋体"/>
              </w:rPr>
              <w:t>鸡粪送鸡粪风干车间风干后，转运至湖南恩润生物科技有限公司制造有机肥。</w:t>
            </w:r>
          </w:p>
        </w:tc>
        <w:tc>
          <w:tcPr>
            <w:tcW w:w="912"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1" w:type="dxa"/>
            <w:vAlign w:val="center"/>
          </w:tcPr>
          <w:p>
            <w:pPr>
              <w:pStyle w:val="51"/>
              <w:jc w:val="both"/>
              <w:rPr>
                <w:b/>
                <w:bCs/>
              </w:rPr>
            </w:pPr>
            <w:r>
              <w:rPr>
                <w:rFonts w:hint="eastAsia"/>
                <w:b/>
                <w:bCs/>
              </w:rPr>
              <w:t>4.3</w:t>
            </w:r>
            <w:r>
              <w:rPr>
                <w:b/>
                <w:bCs/>
              </w:rPr>
              <w:t>提升粪污治理配套设施建设水平</w:t>
            </w:r>
          </w:p>
          <w:p>
            <w:pPr>
              <w:pStyle w:val="51"/>
              <w:jc w:val="both"/>
            </w:pPr>
            <w:r>
              <w:t xml:space="preserve">粪污的处理应根据排放去向或利用方式的不同执行相应的标准规范，对配套土地充足的养殖场户，粪污经无害化处理后还田利用应符合《畜禽粪便无害化处理技术规范》 (GB/T36195) 和 《畜禽粪便还田技术规范》 (GB/T25246)等有关要求， 配套土地面积应达到《畜禽粪污土地承载力测算技术指南》 (农办牧 (2018) 1号) 要求的最小面积。对配套土地不足的养殖场户，粪污经处理后向环境排放的， 应符合《畜禽养殖业污染物排放标准》 (GB18596) 和地方有关排放标准， 用于农田灌溉的， 应符合《农田灌溉水质标准》 (GB5084) </w:t>
            </w:r>
            <w:r>
              <w:rPr>
                <w:rFonts w:hint="eastAsia"/>
              </w:rPr>
              <w:t>，</w:t>
            </w:r>
            <w:r>
              <w:t>生产的商用有机肥应符合《有机肥料》 (NYS25) 要求。</w:t>
            </w:r>
          </w:p>
        </w:tc>
        <w:tc>
          <w:tcPr>
            <w:tcW w:w="3685" w:type="dxa"/>
            <w:vMerge w:val="continue"/>
            <w:vAlign w:val="center"/>
          </w:tcPr>
          <w:p>
            <w:pPr>
              <w:pStyle w:val="51"/>
              <w:jc w:val="both"/>
            </w:pPr>
          </w:p>
        </w:tc>
        <w:tc>
          <w:tcPr>
            <w:tcW w:w="912" w:type="dxa"/>
            <w:vAlign w:val="center"/>
          </w:tcPr>
          <w:p>
            <w:pPr>
              <w:pStyle w:val="51"/>
            </w:pPr>
            <w:r>
              <w:rPr>
                <w:rFonts w:hint="eastAsia"/>
              </w:rPr>
              <w:t>符合</w:t>
            </w:r>
          </w:p>
        </w:tc>
      </w:tr>
    </w:tbl>
    <w:p>
      <w:pPr>
        <w:pStyle w:val="49"/>
        <w:ind w:firstLine="480"/>
        <w:sectPr>
          <w:pgSz w:w="16838" w:h="11906" w:orient="landscape"/>
          <w:pgMar w:top="1800" w:right="1440" w:bottom="1800" w:left="1440" w:header="851" w:footer="992" w:gutter="0"/>
          <w:cols w:space="425" w:num="1"/>
          <w:docGrid w:type="lines" w:linePitch="326" w:charSpace="0"/>
        </w:sectPr>
      </w:pPr>
    </w:p>
    <w:p>
      <w:pPr>
        <w:pStyle w:val="4"/>
      </w:pPr>
      <w:bookmarkStart w:id="41" w:name="_Toc194481108"/>
      <w:r>
        <w:t>1.5.</w:t>
      </w:r>
      <w:r>
        <w:rPr>
          <w:rFonts w:hint="eastAsia"/>
        </w:rPr>
        <w:t>9 与《畜禽养殖业污染防治技术规范》（</w:t>
      </w:r>
      <w:r>
        <w:t>HJ/T81-2001</w:t>
      </w:r>
      <w:r>
        <w:rPr>
          <w:rFonts w:hint="eastAsia"/>
        </w:rPr>
        <w:t>）符和性分析</w:t>
      </w:r>
      <w:bookmarkEnd w:id="41"/>
    </w:p>
    <w:p>
      <w:pPr>
        <w:pStyle w:val="53"/>
      </w:pPr>
      <w:r>
        <w:rPr>
          <w:rFonts w:hint="eastAsia"/>
        </w:rPr>
        <w:t>表1.5-3  本项目与《畜禽养殖业污染防治技术规范》符合性分析一览表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686"/>
        <w:gridCol w:w="2976"/>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rPr>
                <w:b/>
                <w:bCs/>
              </w:rPr>
            </w:pPr>
            <w:r>
              <w:rPr>
                <w:rFonts w:hint="eastAsia"/>
                <w:b/>
                <w:bCs/>
              </w:rPr>
              <w:t>序号</w:t>
            </w:r>
          </w:p>
        </w:tc>
        <w:tc>
          <w:tcPr>
            <w:tcW w:w="3686" w:type="dxa"/>
            <w:vAlign w:val="center"/>
          </w:tcPr>
          <w:p>
            <w:pPr>
              <w:pStyle w:val="51"/>
              <w:rPr>
                <w:b/>
                <w:bCs/>
              </w:rPr>
            </w:pPr>
            <w:r>
              <w:rPr>
                <w:rFonts w:hint="eastAsia"/>
                <w:b/>
                <w:bCs/>
              </w:rPr>
              <w:t>规范要求</w:t>
            </w:r>
          </w:p>
        </w:tc>
        <w:tc>
          <w:tcPr>
            <w:tcW w:w="2976" w:type="dxa"/>
            <w:vAlign w:val="center"/>
          </w:tcPr>
          <w:p>
            <w:pPr>
              <w:pStyle w:val="51"/>
              <w:rPr>
                <w:b/>
                <w:bCs/>
              </w:rPr>
            </w:pPr>
            <w:r>
              <w:rPr>
                <w:rFonts w:hint="eastAsia"/>
                <w:b/>
                <w:bCs/>
              </w:rPr>
              <w:t>本项目情况</w:t>
            </w:r>
          </w:p>
        </w:tc>
        <w:tc>
          <w:tcPr>
            <w:tcW w:w="930" w:type="dxa"/>
            <w:vAlign w:val="center"/>
          </w:tcPr>
          <w:p>
            <w:pPr>
              <w:pStyle w:val="51"/>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pPr>
              <w:pStyle w:val="51"/>
            </w:pPr>
            <w:r>
              <w:rPr>
                <w:rFonts w:hint="eastAsia"/>
              </w:rPr>
              <w:t>选址要求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1</w:t>
            </w:r>
          </w:p>
        </w:tc>
        <w:tc>
          <w:tcPr>
            <w:tcW w:w="3686" w:type="dxa"/>
            <w:vAlign w:val="center"/>
          </w:tcPr>
          <w:p>
            <w:pPr>
              <w:pStyle w:val="51"/>
            </w:pPr>
            <w:r>
              <w:rPr>
                <w:rFonts w:hint="eastAsia"/>
              </w:rPr>
              <w:t>禁止建设在生活饮用水水源保护区、风景名胜区、自然保护区的核心区及缓冲区。</w:t>
            </w:r>
          </w:p>
        </w:tc>
        <w:tc>
          <w:tcPr>
            <w:tcW w:w="2976" w:type="dxa"/>
            <w:vAlign w:val="center"/>
          </w:tcPr>
          <w:p>
            <w:pPr>
              <w:pStyle w:val="51"/>
            </w:pPr>
            <w:r>
              <w:rPr>
                <w:rFonts w:hint="eastAsia"/>
              </w:rPr>
              <w:t>本项目不涉及无生活饮用水水源保护区、风景名胜区、自然保护区的核心区及缓冲区。</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Align w:val="center"/>
          </w:tcPr>
          <w:p>
            <w:pPr>
              <w:pStyle w:val="51"/>
            </w:pPr>
            <w:r>
              <w:rPr>
                <w:rFonts w:hint="eastAsia"/>
              </w:rPr>
              <w:t>2</w:t>
            </w:r>
          </w:p>
        </w:tc>
        <w:tc>
          <w:tcPr>
            <w:tcW w:w="3686" w:type="dxa"/>
            <w:vAlign w:val="center"/>
          </w:tcPr>
          <w:p>
            <w:pPr>
              <w:pStyle w:val="51"/>
            </w:pPr>
            <w:r>
              <w:rPr>
                <w:rFonts w:hint="eastAsia"/>
              </w:rPr>
              <w:t>禁止建设在城市和城镇居民区、包括文教科研区、医疗区、商业区、工业区、游览区等人口集中地区。</w:t>
            </w:r>
          </w:p>
        </w:tc>
        <w:tc>
          <w:tcPr>
            <w:tcW w:w="2976" w:type="dxa"/>
            <w:vAlign w:val="center"/>
          </w:tcPr>
          <w:p>
            <w:pPr>
              <w:pStyle w:val="51"/>
            </w:pPr>
            <w:r>
              <w:rPr>
                <w:rFonts w:hint="eastAsia"/>
              </w:rPr>
              <w:t>项目位于农村地区，所在地不属于人口集中地区</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3</w:t>
            </w:r>
          </w:p>
        </w:tc>
        <w:tc>
          <w:tcPr>
            <w:tcW w:w="3686" w:type="dxa"/>
            <w:vAlign w:val="center"/>
          </w:tcPr>
          <w:p>
            <w:pPr>
              <w:pStyle w:val="51"/>
            </w:pPr>
            <w:r>
              <w:rPr>
                <w:rFonts w:hint="eastAsia"/>
              </w:rPr>
              <w:t>禁止建设在县级人民政府依法划定的禁养区域</w:t>
            </w:r>
          </w:p>
        </w:tc>
        <w:tc>
          <w:tcPr>
            <w:tcW w:w="2976" w:type="dxa"/>
            <w:vAlign w:val="center"/>
          </w:tcPr>
          <w:p>
            <w:pPr>
              <w:pStyle w:val="51"/>
            </w:pPr>
            <w:r>
              <w:rPr>
                <w:rFonts w:hint="eastAsia"/>
              </w:rPr>
              <w:t>本项目属于适养区</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4</w:t>
            </w:r>
          </w:p>
        </w:tc>
        <w:tc>
          <w:tcPr>
            <w:tcW w:w="3686" w:type="dxa"/>
            <w:vAlign w:val="center"/>
          </w:tcPr>
          <w:p>
            <w:pPr>
              <w:pStyle w:val="51"/>
            </w:pPr>
            <w:r>
              <w:rPr>
                <w:rFonts w:hint="eastAsia"/>
              </w:rPr>
              <w:t>禁止建设在国家或地方法律、法规规定需特殊保护的其它区域</w:t>
            </w:r>
          </w:p>
        </w:tc>
        <w:tc>
          <w:tcPr>
            <w:tcW w:w="2976" w:type="dxa"/>
            <w:vAlign w:val="center"/>
          </w:tcPr>
          <w:p>
            <w:pPr>
              <w:pStyle w:val="51"/>
            </w:pPr>
            <w:r>
              <w:rPr>
                <w:rFonts w:hint="eastAsia"/>
              </w:rPr>
              <w:t>本项目不涉及国家或地方法律、法规规定需特殊保护的其它区域</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5</w:t>
            </w:r>
          </w:p>
        </w:tc>
        <w:tc>
          <w:tcPr>
            <w:tcW w:w="3686" w:type="dxa"/>
            <w:vAlign w:val="center"/>
          </w:tcPr>
          <w:p>
            <w:pPr>
              <w:pStyle w:val="51"/>
            </w:pPr>
            <w:r>
              <w:rPr>
                <w:rFonts w:hint="eastAsia"/>
              </w:rPr>
              <w:t xml:space="preserve">在禁建区域附近建设的，应设在禁建区域常年主导风向的下风向或侧风向处，场界与禁建区域边界的最小距离不得小于 </w:t>
            </w:r>
            <w:r>
              <w:t>500m</w:t>
            </w:r>
          </w:p>
        </w:tc>
        <w:tc>
          <w:tcPr>
            <w:tcW w:w="2976" w:type="dxa"/>
            <w:vAlign w:val="center"/>
          </w:tcPr>
          <w:p>
            <w:pPr>
              <w:pStyle w:val="51"/>
            </w:pPr>
            <w:r>
              <w:rPr>
                <w:rFonts w:hint="eastAsia"/>
              </w:rPr>
              <w:t>本项目不在禁养区500m</w:t>
            </w:r>
          </w:p>
          <w:p>
            <w:pPr>
              <w:pStyle w:val="51"/>
            </w:pPr>
            <w:r>
              <w:rPr>
                <w:rFonts w:hint="eastAsia"/>
              </w:rPr>
              <w:t>范围内</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4"/>
            <w:vAlign w:val="center"/>
          </w:tcPr>
          <w:p>
            <w:pPr>
              <w:pStyle w:val="51"/>
            </w:pPr>
            <w:r>
              <w:rPr>
                <w:rFonts w:hint="eastAsia"/>
              </w:rPr>
              <w:t>场区布局与清粪要求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6</w:t>
            </w:r>
          </w:p>
        </w:tc>
        <w:tc>
          <w:tcPr>
            <w:tcW w:w="3686" w:type="dxa"/>
            <w:vAlign w:val="center"/>
          </w:tcPr>
          <w:p>
            <w:pPr>
              <w:pStyle w:val="51"/>
            </w:pPr>
            <w:r>
              <w:rPr>
                <w:rFonts w:hint="eastAsia"/>
              </w:rPr>
              <w:t>新建、改建、扩建的畜禽养殖场应实现生产区、生活管理区的隔离，粪便污水处理设施和畜禽尸体焚烧炉应设置在养殖场的生产区、生活管理区的常年主导风向的下风向或侧风向处</w:t>
            </w:r>
          </w:p>
        </w:tc>
        <w:tc>
          <w:tcPr>
            <w:tcW w:w="2976" w:type="dxa"/>
            <w:vAlign w:val="center"/>
          </w:tcPr>
          <w:p>
            <w:pPr>
              <w:pStyle w:val="51"/>
            </w:pPr>
            <w:r>
              <w:rPr>
                <w:rFonts w:hint="eastAsia"/>
              </w:rPr>
              <w:t xml:space="preserve">本项目生产区与生活管理区隔 </w:t>
            </w:r>
          </w:p>
          <w:p>
            <w:pPr>
              <w:pStyle w:val="51"/>
            </w:pPr>
            <w:r>
              <w:rPr>
                <w:rFonts w:hint="eastAsia"/>
              </w:rPr>
              <w:t>开，生活管理区位于常年主导风向上风向处，场区不设置畜禽尸体焚烧炉</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7</w:t>
            </w:r>
          </w:p>
        </w:tc>
        <w:tc>
          <w:tcPr>
            <w:tcW w:w="3686" w:type="dxa"/>
            <w:vAlign w:val="center"/>
          </w:tcPr>
          <w:p>
            <w:pPr>
              <w:pStyle w:val="51"/>
            </w:pPr>
            <w:r>
              <w:rPr>
                <w:rFonts w:hint="eastAsia"/>
              </w:rPr>
              <w:t xml:space="preserve">养殖场的排水系统应实行雨水和污水 </w:t>
            </w:r>
          </w:p>
          <w:p>
            <w:pPr>
              <w:pStyle w:val="51"/>
            </w:pPr>
            <w:r>
              <w:rPr>
                <w:rFonts w:hint="eastAsia"/>
              </w:rPr>
              <w:t xml:space="preserve">收集输送系统分离，在场区内外设置 </w:t>
            </w:r>
          </w:p>
          <w:p>
            <w:pPr>
              <w:pStyle w:val="51"/>
            </w:pPr>
            <w:r>
              <w:rPr>
                <w:rFonts w:hint="eastAsia"/>
              </w:rPr>
              <w:t>的污水输送系统，不得采用明沟布设</w:t>
            </w:r>
          </w:p>
        </w:tc>
        <w:tc>
          <w:tcPr>
            <w:tcW w:w="2976" w:type="dxa"/>
            <w:vAlign w:val="center"/>
          </w:tcPr>
          <w:p>
            <w:pPr>
              <w:pStyle w:val="51"/>
            </w:pPr>
            <w:r>
              <w:rPr>
                <w:rFonts w:hint="eastAsia"/>
              </w:rPr>
              <w:t>项目场区雨污分离，场区内污水采用暗管输送</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8</w:t>
            </w:r>
          </w:p>
        </w:tc>
        <w:tc>
          <w:tcPr>
            <w:tcW w:w="3686" w:type="dxa"/>
            <w:vAlign w:val="center"/>
          </w:tcPr>
          <w:p>
            <w:pPr>
              <w:pStyle w:val="51"/>
            </w:pPr>
            <w:r>
              <w:rPr>
                <w:rFonts w:hint="eastAsia"/>
              </w:rPr>
              <w:t xml:space="preserve">新建、改建、扩建的畜禽养殖场应采 </w:t>
            </w:r>
          </w:p>
          <w:p>
            <w:pPr>
              <w:pStyle w:val="51"/>
            </w:pPr>
            <w:r>
              <w:rPr>
                <w:rFonts w:hint="eastAsia"/>
              </w:rPr>
              <w:t xml:space="preserve">取干法清粪工艺，采取有效措施将粪 </w:t>
            </w:r>
          </w:p>
          <w:p>
            <w:pPr>
              <w:pStyle w:val="51"/>
            </w:pPr>
            <w:r>
              <w:rPr>
                <w:rFonts w:hint="eastAsia"/>
              </w:rPr>
              <w:t xml:space="preserve">及时、单独清出，不可与尿、污水混 </w:t>
            </w:r>
          </w:p>
          <w:p>
            <w:pPr>
              <w:pStyle w:val="51"/>
            </w:pPr>
            <w:r>
              <w:rPr>
                <w:rFonts w:hint="eastAsia"/>
              </w:rPr>
              <w:t xml:space="preserve">合排出，并将产生的粪渣及时运至贮 </w:t>
            </w:r>
          </w:p>
          <w:p>
            <w:pPr>
              <w:pStyle w:val="51"/>
            </w:pPr>
            <w:r>
              <w:rPr>
                <w:rFonts w:hint="eastAsia"/>
              </w:rPr>
              <w:t xml:space="preserve">存或处理场所，实现日产日清。采用 </w:t>
            </w:r>
          </w:p>
          <w:p>
            <w:pPr>
              <w:pStyle w:val="51"/>
            </w:pPr>
            <w:r>
              <w:rPr>
                <w:rFonts w:hint="eastAsia"/>
              </w:rPr>
              <w:t xml:space="preserve">水冲粪、水泡粪湿法清粪工艺的养殖 </w:t>
            </w:r>
          </w:p>
          <w:p>
            <w:pPr>
              <w:pStyle w:val="51"/>
            </w:pPr>
            <w:r>
              <w:rPr>
                <w:rFonts w:hint="eastAsia"/>
              </w:rPr>
              <w:t>场，要逐步改为干法清粪工艺。</w:t>
            </w:r>
          </w:p>
        </w:tc>
        <w:tc>
          <w:tcPr>
            <w:tcW w:w="2976" w:type="dxa"/>
            <w:vAlign w:val="center"/>
          </w:tcPr>
          <w:p>
            <w:pPr>
              <w:pStyle w:val="51"/>
            </w:pPr>
            <w:r>
              <w:rPr>
                <w:rFonts w:hint="eastAsia"/>
              </w:rPr>
              <w:t>本项目采用干清粪工艺，废水主要为鸡舍冲洗废水和生活污水，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4"/>
            <w:vAlign w:val="center"/>
          </w:tcPr>
          <w:p>
            <w:pPr>
              <w:pStyle w:val="51"/>
            </w:pPr>
            <w:r>
              <w:rPr>
                <w:rFonts w:hint="eastAsia"/>
              </w:rPr>
              <w:t>畜禽粪便的贮存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9</w:t>
            </w:r>
          </w:p>
        </w:tc>
        <w:tc>
          <w:tcPr>
            <w:tcW w:w="3686" w:type="dxa"/>
            <w:vAlign w:val="center"/>
          </w:tcPr>
          <w:p>
            <w:pPr>
              <w:pStyle w:val="51"/>
            </w:pPr>
            <w:r>
              <w:rPr>
                <w:rFonts w:hint="eastAsia"/>
              </w:rPr>
              <w:t xml:space="preserve">畜禽养殖场产生的畜禽粪便应设置专 </w:t>
            </w:r>
          </w:p>
          <w:p>
            <w:pPr>
              <w:pStyle w:val="51"/>
            </w:pPr>
            <w:r>
              <w:rPr>
                <w:rFonts w:hint="eastAsia"/>
              </w:rPr>
              <w:t xml:space="preserve">门的贮存设施，运营期恶臭及污染物 </w:t>
            </w:r>
          </w:p>
          <w:p>
            <w:pPr>
              <w:pStyle w:val="51"/>
            </w:pPr>
            <w:r>
              <w:rPr>
                <w:rFonts w:hint="eastAsia"/>
              </w:rPr>
              <w:t xml:space="preserve">排放应符合《畜禽养殖业污染物排放 </w:t>
            </w:r>
          </w:p>
          <w:p>
            <w:pPr>
              <w:pStyle w:val="51"/>
            </w:pPr>
            <w:r>
              <w:rPr>
                <w:rFonts w:hint="eastAsia"/>
              </w:rPr>
              <w:t>标准》</w:t>
            </w:r>
          </w:p>
        </w:tc>
        <w:tc>
          <w:tcPr>
            <w:tcW w:w="2976" w:type="dxa"/>
            <w:vMerge w:val="restart"/>
            <w:vAlign w:val="center"/>
          </w:tcPr>
          <w:p>
            <w:pPr>
              <w:pStyle w:val="51"/>
            </w:pPr>
            <w:r>
              <w:rPr>
                <w:rFonts w:hint="eastAsia" w:ascii="宋体" w:hAnsi="宋体"/>
              </w:rPr>
              <w:t>鸡粪送鸡粪风干车间风干后，转运至湖南恩润生物科技有限公司制造有机肥。</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10</w:t>
            </w:r>
          </w:p>
        </w:tc>
        <w:tc>
          <w:tcPr>
            <w:tcW w:w="3686" w:type="dxa"/>
            <w:vAlign w:val="center"/>
          </w:tcPr>
          <w:p>
            <w:pPr>
              <w:pStyle w:val="51"/>
            </w:pPr>
            <w:r>
              <w:rPr>
                <w:rFonts w:hint="eastAsia"/>
              </w:rPr>
              <w:t xml:space="preserve">贮存设施的位置必须远离各类功能地 </w:t>
            </w:r>
          </w:p>
          <w:p>
            <w:pPr>
              <w:pStyle w:val="51"/>
            </w:pPr>
            <w:r>
              <w:rPr>
                <w:rFonts w:hint="eastAsia"/>
              </w:rPr>
              <w:t xml:space="preserve">表水体（距离不得小于 </w:t>
            </w:r>
            <w:r>
              <w:t>400m</w:t>
            </w:r>
            <w:r>
              <w:rPr>
                <w:rFonts w:hint="eastAsia"/>
              </w:rPr>
              <w:t>），并应设在养殖场生产及生活管理区的常年主导风向的下风向或侧风向处。</w:t>
            </w:r>
          </w:p>
        </w:tc>
        <w:tc>
          <w:tcPr>
            <w:tcW w:w="2976" w:type="dxa"/>
            <w:vMerge w:val="continue"/>
            <w:vAlign w:val="center"/>
          </w:tcPr>
          <w:p>
            <w:pPr>
              <w:pStyle w:val="51"/>
            </w:pP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dxa"/>
            <w:vAlign w:val="center"/>
          </w:tcPr>
          <w:p>
            <w:pPr>
              <w:pStyle w:val="51"/>
            </w:pPr>
            <w:r>
              <w:rPr>
                <w:rFonts w:hint="eastAsia"/>
              </w:rPr>
              <w:t>11</w:t>
            </w:r>
          </w:p>
        </w:tc>
        <w:tc>
          <w:tcPr>
            <w:tcW w:w="3686" w:type="dxa"/>
            <w:vAlign w:val="center"/>
          </w:tcPr>
          <w:p>
            <w:pPr>
              <w:pStyle w:val="51"/>
            </w:pPr>
            <w:r>
              <w:rPr>
                <w:rFonts w:hint="eastAsia"/>
              </w:rPr>
              <w:t xml:space="preserve">贮存设施应采取有效的防渗处理工 </w:t>
            </w:r>
          </w:p>
          <w:p>
            <w:pPr>
              <w:pStyle w:val="51"/>
            </w:pPr>
            <w:r>
              <w:rPr>
                <w:rFonts w:hint="eastAsia"/>
              </w:rPr>
              <w:t>艺，防止畜禽粪便污染地下水</w:t>
            </w:r>
          </w:p>
        </w:tc>
        <w:tc>
          <w:tcPr>
            <w:tcW w:w="2976" w:type="dxa"/>
            <w:vMerge w:val="restart"/>
            <w:vAlign w:val="center"/>
          </w:tcPr>
          <w:p>
            <w:pPr>
              <w:pStyle w:val="51"/>
            </w:pPr>
            <w:r>
              <w:rPr>
                <w:rFonts w:hint="eastAsia" w:ascii="宋体" w:hAnsi="宋体"/>
              </w:rPr>
              <w:t>鸡粪送鸡粪风干车间风干后，转运至湖南恩润生物科技有限公司制造有机肥。</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Align w:val="center"/>
          </w:tcPr>
          <w:p>
            <w:pPr>
              <w:pStyle w:val="51"/>
            </w:pPr>
            <w:r>
              <w:t>12</w:t>
            </w:r>
          </w:p>
        </w:tc>
        <w:tc>
          <w:tcPr>
            <w:tcW w:w="3686" w:type="dxa"/>
            <w:vAlign w:val="center"/>
          </w:tcPr>
          <w:p>
            <w:pPr>
              <w:pStyle w:val="51"/>
            </w:pPr>
            <w:r>
              <w:rPr>
                <w:rFonts w:hint="eastAsia"/>
              </w:rPr>
              <w:t xml:space="preserve">贮存设施应采取设置顶盖防治降雨 </w:t>
            </w:r>
          </w:p>
          <w:p>
            <w:pPr>
              <w:pStyle w:val="51"/>
            </w:pPr>
            <w:r>
              <w:rPr>
                <w:rFonts w:hint="eastAsia"/>
              </w:rPr>
              <w:t>（水）进入措施</w:t>
            </w:r>
          </w:p>
        </w:tc>
        <w:tc>
          <w:tcPr>
            <w:tcW w:w="2976" w:type="dxa"/>
            <w:vMerge w:val="continue"/>
            <w:vAlign w:val="center"/>
          </w:tcPr>
          <w:p>
            <w:pPr>
              <w:pStyle w:val="51"/>
            </w:pP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pPr>
              <w:pStyle w:val="51"/>
            </w:pPr>
            <w:r>
              <w:rPr>
                <w:rFonts w:hint="eastAsia"/>
              </w:rPr>
              <w:t>固体粪肥的处理利用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04" w:type="dxa"/>
            <w:vAlign w:val="center"/>
          </w:tcPr>
          <w:p>
            <w:pPr>
              <w:pStyle w:val="51"/>
            </w:pPr>
            <w:r>
              <w:rPr>
                <w:rFonts w:hint="eastAsia"/>
              </w:rPr>
              <w:t>13</w:t>
            </w:r>
          </w:p>
        </w:tc>
        <w:tc>
          <w:tcPr>
            <w:tcW w:w="3686" w:type="dxa"/>
            <w:vAlign w:val="center"/>
          </w:tcPr>
          <w:p>
            <w:pPr>
              <w:pStyle w:val="51"/>
            </w:pPr>
            <w:r>
              <w:rPr>
                <w:rFonts w:hint="eastAsia"/>
              </w:rPr>
              <w:t xml:space="preserve">畜禽粪便经过无害化处理，并且需符 </w:t>
            </w:r>
          </w:p>
          <w:p>
            <w:pPr>
              <w:pStyle w:val="51"/>
            </w:pPr>
            <w:r>
              <w:rPr>
                <w:rFonts w:hint="eastAsia"/>
              </w:rPr>
              <w:t xml:space="preserve">合《粪便无害化卫生标准》后，才能 </w:t>
            </w:r>
          </w:p>
          <w:p>
            <w:pPr>
              <w:pStyle w:val="51"/>
            </w:pPr>
            <w:r>
              <w:rPr>
                <w:rFonts w:hint="eastAsia"/>
              </w:rPr>
              <w:t xml:space="preserve">进行土地利用，禁止未经处理的畜禽 </w:t>
            </w:r>
          </w:p>
          <w:p>
            <w:pPr>
              <w:pStyle w:val="51"/>
            </w:pPr>
            <w:r>
              <w:rPr>
                <w:rFonts w:hint="eastAsia"/>
              </w:rPr>
              <w:t>粪便直接施入农田</w:t>
            </w:r>
          </w:p>
        </w:tc>
        <w:tc>
          <w:tcPr>
            <w:tcW w:w="2976" w:type="dxa"/>
            <w:vAlign w:val="center"/>
          </w:tcPr>
          <w:p>
            <w:pPr>
              <w:pStyle w:val="51"/>
            </w:pPr>
            <w:r>
              <w:rPr>
                <w:rFonts w:hint="eastAsia" w:ascii="宋体" w:hAnsi="宋体"/>
              </w:rPr>
              <w:t>鸡粪送鸡粪风干车间风干后，转运至湖南恩润生物科技有限公司制造有机肥</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pPr>
              <w:pStyle w:val="51"/>
            </w:pPr>
            <w:r>
              <w:rPr>
                <w:rFonts w:hint="eastAsia"/>
              </w:rPr>
              <w:t>病死畜禽尸体的处理与处置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14</w:t>
            </w:r>
          </w:p>
        </w:tc>
        <w:tc>
          <w:tcPr>
            <w:tcW w:w="3686" w:type="dxa"/>
            <w:vAlign w:val="center"/>
          </w:tcPr>
          <w:p>
            <w:pPr>
              <w:pStyle w:val="51"/>
            </w:pPr>
            <w:r>
              <w:rPr>
                <w:rFonts w:hint="eastAsia"/>
              </w:rPr>
              <w:t>病死畜禽尸体要及时处理严禁随意丢弃，严禁出售或作为饲料再利用</w:t>
            </w:r>
          </w:p>
        </w:tc>
        <w:tc>
          <w:tcPr>
            <w:tcW w:w="2976" w:type="dxa"/>
            <w:vAlign w:val="center"/>
          </w:tcPr>
          <w:p>
            <w:pPr>
              <w:pStyle w:val="51"/>
            </w:pPr>
            <w:r>
              <w:rPr>
                <w:rFonts w:hint="eastAsia"/>
              </w:rPr>
              <w:t>病死鸡在冷冻库暂存后定期交由永州恩泉环保科技有限公司无害化处置</w:t>
            </w:r>
          </w:p>
        </w:tc>
        <w:tc>
          <w:tcPr>
            <w:tcW w:w="930" w:type="dxa"/>
            <w:vAlign w:val="center"/>
          </w:tcPr>
          <w:p>
            <w:pPr>
              <w:pStyle w:val="51"/>
            </w:pPr>
            <w:r>
              <w:rPr>
                <w:rFonts w:hint="eastAsia"/>
              </w:rPr>
              <w:t>符合</w:t>
            </w:r>
          </w:p>
        </w:tc>
      </w:tr>
    </w:tbl>
    <w:p>
      <w:pPr>
        <w:pStyle w:val="49"/>
        <w:ind w:firstLine="480"/>
      </w:pPr>
      <w:r>
        <w:rPr>
          <w:rFonts w:hint="eastAsia"/>
        </w:rPr>
        <w:t>综上，本项目符合《畜禽养殖业污染防治技术规范》（</w:t>
      </w:r>
      <w:r>
        <w:t>HJ/T81-2001</w:t>
      </w:r>
      <w:r>
        <w:rPr>
          <w:rFonts w:hint="eastAsia"/>
        </w:rPr>
        <w:t>）要求。</w:t>
      </w:r>
    </w:p>
    <w:p>
      <w:pPr>
        <w:pStyle w:val="4"/>
      </w:pPr>
      <w:bookmarkStart w:id="42" w:name="_Toc194481109"/>
      <w:r>
        <w:t>1.5.</w:t>
      </w:r>
      <w:r>
        <w:rPr>
          <w:rFonts w:hint="eastAsia"/>
        </w:rPr>
        <w:t>10 与《畜禽养殖业污染治理工程技术规范》（</w:t>
      </w:r>
      <w:r>
        <w:t>HJ 497-2009</w:t>
      </w:r>
      <w:r>
        <w:rPr>
          <w:rFonts w:hint="eastAsia"/>
        </w:rPr>
        <w:t>）符和性分析</w:t>
      </w:r>
      <w:bookmarkEnd w:id="42"/>
    </w:p>
    <w:p>
      <w:pPr>
        <w:pStyle w:val="53"/>
      </w:pPr>
      <w:r>
        <w:rPr>
          <w:rFonts w:hint="eastAsia"/>
        </w:rPr>
        <w:t>表1.5-4  本项目与《畜禽养殖业污染治理工程技术规范》符合性分析一览表</w:t>
      </w:r>
    </w:p>
    <w:tbl>
      <w:tblPr>
        <w:tblStyle w:val="40"/>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53"/>
        <w:gridCol w:w="29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rPr>
                <w:b/>
                <w:bCs/>
              </w:rPr>
            </w:pPr>
            <w:r>
              <w:rPr>
                <w:rFonts w:hint="eastAsia"/>
                <w:b/>
                <w:bCs/>
              </w:rPr>
              <w:t>规范</w:t>
            </w:r>
          </w:p>
        </w:tc>
        <w:tc>
          <w:tcPr>
            <w:tcW w:w="4253" w:type="dxa"/>
            <w:vAlign w:val="center"/>
          </w:tcPr>
          <w:p>
            <w:pPr>
              <w:pStyle w:val="51"/>
              <w:rPr>
                <w:b/>
                <w:bCs/>
              </w:rPr>
            </w:pPr>
            <w:r>
              <w:rPr>
                <w:rFonts w:hint="eastAsia"/>
                <w:b/>
                <w:bCs/>
              </w:rPr>
              <w:t>规范要求</w:t>
            </w:r>
          </w:p>
        </w:tc>
        <w:tc>
          <w:tcPr>
            <w:tcW w:w="2976" w:type="dxa"/>
            <w:vAlign w:val="center"/>
          </w:tcPr>
          <w:p>
            <w:pPr>
              <w:pStyle w:val="51"/>
              <w:rPr>
                <w:b/>
                <w:bCs/>
              </w:rPr>
            </w:pPr>
            <w:r>
              <w:rPr>
                <w:rFonts w:hint="eastAsia"/>
                <w:b/>
                <w:bCs/>
              </w:rPr>
              <w:t>本项目情况</w:t>
            </w:r>
          </w:p>
        </w:tc>
        <w:tc>
          <w:tcPr>
            <w:tcW w:w="851" w:type="dxa"/>
            <w:vAlign w:val="center"/>
          </w:tcPr>
          <w:p>
            <w:pPr>
              <w:pStyle w:val="51"/>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总平面布置</w:t>
            </w:r>
          </w:p>
        </w:tc>
        <w:tc>
          <w:tcPr>
            <w:tcW w:w="4253" w:type="dxa"/>
            <w:vAlign w:val="center"/>
          </w:tcPr>
          <w:p>
            <w:pPr>
              <w:pStyle w:val="51"/>
            </w:pPr>
            <w:r>
              <w:rPr>
                <w:rFonts w:hint="eastAsia"/>
              </w:rPr>
              <w:t>平面布置应以污水处理系统、固体粪便处理系统、恶臭集中处理系统为主体，其他各项设施应按粪污处理流程合理安排，确保相关设备充分发挥功能，保证设施运行稳定、维修方便、经济合理、安全卫生。</w:t>
            </w:r>
          </w:p>
        </w:tc>
        <w:tc>
          <w:tcPr>
            <w:tcW w:w="2976" w:type="dxa"/>
            <w:vAlign w:val="center"/>
          </w:tcPr>
          <w:p>
            <w:pPr>
              <w:pStyle w:val="51"/>
            </w:pPr>
            <w:r>
              <w:rPr>
                <w:rFonts w:hint="eastAsia"/>
              </w:rPr>
              <w:t>本项目鸡粪风干车间位于场区东南侧，一体化污水处理设施位于场区南侧</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选址要求</w:t>
            </w:r>
          </w:p>
        </w:tc>
        <w:tc>
          <w:tcPr>
            <w:tcW w:w="4253" w:type="dxa"/>
            <w:vAlign w:val="center"/>
          </w:tcPr>
          <w:p>
            <w:pPr>
              <w:pStyle w:val="51"/>
            </w:pPr>
            <w:r>
              <w:rPr>
                <w:rFonts w:hint="eastAsia"/>
              </w:rPr>
              <w:t>畜禽养殖业污染治理工程应与养殖场生产区、居民区等建筑保持一定的卫生防护距离，设置在畜禽养殖场的生产区、生活区主导风向的下风向或侧风向处。</w:t>
            </w:r>
          </w:p>
        </w:tc>
        <w:tc>
          <w:tcPr>
            <w:tcW w:w="2976" w:type="dxa"/>
            <w:vAlign w:val="center"/>
          </w:tcPr>
          <w:p>
            <w:pPr>
              <w:pStyle w:val="51"/>
            </w:pPr>
            <w:r>
              <w:rPr>
                <w:rFonts w:hint="eastAsia"/>
              </w:rPr>
              <w:t>本项目畜禽养殖业污染治理工程设置在养殖场的生产区、生活区主导风向下风向</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restart"/>
            <w:vAlign w:val="center"/>
          </w:tcPr>
          <w:p>
            <w:pPr>
              <w:pStyle w:val="51"/>
            </w:pPr>
            <w:r>
              <w:rPr>
                <w:rFonts w:hint="eastAsia"/>
              </w:rPr>
              <w:t>工艺选择</w:t>
            </w:r>
          </w:p>
        </w:tc>
        <w:tc>
          <w:tcPr>
            <w:tcW w:w="4253" w:type="dxa"/>
            <w:vAlign w:val="center"/>
          </w:tcPr>
          <w:p>
            <w:pPr>
              <w:pStyle w:val="51"/>
            </w:pPr>
            <w:r>
              <w:rPr>
                <w:rFonts w:hint="eastAsia"/>
              </w:rPr>
              <w:t>新建、改建、扩建的畜禽养殖场宜采用干清粪工艺。现有采用水冲粪、水泡粪清粪工艺的养殖场，应逐步改为干清粪工艺；畜禽粪污应日产日清；畜禽养殖场应建立排水系统，并实行雨污分流。</w:t>
            </w:r>
          </w:p>
        </w:tc>
        <w:tc>
          <w:tcPr>
            <w:tcW w:w="2976" w:type="dxa"/>
            <w:vAlign w:val="center"/>
          </w:tcPr>
          <w:p>
            <w:pPr>
              <w:pStyle w:val="51"/>
            </w:pPr>
            <w:r>
              <w:rPr>
                <w:rFonts w:hint="eastAsia"/>
              </w:rPr>
              <w:t>本项目采用干清粪工艺，畜禽粪污应日产日清，且建立排水系统，并实行雨污分流。</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4253" w:type="dxa"/>
            <w:vAlign w:val="center"/>
          </w:tcPr>
          <w:p>
            <w:pPr>
              <w:pStyle w:val="51"/>
            </w:pPr>
            <w:r>
              <w:rPr>
                <w:rFonts w:hint="eastAsia"/>
              </w:rPr>
              <w:t>选用粪污处理工艺时，应根据养殖场的养殖种类、养殖规模、粪污收集方式、当地的自然地理环境条件以及排水去向等因素确定工艺路线及处理目标，并应充分考虑畜禽养殖废水的特殊性，在实现综合利用或达标排放的情况下，优先选择低运行成本的处理工艺；应慎重选用物化处理工艺；采用模式</w:t>
            </w:r>
            <w:r>
              <w:rPr>
                <w:rFonts w:cs="Times New Roman"/>
              </w:rPr>
              <w:t>Ⅰ</w:t>
            </w:r>
            <w:r>
              <w:rPr>
                <w:rFonts w:hint="eastAsia"/>
              </w:rPr>
              <w:t>或模式</w:t>
            </w:r>
            <w:r>
              <w:rPr>
                <w:rFonts w:cs="Times New Roman"/>
              </w:rPr>
              <w:t>Ⅱ</w:t>
            </w:r>
            <w:r>
              <w:rPr>
                <w:rFonts w:hint="eastAsia"/>
              </w:rPr>
              <w:t>处理工艺的，养殖场应位于非环境敏感区，周围的环境容量大，远离城市，有能源需求，周边有足够土地能够消纳全部的沼液、沼渣；干清粪工艺的养殖场，不宜采用模式</w:t>
            </w:r>
            <w:r>
              <w:rPr>
                <w:rFonts w:cs="Times New Roman"/>
              </w:rPr>
              <w:t>Ⅰ</w:t>
            </w:r>
            <w:r>
              <w:rPr>
                <w:rFonts w:hint="eastAsia"/>
              </w:rPr>
              <w:t xml:space="preserve">处理工艺，固体粪便宜采用好氧堆肥等技术单独进行无害化处理；当采用干清粪工艺时，清粪比例宜控制在 </w:t>
            </w:r>
            <w:r>
              <w:t>70%</w:t>
            </w:r>
            <w:r>
              <w:rPr>
                <w:rFonts w:hint="eastAsia"/>
              </w:rPr>
              <w:t>。</w:t>
            </w:r>
          </w:p>
        </w:tc>
        <w:tc>
          <w:tcPr>
            <w:tcW w:w="2976" w:type="dxa"/>
            <w:vAlign w:val="center"/>
          </w:tcPr>
          <w:p>
            <w:pPr>
              <w:pStyle w:val="51"/>
            </w:pPr>
            <w:r>
              <w:rPr>
                <w:rFonts w:hint="eastAsia"/>
              </w:rPr>
              <w:t>本项目采用干清粪工艺，废水主要为鸡舍冲洗废水和生活污水，</w:t>
            </w:r>
            <w:r>
              <w:rPr>
                <w:rFonts w:hint="eastAsia"/>
                <w:szCs w:val="21"/>
              </w:rPr>
              <w:t>一起进入一体化污水处理设施处理达标后，用于周边林地灌溉，不外排</w:t>
            </w:r>
            <w:r>
              <w:rPr>
                <w:rFonts w:hint="eastAsia"/>
              </w:rPr>
              <w:t>；一体化污水处理设施属于模式</w:t>
            </w:r>
            <w:r>
              <w:rPr>
                <w:rFonts w:cs="Times New Roman"/>
              </w:rPr>
              <w:t>Ⅲ</w:t>
            </w:r>
            <w:r>
              <w:rPr>
                <w:rFonts w:hint="eastAsia"/>
              </w:rPr>
              <w:t>处理工艺；</w:t>
            </w:r>
            <w:r>
              <w:rPr>
                <w:rFonts w:hint="eastAsia" w:ascii="宋体" w:hAnsi="宋体"/>
              </w:rPr>
              <w:t>鸡粪送鸡粪风干车间风干后，转运至湖南恩润生物科技有限公司制造有机肥；</w:t>
            </w:r>
            <w:r>
              <w:rPr>
                <w:rFonts w:hint="eastAsia"/>
              </w:rPr>
              <w:t>清粪比例达</w:t>
            </w:r>
            <w:r>
              <w:t>70%</w:t>
            </w:r>
            <w:r>
              <w:rPr>
                <w:rFonts w:hint="eastAsia"/>
              </w:rPr>
              <w:t>以上</w:t>
            </w:r>
          </w:p>
        </w:tc>
        <w:tc>
          <w:tcPr>
            <w:tcW w:w="851" w:type="dxa"/>
            <w:vAlign w:val="center"/>
          </w:tcPr>
          <w:p>
            <w:pPr>
              <w:pStyle w:val="51"/>
            </w:pPr>
            <w:r>
              <w:rPr>
                <w:rFonts w:hint="eastAsia"/>
              </w:rPr>
              <w:t>符合</w:t>
            </w:r>
          </w:p>
        </w:tc>
      </w:tr>
    </w:tbl>
    <w:p>
      <w:pPr>
        <w:pStyle w:val="49"/>
        <w:ind w:firstLine="480"/>
      </w:pPr>
      <w:r>
        <w:rPr>
          <w:rFonts w:hint="eastAsia"/>
        </w:rPr>
        <w:t>从上表中分析可见，本项目符合《畜禽养殖业污染治理工程技术规范》（</w:t>
      </w:r>
      <w:r>
        <w:t>HJ 497-2009</w:t>
      </w:r>
      <w:r>
        <w:rPr>
          <w:rFonts w:hint="eastAsia"/>
        </w:rPr>
        <w:t>）的相关要求。</w:t>
      </w:r>
    </w:p>
    <w:p>
      <w:pPr>
        <w:pStyle w:val="4"/>
      </w:pPr>
      <w:bookmarkStart w:id="43" w:name="_Toc194481110"/>
      <w:r>
        <w:t>1.5.</w:t>
      </w:r>
      <w:r>
        <w:rPr>
          <w:rFonts w:hint="eastAsia"/>
        </w:rPr>
        <w:t>11 与《湖南省人民政府办公厅关于印发〈湖南省畜禽规模养殖污染防治规定〉的通知》（湘政办发〔</w:t>
      </w:r>
      <w:r>
        <w:t>2022</w:t>
      </w:r>
      <w:r>
        <w:rPr>
          <w:rFonts w:hint="eastAsia"/>
        </w:rPr>
        <w:t>〕</w:t>
      </w:r>
      <w:r>
        <w:t xml:space="preserve">46 </w:t>
      </w:r>
      <w:r>
        <w:rPr>
          <w:rFonts w:hint="eastAsia"/>
        </w:rPr>
        <w:t>号）的符合性分析</w:t>
      </w:r>
      <w:bookmarkEnd w:id="43"/>
    </w:p>
    <w:p>
      <w:pPr>
        <w:pStyle w:val="53"/>
      </w:pPr>
      <w:r>
        <w:rPr>
          <w:rFonts w:hint="eastAsia"/>
        </w:rPr>
        <w:t>表1.5-5  本项目与《</w:t>
      </w:r>
      <w:r>
        <w:rPr>
          <w:rFonts w:hint="eastAsia"/>
          <w:bCs/>
          <w:szCs w:val="22"/>
        </w:rPr>
        <w:t>湖南省畜禽规模养殖污染防治规</w:t>
      </w:r>
      <w:r>
        <w:rPr>
          <w:rFonts w:hint="eastAsia"/>
        </w:rPr>
        <w:t>定》符合性分析一览表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326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Align w:val="center"/>
          </w:tcPr>
          <w:p>
            <w:pPr>
              <w:pStyle w:val="51"/>
            </w:pPr>
            <w:r>
              <w:rPr>
                <w:rFonts w:hint="eastAsia"/>
                <w:b/>
                <w:bCs/>
                <w:szCs w:val="22"/>
              </w:rPr>
              <w:t>规定要求</w:t>
            </w:r>
          </w:p>
        </w:tc>
        <w:tc>
          <w:tcPr>
            <w:tcW w:w="3260" w:type="dxa"/>
            <w:vAlign w:val="center"/>
          </w:tcPr>
          <w:p>
            <w:pPr>
              <w:pStyle w:val="51"/>
              <w:rPr>
                <w:b/>
                <w:bCs/>
              </w:rPr>
            </w:pPr>
            <w:r>
              <w:rPr>
                <w:rFonts w:hint="eastAsia"/>
                <w:b/>
                <w:bCs/>
              </w:rPr>
              <w:t>本项目情况</w:t>
            </w:r>
          </w:p>
        </w:tc>
        <w:tc>
          <w:tcPr>
            <w:tcW w:w="930" w:type="dxa"/>
            <w:vAlign w:val="center"/>
          </w:tcPr>
          <w:p>
            <w:pPr>
              <w:pStyle w:val="51"/>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Align w:val="center"/>
          </w:tcPr>
          <w:p>
            <w:pPr>
              <w:pStyle w:val="51"/>
              <w:jc w:val="both"/>
            </w:pPr>
            <w:r>
              <w:rPr>
                <w:rFonts w:hint="eastAsia"/>
              </w:rPr>
              <w:t xml:space="preserve">畜禽养殖污染治理应按照减量化、资源化、无害化的原则，从源头控制，采取合适的技术对畜禽养殖粪污进行处理，并通过粪肥还田、制取沼气、制造有机肥等方式提高畜禽养殖粪污的资源化利用率。 </w:t>
            </w:r>
          </w:p>
          <w:p>
            <w:pPr>
              <w:pStyle w:val="51"/>
              <w:jc w:val="both"/>
            </w:pPr>
            <w:r>
              <w:rPr>
                <w:rFonts w:hint="eastAsia"/>
              </w:rPr>
              <w:t xml:space="preserve">粪污收集、贮存和处理，污水收集和处理，恶臭控制等具体的处理技术，参照最新的畜禽养殖污染防治技术措施实施。 </w:t>
            </w:r>
          </w:p>
          <w:p>
            <w:pPr>
              <w:pStyle w:val="51"/>
              <w:jc w:val="both"/>
            </w:pPr>
            <w:r>
              <w:rPr>
                <w:rFonts w:hint="eastAsia"/>
              </w:rPr>
              <w:t>将畜禽养殖粪污用作肥料的，应建设符合相关环保要求的粪污储存设施，配套足够的消纳土地。不能消纳而外排环境的，应经过处理并达到排放标准，确保不产生环境污染。</w:t>
            </w:r>
          </w:p>
        </w:tc>
        <w:tc>
          <w:tcPr>
            <w:tcW w:w="3260" w:type="dxa"/>
            <w:vMerge w:val="restart"/>
            <w:vAlign w:val="center"/>
          </w:tcPr>
          <w:p>
            <w:pPr>
              <w:pStyle w:val="51"/>
            </w:pPr>
            <w:r>
              <w:rPr>
                <w:rFonts w:hint="eastAsia"/>
              </w:rPr>
              <w:t>本项目符合畜牧业发展规划、畜禽养殖污染防治规划，满足动物防疫条例，并按要求进行环境影响评价。项目实施雨污分流，采用干清粪工艺，废水主要为鸡舍冲洗废水和生活污水，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Align w:val="center"/>
          </w:tcPr>
          <w:p>
            <w:pPr>
              <w:pStyle w:val="51"/>
              <w:jc w:val="both"/>
            </w:pPr>
            <w:r>
              <w:rPr>
                <w:rFonts w:hint="eastAsia"/>
              </w:rPr>
              <w:t>新建、改建、扩建畜禽养殖场应符合畜牧业发展规划、畜禽养殖污染防治规划，满足动物防疫条例，进行环境影响评价，实施雨污分流，建设与养殖规模相匹配的畜禽养殖粪污处理与资源化利用设施并确保正常运行。已委托满足相关环保要求的第三方单位代为处理或利用的，可不自行建设粪污处理与资源化利用设施。</w:t>
            </w:r>
          </w:p>
        </w:tc>
        <w:tc>
          <w:tcPr>
            <w:tcW w:w="3260" w:type="dxa"/>
            <w:vMerge w:val="continue"/>
            <w:vAlign w:val="center"/>
          </w:tcPr>
          <w:p>
            <w:pPr>
              <w:pStyle w:val="51"/>
            </w:pPr>
          </w:p>
        </w:tc>
        <w:tc>
          <w:tcPr>
            <w:tcW w:w="930"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6" w:type="dxa"/>
            <w:vAlign w:val="center"/>
          </w:tcPr>
          <w:p>
            <w:pPr>
              <w:pStyle w:val="51"/>
              <w:jc w:val="both"/>
            </w:pPr>
            <w:r>
              <w:rPr>
                <w:rFonts w:hint="eastAsia"/>
              </w:rPr>
              <w:t>从事畜禽饲养、屠宰、经营、隔离以及畜禽产品生产、加工、贮藏等活动的单位和个人，应严格按照《中华人民共和国动物防疫法》等有关规定做好病死畜禽和病害畜禽产品的无害化处理，完善与生产、经营规模相适应的收集暂存冷藏设施，不得买卖、屠宰、加工、随意弃置病死畜禽和病害畜禽产品。</w:t>
            </w:r>
          </w:p>
        </w:tc>
        <w:tc>
          <w:tcPr>
            <w:tcW w:w="3260" w:type="dxa"/>
            <w:vAlign w:val="center"/>
          </w:tcPr>
          <w:p>
            <w:pPr>
              <w:pStyle w:val="51"/>
            </w:pPr>
            <w:r>
              <w:rPr>
                <w:rFonts w:hint="eastAsia"/>
              </w:rPr>
              <w:t>病死鸡在冷冻库暂存后定期交由永州恩泉环保科技有限公司无害化处置。</w:t>
            </w:r>
          </w:p>
        </w:tc>
        <w:tc>
          <w:tcPr>
            <w:tcW w:w="930" w:type="dxa"/>
            <w:vAlign w:val="center"/>
          </w:tcPr>
          <w:p>
            <w:pPr>
              <w:pStyle w:val="51"/>
            </w:pPr>
            <w:r>
              <w:rPr>
                <w:rFonts w:hint="eastAsia"/>
              </w:rPr>
              <w:t>符合</w:t>
            </w:r>
          </w:p>
        </w:tc>
      </w:tr>
    </w:tbl>
    <w:p>
      <w:pPr>
        <w:pStyle w:val="49"/>
        <w:ind w:firstLine="480"/>
      </w:pPr>
      <w:r>
        <w:rPr>
          <w:rFonts w:hint="eastAsia"/>
        </w:rPr>
        <w:t>综上，本项目符合《湖南省畜禽规模养殖污染防治规定》中提出的意见。</w:t>
      </w:r>
    </w:p>
    <w:p>
      <w:pPr>
        <w:pStyle w:val="4"/>
        <w:keepNext w:val="0"/>
        <w:keepLines w:val="0"/>
        <w:jc w:val="both"/>
      </w:pPr>
      <w:bookmarkStart w:id="44" w:name="_Toc194481111"/>
      <w:r>
        <w:t>1.5.</w:t>
      </w:r>
      <w:r>
        <w:rPr>
          <w:rFonts w:hint="eastAsia"/>
        </w:rPr>
        <w:t>12 与《关于做好畜禽规模养殖项目环境影响评价管理工作的通知》的符合性分析</w:t>
      </w:r>
      <w:bookmarkEnd w:id="44"/>
    </w:p>
    <w:p>
      <w:pPr>
        <w:pStyle w:val="53"/>
      </w:pPr>
    </w:p>
    <w:p>
      <w:pPr>
        <w:pStyle w:val="53"/>
      </w:pPr>
    </w:p>
    <w:p>
      <w:pPr>
        <w:pStyle w:val="53"/>
      </w:pPr>
    </w:p>
    <w:p>
      <w:pPr>
        <w:pStyle w:val="53"/>
      </w:pPr>
      <w:r>
        <w:rPr>
          <w:rFonts w:hint="eastAsia"/>
        </w:rPr>
        <w:t>表1.5-6  本项目与《</w:t>
      </w:r>
      <w:r>
        <w:rPr>
          <w:rFonts w:hint="eastAsia"/>
          <w:bCs/>
        </w:rPr>
        <w:t>关于做好畜禽规模养殖项目环境影响评价管理工作的通知</w:t>
      </w:r>
      <w:r>
        <w:rPr>
          <w:rFonts w:hint="eastAsia"/>
        </w:rPr>
        <w:t>》</w:t>
      </w:r>
    </w:p>
    <w:p>
      <w:pPr>
        <w:pStyle w:val="53"/>
      </w:pPr>
      <w:r>
        <w:rPr>
          <w:rFonts w:hint="eastAsia"/>
        </w:rPr>
        <w:t>符合性分析一览表</w:t>
      </w:r>
    </w:p>
    <w:tbl>
      <w:tblPr>
        <w:tblStyle w:val="40"/>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411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51"/>
              <w:rPr>
                <w:b/>
                <w:bCs/>
              </w:rPr>
            </w:pPr>
            <w:r>
              <w:rPr>
                <w:rFonts w:hint="eastAsia"/>
                <w:b/>
                <w:bCs/>
              </w:rPr>
              <w:t>文件内容</w:t>
            </w:r>
          </w:p>
        </w:tc>
        <w:tc>
          <w:tcPr>
            <w:tcW w:w="4111" w:type="dxa"/>
            <w:vAlign w:val="center"/>
          </w:tcPr>
          <w:p>
            <w:pPr>
              <w:pStyle w:val="51"/>
              <w:rPr>
                <w:b/>
                <w:bCs/>
              </w:rPr>
            </w:pPr>
            <w:r>
              <w:rPr>
                <w:rFonts w:hint="eastAsia"/>
                <w:b/>
                <w:bCs/>
              </w:rPr>
              <w:t>本项目</w:t>
            </w:r>
          </w:p>
        </w:tc>
        <w:tc>
          <w:tcPr>
            <w:tcW w:w="851" w:type="dxa"/>
            <w:vAlign w:val="center"/>
          </w:tcPr>
          <w:p>
            <w:pPr>
              <w:pStyle w:val="51"/>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93" w:type="dxa"/>
            <w:gridSpan w:val="3"/>
            <w:vAlign w:val="center"/>
          </w:tcPr>
          <w:p>
            <w:pPr>
              <w:pStyle w:val="51"/>
            </w:pPr>
            <w:r>
              <w:rPr>
                <w:rFonts w:hint="eastAsia"/>
              </w:rPr>
              <w:t>优化项目选址，合理布置养殖场区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51"/>
            </w:pPr>
            <w:r>
              <w:rPr>
                <w:rFonts w:hint="eastAsia"/>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4111" w:type="dxa"/>
            <w:vAlign w:val="center"/>
          </w:tcPr>
          <w:p>
            <w:pPr>
              <w:pStyle w:val="51"/>
            </w:pPr>
            <w:r>
              <w:rPr>
                <w:rFonts w:hint="eastAsia"/>
              </w:rPr>
              <w:t>项目选址位于适养区，不在禁止养殖区域，符合相关规划要求</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31" w:type="dxa"/>
            <w:vAlign w:val="center"/>
          </w:tcPr>
          <w:p>
            <w:pPr>
              <w:pStyle w:val="51"/>
            </w:pPr>
            <w:r>
              <w:rPr>
                <w:rFonts w:hint="eastAsia"/>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 大气环境》要求计算大气环境防护距离，作为养殖场选址以及周边规划控制的依据，减轻对周围环境保护目标的不利影响。</w:t>
            </w:r>
          </w:p>
        </w:tc>
        <w:tc>
          <w:tcPr>
            <w:tcW w:w="4111" w:type="dxa"/>
            <w:vAlign w:val="center"/>
          </w:tcPr>
          <w:p>
            <w:pPr>
              <w:pStyle w:val="51"/>
            </w:pPr>
            <w:r>
              <w:rPr>
                <w:rFonts w:hint="eastAsia"/>
              </w:rPr>
              <w:t>项目养殖区、处理设施、病死鸡冷冻库、污水处理设施等产生恶臭影响的设施均位于养殖场区主导风向的下风向位置，并尽量远离周边环境保护目标。根据导则要求，大气二级评价可不设大气防护距离。设置了环境防护距离，作为养殖场选址以及周边规划控制的依据，减轻对周围环境保护目标的不利影响</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93" w:type="dxa"/>
            <w:gridSpan w:val="3"/>
            <w:vAlign w:val="center"/>
          </w:tcPr>
          <w:p>
            <w:pPr>
              <w:pStyle w:val="51"/>
            </w:pPr>
            <w:r>
              <w:rPr>
                <w:rFonts w:hint="eastAsia"/>
              </w:rPr>
              <w:t>加强粪污减量控制，促进畜禽养殖粪污资源化利用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51"/>
            </w:pPr>
            <w:r>
              <w:rPr>
                <w:rFonts w:hint="eastAsia"/>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tc>
        <w:tc>
          <w:tcPr>
            <w:tcW w:w="4111" w:type="dxa"/>
            <w:vAlign w:val="center"/>
          </w:tcPr>
          <w:p>
            <w:pPr>
              <w:pStyle w:val="51"/>
            </w:pPr>
            <w:r>
              <w:rPr>
                <w:rFonts w:hint="eastAsia"/>
              </w:rPr>
              <w:t>项目以农业绿色发展为导向，优化工艺，通过采取优化饲料方、提高饲养技术等措施，从源头减少粪污的产生量。采取干清粪工艺用水量少。场区采取雨污分离措施，防止雨水进入粪污收集系统。</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51"/>
            </w:pPr>
            <w:r>
              <w:rPr>
                <w:rFonts w:hint="eastAsia"/>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w:t>
            </w:r>
            <w:r>
              <w:rPr>
                <w:rFonts w:ascii="宋体" w:hAnsi="宋体"/>
              </w:rPr>
              <w:t>“</w:t>
            </w:r>
            <w:r>
              <w:rPr>
                <w:rFonts w:hint="eastAsia"/>
              </w:rPr>
              <w:t>种养结合</w:t>
            </w:r>
            <w:r>
              <w:rPr>
                <w:rFonts w:ascii="宋体" w:hAnsi="宋体"/>
              </w:rPr>
              <w:t>”</w:t>
            </w:r>
            <w:r>
              <w:rPr>
                <w:rFonts w:hint="eastAsia"/>
              </w:rPr>
              <w:t>绿色发展。</w:t>
            </w:r>
          </w:p>
        </w:tc>
        <w:tc>
          <w:tcPr>
            <w:tcW w:w="4111" w:type="dxa"/>
            <w:vAlign w:val="center"/>
          </w:tcPr>
          <w:p>
            <w:pPr>
              <w:pStyle w:val="51"/>
            </w:pPr>
            <w:r>
              <w:rPr>
                <w:rFonts w:hint="eastAsia"/>
              </w:rPr>
              <w:t>采用干清粪工艺，</w:t>
            </w:r>
            <w:r>
              <w:rPr>
                <w:rFonts w:hint="eastAsia" w:ascii="宋体" w:hAnsi="宋体"/>
              </w:rPr>
              <w:t>鸡粪送鸡粪风干车间风干后，转运至湖南恩润生物科技有限公司制造有机肥。</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93" w:type="dxa"/>
            <w:gridSpan w:val="3"/>
            <w:vAlign w:val="center"/>
          </w:tcPr>
          <w:p>
            <w:pPr>
              <w:pStyle w:val="51"/>
            </w:pPr>
            <w:r>
              <w:rPr>
                <w:rFonts w:hint="eastAsia"/>
              </w:rPr>
              <w:t>强化粪污治理措施，做好污染防治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51"/>
            </w:pPr>
            <w:r>
              <w:rPr>
                <w:rFonts w:hint="eastAsia"/>
              </w:rPr>
              <w:t>强化粪污治理措施，做好污染防治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tc>
        <w:tc>
          <w:tcPr>
            <w:tcW w:w="4111" w:type="dxa"/>
            <w:vAlign w:val="center"/>
          </w:tcPr>
          <w:p>
            <w:pPr>
              <w:pStyle w:val="51"/>
            </w:pPr>
            <w:r>
              <w:rPr>
                <w:rFonts w:hint="eastAsia"/>
              </w:rPr>
              <w:t>项目采用干清粪工艺，废水主要为鸡舍冲洗废水和生活污水，</w:t>
            </w:r>
            <w:r>
              <w:rPr>
                <w:rFonts w:hint="eastAsia"/>
                <w:szCs w:val="21"/>
              </w:rPr>
              <w:t>一起进入一体化污水处理设施处理达标后，用于周边林地灌溉，不外排</w:t>
            </w:r>
            <w:r>
              <w:rPr>
                <w:rFonts w:hint="eastAsia"/>
              </w:rPr>
              <w:t>；</w:t>
            </w:r>
            <w:bookmarkStart w:id="45" w:name="OLE_LINK6"/>
            <w:r>
              <w:rPr>
                <w:rFonts w:hint="eastAsia" w:ascii="宋体" w:hAnsi="宋体"/>
              </w:rPr>
              <w:t>鸡粪送鸡粪风干车间风干后，转运至湖南恩润生物科技有限公司制造有机肥。</w:t>
            </w:r>
            <w:bookmarkEnd w:id="45"/>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31" w:type="dxa"/>
            <w:vAlign w:val="center"/>
          </w:tcPr>
          <w:p>
            <w:pPr>
              <w:pStyle w:val="51"/>
            </w:pPr>
            <w:r>
              <w:rPr>
                <w:rFonts w:hint="eastAsia"/>
              </w:rPr>
              <w:t>项目环评应明确畜禽粪污贮存、处理和利用措施。贮存池应采取有效地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4111" w:type="dxa"/>
            <w:vAlign w:val="center"/>
          </w:tcPr>
          <w:p>
            <w:pPr>
              <w:pStyle w:val="51"/>
            </w:pPr>
            <w:r>
              <w:rPr>
                <w:rFonts w:hint="eastAsia" w:ascii="宋体" w:hAnsi="宋体"/>
              </w:rPr>
              <w:t>本项目鸡粪送鸡粪风干车间风干后，转运至湖南恩润生物科技有限公司制造有机肥，不在场内贮存；</w:t>
            </w:r>
            <w:r>
              <w:rPr>
                <w:rFonts w:hint="eastAsia"/>
              </w:rPr>
              <w:t>一体化污水处理设施采取有效的防雨、防渗和防溢流措施，防止畜禽粪污污染地下水。</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vAlign w:val="center"/>
          </w:tcPr>
          <w:p>
            <w:pPr>
              <w:pStyle w:val="51"/>
            </w:pPr>
            <w:r>
              <w:rPr>
                <w:rFonts w:hint="eastAsia"/>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tc>
        <w:tc>
          <w:tcPr>
            <w:tcW w:w="4111" w:type="dxa"/>
            <w:vAlign w:val="center"/>
          </w:tcPr>
          <w:p>
            <w:pPr>
              <w:pStyle w:val="51"/>
            </w:pPr>
            <w:r>
              <w:rPr>
                <w:rFonts w:hint="eastAsia"/>
              </w:rPr>
              <w:t>项目采用干清粪工艺，废水主要为鸡舍冲洗废水和生活污水，</w:t>
            </w:r>
            <w:r>
              <w:rPr>
                <w:rFonts w:hint="eastAsia"/>
                <w:szCs w:val="21"/>
              </w:rPr>
              <w:t>一起进入一体化污水处理设施处理达标后，用于周边林地灌溉，不外排</w:t>
            </w:r>
            <w:r>
              <w:rPr>
                <w:rFonts w:hint="eastAsia"/>
              </w:rPr>
              <w:t>；</w:t>
            </w:r>
            <w:r>
              <w:rPr>
                <w:rFonts w:hint="eastAsia" w:ascii="宋体" w:hAnsi="宋体"/>
              </w:rPr>
              <w:t>鸡粪送鸡粪风干车间风干后，转运至湖南恩润生物科技有限公司制造有机肥。</w:t>
            </w:r>
          </w:p>
        </w:tc>
        <w:tc>
          <w:tcPr>
            <w:tcW w:w="851" w:type="dxa"/>
            <w:vAlign w:val="center"/>
          </w:tcPr>
          <w:p>
            <w:pPr>
              <w:pStyle w:val="51"/>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31" w:type="dxa"/>
            <w:vAlign w:val="center"/>
          </w:tcPr>
          <w:p>
            <w:pPr>
              <w:pStyle w:val="51"/>
            </w:pPr>
            <w:r>
              <w:rPr>
                <w:rFonts w:hint="eastAsia"/>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4111" w:type="dxa"/>
            <w:vAlign w:val="center"/>
          </w:tcPr>
          <w:p>
            <w:pPr>
              <w:pStyle w:val="51"/>
            </w:pPr>
            <w:r>
              <w:rPr>
                <w:rFonts w:hint="eastAsia"/>
              </w:rPr>
              <w:t>病死鸡在冷冻库暂存后定期交由永州恩泉环保科技有限公司无害化处置。场区恶臭经采取相关措施后，能够达标排放。</w:t>
            </w:r>
          </w:p>
        </w:tc>
        <w:tc>
          <w:tcPr>
            <w:tcW w:w="851" w:type="dxa"/>
            <w:vAlign w:val="center"/>
          </w:tcPr>
          <w:p>
            <w:pPr>
              <w:pStyle w:val="51"/>
            </w:pPr>
            <w:r>
              <w:rPr>
                <w:rFonts w:hint="eastAsia"/>
              </w:rPr>
              <w:t>符合</w:t>
            </w:r>
          </w:p>
        </w:tc>
      </w:tr>
    </w:tbl>
    <w:p>
      <w:pPr>
        <w:pStyle w:val="49"/>
        <w:ind w:firstLine="480"/>
        <w:rPr>
          <w:rStyle w:val="141"/>
          <w:rFonts w:cs="宋体"/>
          <w:color w:val="auto"/>
          <w:sz w:val="24"/>
          <w:szCs w:val="24"/>
        </w:rPr>
      </w:pPr>
      <w:r>
        <w:rPr>
          <w:rStyle w:val="141"/>
          <w:rFonts w:hint="eastAsia" w:cs="宋体"/>
          <w:color w:val="auto"/>
          <w:sz w:val="24"/>
          <w:szCs w:val="24"/>
        </w:rPr>
        <w:t>根据上表可知，本项目《关于做好畜禽规模养殖项目环境影响评价管理工作的通知》（环办环评</w:t>
      </w:r>
      <w:r>
        <w:rPr>
          <w:rStyle w:val="141"/>
          <w:rFonts w:cs="宋体"/>
          <w:color w:val="auto"/>
          <w:sz w:val="24"/>
          <w:szCs w:val="24"/>
        </w:rPr>
        <w:t xml:space="preserve">[2018]31 </w:t>
      </w:r>
      <w:r>
        <w:rPr>
          <w:rStyle w:val="141"/>
          <w:rFonts w:hint="eastAsia" w:cs="宋体"/>
          <w:color w:val="auto"/>
          <w:sz w:val="24"/>
          <w:szCs w:val="24"/>
        </w:rPr>
        <w:t>号）的相关要求。</w:t>
      </w:r>
    </w:p>
    <w:p>
      <w:pPr>
        <w:pStyle w:val="4"/>
        <w:widowControl w:val="0"/>
        <w:jc w:val="both"/>
      </w:pPr>
      <w:bookmarkStart w:id="46" w:name="_Toc194481112"/>
      <w:r>
        <w:t>1.5.</w:t>
      </w:r>
      <w:r>
        <w:rPr>
          <w:rFonts w:hint="eastAsia"/>
        </w:rPr>
        <w:t xml:space="preserve">13 与《动物防疫条件审查办法》（中华人民共和国农业部令 </w:t>
      </w:r>
      <w:r>
        <w:t>20</w:t>
      </w:r>
      <w:r>
        <w:rPr>
          <w:rFonts w:hint="eastAsia"/>
        </w:rPr>
        <w:t>22</w:t>
      </w:r>
      <w:r>
        <w:t xml:space="preserve"> </w:t>
      </w:r>
      <w:r>
        <w:rPr>
          <w:rFonts w:hint="eastAsia"/>
        </w:rPr>
        <w:t>年第 8</w:t>
      </w:r>
      <w:r>
        <w:t xml:space="preserve"> </w:t>
      </w:r>
      <w:r>
        <w:rPr>
          <w:rFonts w:hint="eastAsia"/>
        </w:rPr>
        <w:t>号） 符合性分析</w:t>
      </w:r>
      <w:bookmarkEnd w:id="46"/>
    </w:p>
    <w:p>
      <w:pPr>
        <w:pStyle w:val="53"/>
      </w:pPr>
      <w:r>
        <w:rPr>
          <w:rFonts w:hint="eastAsia"/>
        </w:rPr>
        <w:t>表1.5-7  本项目与《动物防疫条件审查办法》符合性分析一览表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326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Align w:val="center"/>
          </w:tcPr>
          <w:p>
            <w:pPr>
              <w:pStyle w:val="51"/>
              <w:rPr>
                <w:rStyle w:val="141"/>
                <w:rFonts w:cs="宋体"/>
                <w:color w:val="auto"/>
                <w:szCs w:val="24"/>
              </w:rPr>
            </w:pPr>
            <w:r>
              <w:rPr>
                <w:rStyle w:val="141"/>
                <w:rFonts w:hint="eastAsia" w:cs="宋体"/>
                <w:color w:val="auto"/>
                <w:szCs w:val="24"/>
              </w:rPr>
              <w:t>文件内容</w:t>
            </w:r>
          </w:p>
        </w:tc>
        <w:tc>
          <w:tcPr>
            <w:tcW w:w="3260" w:type="dxa"/>
            <w:vAlign w:val="center"/>
          </w:tcPr>
          <w:p>
            <w:pPr>
              <w:pStyle w:val="51"/>
              <w:rPr>
                <w:rStyle w:val="141"/>
                <w:rFonts w:cs="宋体"/>
                <w:color w:val="auto"/>
                <w:szCs w:val="24"/>
              </w:rPr>
            </w:pPr>
            <w:r>
              <w:rPr>
                <w:rStyle w:val="141"/>
                <w:rFonts w:hint="eastAsia" w:cs="宋体"/>
                <w:color w:val="auto"/>
                <w:szCs w:val="24"/>
              </w:rPr>
              <w:t>本项目</w:t>
            </w:r>
          </w:p>
        </w:tc>
        <w:tc>
          <w:tcPr>
            <w:tcW w:w="930" w:type="dxa"/>
            <w:vAlign w:val="center"/>
          </w:tcPr>
          <w:p>
            <w:pPr>
              <w:pStyle w:val="51"/>
              <w:rPr>
                <w:rStyle w:val="141"/>
                <w:rFonts w:cs="宋体"/>
                <w:color w:val="auto"/>
                <w:szCs w:val="24"/>
              </w:rPr>
            </w:pPr>
            <w:r>
              <w:rPr>
                <w:rStyle w:val="141"/>
                <w:rFonts w:hint="eastAsia" w:cs="宋体"/>
                <w:color w:val="auto"/>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Align w:val="center"/>
          </w:tcPr>
          <w:p>
            <w:pPr>
              <w:pStyle w:val="51"/>
              <w:jc w:val="both"/>
              <w:rPr>
                <w:rStyle w:val="141"/>
                <w:rFonts w:cs="宋体"/>
                <w:color w:val="auto"/>
                <w:szCs w:val="24"/>
              </w:rPr>
            </w:pPr>
            <w:r>
              <w:t>第六条 动物饲养场、动物隔离场所、动物屠宰加工场所以及动物和动物产品无害化处理场所应当符合下列条件</w:t>
            </w:r>
            <w:r>
              <w:rPr>
                <w:rFonts w:hint="eastAsia"/>
              </w:rPr>
              <w:t>：</w:t>
            </w:r>
            <w:r>
              <w:t>各场所之间</w:t>
            </w:r>
            <w:r>
              <w:rPr>
                <w:rFonts w:hint="eastAsia"/>
              </w:rPr>
              <w:t>，</w:t>
            </w:r>
            <w:r>
              <w:t>各场所与动物诊疗场所、居民生活区、生活饮用水水源地、学校、医院等公共场所之间保持必要的距离</w:t>
            </w:r>
            <w:r>
              <w:rPr>
                <w:rFonts w:hint="eastAsia"/>
              </w:rPr>
              <w:t>；</w:t>
            </w:r>
            <w:r>
              <w:t>场区周围建有围墙等隔离设施</w:t>
            </w:r>
            <w:r>
              <w:rPr>
                <w:rFonts w:hint="eastAsia"/>
              </w:rPr>
              <w:t>；</w:t>
            </w:r>
            <w:r>
              <w:t>场区出入口处设置运输车辆消毒通道或者消毒池</w:t>
            </w:r>
            <w:r>
              <w:rPr>
                <w:rFonts w:hint="eastAsia"/>
              </w:rPr>
              <w:t>，</w:t>
            </w:r>
            <w:r>
              <w:t>并单独设置人员消毒通道</w:t>
            </w:r>
            <w:r>
              <w:rPr>
                <w:rFonts w:hint="eastAsia"/>
              </w:rPr>
              <w:t>；</w:t>
            </w:r>
            <w:r>
              <w:t>生产经营区与生活办公区分开</w:t>
            </w:r>
            <w:r>
              <w:rPr>
                <w:rFonts w:hint="eastAsia"/>
              </w:rPr>
              <w:t>，</w:t>
            </w:r>
            <w:r>
              <w:t>并有隔离设施</w:t>
            </w:r>
            <w:r>
              <w:rPr>
                <w:rFonts w:hint="eastAsia"/>
              </w:rPr>
              <w:t>；</w:t>
            </w:r>
            <w:r>
              <w:t>生产经营区入口处设置人员更衣消毒室</w:t>
            </w:r>
            <w:r>
              <w:rPr>
                <w:rFonts w:hint="eastAsia"/>
              </w:rPr>
              <w:t>；</w:t>
            </w:r>
            <w:r>
              <w:t>配备与其生产经营规模相适应的污水、污物处理设施,清洗消毒设施设备</w:t>
            </w:r>
            <w:r>
              <w:rPr>
                <w:rFonts w:hint="eastAsia"/>
              </w:rPr>
              <w:t>，</w:t>
            </w:r>
            <w:r>
              <w:t>以及必要的防鼠、防鸟、防虫设施设备</w:t>
            </w:r>
          </w:p>
        </w:tc>
        <w:tc>
          <w:tcPr>
            <w:tcW w:w="3260" w:type="dxa"/>
            <w:vAlign w:val="center"/>
          </w:tcPr>
          <w:p>
            <w:pPr>
              <w:pStyle w:val="51"/>
              <w:rPr>
                <w:rStyle w:val="141"/>
                <w:rFonts w:cs="宋体"/>
                <w:color w:val="auto"/>
                <w:szCs w:val="24"/>
              </w:rPr>
            </w:pPr>
            <w:r>
              <w:rPr>
                <w:rStyle w:val="141"/>
                <w:rFonts w:hint="eastAsia" w:cs="宋体"/>
                <w:color w:val="auto"/>
                <w:szCs w:val="24"/>
              </w:rPr>
              <w:t>本项目周边无</w:t>
            </w:r>
            <w:r>
              <w:t>动物诊疗场所、居民生活区、生活饮用水水源地、学校、医院等公共场所</w:t>
            </w:r>
            <w:r>
              <w:rPr>
                <w:rFonts w:hint="eastAsia"/>
              </w:rPr>
              <w:t>；</w:t>
            </w:r>
            <w:r>
              <w:t>场区周围建有围墙等隔离设施</w:t>
            </w:r>
            <w:r>
              <w:rPr>
                <w:rFonts w:hint="eastAsia"/>
              </w:rPr>
              <w:t>；</w:t>
            </w:r>
            <w:r>
              <w:t>场区出入口处设置运输车辆消毒通道或者消毒池</w:t>
            </w:r>
            <w:r>
              <w:rPr>
                <w:rFonts w:hint="eastAsia"/>
              </w:rPr>
              <w:t>，</w:t>
            </w:r>
            <w:r>
              <w:t>并单独设置人员消毒通道生产经营区与生活办公区分开</w:t>
            </w:r>
            <w:r>
              <w:rPr>
                <w:rFonts w:hint="eastAsia"/>
              </w:rPr>
              <w:t>，</w:t>
            </w:r>
            <w:r>
              <w:t>并有隔离设施</w:t>
            </w:r>
            <w:r>
              <w:rPr>
                <w:rFonts w:hint="eastAsia"/>
              </w:rPr>
              <w:t>；</w:t>
            </w:r>
            <w:r>
              <w:t>生产经营区入口处设置人员更衣消毒室</w:t>
            </w:r>
            <w:r>
              <w:rPr>
                <w:rFonts w:hint="eastAsia"/>
              </w:rPr>
              <w:t>；</w:t>
            </w:r>
            <w:r>
              <w:t>配备与其生产经营规模相适应的污水、污物处理设施,清洗消毒设施设备</w:t>
            </w:r>
            <w:r>
              <w:rPr>
                <w:rFonts w:hint="eastAsia"/>
              </w:rPr>
              <w:t>，</w:t>
            </w:r>
            <w:r>
              <w:t>以及必要的防鼠、防鸟、防虫设施设备</w:t>
            </w:r>
          </w:p>
        </w:tc>
        <w:tc>
          <w:tcPr>
            <w:tcW w:w="930" w:type="dxa"/>
            <w:vAlign w:val="center"/>
          </w:tcPr>
          <w:p>
            <w:pPr>
              <w:pStyle w:val="51"/>
              <w:rPr>
                <w:rStyle w:val="141"/>
                <w:rFonts w:cs="宋体"/>
                <w:color w:val="auto"/>
                <w:szCs w:val="24"/>
              </w:rPr>
            </w:pPr>
            <w:r>
              <w:rPr>
                <w:rStyle w:val="141"/>
                <w:rFonts w:hint="eastAsia" w:cs="宋体"/>
                <w:color w:val="auto"/>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06" w:type="dxa"/>
            <w:vAlign w:val="center"/>
          </w:tcPr>
          <w:p>
            <w:pPr>
              <w:pStyle w:val="51"/>
              <w:jc w:val="both"/>
              <w:rPr>
                <w:rStyle w:val="141"/>
                <w:rFonts w:cs="宋体"/>
                <w:color w:val="auto"/>
                <w:szCs w:val="24"/>
              </w:rPr>
            </w:pPr>
            <w:r>
              <w:t>第七条 动物饲养场除符合本办法第六条规定外</w:t>
            </w:r>
            <w:r>
              <w:rPr>
                <w:rFonts w:hint="eastAsia"/>
              </w:rPr>
              <w:t>，</w:t>
            </w:r>
            <w:r>
              <w:t>还应当符合下列条件</w:t>
            </w:r>
            <w:r>
              <w:rPr>
                <w:rFonts w:hint="eastAsia"/>
              </w:rPr>
              <w:t>：</w:t>
            </w:r>
            <w:r>
              <w:t>设置配备疫苗冷藏冷冻设备、消毒和诊疗等防疫设备的兽医室</w:t>
            </w:r>
            <w:r>
              <w:rPr>
                <w:rFonts w:hint="eastAsia"/>
              </w:rPr>
              <w:t>；</w:t>
            </w:r>
            <w:r>
              <w:t>生产区清洁道、污染道分设</w:t>
            </w:r>
            <w:r>
              <w:rPr>
                <w:rFonts w:hint="eastAsia"/>
              </w:rPr>
              <w:t>；</w:t>
            </w:r>
            <w:r>
              <w:t>具有相对独立的动物隔离舍</w:t>
            </w:r>
            <w:r>
              <w:rPr>
                <w:rFonts w:hint="eastAsia"/>
              </w:rPr>
              <w:t>；</w:t>
            </w:r>
            <w:r>
              <w:t>配备符合国家规定的病死动物和病害动物产品无害化 处理设施设备或者冷藏冷冻等暂存设施设备</w:t>
            </w:r>
            <w:r>
              <w:rPr>
                <w:rFonts w:hint="eastAsia"/>
              </w:rPr>
              <w:t>；</w:t>
            </w:r>
            <w:r>
              <w:t>禽类饲养场内的孵化间与养殖区之间应当设置隔离设施</w:t>
            </w:r>
            <w:r>
              <w:rPr>
                <w:rFonts w:hint="eastAsia"/>
              </w:rPr>
              <w:t>，</w:t>
            </w:r>
            <w:r>
              <w:t>并配备种蛋熏蒸消毒设施</w:t>
            </w:r>
            <w:r>
              <w:rPr>
                <w:rFonts w:hint="eastAsia"/>
              </w:rPr>
              <w:t>，</w:t>
            </w:r>
            <w:r>
              <w:t>孵化间的流程应当单向</w:t>
            </w:r>
            <w:r>
              <w:rPr>
                <w:rFonts w:hint="eastAsia"/>
              </w:rPr>
              <w:t>，</w:t>
            </w:r>
            <w:r>
              <w:t>不得交叉或者回流</w:t>
            </w:r>
          </w:p>
        </w:tc>
        <w:tc>
          <w:tcPr>
            <w:tcW w:w="3260" w:type="dxa"/>
            <w:vAlign w:val="center"/>
          </w:tcPr>
          <w:p>
            <w:pPr>
              <w:pStyle w:val="51"/>
              <w:rPr>
                <w:rStyle w:val="141"/>
                <w:rFonts w:cs="宋体"/>
                <w:color w:val="auto"/>
                <w:szCs w:val="24"/>
              </w:rPr>
            </w:pPr>
            <w:r>
              <w:rPr>
                <w:rStyle w:val="141"/>
                <w:rFonts w:hint="eastAsia" w:cs="宋体"/>
                <w:color w:val="auto"/>
                <w:szCs w:val="24"/>
              </w:rPr>
              <w:t>本项目设置</w:t>
            </w:r>
            <w:r>
              <w:t>配备疫苗冷藏冷冻设备、消毒和诊疗等防疫设备的兽医室</w:t>
            </w:r>
            <w:r>
              <w:rPr>
                <w:rFonts w:hint="eastAsia"/>
              </w:rPr>
              <w:t>；</w:t>
            </w:r>
            <w:r>
              <w:t>生产区清洁道、污染道分设</w:t>
            </w:r>
            <w:r>
              <w:rPr>
                <w:rFonts w:hint="eastAsia"/>
              </w:rPr>
              <w:t>；</w:t>
            </w:r>
            <w:r>
              <w:t>具有相对独立的动物隔离舍</w:t>
            </w:r>
            <w:r>
              <w:rPr>
                <w:rFonts w:hint="eastAsia"/>
              </w:rPr>
              <w:t>；病死鸡在冷冻库暂存后定期交由永州恩泉环保科技有限公司无害化处置；本项目不涉及</w:t>
            </w:r>
            <w:r>
              <w:t>孵化间</w:t>
            </w:r>
            <w:r>
              <w:rPr>
                <w:rFonts w:hint="eastAsia"/>
              </w:rPr>
              <w:t>。</w:t>
            </w:r>
          </w:p>
        </w:tc>
        <w:tc>
          <w:tcPr>
            <w:tcW w:w="930" w:type="dxa"/>
            <w:vAlign w:val="center"/>
          </w:tcPr>
          <w:p>
            <w:pPr>
              <w:pStyle w:val="51"/>
              <w:rPr>
                <w:rStyle w:val="141"/>
                <w:rFonts w:cs="宋体"/>
                <w:color w:val="auto"/>
                <w:szCs w:val="24"/>
              </w:rPr>
            </w:pPr>
            <w:r>
              <w:rPr>
                <w:rStyle w:val="141"/>
                <w:rFonts w:hint="eastAsia" w:cs="宋体"/>
                <w:color w:val="auto"/>
                <w:szCs w:val="24"/>
              </w:rPr>
              <w:t>符合</w:t>
            </w:r>
          </w:p>
        </w:tc>
      </w:tr>
    </w:tbl>
    <w:p>
      <w:pPr>
        <w:pStyle w:val="49"/>
        <w:ind w:firstLine="480"/>
        <w:rPr>
          <w:rStyle w:val="141"/>
          <w:rFonts w:cs="宋体"/>
          <w:color w:val="auto"/>
          <w:sz w:val="24"/>
          <w:szCs w:val="24"/>
        </w:rPr>
      </w:pPr>
      <w:r>
        <w:rPr>
          <w:rFonts w:hint="eastAsia"/>
        </w:rPr>
        <w:t>由上表可知，项目选址符合《动物防疫条件审查办法》的相关要求。</w:t>
      </w:r>
    </w:p>
    <w:p>
      <w:pPr>
        <w:pStyle w:val="4"/>
        <w:keepNext w:val="0"/>
        <w:keepLines w:val="0"/>
        <w:widowControl w:val="0"/>
      </w:pPr>
      <w:bookmarkStart w:id="47" w:name="_Toc194481113"/>
      <w:r>
        <w:t>1.5.</w:t>
      </w:r>
      <w:r>
        <w:rPr>
          <w:rFonts w:hint="eastAsia"/>
        </w:rPr>
        <w:t>14 项目选址合理性分析</w:t>
      </w:r>
      <w:bookmarkEnd w:id="47"/>
    </w:p>
    <w:p>
      <w:pPr>
        <w:pStyle w:val="49"/>
        <w:ind w:firstLine="480"/>
      </w:pPr>
      <w:r>
        <w:rPr>
          <w:rFonts w:hint="eastAsia"/>
        </w:rPr>
        <w:t>本项目位于永州市冷水滩区岚角山街道飞跃村、高桥头村，总用地面积</w:t>
      </w:r>
      <w:r>
        <w:rPr>
          <w:rFonts w:hint="eastAsia" w:cs="Times New Roman"/>
          <w:szCs w:val="28"/>
        </w:rPr>
        <w:t>76953</w:t>
      </w:r>
      <w:r>
        <w:rPr>
          <w:rStyle w:val="50"/>
        </w:rPr>
        <w:t>m</w:t>
      </w:r>
      <w:r>
        <w:rPr>
          <w:rStyle w:val="50"/>
          <w:rFonts w:hint="eastAsia"/>
          <w:vertAlign w:val="superscript"/>
        </w:rPr>
        <w:t>2</w:t>
      </w:r>
      <w:r>
        <w:rPr>
          <w:rStyle w:val="50"/>
          <w:rFonts w:hint="eastAsia"/>
        </w:rPr>
        <w:t>，经套合“三区三线”永久基本农田数据库，项目红线范围内不占用永久基本农田。本项目选址已取得</w:t>
      </w:r>
      <w:r>
        <w:rPr>
          <w:rFonts w:hint="eastAsia"/>
        </w:rPr>
        <w:t>永州市冷水滩区岚角山街道飞跃村、高桥头村村民委员会、永州市冷水滩区岚角山街道</w:t>
      </w:r>
      <w:r>
        <w:rPr>
          <w:rStyle w:val="50"/>
          <w:rFonts w:hint="eastAsia"/>
        </w:rPr>
        <w:t>办事处、永州市冷水滩区农业农村局、永州市冷水滩区林业局、永州市生态环境局冷水滩分局、永州市冷水滩区自然资源局同意。由前文分析可知，本项目选址满足</w:t>
      </w:r>
      <w:r>
        <w:rPr>
          <w:rFonts w:hint="eastAsia"/>
        </w:rPr>
        <w:t>《畜禽养殖业污染防治技术规范》（</w:t>
      </w:r>
      <w:r>
        <w:t>HJ/T81-2001</w:t>
      </w:r>
      <w:r>
        <w:rPr>
          <w:rFonts w:hint="eastAsia"/>
        </w:rPr>
        <w:t>）要求。根据《冷水滩区畜禽养殖污染防治规划（2021年-2025年）》，本项目属于适养区，不属于禁养区。</w:t>
      </w:r>
    </w:p>
    <w:p>
      <w:pPr>
        <w:pStyle w:val="15"/>
        <w:spacing w:line="360" w:lineRule="auto"/>
        <w:ind w:firstLine="480"/>
        <w:rPr>
          <w:rFonts w:ascii="Times New Roman" w:hAnsi="Times New Roman"/>
          <w:color w:val="000000"/>
        </w:rPr>
      </w:pPr>
      <w:r>
        <w:rPr>
          <w:rFonts w:hint="eastAsia" w:ascii="Times New Roman" w:hAnsi="Times New Roman"/>
          <w:color w:val="000000"/>
        </w:rPr>
        <w:t>综上，项目用地符合当地的乡村土地利用总体规划，征用土地手续齐全、合法。</w:t>
      </w:r>
    </w:p>
    <w:p>
      <w:pPr>
        <w:pStyle w:val="4"/>
      </w:pPr>
      <w:bookmarkStart w:id="48" w:name="_Toc194481114"/>
      <w:r>
        <w:t>1.5.</w:t>
      </w:r>
      <w:r>
        <w:rPr>
          <w:rFonts w:hint="eastAsia"/>
        </w:rPr>
        <w:t>15 平面布置合理性分析</w:t>
      </w:r>
      <w:bookmarkEnd w:id="48"/>
    </w:p>
    <w:p>
      <w:pPr>
        <w:pStyle w:val="49"/>
        <w:ind w:firstLine="480"/>
      </w:pPr>
      <w:r>
        <w:rPr>
          <w:rFonts w:hint="eastAsia"/>
        </w:rPr>
        <w:t>项目按照工艺流程，在保证提高工作效率的前提下，以地势、风向和有利于疫病预防要求为原则，结合《畜禽养殖业污染防治技术规范》（</w:t>
      </w:r>
      <w:r>
        <w:t>HJ/T81—2001</w:t>
      </w:r>
      <w:r>
        <w:rPr>
          <w:rFonts w:hint="eastAsia"/>
        </w:rPr>
        <w:t xml:space="preserve">）中的相关要求，进行科学合理的总平面布置。 </w:t>
      </w:r>
    </w:p>
    <w:p>
      <w:pPr>
        <w:pStyle w:val="49"/>
        <w:ind w:firstLine="480"/>
      </w:pPr>
      <w:r>
        <w:rPr>
          <w:rFonts w:hint="eastAsia"/>
        </w:rPr>
        <w:t>（</w:t>
      </w:r>
      <w:r>
        <w:t>1</w:t>
      </w:r>
      <w:r>
        <w:rPr>
          <w:rFonts w:hint="eastAsia"/>
        </w:rPr>
        <w:t>）项目养殖场生产区、生活办公区相互分开，项目总体布置符合《畜禽 养殖业污染防治技术规范》（</w:t>
      </w:r>
      <w:r>
        <w:t>HJ/T81-2001</w:t>
      </w:r>
      <w:r>
        <w:rPr>
          <w:rFonts w:hint="eastAsia"/>
        </w:rPr>
        <w:t xml:space="preserve">）的规定。 </w:t>
      </w:r>
    </w:p>
    <w:p>
      <w:pPr>
        <w:pStyle w:val="49"/>
        <w:ind w:firstLine="480"/>
      </w:pPr>
      <w:r>
        <w:rPr>
          <w:rFonts w:hint="eastAsia"/>
        </w:rPr>
        <w:t>（</w:t>
      </w:r>
      <w:r>
        <w:t>2</w:t>
      </w:r>
      <w:r>
        <w:rPr>
          <w:rFonts w:hint="eastAsia"/>
        </w:rPr>
        <w:t xml:space="preserve">）项目按照饲养的操作流程布置，做到功能分区明确合理，保证养殖小 区内物料运输距离短捷顺畅，干净道和污染道不交叉，搞好绿化工作，使养殖场内部环境优美，空气清新，有利于人畜生活。 </w:t>
      </w:r>
    </w:p>
    <w:p>
      <w:pPr>
        <w:pStyle w:val="49"/>
        <w:ind w:firstLine="480"/>
      </w:pPr>
      <w:r>
        <w:rPr>
          <w:rFonts w:hint="eastAsia"/>
        </w:rPr>
        <w:t>（</w:t>
      </w:r>
      <w:r>
        <w:t>3</w:t>
      </w:r>
      <w:r>
        <w:rPr>
          <w:rFonts w:hint="eastAsia"/>
        </w:rPr>
        <w:t xml:space="preserve">）畜禽养殖需要较高的卫生条件，所以场区内绿化、美化环境显得尤为 重要。多种植乔木与灌木，尽量为场区营造一个空气清新，利于牲畜生长的生态环境。 </w:t>
      </w:r>
    </w:p>
    <w:p>
      <w:pPr>
        <w:pStyle w:val="49"/>
        <w:ind w:firstLine="480"/>
      </w:pPr>
      <w:r>
        <w:rPr>
          <w:rFonts w:hint="eastAsia"/>
        </w:rPr>
        <w:t>（</w:t>
      </w:r>
      <w:r>
        <w:t>4</w:t>
      </w:r>
      <w:r>
        <w:rPr>
          <w:rFonts w:hint="eastAsia"/>
        </w:rPr>
        <w:t>）项目排水系统实行雨污分流，在场区内设置封闭排污管道。符合《畜 禽养殖业污染防治技术规范》（</w:t>
      </w:r>
      <w:r>
        <w:t>HJ/T81-2001</w:t>
      </w:r>
      <w:r>
        <w:rPr>
          <w:rFonts w:hint="eastAsia"/>
        </w:rPr>
        <w:t xml:space="preserve">）的规定。 </w:t>
      </w:r>
    </w:p>
    <w:p>
      <w:pPr>
        <w:pStyle w:val="49"/>
        <w:ind w:firstLine="480"/>
      </w:pPr>
      <w:r>
        <w:rPr>
          <w:rFonts w:hint="eastAsia"/>
        </w:rPr>
        <w:t>综上所述，本工程总平面布置充分利用现有地势，按照功能和工艺流程布置，生活区和生产区分开。从整体布局和环境影响上看，工程总平面布置基本合理。</w:t>
      </w:r>
    </w:p>
    <w:p>
      <w:pPr>
        <w:pStyle w:val="3"/>
      </w:pPr>
      <w:bookmarkStart w:id="49" w:name="_Toc3107"/>
      <w:bookmarkStart w:id="50" w:name="_Toc30028"/>
      <w:bookmarkStart w:id="51" w:name="_Toc138257124"/>
      <w:bookmarkStart w:id="52" w:name="_Toc14037"/>
      <w:bookmarkStart w:id="53" w:name="_Toc8633"/>
      <w:bookmarkStart w:id="54" w:name="_Toc194481115"/>
      <w:bookmarkStart w:id="55" w:name="_Toc28472"/>
      <w:r>
        <w:t>1.6</w:t>
      </w:r>
      <w:r>
        <w:rPr>
          <w:rFonts w:hint="eastAsia"/>
        </w:rPr>
        <w:t xml:space="preserve"> </w:t>
      </w:r>
      <w:r>
        <w:t>报告书主要结论</w:t>
      </w:r>
      <w:bookmarkEnd w:id="49"/>
      <w:bookmarkEnd w:id="50"/>
      <w:bookmarkEnd w:id="51"/>
      <w:bookmarkEnd w:id="52"/>
      <w:bookmarkEnd w:id="53"/>
      <w:bookmarkEnd w:id="54"/>
      <w:bookmarkEnd w:id="55"/>
    </w:p>
    <w:p>
      <w:pPr>
        <w:pStyle w:val="49"/>
        <w:ind w:firstLine="480"/>
        <w:rPr>
          <w:snapToGrid w:val="0"/>
        </w:rPr>
        <w:sectPr>
          <w:pgSz w:w="11906" w:h="16838"/>
          <w:pgMar w:top="1440" w:right="1800" w:bottom="1440" w:left="1800" w:header="851" w:footer="992" w:gutter="0"/>
          <w:cols w:space="425" w:num="1"/>
          <w:docGrid w:type="lines" w:linePitch="312" w:charSpace="0"/>
        </w:sectPr>
      </w:pPr>
      <w:r>
        <w:rPr>
          <w:rFonts w:hint="eastAsia"/>
          <w:snapToGrid w:val="0"/>
        </w:rPr>
        <w:t>本项目为</w:t>
      </w:r>
      <w:r>
        <w:rPr>
          <w:rFonts w:hint="eastAsia"/>
        </w:rPr>
        <w:t>规模化畜禽养殖</w:t>
      </w:r>
      <w:r>
        <w:rPr>
          <w:rFonts w:hint="eastAsia"/>
          <w:snapToGrid w:val="0"/>
        </w:rPr>
        <w:t>，符合国家产业政策及相关规划的要求，厂址选择合理。无论是建设期或是运营期，对周围环境影响均较小，能为环境所接受。项目的建成将促进畜牧业转变生产方式，加快规模化、标准化、产业化和区域化进程，促进地方经济发展，促进我国畜牧业产业链一体化经营模式的发展，具有较好的社会效益。通过现场踏勘、工程分析、类比调查、环境影响分析及污染防治措施的论证，认为建设单位在落实报告书中所提出的各项治理措施的基础之上，并注意环保设备的检修及维护，实现污染物达标排放的前提下，从环境保护角度出发，该项目的建设是可行的。</w:t>
      </w:r>
    </w:p>
    <w:p>
      <w:pPr>
        <w:pStyle w:val="2"/>
        <w:jc w:val="center"/>
        <w:rPr>
          <w:sz w:val="44"/>
          <w:szCs w:val="56"/>
        </w:rPr>
      </w:pPr>
      <w:bookmarkStart w:id="56" w:name="_Toc194481116"/>
      <w:r>
        <w:rPr>
          <w:rFonts w:hint="eastAsia"/>
          <w:sz w:val="44"/>
          <w:szCs w:val="56"/>
        </w:rPr>
        <w:t>第2章 总则</w:t>
      </w:r>
      <w:bookmarkEnd w:id="56"/>
    </w:p>
    <w:p>
      <w:pPr>
        <w:pStyle w:val="3"/>
      </w:pPr>
      <w:bookmarkStart w:id="57" w:name="_Toc194481117"/>
      <w:bookmarkStart w:id="58" w:name="_Toc194312313"/>
      <w:r>
        <w:rPr>
          <w:rFonts w:hint="eastAsia"/>
        </w:rPr>
        <w:t>2</w:t>
      </w:r>
      <w:r>
        <w:t>.</w:t>
      </w:r>
      <w:r>
        <w:rPr>
          <w:rFonts w:hint="eastAsia"/>
        </w:rPr>
        <w:t>1</w:t>
      </w:r>
      <w:r>
        <w:t xml:space="preserve"> </w:t>
      </w:r>
      <w:r>
        <w:rPr>
          <w:rFonts w:hint="eastAsia"/>
        </w:rPr>
        <w:t>编制依据</w:t>
      </w:r>
      <w:bookmarkEnd w:id="57"/>
      <w:bookmarkEnd w:id="58"/>
    </w:p>
    <w:p>
      <w:pPr>
        <w:pStyle w:val="4"/>
      </w:pPr>
      <w:bookmarkStart w:id="59" w:name="_Toc194312314"/>
      <w:bookmarkStart w:id="60" w:name="_Toc194481118"/>
      <w:r>
        <w:rPr>
          <w:rFonts w:hint="eastAsia"/>
        </w:rPr>
        <w:t>2</w:t>
      </w:r>
      <w:r>
        <w:t>.</w:t>
      </w:r>
      <w:r>
        <w:rPr>
          <w:rFonts w:hint="eastAsia"/>
        </w:rPr>
        <w:t>1</w:t>
      </w:r>
      <w:r>
        <w:t xml:space="preserve">.1 </w:t>
      </w:r>
      <w:r>
        <w:rPr>
          <w:rFonts w:hint="eastAsia"/>
        </w:rPr>
        <w:t>法律、法规、政策</w:t>
      </w:r>
      <w:bookmarkEnd w:id="59"/>
      <w:bookmarkEnd w:id="60"/>
    </w:p>
    <w:p>
      <w:pPr>
        <w:pStyle w:val="49"/>
        <w:ind w:firstLine="480"/>
      </w:pPr>
      <w:r>
        <w:rPr>
          <w:rFonts w:hint="eastAsia"/>
        </w:rPr>
        <w:t>（1）《中华人民共和国环境保护法》</w:t>
      </w:r>
      <w:r>
        <w:t xml:space="preserve">(2015 </w:t>
      </w:r>
      <w:r>
        <w:rPr>
          <w:rFonts w:hint="eastAsia"/>
        </w:rPr>
        <w:t xml:space="preserve">年 </w:t>
      </w:r>
      <w:r>
        <w:t xml:space="preserve">1 </w:t>
      </w:r>
      <w:r>
        <w:rPr>
          <w:rFonts w:hint="eastAsia"/>
        </w:rPr>
        <w:t xml:space="preserve">月 </w:t>
      </w:r>
      <w:r>
        <w:t xml:space="preserve">1 </w:t>
      </w:r>
      <w:r>
        <w:rPr>
          <w:rFonts w:hint="eastAsia"/>
        </w:rPr>
        <w:t xml:space="preserve">日起修订施行）； </w:t>
      </w:r>
    </w:p>
    <w:p>
      <w:pPr>
        <w:pStyle w:val="49"/>
        <w:ind w:firstLine="480"/>
      </w:pPr>
      <w:r>
        <w:rPr>
          <w:rFonts w:hint="eastAsia"/>
        </w:rPr>
        <w:t>（2）《中华人民共和国环境影响评价法》</w:t>
      </w:r>
      <w:r>
        <w:t xml:space="preserve">(2018 </w:t>
      </w:r>
      <w:r>
        <w:rPr>
          <w:rFonts w:hint="eastAsia"/>
        </w:rPr>
        <w:t xml:space="preserve">年 </w:t>
      </w:r>
      <w:r>
        <w:t xml:space="preserve">12 </w:t>
      </w:r>
      <w:r>
        <w:rPr>
          <w:rFonts w:hint="eastAsia"/>
        </w:rPr>
        <w:t xml:space="preserve">月 </w:t>
      </w:r>
      <w:r>
        <w:t xml:space="preserve">29 </w:t>
      </w:r>
      <w:r>
        <w:rPr>
          <w:rFonts w:hint="eastAsia"/>
        </w:rPr>
        <w:t xml:space="preserve">日实施）； </w:t>
      </w:r>
    </w:p>
    <w:p>
      <w:pPr>
        <w:pStyle w:val="49"/>
        <w:ind w:firstLine="480"/>
      </w:pPr>
      <w:r>
        <w:rPr>
          <w:rFonts w:hint="eastAsia"/>
        </w:rPr>
        <w:t>（3）《中华人民共和国水污染防治法》</w:t>
      </w:r>
      <w:r>
        <w:t xml:space="preserve">(2017 </w:t>
      </w:r>
      <w:r>
        <w:rPr>
          <w:rFonts w:hint="eastAsia"/>
        </w:rPr>
        <w:t xml:space="preserve">年 </w:t>
      </w:r>
      <w:r>
        <w:t xml:space="preserve">6 </w:t>
      </w:r>
      <w:r>
        <w:rPr>
          <w:rFonts w:hint="eastAsia"/>
        </w:rPr>
        <w:t xml:space="preserve">月 </w:t>
      </w:r>
      <w:r>
        <w:t xml:space="preserve">27 </w:t>
      </w:r>
      <w:r>
        <w:rPr>
          <w:rFonts w:hint="eastAsia"/>
        </w:rPr>
        <w:t xml:space="preserve">日修订， </w:t>
      </w:r>
      <w:r>
        <w:t xml:space="preserve">2018 </w:t>
      </w:r>
      <w:r>
        <w:rPr>
          <w:rFonts w:hint="eastAsia"/>
        </w:rPr>
        <w:t xml:space="preserve">年 </w:t>
      </w:r>
      <w:r>
        <w:t xml:space="preserve">1 </w:t>
      </w:r>
      <w:r>
        <w:rPr>
          <w:rFonts w:hint="eastAsia"/>
        </w:rPr>
        <w:t xml:space="preserve">月 </w:t>
      </w:r>
      <w:r>
        <w:t xml:space="preserve">1 </w:t>
      </w:r>
      <w:r>
        <w:rPr>
          <w:rFonts w:hint="eastAsia"/>
        </w:rPr>
        <w:t xml:space="preserve">日正式实施）； </w:t>
      </w:r>
    </w:p>
    <w:p>
      <w:pPr>
        <w:pStyle w:val="49"/>
        <w:ind w:firstLine="480"/>
      </w:pPr>
      <w:r>
        <w:rPr>
          <w:rFonts w:hint="eastAsia"/>
        </w:rPr>
        <w:t>（4）《中华人民共和国大气污染防治法》</w:t>
      </w:r>
      <w:r>
        <w:t xml:space="preserve">(2016 </w:t>
      </w:r>
      <w:r>
        <w:rPr>
          <w:rFonts w:hint="eastAsia"/>
        </w:rPr>
        <w:t xml:space="preserve">年 </w:t>
      </w:r>
      <w:r>
        <w:t xml:space="preserve">1 </w:t>
      </w:r>
      <w:r>
        <w:rPr>
          <w:rFonts w:hint="eastAsia"/>
        </w:rPr>
        <w:t xml:space="preserve">月 </w:t>
      </w:r>
      <w:r>
        <w:t xml:space="preserve">1 </w:t>
      </w:r>
      <w:r>
        <w:rPr>
          <w:rFonts w:hint="eastAsia"/>
        </w:rPr>
        <w:t xml:space="preserve">日起施行）； </w:t>
      </w:r>
    </w:p>
    <w:p>
      <w:pPr>
        <w:pStyle w:val="49"/>
        <w:ind w:firstLine="480"/>
      </w:pPr>
      <w:r>
        <w:rPr>
          <w:rFonts w:hint="eastAsia"/>
        </w:rPr>
        <w:t>（5）《中华人民共和国固体废物污染环境防治法》</w:t>
      </w:r>
      <w:r>
        <w:t xml:space="preserve">(2020 </w:t>
      </w:r>
      <w:r>
        <w:rPr>
          <w:rFonts w:hint="eastAsia"/>
        </w:rPr>
        <w:t xml:space="preserve">年修正）； </w:t>
      </w:r>
    </w:p>
    <w:p>
      <w:pPr>
        <w:pStyle w:val="49"/>
        <w:ind w:firstLine="480"/>
      </w:pPr>
      <w:r>
        <w:rPr>
          <w:rFonts w:hint="eastAsia"/>
        </w:rPr>
        <w:t>（6）《中华人民共和国环境噪声污染防治法》</w:t>
      </w:r>
      <w:r>
        <w:t xml:space="preserve">(2021.12.24 </w:t>
      </w:r>
      <w:r>
        <w:rPr>
          <w:rFonts w:hint="eastAsia"/>
        </w:rPr>
        <w:t xml:space="preserve">年修订）； </w:t>
      </w:r>
    </w:p>
    <w:p>
      <w:pPr>
        <w:pStyle w:val="49"/>
        <w:ind w:firstLine="480"/>
      </w:pPr>
      <w:r>
        <w:rPr>
          <w:rFonts w:hint="eastAsia"/>
        </w:rPr>
        <w:t>（7）《中华人民共和国土壤污染防治法》，（</w:t>
      </w:r>
      <w:r>
        <w:t xml:space="preserve">2019 </w:t>
      </w:r>
      <w:r>
        <w:rPr>
          <w:rFonts w:hint="eastAsia"/>
        </w:rPr>
        <w:t xml:space="preserve">年 </w:t>
      </w:r>
      <w:r>
        <w:t xml:space="preserve">1 </w:t>
      </w:r>
      <w:r>
        <w:rPr>
          <w:rFonts w:hint="eastAsia"/>
        </w:rPr>
        <w:t xml:space="preserve">月 </w:t>
      </w:r>
      <w:r>
        <w:t xml:space="preserve">1 </w:t>
      </w:r>
      <w:r>
        <w:rPr>
          <w:rFonts w:hint="eastAsia"/>
        </w:rPr>
        <w:t xml:space="preserve">日实施）； </w:t>
      </w:r>
    </w:p>
    <w:p>
      <w:pPr>
        <w:pStyle w:val="49"/>
        <w:ind w:firstLine="480"/>
      </w:pPr>
      <w:r>
        <w:rPr>
          <w:rFonts w:hint="eastAsia"/>
        </w:rPr>
        <w:t>（8）《中华人民共和国水土保持法》</w:t>
      </w:r>
      <w:r>
        <w:t xml:space="preserve">(2011 </w:t>
      </w:r>
      <w:r>
        <w:rPr>
          <w:rFonts w:hint="eastAsia"/>
        </w:rPr>
        <w:t xml:space="preserve">年 </w:t>
      </w:r>
      <w:r>
        <w:t xml:space="preserve">3 </w:t>
      </w:r>
      <w:r>
        <w:rPr>
          <w:rFonts w:hint="eastAsia"/>
        </w:rPr>
        <w:t xml:space="preserve">月 </w:t>
      </w:r>
      <w:r>
        <w:t xml:space="preserve">1 </w:t>
      </w:r>
      <w:r>
        <w:rPr>
          <w:rFonts w:hint="eastAsia"/>
        </w:rPr>
        <w:t xml:space="preserve">日修订实施）； </w:t>
      </w:r>
    </w:p>
    <w:p>
      <w:pPr>
        <w:pStyle w:val="49"/>
        <w:ind w:firstLine="480"/>
      </w:pPr>
      <w:r>
        <w:rPr>
          <w:rFonts w:hint="eastAsia"/>
        </w:rPr>
        <w:t>（9）《中华人民共和国土地管理法》</w:t>
      </w:r>
      <w:r>
        <w:t>(</w:t>
      </w:r>
      <w:r>
        <w:rPr>
          <w:rFonts w:hint="eastAsia"/>
        </w:rPr>
        <w:t xml:space="preserve">2019年8月26日修订实施）； </w:t>
      </w:r>
    </w:p>
    <w:p>
      <w:pPr>
        <w:pStyle w:val="49"/>
        <w:ind w:firstLine="480"/>
      </w:pPr>
      <w:r>
        <w:rPr>
          <w:rFonts w:hint="eastAsia"/>
        </w:rPr>
        <w:t>（10）《建设项目环境保护管理条例》</w:t>
      </w:r>
      <w:r>
        <w:t xml:space="preserve">(2017 </w:t>
      </w:r>
      <w:r>
        <w:rPr>
          <w:rFonts w:hint="eastAsia"/>
        </w:rPr>
        <w:t xml:space="preserve">年 </w:t>
      </w:r>
      <w:r>
        <w:t xml:space="preserve">10 </w:t>
      </w:r>
      <w:r>
        <w:rPr>
          <w:rFonts w:hint="eastAsia"/>
        </w:rPr>
        <w:t xml:space="preserve">月 </w:t>
      </w:r>
      <w:r>
        <w:t xml:space="preserve">1 </w:t>
      </w:r>
      <w:r>
        <w:rPr>
          <w:rFonts w:hint="eastAsia"/>
        </w:rPr>
        <w:t xml:space="preserve">日施行）； </w:t>
      </w:r>
    </w:p>
    <w:p>
      <w:pPr>
        <w:pStyle w:val="49"/>
        <w:ind w:firstLine="480"/>
      </w:pPr>
      <w:r>
        <w:rPr>
          <w:rFonts w:hint="eastAsia"/>
        </w:rPr>
        <w:t xml:space="preserve">（11）《畜禽规模养殖污染防治条例》（中华人民共和国国务院令第 </w:t>
      </w:r>
      <w:r>
        <w:t xml:space="preserve">643 </w:t>
      </w:r>
      <w:r>
        <w:rPr>
          <w:rFonts w:hint="eastAsia"/>
        </w:rPr>
        <w:t xml:space="preserve">号）； </w:t>
      </w:r>
    </w:p>
    <w:p>
      <w:pPr>
        <w:pStyle w:val="49"/>
        <w:ind w:firstLine="480"/>
      </w:pPr>
      <w:r>
        <w:rPr>
          <w:rFonts w:hint="eastAsia"/>
        </w:rPr>
        <w:t>（12）《中华人民共和国畜牧法》</w:t>
      </w:r>
      <w:r>
        <w:t xml:space="preserve">(2015 </w:t>
      </w:r>
      <w:r>
        <w:rPr>
          <w:rFonts w:hint="eastAsia"/>
        </w:rPr>
        <w:t xml:space="preserve">年 </w:t>
      </w:r>
      <w:r>
        <w:t xml:space="preserve">4 </w:t>
      </w:r>
      <w:r>
        <w:rPr>
          <w:rFonts w:hint="eastAsia"/>
        </w:rPr>
        <w:t xml:space="preserve">月 </w:t>
      </w:r>
      <w:r>
        <w:t xml:space="preserve">24 </w:t>
      </w:r>
      <w:r>
        <w:rPr>
          <w:rFonts w:hint="eastAsia"/>
        </w:rPr>
        <w:t xml:space="preserve">日修订）； </w:t>
      </w:r>
    </w:p>
    <w:p>
      <w:pPr>
        <w:pStyle w:val="49"/>
        <w:ind w:firstLine="480"/>
      </w:pPr>
      <w:r>
        <w:rPr>
          <w:rFonts w:hint="eastAsia"/>
        </w:rPr>
        <w:t>（13）《中华人民共和国动物防疫法》</w:t>
      </w:r>
      <w:r>
        <w:t xml:space="preserve">(2015 </w:t>
      </w:r>
      <w:r>
        <w:rPr>
          <w:rFonts w:hint="eastAsia"/>
        </w:rPr>
        <w:t xml:space="preserve">年修订）； </w:t>
      </w:r>
    </w:p>
    <w:p>
      <w:pPr>
        <w:pStyle w:val="49"/>
        <w:ind w:firstLine="480"/>
      </w:pPr>
      <w:r>
        <w:rPr>
          <w:rFonts w:hint="eastAsia"/>
        </w:rPr>
        <w:t>（14）《中华人民共和国传染病防治法》</w:t>
      </w:r>
      <w:r>
        <w:t xml:space="preserve">(2013 </w:t>
      </w:r>
      <w:r>
        <w:rPr>
          <w:rFonts w:hint="eastAsia"/>
        </w:rPr>
        <w:t xml:space="preserve">年 </w:t>
      </w:r>
      <w:r>
        <w:t xml:space="preserve">6 </w:t>
      </w:r>
      <w:r>
        <w:rPr>
          <w:rFonts w:hint="eastAsia"/>
        </w:rPr>
        <w:t xml:space="preserve">月 </w:t>
      </w:r>
      <w:r>
        <w:t xml:space="preserve">29 </w:t>
      </w:r>
      <w:r>
        <w:rPr>
          <w:rFonts w:hint="eastAsia"/>
        </w:rPr>
        <w:t xml:space="preserve">日第十二届全国人民代表 大会常务委员会第三次会议修正） </w:t>
      </w:r>
    </w:p>
    <w:p>
      <w:pPr>
        <w:pStyle w:val="49"/>
        <w:ind w:firstLine="480"/>
      </w:pPr>
      <w:r>
        <w:rPr>
          <w:rFonts w:hint="eastAsia"/>
        </w:rPr>
        <w:t>（15）《建设项目环境影响评价分类管理名录（</w:t>
      </w:r>
      <w:r>
        <w:t xml:space="preserve">2021 </w:t>
      </w:r>
      <w:r>
        <w:rPr>
          <w:rFonts w:hint="eastAsia"/>
        </w:rPr>
        <w:t>年版）》</w:t>
      </w:r>
      <w:r>
        <w:t xml:space="preserve">(2021 </w:t>
      </w:r>
      <w:r>
        <w:rPr>
          <w:rFonts w:hint="eastAsia"/>
        </w:rPr>
        <w:t xml:space="preserve">年 </w:t>
      </w:r>
      <w:r>
        <w:t xml:space="preserve">1 </w:t>
      </w:r>
      <w:r>
        <w:rPr>
          <w:rFonts w:hint="eastAsia"/>
        </w:rPr>
        <w:t xml:space="preserve">月 </w:t>
      </w:r>
      <w:r>
        <w:t>1</w:t>
      </w:r>
      <w:r>
        <w:rPr>
          <w:rFonts w:hint="eastAsia"/>
        </w:rPr>
        <w:t xml:space="preserve">日实 施）； </w:t>
      </w:r>
    </w:p>
    <w:p>
      <w:pPr>
        <w:pStyle w:val="49"/>
        <w:ind w:firstLine="480"/>
      </w:pPr>
      <w:r>
        <w:rPr>
          <w:rFonts w:hint="eastAsia"/>
        </w:rPr>
        <w:t>（16）《产业结构调整指导目录》（</w:t>
      </w:r>
      <w:r>
        <w:t xml:space="preserve">2024 </w:t>
      </w:r>
      <w:r>
        <w:rPr>
          <w:rFonts w:hint="eastAsia"/>
        </w:rPr>
        <w:t xml:space="preserve">年本）； </w:t>
      </w:r>
    </w:p>
    <w:p>
      <w:pPr>
        <w:pStyle w:val="49"/>
        <w:ind w:firstLine="480"/>
      </w:pPr>
      <w:r>
        <w:rPr>
          <w:rFonts w:hint="eastAsia"/>
        </w:rPr>
        <w:t>（17）《环境影响评价公众参与办法》（</w:t>
      </w:r>
      <w:r>
        <w:t>201</w:t>
      </w:r>
      <w:r>
        <w:rPr>
          <w:rFonts w:hint="eastAsia"/>
        </w:rPr>
        <w:t>9</w:t>
      </w:r>
      <w:r>
        <w:t xml:space="preserve"> </w:t>
      </w:r>
      <w:r>
        <w:rPr>
          <w:rFonts w:hint="eastAsia"/>
        </w:rPr>
        <w:t>年1</w:t>
      </w:r>
      <w:r>
        <w:t xml:space="preserve"> </w:t>
      </w:r>
      <w:r>
        <w:rPr>
          <w:rFonts w:hint="eastAsia"/>
        </w:rPr>
        <w:t xml:space="preserve">月 </w:t>
      </w:r>
      <w:r>
        <w:t xml:space="preserve">1 </w:t>
      </w:r>
      <w:r>
        <w:rPr>
          <w:rFonts w:hint="eastAsia"/>
        </w:rPr>
        <w:t xml:space="preserve">日）； </w:t>
      </w:r>
    </w:p>
    <w:p>
      <w:pPr>
        <w:pStyle w:val="49"/>
        <w:ind w:firstLine="480"/>
      </w:pPr>
      <w:r>
        <w:rPr>
          <w:rFonts w:hint="eastAsia"/>
        </w:rPr>
        <w:t>（18）《建设项目环境影响评价信息公开机制方案》（环发</w:t>
      </w:r>
      <w:r>
        <w:t xml:space="preserve">[2015]162 </w:t>
      </w:r>
      <w:r>
        <w:rPr>
          <w:rFonts w:hint="eastAsia"/>
        </w:rPr>
        <w:t xml:space="preserve">号）； </w:t>
      </w:r>
    </w:p>
    <w:p>
      <w:pPr>
        <w:pStyle w:val="49"/>
        <w:ind w:firstLine="480"/>
      </w:pPr>
      <w:r>
        <w:rPr>
          <w:rFonts w:hint="eastAsia"/>
        </w:rPr>
        <w:t>（19）《畜禽养殖业污染防治技术政策》（环发</w:t>
      </w:r>
      <w:r>
        <w:t xml:space="preserve">[2010]151 </w:t>
      </w:r>
      <w:r>
        <w:rPr>
          <w:rFonts w:hint="eastAsia"/>
        </w:rPr>
        <w:t xml:space="preserve">号）； </w:t>
      </w:r>
    </w:p>
    <w:p>
      <w:pPr>
        <w:pStyle w:val="49"/>
        <w:ind w:firstLine="480"/>
      </w:pPr>
      <w:r>
        <w:rPr>
          <w:rFonts w:hint="eastAsia"/>
        </w:rPr>
        <w:t>（20）《国务院办公厅转发环保总局等部门关于加强农村环境保护工作意见的通知》 （国办发</w:t>
      </w:r>
      <w:r>
        <w:t xml:space="preserve">[2007]63 </w:t>
      </w:r>
      <w:r>
        <w:rPr>
          <w:rFonts w:hint="eastAsia"/>
        </w:rPr>
        <w:t xml:space="preserve">号）； </w:t>
      </w:r>
    </w:p>
    <w:p>
      <w:pPr>
        <w:pStyle w:val="49"/>
        <w:ind w:firstLine="480"/>
      </w:pPr>
      <w:r>
        <w:rPr>
          <w:rFonts w:hint="eastAsia"/>
        </w:rPr>
        <w:t>（21）《畜禽粪污土地承载力测算技术指南》（农办牧（</w:t>
      </w:r>
      <w:r>
        <w:t>2018</w:t>
      </w:r>
      <w:r>
        <w:rPr>
          <w:rFonts w:hint="eastAsia"/>
        </w:rPr>
        <w:t xml:space="preserve">） </w:t>
      </w:r>
      <w:r>
        <w:t xml:space="preserve">1 </w:t>
      </w:r>
      <w:r>
        <w:rPr>
          <w:rFonts w:hint="eastAsia"/>
        </w:rPr>
        <w:t xml:space="preserve">号）； </w:t>
      </w:r>
    </w:p>
    <w:p>
      <w:pPr>
        <w:pStyle w:val="49"/>
        <w:ind w:firstLine="480"/>
      </w:pPr>
      <w:r>
        <w:rPr>
          <w:rFonts w:hint="eastAsia"/>
        </w:rPr>
        <w:t>（22）《关于进一步加快推进畜禽养殖污染防治规划的通知》（环办土壤函〔</w:t>
      </w:r>
      <w:r>
        <w:t>2022</w:t>
      </w:r>
      <w:r>
        <w:rPr>
          <w:rFonts w:hint="eastAsia"/>
        </w:rPr>
        <w:t>〕</w:t>
      </w:r>
      <w:r>
        <w:t xml:space="preserve">82 </w:t>
      </w:r>
      <w:r>
        <w:rPr>
          <w:rFonts w:hint="eastAsia"/>
        </w:rPr>
        <w:t xml:space="preserve">号） </w:t>
      </w:r>
    </w:p>
    <w:p>
      <w:pPr>
        <w:pStyle w:val="49"/>
        <w:ind w:firstLine="480"/>
      </w:pPr>
      <w:r>
        <w:rPr>
          <w:rFonts w:hint="eastAsia"/>
        </w:rPr>
        <w:t>（23）《农业部关于加快推进畜禽标准化规模养殖的意见》（农牧发〔</w:t>
      </w:r>
      <w:r>
        <w:t>2010</w:t>
      </w:r>
      <w:r>
        <w:rPr>
          <w:rFonts w:hint="eastAsia"/>
        </w:rPr>
        <w:t>〕</w:t>
      </w:r>
      <w:r>
        <w:t xml:space="preserve">6 </w:t>
      </w:r>
      <w:r>
        <w:rPr>
          <w:rFonts w:hint="eastAsia"/>
        </w:rPr>
        <w:t xml:space="preserve">号）； </w:t>
      </w:r>
    </w:p>
    <w:p>
      <w:pPr>
        <w:pStyle w:val="49"/>
        <w:ind w:firstLine="480"/>
      </w:pPr>
      <w:r>
        <w:rPr>
          <w:rFonts w:hint="eastAsia"/>
        </w:rPr>
        <w:t>（24）《畜禽粪污资源化利用行动方案（</w:t>
      </w:r>
      <w:r>
        <w:t>2017</w:t>
      </w:r>
      <w:r>
        <w:rPr>
          <w:rFonts w:hint="eastAsia"/>
        </w:rPr>
        <w:t>—</w:t>
      </w:r>
      <w:r>
        <w:t xml:space="preserve">2020 </w:t>
      </w:r>
      <w:r>
        <w:rPr>
          <w:rFonts w:hint="eastAsia"/>
        </w:rPr>
        <w:t>年）》（农牧发〔</w:t>
      </w:r>
      <w:r>
        <w:t>2017</w:t>
      </w:r>
      <w:r>
        <w:rPr>
          <w:rFonts w:hint="eastAsia"/>
        </w:rPr>
        <w:t>〕</w:t>
      </w:r>
      <w:r>
        <w:t xml:space="preserve">11 </w:t>
      </w:r>
      <w:r>
        <w:rPr>
          <w:rFonts w:hint="eastAsia"/>
        </w:rPr>
        <w:t xml:space="preserve">号）； </w:t>
      </w:r>
    </w:p>
    <w:p>
      <w:pPr>
        <w:pStyle w:val="49"/>
        <w:ind w:firstLine="480"/>
      </w:pPr>
      <w:r>
        <w:rPr>
          <w:rFonts w:hint="eastAsia"/>
        </w:rPr>
        <w:t>（25）《病死及死因不明动物处置办法（试行）》（农医发〔</w:t>
      </w:r>
      <w:r>
        <w:t>2005</w:t>
      </w:r>
      <w:r>
        <w:rPr>
          <w:rFonts w:hint="eastAsia"/>
        </w:rPr>
        <w:t>〕</w:t>
      </w:r>
      <w:r>
        <w:t xml:space="preserve">25 </w:t>
      </w:r>
      <w:r>
        <w:rPr>
          <w:rFonts w:hint="eastAsia"/>
        </w:rPr>
        <w:t xml:space="preserve">号）； </w:t>
      </w:r>
    </w:p>
    <w:p>
      <w:pPr>
        <w:pStyle w:val="49"/>
        <w:ind w:firstLine="480"/>
      </w:pPr>
      <w:r>
        <w:rPr>
          <w:rFonts w:hint="eastAsia"/>
        </w:rPr>
        <w:t>（26）《病死及病害动物无害化处理技术规范》（农医发〔</w:t>
      </w:r>
      <w:r>
        <w:t>2017</w:t>
      </w:r>
      <w:r>
        <w:rPr>
          <w:rFonts w:hint="eastAsia"/>
        </w:rPr>
        <w:t>〕</w:t>
      </w:r>
      <w:r>
        <w:t xml:space="preserve">25 </w:t>
      </w:r>
      <w:r>
        <w:rPr>
          <w:rFonts w:hint="eastAsia"/>
        </w:rPr>
        <w:t xml:space="preserve">号）； </w:t>
      </w:r>
    </w:p>
    <w:p>
      <w:pPr>
        <w:pStyle w:val="49"/>
        <w:ind w:firstLine="480"/>
      </w:pPr>
      <w:r>
        <w:rPr>
          <w:rFonts w:hint="eastAsia"/>
        </w:rPr>
        <w:t>（27）《关于病害动物无害化处理有关意见的复函》（环办函〔</w:t>
      </w:r>
      <w:r>
        <w:t>2014</w:t>
      </w:r>
      <w:r>
        <w:rPr>
          <w:rFonts w:hint="eastAsia"/>
        </w:rPr>
        <w:t>〕</w:t>
      </w:r>
      <w:r>
        <w:t xml:space="preserve">789 </w:t>
      </w:r>
      <w:r>
        <w:rPr>
          <w:rFonts w:hint="eastAsia"/>
        </w:rPr>
        <w:t xml:space="preserve">号）； </w:t>
      </w:r>
    </w:p>
    <w:p>
      <w:pPr>
        <w:pStyle w:val="49"/>
        <w:ind w:firstLine="480"/>
      </w:pPr>
      <w:r>
        <w:rPr>
          <w:rFonts w:hint="eastAsia"/>
        </w:rPr>
        <w:t xml:space="preserve">（28）《畜禽规模养殖污染防治条例》（国务院令第 </w:t>
      </w:r>
      <w:r>
        <w:t xml:space="preserve">643 </w:t>
      </w:r>
      <w:r>
        <w:rPr>
          <w:rFonts w:hint="eastAsia"/>
        </w:rPr>
        <w:t xml:space="preserve">号） </w:t>
      </w:r>
    </w:p>
    <w:p>
      <w:pPr>
        <w:pStyle w:val="49"/>
        <w:ind w:firstLine="480"/>
      </w:pPr>
      <w:r>
        <w:rPr>
          <w:rFonts w:hint="eastAsia"/>
        </w:rPr>
        <w:t>（30）《国务院办公厅关于加快推进畜禽养殖废弃物资源化利用的意见》（国办发〔</w:t>
      </w:r>
      <w:r>
        <w:t>2017</w:t>
      </w:r>
      <w:r>
        <w:rPr>
          <w:rFonts w:hint="eastAsia"/>
        </w:rPr>
        <w:t>〕</w:t>
      </w:r>
      <w:r>
        <w:t xml:space="preserve">48 </w:t>
      </w:r>
      <w:r>
        <w:rPr>
          <w:rFonts w:hint="eastAsia"/>
        </w:rPr>
        <w:t xml:space="preserve">号）； </w:t>
      </w:r>
    </w:p>
    <w:p>
      <w:pPr>
        <w:pStyle w:val="49"/>
        <w:ind w:firstLine="480"/>
      </w:pPr>
      <w:r>
        <w:rPr>
          <w:rFonts w:hint="eastAsia"/>
        </w:rPr>
        <w:t>（29）《农业农村部办公厅、生态环境部办公厅关于促进畜禽粪污还田利用依法加强养殖污染治理的指导意见》（农办牧</w:t>
      </w:r>
      <w:r>
        <w:t xml:space="preserve">[2019]84 </w:t>
      </w:r>
      <w:r>
        <w:rPr>
          <w:rFonts w:hint="eastAsia"/>
        </w:rPr>
        <w:t xml:space="preserve">号）； </w:t>
      </w:r>
    </w:p>
    <w:p>
      <w:pPr>
        <w:pStyle w:val="49"/>
        <w:ind w:firstLine="480"/>
      </w:pPr>
      <w:r>
        <w:rPr>
          <w:rFonts w:hint="eastAsia"/>
        </w:rPr>
        <w:t>（30）《畜禽养殖场（户）粪污处理设施建设技术指南》（农牧办〔</w:t>
      </w:r>
      <w:r>
        <w:t>2022</w:t>
      </w:r>
      <w:r>
        <w:rPr>
          <w:rFonts w:hint="eastAsia"/>
        </w:rPr>
        <w:t>〕</w:t>
      </w:r>
      <w:r>
        <w:t>19</w:t>
      </w:r>
      <w:r>
        <w:rPr>
          <w:rFonts w:hint="eastAsia"/>
        </w:rPr>
        <w:t xml:space="preserve">号）； </w:t>
      </w:r>
    </w:p>
    <w:p>
      <w:pPr>
        <w:pStyle w:val="49"/>
        <w:ind w:firstLine="480"/>
      </w:pPr>
      <w:r>
        <w:rPr>
          <w:rFonts w:hint="eastAsia"/>
        </w:rPr>
        <w:t xml:space="preserve">（31）《病死畜禽和病害畜禽产品无害化处理管理办法》（农业农村部令 </w:t>
      </w:r>
      <w:r>
        <w:t xml:space="preserve">2022 </w:t>
      </w:r>
      <w:r>
        <w:rPr>
          <w:rFonts w:hint="eastAsia"/>
        </w:rPr>
        <w:t xml:space="preserve">年第 </w:t>
      </w:r>
      <w:r>
        <w:t xml:space="preserve">3 </w:t>
      </w:r>
      <w:r>
        <w:rPr>
          <w:rFonts w:hint="eastAsia"/>
        </w:rPr>
        <w:t xml:space="preserve">号）； </w:t>
      </w:r>
    </w:p>
    <w:p>
      <w:pPr>
        <w:pStyle w:val="49"/>
        <w:ind w:firstLine="480"/>
      </w:pPr>
      <w:r>
        <w:rPr>
          <w:rFonts w:hint="eastAsia"/>
        </w:rPr>
        <w:t>（32）《畜禽养殖场（户）粪污处理设施建设技术指南》（农办牧</w:t>
      </w:r>
      <w:r>
        <w:t xml:space="preserve">[2022]119 </w:t>
      </w:r>
      <w:r>
        <w:rPr>
          <w:rFonts w:hint="eastAsia"/>
        </w:rPr>
        <w:t xml:space="preserve">号）； </w:t>
      </w:r>
    </w:p>
    <w:p>
      <w:pPr>
        <w:pStyle w:val="49"/>
        <w:ind w:firstLine="480"/>
      </w:pPr>
      <w:r>
        <w:rPr>
          <w:rFonts w:hint="eastAsia"/>
        </w:rPr>
        <w:t>（33）《农业农村部办公厅生态环境部办公厅关于加强畜禽粪污资源化利用计 划和台账管理的通知（农办牧</w:t>
      </w:r>
      <w:r>
        <w:t xml:space="preserve">[2021]46 </w:t>
      </w:r>
      <w:r>
        <w:rPr>
          <w:rFonts w:hint="eastAsia"/>
        </w:rPr>
        <w:t xml:space="preserve">号）； </w:t>
      </w:r>
    </w:p>
    <w:p>
      <w:pPr>
        <w:pStyle w:val="49"/>
        <w:ind w:firstLine="480"/>
      </w:pPr>
      <w:r>
        <w:rPr>
          <w:rFonts w:hint="eastAsia"/>
        </w:rPr>
        <w:t>（</w:t>
      </w:r>
      <w:r>
        <w:t>3</w:t>
      </w:r>
      <w:r>
        <w:rPr>
          <w:rFonts w:hint="eastAsia"/>
        </w:rPr>
        <w:t>4）农业农村部办公厅关于《做好畜禽粪污资源化利用跟踪监测工作》的通知（农办牧</w:t>
      </w:r>
      <w:r>
        <w:t xml:space="preserve">[2018]28 </w:t>
      </w:r>
      <w:r>
        <w:rPr>
          <w:rFonts w:hint="eastAsia"/>
        </w:rPr>
        <w:t xml:space="preserve">号）； </w:t>
      </w:r>
    </w:p>
    <w:p>
      <w:pPr>
        <w:pStyle w:val="49"/>
        <w:ind w:firstLine="480"/>
      </w:pPr>
      <w:r>
        <w:rPr>
          <w:rFonts w:hint="eastAsia"/>
        </w:rPr>
        <w:t>（35）《国务院办公厅关于建立病死畜禽无害化处理机制的意见》（国办发〔</w:t>
      </w:r>
      <w:r>
        <w:t>2014</w:t>
      </w:r>
      <w:r>
        <w:rPr>
          <w:rFonts w:hint="eastAsia"/>
        </w:rPr>
        <w:t>〕</w:t>
      </w:r>
      <w:r>
        <w:t xml:space="preserve">47 </w:t>
      </w:r>
      <w:r>
        <w:rPr>
          <w:rFonts w:hint="eastAsia"/>
        </w:rPr>
        <w:t xml:space="preserve">号）； </w:t>
      </w:r>
    </w:p>
    <w:p>
      <w:pPr>
        <w:pStyle w:val="49"/>
        <w:ind w:firstLine="480"/>
      </w:pPr>
      <w:r>
        <w:rPr>
          <w:rFonts w:hint="eastAsia"/>
        </w:rPr>
        <w:t>（38）《农业面源污染治理与监督指导实施方案（试行）》（环办土壤〔</w:t>
      </w:r>
      <w:r>
        <w:t>2021</w:t>
      </w:r>
      <w:r>
        <w:rPr>
          <w:rFonts w:hint="eastAsia"/>
        </w:rPr>
        <w:t>〕</w:t>
      </w:r>
      <w:r>
        <w:t xml:space="preserve">8 </w:t>
      </w:r>
      <w:r>
        <w:rPr>
          <w:rFonts w:hint="eastAsia"/>
        </w:rPr>
        <w:t>号）；</w:t>
      </w:r>
    </w:p>
    <w:p>
      <w:pPr>
        <w:pStyle w:val="49"/>
        <w:ind w:firstLine="480"/>
      </w:pPr>
      <w:r>
        <w:rPr>
          <w:rFonts w:hint="eastAsia"/>
        </w:rPr>
        <w:t>（39）《动物防疫条件审查办法》（中华人民共和国农业农村部令，2022年第8号）。</w:t>
      </w:r>
    </w:p>
    <w:p>
      <w:pPr>
        <w:pStyle w:val="4"/>
      </w:pPr>
      <w:bookmarkStart w:id="61" w:name="_Toc194312315"/>
      <w:bookmarkStart w:id="62" w:name="_Toc194481119"/>
      <w:r>
        <w:rPr>
          <w:rFonts w:hint="eastAsia"/>
        </w:rPr>
        <w:t>2</w:t>
      </w:r>
      <w:r>
        <w:t>.</w:t>
      </w:r>
      <w:r>
        <w:rPr>
          <w:rFonts w:hint="eastAsia"/>
        </w:rPr>
        <w:t>1</w:t>
      </w:r>
      <w:r>
        <w:t>.</w:t>
      </w:r>
      <w:r>
        <w:rPr>
          <w:rFonts w:hint="eastAsia"/>
        </w:rPr>
        <w:t>2</w:t>
      </w:r>
      <w:r>
        <w:t xml:space="preserve"> </w:t>
      </w:r>
      <w:r>
        <w:rPr>
          <w:rFonts w:hint="eastAsia"/>
        </w:rPr>
        <w:t>地方法规、政策</w:t>
      </w:r>
      <w:bookmarkEnd w:id="61"/>
      <w:bookmarkEnd w:id="62"/>
    </w:p>
    <w:p>
      <w:pPr>
        <w:pStyle w:val="49"/>
        <w:ind w:firstLine="480"/>
      </w:pPr>
      <w:r>
        <w:rPr>
          <w:rFonts w:hint="eastAsia"/>
        </w:rPr>
        <w:t>（</w:t>
      </w:r>
      <w:r>
        <w:t>1</w:t>
      </w:r>
      <w:r>
        <w:rPr>
          <w:rFonts w:hint="eastAsia"/>
        </w:rPr>
        <w:t>）《湖南省环境保护条例》</w:t>
      </w:r>
      <w:r>
        <w:t>(20</w:t>
      </w:r>
      <w:r>
        <w:rPr>
          <w:rFonts w:hint="eastAsia"/>
        </w:rPr>
        <w:t>24</w:t>
      </w:r>
      <w:r>
        <w:t xml:space="preserve"> </w:t>
      </w:r>
      <w:r>
        <w:rPr>
          <w:rFonts w:hint="eastAsia"/>
        </w:rPr>
        <w:t xml:space="preserve">年 11月 29日修正）； </w:t>
      </w:r>
    </w:p>
    <w:p>
      <w:pPr>
        <w:pStyle w:val="49"/>
        <w:ind w:firstLine="480"/>
      </w:pPr>
      <w:r>
        <w:rPr>
          <w:rFonts w:hint="eastAsia"/>
        </w:rPr>
        <w:t>（</w:t>
      </w:r>
      <w:r>
        <w:t>2</w:t>
      </w:r>
      <w:r>
        <w:rPr>
          <w:rFonts w:hint="eastAsia"/>
        </w:rPr>
        <w:t>）《湖南省建设项目环境保护管理办法》</w:t>
      </w:r>
      <w:r>
        <w:t xml:space="preserve">(2007 </w:t>
      </w:r>
      <w:r>
        <w:rPr>
          <w:rFonts w:hint="eastAsia"/>
        </w:rPr>
        <w:t xml:space="preserve">年 </w:t>
      </w:r>
      <w:r>
        <w:t xml:space="preserve">6 </w:t>
      </w:r>
      <w:r>
        <w:rPr>
          <w:rFonts w:hint="eastAsia"/>
        </w:rPr>
        <w:t xml:space="preserve">月 </w:t>
      </w:r>
      <w:r>
        <w:t xml:space="preserve">29 </w:t>
      </w:r>
      <w:r>
        <w:rPr>
          <w:rFonts w:hint="eastAsia"/>
        </w:rPr>
        <w:t xml:space="preserve">日）； </w:t>
      </w:r>
    </w:p>
    <w:p>
      <w:pPr>
        <w:pStyle w:val="49"/>
        <w:ind w:firstLine="480"/>
      </w:pPr>
      <w:r>
        <w:rPr>
          <w:rFonts w:hint="eastAsia"/>
        </w:rPr>
        <w:t>（</w:t>
      </w:r>
      <w:r>
        <w:t>3</w:t>
      </w:r>
      <w:r>
        <w:rPr>
          <w:rFonts w:hint="eastAsia"/>
        </w:rPr>
        <w:t>）《湖南省环境保护</w:t>
      </w:r>
      <w:r>
        <w:rPr>
          <w:rFonts w:ascii="宋体" w:hAnsi="宋体"/>
        </w:rPr>
        <w:t>“</w:t>
      </w:r>
      <w:r>
        <w:rPr>
          <w:rFonts w:hint="eastAsia"/>
        </w:rPr>
        <w:t>十四五</w:t>
      </w:r>
      <w:r>
        <w:rPr>
          <w:rFonts w:ascii="宋体" w:hAnsi="宋体"/>
        </w:rPr>
        <w:t>”</w:t>
      </w:r>
      <w:r>
        <w:rPr>
          <w:rFonts w:hint="eastAsia"/>
        </w:rPr>
        <w:t xml:space="preserve">规划》； </w:t>
      </w:r>
    </w:p>
    <w:p>
      <w:pPr>
        <w:pStyle w:val="49"/>
        <w:ind w:firstLine="480"/>
      </w:pPr>
      <w:r>
        <w:rPr>
          <w:rFonts w:hint="eastAsia"/>
        </w:rPr>
        <w:t>（</w:t>
      </w:r>
      <w:r>
        <w:t>4</w:t>
      </w:r>
      <w:r>
        <w:rPr>
          <w:rFonts w:hint="eastAsia"/>
        </w:rPr>
        <w:t>）《湖南省主体功能区规划》</w:t>
      </w:r>
      <w:r>
        <w:t>(2016)</w:t>
      </w:r>
      <w:r>
        <w:rPr>
          <w:rFonts w:hint="eastAsia"/>
        </w:rPr>
        <w:t xml:space="preserve">； </w:t>
      </w:r>
    </w:p>
    <w:p>
      <w:pPr>
        <w:pStyle w:val="49"/>
        <w:ind w:firstLine="480"/>
      </w:pPr>
      <w:r>
        <w:rPr>
          <w:rFonts w:hint="eastAsia"/>
        </w:rPr>
        <w:t>（</w:t>
      </w:r>
      <w:r>
        <w:t>5</w:t>
      </w:r>
      <w:r>
        <w:rPr>
          <w:rFonts w:hint="eastAsia"/>
        </w:rPr>
        <w:t>）《湖南省主要水系地表水环境功能区规划》</w:t>
      </w:r>
      <w:r>
        <w:t>(DB43/023-2005)</w:t>
      </w:r>
      <w:r>
        <w:rPr>
          <w:rFonts w:hint="eastAsia"/>
        </w:rPr>
        <w:t>；《湖南省畜禽规模养殖污染防治规定》，湘政办发〔</w:t>
      </w:r>
      <w:r>
        <w:t>2022</w:t>
      </w:r>
      <w:r>
        <w:rPr>
          <w:rFonts w:hint="eastAsia"/>
        </w:rPr>
        <w:t>〕</w:t>
      </w:r>
      <w:r>
        <w:t xml:space="preserve">46 </w:t>
      </w:r>
      <w:r>
        <w:rPr>
          <w:rFonts w:hint="eastAsia"/>
        </w:rPr>
        <w:t xml:space="preserve">号； </w:t>
      </w:r>
    </w:p>
    <w:p>
      <w:pPr>
        <w:pStyle w:val="49"/>
        <w:ind w:firstLine="480"/>
      </w:pPr>
      <w:r>
        <w:rPr>
          <w:rFonts w:hint="eastAsia"/>
        </w:rPr>
        <w:t>（</w:t>
      </w:r>
      <w:r>
        <w:t>6</w:t>
      </w:r>
      <w:r>
        <w:rPr>
          <w:rFonts w:hint="eastAsia"/>
        </w:rPr>
        <w:t xml:space="preserve">）湖南省人民政府关于印发《湖南省土壤污染防治工作方案》的通知， </w:t>
      </w:r>
    </w:p>
    <w:p>
      <w:pPr>
        <w:pStyle w:val="49"/>
        <w:ind w:firstLine="0" w:firstLineChars="0"/>
      </w:pPr>
      <w:r>
        <w:rPr>
          <w:rFonts w:hint="eastAsia"/>
        </w:rPr>
        <w:t>湘政发〔</w:t>
      </w:r>
      <w:r>
        <w:t>2017</w:t>
      </w:r>
      <w:r>
        <w:rPr>
          <w:rFonts w:hint="eastAsia"/>
        </w:rPr>
        <w:t>〕</w:t>
      </w:r>
      <w:r>
        <w:t xml:space="preserve">4 </w:t>
      </w:r>
      <w:r>
        <w:rPr>
          <w:rFonts w:hint="eastAsia"/>
        </w:rPr>
        <w:t xml:space="preserve">号； </w:t>
      </w:r>
    </w:p>
    <w:p>
      <w:pPr>
        <w:pStyle w:val="49"/>
        <w:ind w:firstLine="480"/>
      </w:pPr>
      <w:r>
        <w:rPr>
          <w:rFonts w:hint="eastAsia"/>
        </w:rPr>
        <w:t>（7）《湖南省人民政府办公厅关于加快转型升级推进现代畜牧业发展的意 见》（湘政发〔</w:t>
      </w:r>
      <w:r>
        <w:t>2016</w:t>
      </w:r>
      <w:r>
        <w:rPr>
          <w:rFonts w:hint="eastAsia"/>
        </w:rPr>
        <w:t>〕</w:t>
      </w:r>
      <w:r>
        <w:t xml:space="preserve">27 </w:t>
      </w:r>
      <w:r>
        <w:rPr>
          <w:rFonts w:hint="eastAsia"/>
        </w:rPr>
        <w:t xml:space="preserve">号）； </w:t>
      </w:r>
    </w:p>
    <w:p>
      <w:pPr>
        <w:pStyle w:val="49"/>
        <w:ind w:firstLine="480"/>
      </w:pPr>
      <w:r>
        <w:rPr>
          <w:rFonts w:hint="eastAsia"/>
        </w:rPr>
        <w:t>（8）《湖南省畜禽规模养殖污染防治规定》（湘政办发〔</w:t>
      </w:r>
      <w:r>
        <w:t>2022</w:t>
      </w:r>
      <w:r>
        <w:rPr>
          <w:rFonts w:hint="eastAsia"/>
        </w:rPr>
        <w:t>〕</w:t>
      </w:r>
      <w:r>
        <w:t xml:space="preserve">46 </w:t>
      </w:r>
      <w:r>
        <w:rPr>
          <w:rFonts w:hint="eastAsia"/>
        </w:rPr>
        <w:t xml:space="preserve">号）； </w:t>
      </w:r>
    </w:p>
    <w:p>
      <w:pPr>
        <w:pStyle w:val="49"/>
        <w:ind w:firstLine="480"/>
      </w:pPr>
      <w:r>
        <w:rPr>
          <w:rFonts w:hint="eastAsia"/>
        </w:rPr>
        <w:t>（9）《湖南省人民政府办公厅关于加快推进畜禽养殖废弃物资源化利用 的实施意见》（湘政办发〔</w:t>
      </w:r>
      <w:r>
        <w:t>2017</w:t>
      </w:r>
      <w:r>
        <w:rPr>
          <w:rFonts w:hint="eastAsia"/>
        </w:rPr>
        <w:t>〕</w:t>
      </w:r>
      <w:r>
        <w:t xml:space="preserve">68 </w:t>
      </w:r>
      <w:r>
        <w:rPr>
          <w:rFonts w:hint="eastAsia"/>
        </w:rPr>
        <w:t xml:space="preserve">号）； </w:t>
      </w:r>
    </w:p>
    <w:p>
      <w:pPr>
        <w:pStyle w:val="49"/>
        <w:ind w:firstLine="480"/>
      </w:pPr>
      <w:r>
        <w:rPr>
          <w:rFonts w:hint="eastAsia"/>
        </w:rPr>
        <w:t>（</w:t>
      </w:r>
      <w:r>
        <w:t>1</w:t>
      </w:r>
      <w:r>
        <w:rPr>
          <w:rFonts w:hint="eastAsia"/>
        </w:rPr>
        <w:t>0）《湖南省畜禽养殖污染防治规划（</w:t>
      </w:r>
      <w:r>
        <w:t xml:space="preserve">2021 </w:t>
      </w:r>
      <w:r>
        <w:rPr>
          <w:rFonts w:hint="eastAsia"/>
        </w:rPr>
        <w:t>年—</w:t>
      </w:r>
      <w:r>
        <w:t xml:space="preserve">2025 </w:t>
      </w:r>
      <w:r>
        <w:rPr>
          <w:rFonts w:hint="eastAsia"/>
        </w:rPr>
        <w:t>年）》（湘环发〔</w:t>
      </w:r>
      <w:r>
        <w:t>2022</w:t>
      </w:r>
      <w:r>
        <w:rPr>
          <w:rFonts w:hint="eastAsia"/>
        </w:rPr>
        <w:t>〕</w:t>
      </w:r>
      <w:r>
        <w:t xml:space="preserve">21 </w:t>
      </w:r>
      <w:r>
        <w:rPr>
          <w:rFonts w:hint="eastAsia"/>
        </w:rPr>
        <w:t>号）；</w:t>
      </w:r>
    </w:p>
    <w:p>
      <w:pPr>
        <w:pStyle w:val="49"/>
        <w:ind w:firstLine="480"/>
      </w:pPr>
      <w:r>
        <w:rPr>
          <w:rFonts w:hint="eastAsia"/>
        </w:rPr>
        <w:t>（11）《永州市“十四五”生态环境保护规划》（永政办发</w:t>
      </w:r>
      <w:r>
        <w:rPr>
          <w:rFonts w:hint="eastAsia" w:ascii="宋体" w:hAnsi="宋体"/>
          <w:color w:val="000000"/>
          <w14:ligatures w14:val="none"/>
        </w:rPr>
        <w:t>〔</w:t>
      </w:r>
      <w:r>
        <w:rPr>
          <w:rFonts w:cs="Times New Roman"/>
          <w:color w:val="000000"/>
          <w14:ligatures w14:val="none"/>
        </w:rPr>
        <w:t>202</w:t>
      </w:r>
      <w:r>
        <w:rPr>
          <w:rFonts w:hint="eastAsia" w:cs="Times New Roman"/>
          <w:color w:val="000000"/>
          <w14:ligatures w14:val="none"/>
        </w:rPr>
        <w:t>1</w:t>
      </w:r>
      <w:r>
        <w:rPr>
          <w:rFonts w:hint="eastAsia" w:ascii="宋体" w:hAnsi="宋体"/>
          <w:color w:val="000000"/>
          <w14:ligatures w14:val="none"/>
        </w:rPr>
        <w:t>〕</w:t>
      </w:r>
      <w:r>
        <w:rPr>
          <w:rFonts w:hint="eastAsia" w:cs="Times New Roman"/>
          <w:color w:val="000000"/>
          <w14:ligatures w14:val="none"/>
        </w:rPr>
        <w:t>24</w:t>
      </w:r>
      <w:r>
        <w:rPr>
          <w:rFonts w:cs="Times New Roman"/>
          <w:color w:val="000000"/>
          <w14:ligatures w14:val="none"/>
        </w:rPr>
        <w:t xml:space="preserve"> </w:t>
      </w:r>
      <w:r>
        <w:rPr>
          <w:rFonts w:hint="eastAsia" w:ascii="宋体" w:hAnsi="宋体"/>
          <w:color w:val="000000"/>
          <w14:ligatures w14:val="none"/>
        </w:rPr>
        <w:t>号</w:t>
      </w:r>
      <w:r>
        <w:rPr>
          <w:rFonts w:hint="eastAsia"/>
        </w:rPr>
        <w:t>）。</w:t>
      </w:r>
    </w:p>
    <w:p>
      <w:pPr>
        <w:pStyle w:val="4"/>
      </w:pPr>
      <w:bookmarkStart w:id="63" w:name="_Toc194312316"/>
      <w:bookmarkStart w:id="64" w:name="_Toc194481120"/>
      <w:r>
        <w:t>2.</w:t>
      </w:r>
      <w:r>
        <w:rPr>
          <w:rFonts w:hint="eastAsia"/>
        </w:rPr>
        <w:t>1</w:t>
      </w:r>
      <w:r>
        <w:t>.</w:t>
      </w:r>
      <w:r>
        <w:rPr>
          <w:rFonts w:hint="eastAsia"/>
        </w:rPr>
        <w:t>3</w:t>
      </w:r>
      <w:r>
        <w:t xml:space="preserve"> 技术导则</w:t>
      </w:r>
      <w:bookmarkEnd w:id="63"/>
      <w:bookmarkEnd w:id="64"/>
    </w:p>
    <w:p>
      <w:pPr>
        <w:pStyle w:val="49"/>
        <w:ind w:firstLine="480"/>
        <w:rPr>
          <w:snapToGrid w:val="0"/>
        </w:rPr>
      </w:pPr>
      <w:r>
        <w:rPr>
          <w:snapToGrid w:val="0"/>
        </w:rPr>
        <w:t>（1）《建设项目环境影响评价技术导则—总纲》（HJ2.1-2016）；</w:t>
      </w:r>
    </w:p>
    <w:p>
      <w:pPr>
        <w:pStyle w:val="49"/>
        <w:ind w:firstLine="480"/>
        <w:rPr>
          <w:snapToGrid w:val="0"/>
        </w:rPr>
      </w:pPr>
      <w:r>
        <w:rPr>
          <w:snapToGrid w:val="0"/>
        </w:rPr>
        <w:t>（2）《环境影响评价技术导则—大气环境》（HJ2.2-2018）；</w:t>
      </w:r>
    </w:p>
    <w:p>
      <w:pPr>
        <w:pStyle w:val="49"/>
        <w:ind w:firstLine="480"/>
        <w:rPr>
          <w:snapToGrid w:val="0"/>
        </w:rPr>
      </w:pPr>
      <w:r>
        <w:rPr>
          <w:snapToGrid w:val="0"/>
        </w:rPr>
        <w:t>（3）《环境影响评价技术导则—地表水环境》（HJ2.3-2018）；</w:t>
      </w:r>
    </w:p>
    <w:p>
      <w:pPr>
        <w:pStyle w:val="49"/>
        <w:ind w:firstLine="480"/>
        <w:rPr>
          <w:snapToGrid w:val="0"/>
        </w:rPr>
      </w:pPr>
      <w:r>
        <w:rPr>
          <w:snapToGrid w:val="0"/>
        </w:rPr>
        <w:t>（4）《环境影响评价技术导则—地下水环境》（HJ610-2016）；</w:t>
      </w:r>
    </w:p>
    <w:p>
      <w:pPr>
        <w:pStyle w:val="49"/>
        <w:ind w:firstLine="480"/>
        <w:rPr>
          <w:snapToGrid w:val="0"/>
        </w:rPr>
      </w:pPr>
      <w:r>
        <w:rPr>
          <w:snapToGrid w:val="0"/>
        </w:rPr>
        <w:t>（5）《环境影响评价技术导则—声环境》（ HJ2.4-2021）；</w:t>
      </w:r>
    </w:p>
    <w:p>
      <w:pPr>
        <w:pStyle w:val="49"/>
        <w:ind w:firstLine="480"/>
        <w:rPr>
          <w:snapToGrid w:val="0"/>
        </w:rPr>
      </w:pPr>
      <w:r>
        <w:rPr>
          <w:snapToGrid w:val="0"/>
        </w:rPr>
        <w:t>（6）《环境影响评价技术导则—生态影响》（HJ19-2022）；</w:t>
      </w:r>
    </w:p>
    <w:p>
      <w:pPr>
        <w:pStyle w:val="49"/>
        <w:ind w:firstLine="480"/>
        <w:rPr>
          <w:snapToGrid w:val="0"/>
        </w:rPr>
      </w:pPr>
      <w:r>
        <w:rPr>
          <w:snapToGrid w:val="0"/>
        </w:rPr>
        <w:t>（7）《建设项目环境风险评价技术导则》（HJ169-2018）；</w:t>
      </w:r>
    </w:p>
    <w:p>
      <w:pPr>
        <w:pStyle w:val="49"/>
        <w:ind w:firstLine="480"/>
        <w:rPr>
          <w:snapToGrid w:val="0"/>
        </w:rPr>
      </w:pPr>
      <w:r>
        <w:rPr>
          <w:snapToGrid w:val="0"/>
        </w:rPr>
        <w:t>（</w:t>
      </w:r>
      <w:r>
        <w:rPr>
          <w:rFonts w:hint="eastAsia"/>
          <w:snapToGrid w:val="0"/>
        </w:rPr>
        <w:t>8</w:t>
      </w:r>
      <w:r>
        <w:rPr>
          <w:snapToGrid w:val="0"/>
        </w:rPr>
        <w:t>）《</w:t>
      </w:r>
      <w:r>
        <w:rPr>
          <w:rFonts w:hint="eastAsia"/>
          <w:snapToGrid w:val="0"/>
        </w:rPr>
        <w:t>环境影响评价技术导则 土壤环境（试行）</w:t>
      </w:r>
      <w:r>
        <w:rPr>
          <w:snapToGrid w:val="0"/>
        </w:rPr>
        <w:t>》（</w:t>
      </w:r>
      <w:r>
        <w:rPr>
          <w:rFonts w:hint="eastAsia"/>
          <w:snapToGrid w:val="0"/>
        </w:rPr>
        <w:t>HJ964-2018</w:t>
      </w:r>
      <w:r>
        <w:rPr>
          <w:snapToGrid w:val="0"/>
        </w:rPr>
        <w:t>）；</w:t>
      </w:r>
    </w:p>
    <w:p>
      <w:pPr>
        <w:pStyle w:val="49"/>
        <w:ind w:firstLine="480"/>
        <w:rPr>
          <w:snapToGrid w:val="0"/>
        </w:rPr>
      </w:pPr>
      <w:r>
        <w:rPr>
          <w:rFonts w:hint="eastAsia"/>
          <w:snapToGrid w:val="0"/>
        </w:rPr>
        <w:t>（9）《企业突发环境事件风险分级方法》（</w:t>
      </w:r>
      <w:r>
        <w:rPr>
          <w:snapToGrid w:val="0"/>
        </w:rPr>
        <w:t>HJ 941-2018</w:t>
      </w:r>
      <w:r>
        <w:rPr>
          <w:rFonts w:hint="eastAsia"/>
          <w:snapToGrid w:val="0"/>
        </w:rPr>
        <w:t>）；</w:t>
      </w:r>
    </w:p>
    <w:p>
      <w:pPr>
        <w:pStyle w:val="49"/>
        <w:ind w:firstLine="480"/>
        <w:rPr>
          <w:snapToGrid w:val="0"/>
        </w:rPr>
      </w:pPr>
      <w:r>
        <w:rPr>
          <w:rFonts w:hint="eastAsia"/>
          <w:snapToGrid w:val="0"/>
        </w:rPr>
        <w:t>（10）《畜禽养殖业污染防治技术规范》</w:t>
      </w:r>
      <w:r>
        <w:rPr>
          <w:snapToGrid w:val="0"/>
        </w:rPr>
        <w:t>(HJ/T 81-2001)</w:t>
      </w:r>
      <w:r>
        <w:rPr>
          <w:rFonts w:hint="eastAsia"/>
          <w:snapToGrid w:val="0"/>
        </w:rPr>
        <w:t xml:space="preserve">； </w:t>
      </w:r>
    </w:p>
    <w:p>
      <w:pPr>
        <w:pStyle w:val="49"/>
        <w:ind w:firstLine="480"/>
        <w:rPr>
          <w:snapToGrid w:val="0"/>
        </w:rPr>
      </w:pPr>
      <w:r>
        <w:rPr>
          <w:rFonts w:hint="eastAsia"/>
          <w:snapToGrid w:val="0"/>
        </w:rPr>
        <w:t>（11）《畜禽养殖业污染治理工程技术规范》</w:t>
      </w:r>
      <w:r>
        <w:rPr>
          <w:snapToGrid w:val="0"/>
        </w:rPr>
        <w:t>(HJ 497-2009)</w:t>
      </w:r>
      <w:r>
        <w:rPr>
          <w:rFonts w:hint="eastAsia"/>
          <w:snapToGrid w:val="0"/>
        </w:rPr>
        <w:t xml:space="preserve">； </w:t>
      </w:r>
    </w:p>
    <w:p>
      <w:pPr>
        <w:pStyle w:val="49"/>
        <w:ind w:firstLine="480"/>
        <w:rPr>
          <w:snapToGrid w:val="0"/>
        </w:rPr>
      </w:pPr>
      <w:r>
        <w:rPr>
          <w:rFonts w:hint="eastAsia"/>
          <w:snapToGrid w:val="0"/>
        </w:rPr>
        <w:t>（12）《畜禽养殖产地环境评价规范》</w:t>
      </w:r>
      <w:r>
        <w:rPr>
          <w:snapToGrid w:val="0"/>
        </w:rPr>
        <w:t>(HJ568-2010)</w:t>
      </w:r>
      <w:r>
        <w:rPr>
          <w:rFonts w:hint="eastAsia"/>
          <w:snapToGrid w:val="0"/>
        </w:rPr>
        <w:t xml:space="preserve">； </w:t>
      </w:r>
    </w:p>
    <w:p>
      <w:pPr>
        <w:pStyle w:val="49"/>
        <w:ind w:firstLine="480"/>
        <w:rPr>
          <w:snapToGrid w:val="0"/>
        </w:rPr>
      </w:pPr>
      <w:r>
        <w:rPr>
          <w:rFonts w:hint="eastAsia"/>
          <w:snapToGrid w:val="0"/>
        </w:rPr>
        <w:t>（13）《畜禽粪便还田技术规范》</w:t>
      </w:r>
      <w:r>
        <w:rPr>
          <w:snapToGrid w:val="0"/>
        </w:rPr>
        <w:t>(GB/T25246-2012)</w:t>
      </w:r>
      <w:r>
        <w:rPr>
          <w:rFonts w:hint="eastAsia"/>
          <w:snapToGrid w:val="0"/>
        </w:rPr>
        <w:t xml:space="preserve">； </w:t>
      </w:r>
    </w:p>
    <w:p>
      <w:pPr>
        <w:pStyle w:val="49"/>
        <w:ind w:firstLine="480"/>
        <w:rPr>
          <w:snapToGrid w:val="0"/>
        </w:rPr>
      </w:pPr>
      <w:r>
        <w:rPr>
          <w:rFonts w:hint="eastAsia"/>
          <w:snapToGrid w:val="0"/>
        </w:rPr>
        <w:t>（14）《土壤环境质量－农用地土壤污染风险管控标准（试行）》 （</w:t>
      </w:r>
      <w:r>
        <w:rPr>
          <w:snapToGrid w:val="0"/>
        </w:rPr>
        <w:t>GB15618-2018</w:t>
      </w:r>
      <w:r>
        <w:rPr>
          <w:rFonts w:hint="eastAsia"/>
          <w:snapToGrid w:val="0"/>
        </w:rPr>
        <w:t xml:space="preserve">）； </w:t>
      </w:r>
    </w:p>
    <w:p>
      <w:pPr>
        <w:pStyle w:val="49"/>
        <w:ind w:firstLine="480"/>
        <w:rPr>
          <w:snapToGrid w:val="0"/>
        </w:rPr>
      </w:pPr>
      <w:r>
        <w:rPr>
          <w:rFonts w:hint="eastAsia"/>
          <w:snapToGrid w:val="0"/>
        </w:rPr>
        <w:t>（15）《畜禽粪便监测技术规范》</w:t>
      </w:r>
      <w:r>
        <w:rPr>
          <w:snapToGrid w:val="0"/>
        </w:rPr>
        <w:t>(GB/T25169-2010)</w:t>
      </w:r>
      <w:r>
        <w:rPr>
          <w:rFonts w:hint="eastAsia"/>
          <w:snapToGrid w:val="0"/>
        </w:rPr>
        <w:t xml:space="preserve">； </w:t>
      </w:r>
    </w:p>
    <w:p>
      <w:pPr>
        <w:pStyle w:val="49"/>
        <w:ind w:firstLine="480"/>
        <w:rPr>
          <w:snapToGrid w:val="0"/>
        </w:rPr>
      </w:pPr>
      <w:r>
        <w:rPr>
          <w:rFonts w:hint="eastAsia"/>
          <w:snapToGrid w:val="0"/>
        </w:rPr>
        <w:t>（16）《畜禽养殖污水贮存设施设计要求》</w:t>
      </w:r>
      <w:r>
        <w:rPr>
          <w:snapToGrid w:val="0"/>
        </w:rPr>
        <w:t>(GB/T26624-2011)</w:t>
      </w:r>
      <w:r>
        <w:rPr>
          <w:rFonts w:hint="eastAsia"/>
          <w:snapToGrid w:val="0"/>
        </w:rPr>
        <w:t xml:space="preserve">； </w:t>
      </w:r>
    </w:p>
    <w:p>
      <w:pPr>
        <w:pStyle w:val="49"/>
        <w:ind w:firstLine="480"/>
        <w:rPr>
          <w:snapToGrid w:val="0"/>
        </w:rPr>
      </w:pPr>
      <w:r>
        <w:rPr>
          <w:rFonts w:hint="eastAsia"/>
          <w:snapToGrid w:val="0"/>
        </w:rPr>
        <w:t>（17）《畜禽粪便无害化处理技术规范》</w:t>
      </w:r>
      <w:r>
        <w:rPr>
          <w:snapToGrid w:val="0"/>
        </w:rPr>
        <w:t>(GB/T36195-2018)</w:t>
      </w:r>
      <w:r>
        <w:rPr>
          <w:rFonts w:hint="eastAsia"/>
          <w:snapToGrid w:val="0"/>
        </w:rPr>
        <w:t xml:space="preserve">； </w:t>
      </w:r>
    </w:p>
    <w:p>
      <w:pPr>
        <w:pStyle w:val="49"/>
        <w:ind w:firstLine="480"/>
        <w:rPr>
          <w:snapToGrid w:val="0"/>
        </w:rPr>
      </w:pPr>
      <w:r>
        <w:rPr>
          <w:rFonts w:hint="eastAsia"/>
          <w:snapToGrid w:val="0"/>
        </w:rPr>
        <w:t>（18）《排污许可证申请与核发技术规范畜禽养殖行业》</w:t>
      </w:r>
      <w:r>
        <w:rPr>
          <w:snapToGrid w:val="0"/>
        </w:rPr>
        <w:t>(HJ1029-2019)</w:t>
      </w:r>
      <w:r>
        <w:rPr>
          <w:rFonts w:hint="eastAsia"/>
          <w:snapToGrid w:val="0"/>
        </w:rPr>
        <w:t>。</w:t>
      </w:r>
    </w:p>
    <w:p>
      <w:pPr>
        <w:pStyle w:val="4"/>
      </w:pPr>
      <w:bookmarkStart w:id="65" w:name="_Toc194481121"/>
      <w:r>
        <w:t>2.</w:t>
      </w:r>
      <w:r>
        <w:rPr>
          <w:rFonts w:hint="eastAsia"/>
        </w:rPr>
        <w:t>1</w:t>
      </w:r>
      <w:r>
        <w:t>.</w:t>
      </w:r>
      <w:r>
        <w:rPr>
          <w:rFonts w:hint="eastAsia"/>
        </w:rPr>
        <w:t>4</w:t>
      </w:r>
      <w:r>
        <w:t xml:space="preserve"> </w:t>
      </w:r>
      <w:r>
        <w:rPr>
          <w:rFonts w:hint="eastAsia"/>
        </w:rPr>
        <w:t>其他相关依据</w:t>
      </w:r>
      <w:bookmarkEnd w:id="65"/>
    </w:p>
    <w:p>
      <w:pPr>
        <w:pStyle w:val="49"/>
        <w:ind w:firstLine="480"/>
      </w:pPr>
      <w:r>
        <w:rPr>
          <w:rFonts w:hint="eastAsia"/>
        </w:rPr>
        <w:t>（1）环境影响评价委托书；</w:t>
      </w:r>
    </w:p>
    <w:p>
      <w:pPr>
        <w:pStyle w:val="49"/>
        <w:ind w:firstLine="480"/>
      </w:pPr>
      <w:r>
        <w:rPr>
          <w:rFonts w:hint="eastAsia"/>
        </w:rPr>
        <w:t>（2）建设单位提供的其他相关资料。</w:t>
      </w:r>
    </w:p>
    <w:p>
      <w:pPr>
        <w:pStyle w:val="3"/>
      </w:pPr>
      <w:bookmarkStart w:id="66" w:name="_Toc194481122"/>
      <w:r>
        <w:rPr>
          <w:rFonts w:hint="eastAsia"/>
        </w:rPr>
        <w:t>2</w:t>
      </w:r>
      <w:r>
        <w:t>.</w:t>
      </w:r>
      <w:r>
        <w:rPr>
          <w:rFonts w:hint="eastAsia"/>
        </w:rPr>
        <w:t>2</w:t>
      </w:r>
      <w:r>
        <w:t xml:space="preserve"> </w:t>
      </w:r>
      <w:r>
        <w:rPr>
          <w:rFonts w:hint="eastAsia"/>
        </w:rPr>
        <w:t>环境影响识别及评价因子筛选</w:t>
      </w:r>
      <w:bookmarkEnd w:id="66"/>
    </w:p>
    <w:p>
      <w:pPr>
        <w:pStyle w:val="4"/>
      </w:pPr>
      <w:bookmarkStart w:id="67" w:name="_Toc194481123"/>
      <w:r>
        <w:rPr>
          <w:rFonts w:hint="eastAsia"/>
        </w:rPr>
        <w:t>2</w:t>
      </w:r>
      <w:r>
        <w:t>.</w:t>
      </w:r>
      <w:r>
        <w:rPr>
          <w:rFonts w:hint="eastAsia"/>
        </w:rPr>
        <w:t>2</w:t>
      </w:r>
      <w:r>
        <w:t xml:space="preserve">.1 </w:t>
      </w:r>
      <w:r>
        <w:rPr>
          <w:rFonts w:hint="eastAsia"/>
        </w:rPr>
        <w:t>环境影响识别</w:t>
      </w:r>
      <w:bookmarkEnd w:id="67"/>
    </w:p>
    <w:p>
      <w:pPr>
        <w:pStyle w:val="49"/>
        <w:ind w:firstLine="480"/>
      </w:pPr>
      <w:r>
        <w:t>综合考虑本项目的性质、工程特点、实施阶段（施工期、营运期），结合本项目所在区域相关规划及环境现状，识别出可能对各环境要素产生的影响。本项目环境影响因素识别及影响程度见下表。</w:t>
      </w:r>
    </w:p>
    <w:p>
      <w:pPr>
        <w:pStyle w:val="53"/>
      </w:pPr>
    </w:p>
    <w:p>
      <w:pPr>
        <w:pStyle w:val="53"/>
      </w:pPr>
    </w:p>
    <w:p>
      <w:pPr>
        <w:pStyle w:val="53"/>
      </w:pPr>
    </w:p>
    <w:p>
      <w:pPr>
        <w:pStyle w:val="53"/>
      </w:pPr>
    </w:p>
    <w:p>
      <w:pPr>
        <w:pStyle w:val="53"/>
      </w:pPr>
    </w:p>
    <w:p>
      <w:pPr>
        <w:pStyle w:val="53"/>
      </w:pPr>
    </w:p>
    <w:p>
      <w:pPr>
        <w:pStyle w:val="53"/>
      </w:pPr>
    </w:p>
    <w:p>
      <w:pPr>
        <w:pStyle w:val="53"/>
      </w:pPr>
    </w:p>
    <w:p>
      <w:pPr>
        <w:pStyle w:val="53"/>
      </w:pPr>
      <w:r>
        <w:t>表2.</w:t>
      </w:r>
      <w:r>
        <w:rPr>
          <w:rFonts w:hint="eastAsia"/>
        </w:rPr>
        <w:t>2</w:t>
      </w:r>
      <w:r>
        <w:t>-1  工程环境影响要素识别</w:t>
      </w:r>
    </w:p>
    <w:p>
      <w:pPr>
        <w:pStyle w:val="49"/>
        <w:ind w:firstLine="0" w:firstLineChars="0"/>
        <w:jc w:val="center"/>
      </w:pPr>
      <w:r>
        <w:rPr>
          <w:rFonts w:hint="eastAsia"/>
        </w:rPr>
        <w:drawing>
          <wp:inline distT="0" distB="0" distL="0" distR="0">
            <wp:extent cx="5274310" cy="3531235"/>
            <wp:effectExtent l="0" t="0" r="2540" b="0"/>
            <wp:docPr id="169752902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7529027" name="图片 5"/>
                    <pic:cNvPicPr>
                      <a:picLocks noChangeAspect="true"/>
                    </pic:cNvPicPr>
                  </pic:nvPicPr>
                  <pic:blipFill>
                    <a:blip r:embed="rId15">
                      <a:extLst>
                        <a:ext uri="{28A0092B-C50C-407E-A947-70E740481C1C}">
                          <a14:useLocalDpi xmlns:a14="http://schemas.microsoft.com/office/drawing/2010/main" val="false"/>
                        </a:ext>
                      </a:extLst>
                    </a:blip>
                    <a:stretch>
                      <a:fillRect/>
                    </a:stretch>
                  </pic:blipFill>
                  <pic:spPr>
                    <a:xfrm>
                      <a:off x="0" y="0"/>
                      <a:ext cx="5274310" cy="3531235"/>
                    </a:xfrm>
                    <a:prstGeom prst="rect">
                      <a:avLst/>
                    </a:prstGeom>
                  </pic:spPr>
                </pic:pic>
              </a:graphicData>
            </a:graphic>
          </wp:inline>
        </w:drawing>
      </w:r>
    </w:p>
    <w:p>
      <w:pPr>
        <w:pStyle w:val="49"/>
        <w:spacing w:line="240" w:lineRule="auto"/>
        <w:ind w:firstLine="420"/>
        <w:rPr>
          <w:sz w:val="21"/>
          <w:szCs w:val="21"/>
        </w:rPr>
      </w:pPr>
      <w:r>
        <w:rPr>
          <w:rFonts w:hint="eastAsia"/>
          <w:sz w:val="21"/>
          <w:szCs w:val="21"/>
        </w:rPr>
        <w:t>注：1、表中“+”表示正效益，“-”表示负效益；</w:t>
      </w:r>
    </w:p>
    <w:p>
      <w:pPr>
        <w:pStyle w:val="49"/>
        <w:spacing w:line="240" w:lineRule="auto"/>
        <w:ind w:firstLine="840" w:firstLineChars="400"/>
        <w:rPr>
          <w:sz w:val="21"/>
          <w:szCs w:val="21"/>
        </w:rPr>
      </w:pPr>
      <w:r>
        <w:rPr>
          <w:rFonts w:hint="eastAsia"/>
          <w:sz w:val="21"/>
          <w:szCs w:val="21"/>
        </w:rPr>
        <w:t>2、表中数字表示影响的相对程度，“1”表示影响较小，“2”表示影响中等；“3”表示影响较大；</w:t>
      </w:r>
    </w:p>
    <w:p>
      <w:pPr>
        <w:pStyle w:val="49"/>
        <w:spacing w:line="240" w:lineRule="auto"/>
        <w:ind w:firstLine="840" w:firstLineChars="400"/>
        <w:rPr>
          <w:sz w:val="21"/>
          <w:szCs w:val="21"/>
        </w:rPr>
      </w:pPr>
      <w:r>
        <w:rPr>
          <w:rFonts w:hint="eastAsia"/>
          <w:sz w:val="21"/>
          <w:szCs w:val="21"/>
        </w:rPr>
        <w:t>3、表中“D”表示短期影响，“C”表示长期影响。</w:t>
      </w:r>
    </w:p>
    <w:p>
      <w:pPr>
        <w:pStyle w:val="49"/>
        <w:ind w:firstLine="480"/>
      </w:pPr>
      <w:r>
        <w:rPr>
          <w:rFonts w:hint="eastAsia"/>
        </w:rPr>
        <w:t xml:space="preserve">由上表可知，工程建设对环境产生不利环境影响要素主要有：地表水、地下水、环境空气、声环境。但项目的建设对于提高冷水滩区社会经济及生活质量有着显著的社会效益。 </w:t>
      </w:r>
    </w:p>
    <w:p>
      <w:pPr>
        <w:pStyle w:val="4"/>
      </w:pPr>
      <w:bookmarkStart w:id="68" w:name="_Toc194481124"/>
      <w:r>
        <w:t>2.</w:t>
      </w:r>
      <w:r>
        <w:rPr>
          <w:rFonts w:hint="eastAsia"/>
        </w:rPr>
        <w:t>2</w:t>
      </w:r>
      <w:r>
        <w:t>.2 评价因子筛选</w:t>
      </w:r>
      <w:bookmarkEnd w:id="68"/>
    </w:p>
    <w:p>
      <w:pPr>
        <w:pStyle w:val="49"/>
        <w:ind w:firstLine="480"/>
      </w:pPr>
      <w:r>
        <w:rPr>
          <w:rFonts w:hint="eastAsia"/>
        </w:rPr>
        <w:t>根据环境影响要素的初步识别结果，结合各生产环节的排污特征，所排放污染物对环境危害的性质，对所识别的环境影响要素作进一步分析，筛选出本工程评价因子</w:t>
      </w:r>
      <w:r>
        <w:t>，</w:t>
      </w:r>
      <w:r>
        <w:rPr>
          <w:rFonts w:hint="eastAsia"/>
        </w:rPr>
        <w:t>详</w:t>
      </w:r>
      <w:r>
        <w:t>见表2.</w:t>
      </w:r>
      <w:r>
        <w:rPr>
          <w:rFonts w:hint="eastAsia"/>
        </w:rPr>
        <w:t>2</w:t>
      </w:r>
      <w:r>
        <w:t>-</w:t>
      </w:r>
      <w:r>
        <w:rPr>
          <w:rFonts w:hint="eastAsia"/>
        </w:rPr>
        <w:t>2</w:t>
      </w:r>
      <w:r>
        <w:t>。</w:t>
      </w:r>
    </w:p>
    <w:p>
      <w:pPr>
        <w:pStyle w:val="53"/>
      </w:pPr>
      <w:r>
        <w:t>表2.</w:t>
      </w:r>
      <w:r>
        <w:rPr>
          <w:rFonts w:hint="eastAsia"/>
        </w:rPr>
        <w:t>2</w:t>
      </w:r>
      <w:r>
        <w:t>-</w:t>
      </w:r>
      <w:r>
        <w:rPr>
          <w:rFonts w:hint="eastAsia"/>
        </w:rPr>
        <w:t>2</w:t>
      </w:r>
      <w:r>
        <w:t xml:space="preserve">  本项目环境评价因子</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6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Align w:val="center"/>
          </w:tcPr>
          <w:p>
            <w:pPr>
              <w:pStyle w:val="51"/>
            </w:pPr>
            <w:r>
              <w:rPr>
                <w:rFonts w:hint="eastAsia"/>
              </w:rPr>
              <w:t>评价要素</w:t>
            </w:r>
          </w:p>
        </w:tc>
        <w:tc>
          <w:tcPr>
            <w:tcW w:w="6942" w:type="dxa"/>
            <w:vAlign w:val="center"/>
          </w:tcPr>
          <w:p>
            <w:pPr>
              <w:pStyle w:val="51"/>
            </w:pPr>
            <w:r>
              <w:rPr>
                <w:rFonts w:hint="eastAsia"/>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354" w:type="dxa"/>
            <w:vMerge w:val="restart"/>
            <w:vAlign w:val="center"/>
          </w:tcPr>
          <w:p>
            <w:pPr>
              <w:pStyle w:val="51"/>
            </w:pPr>
            <w:r>
              <w:rPr>
                <w:rFonts w:hint="eastAsia"/>
              </w:rPr>
              <w:t>大气环境</w:t>
            </w:r>
          </w:p>
        </w:tc>
        <w:tc>
          <w:tcPr>
            <w:tcW w:w="6942" w:type="dxa"/>
            <w:vAlign w:val="center"/>
          </w:tcPr>
          <w:p>
            <w:pPr>
              <w:pStyle w:val="51"/>
            </w:pPr>
            <w:r>
              <w:rPr>
                <w:rFonts w:hint="eastAsia"/>
              </w:rPr>
              <w:t>现状评价因子：</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w:t>
            </w:r>
            <w:r>
              <w:t>CO</w:t>
            </w:r>
            <w:r>
              <w:rPr>
                <w:rFonts w:hint="eastAsia"/>
              </w:rPr>
              <w:t>、H</w:t>
            </w:r>
            <w:r>
              <w:rPr>
                <w:rFonts w:hint="eastAsia"/>
                <w:vertAlign w:val="subscript"/>
              </w:rPr>
              <w:t>2</w:t>
            </w:r>
            <w:r>
              <w:rPr>
                <w:rFonts w:hint="eastAsia"/>
              </w:rPr>
              <w:t>S、NH</w:t>
            </w:r>
            <w:r>
              <w:rPr>
                <w:rFonts w:hint="eastAsia"/>
                <w:vertAlign w:val="subscript"/>
              </w:rPr>
              <w:t>3</w:t>
            </w:r>
            <w:r>
              <w:rPr>
                <w:rFonts w:hint="eastAsia"/>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354" w:type="dxa"/>
            <w:vMerge w:val="continue"/>
            <w:vAlign w:val="center"/>
          </w:tcPr>
          <w:p>
            <w:pPr>
              <w:pStyle w:val="51"/>
            </w:pPr>
          </w:p>
        </w:tc>
        <w:tc>
          <w:tcPr>
            <w:tcW w:w="6942" w:type="dxa"/>
            <w:vAlign w:val="center"/>
          </w:tcPr>
          <w:p>
            <w:pPr>
              <w:pStyle w:val="51"/>
            </w:pPr>
            <w:r>
              <w:rPr>
                <w:rFonts w:hint="eastAsia"/>
              </w:rPr>
              <w:t>污染源评价因子：H</w:t>
            </w:r>
            <w:r>
              <w:rPr>
                <w:rFonts w:hint="eastAsia"/>
                <w:vertAlign w:val="subscript"/>
              </w:rPr>
              <w:t>2</w:t>
            </w:r>
            <w:r>
              <w:rPr>
                <w:rFonts w:hint="eastAsia"/>
              </w:rPr>
              <w:t>S、NH</w:t>
            </w:r>
            <w:r>
              <w:rPr>
                <w:rFonts w:hint="eastAsia"/>
                <w:vertAlign w:val="subscript"/>
              </w:rPr>
              <w:t>3</w:t>
            </w:r>
            <w:r>
              <w:rPr>
                <w:rFonts w:hint="eastAsia"/>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pPr>
              <w:pStyle w:val="51"/>
            </w:pPr>
          </w:p>
        </w:tc>
        <w:tc>
          <w:tcPr>
            <w:tcW w:w="6942" w:type="dxa"/>
            <w:vAlign w:val="center"/>
          </w:tcPr>
          <w:p>
            <w:pPr>
              <w:pStyle w:val="51"/>
            </w:pPr>
            <w:r>
              <w:rPr>
                <w:rFonts w:hint="eastAsia"/>
              </w:rPr>
              <w:t>影响评价因子：H</w:t>
            </w:r>
            <w:r>
              <w:rPr>
                <w:rFonts w:hint="eastAsia"/>
                <w:vertAlign w:val="subscript"/>
              </w:rPr>
              <w:t>2</w:t>
            </w:r>
            <w:r>
              <w:rPr>
                <w:rFonts w:hint="eastAsia"/>
              </w:rPr>
              <w:t>S、NH</w:t>
            </w:r>
            <w:r>
              <w:rPr>
                <w:rFonts w:hint="eastAsia"/>
                <w:vertAlign w:val="subscript"/>
              </w:rPr>
              <w:t>3</w:t>
            </w:r>
            <w:r>
              <w:rPr>
                <w:rFonts w:hint="eastAsia"/>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restart"/>
            <w:vAlign w:val="center"/>
          </w:tcPr>
          <w:p>
            <w:pPr>
              <w:pStyle w:val="51"/>
            </w:pPr>
            <w:r>
              <w:rPr>
                <w:rFonts w:hint="eastAsia"/>
              </w:rPr>
              <w:t>地表水环境</w:t>
            </w:r>
          </w:p>
        </w:tc>
        <w:tc>
          <w:tcPr>
            <w:tcW w:w="6942" w:type="dxa"/>
            <w:vAlign w:val="center"/>
          </w:tcPr>
          <w:p>
            <w:pPr>
              <w:pStyle w:val="51"/>
            </w:pPr>
            <w:r>
              <w:rPr>
                <w:rFonts w:hint="eastAsia"/>
              </w:rPr>
              <w:t>现状评价因子：</w:t>
            </w:r>
            <w:r>
              <w:t xml:space="preserve"> </w:t>
            </w:r>
            <w:r>
              <w:rPr>
                <w:rFonts w:hint="eastAsia"/>
              </w:rPr>
              <w:t>pH、COD、BOD</w:t>
            </w:r>
            <w:r>
              <w:rPr>
                <w:rFonts w:hint="eastAsia"/>
                <w:vertAlign w:val="subscript"/>
              </w:rPr>
              <w:t>5</w:t>
            </w:r>
            <w:r>
              <w:rPr>
                <w:rFonts w:hint="eastAsia"/>
              </w:rPr>
              <w:t>、SS、氨氮、总磷、粪大肠菌群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pPr>
              <w:pStyle w:val="51"/>
            </w:pPr>
          </w:p>
        </w:tc>
        <w:tc>
          <w:tcPr>
            <w:tcW w:w="6942" w:type="dxa"/>
            <w:vAlign w:val="center"/>
          </w:tcPr>
          <w:p>
            <w:pPr>
              <w:pStyle w:val="51"/>
            </w:pPr>
            <w:r>
              <w:rPr>
                <w:rFonts w:hint="eastAsia"/>
              </w:rPr>
              <w:t>污染源评价因子：pH、COD、BOD</w:t>
            </w:r>
            <w:r>
              <w:rPr>
                <w:rFonts w:hint="eastAsia"/>
                <w:vertAlign w:val="subscript"/>
              </w:rPr>
              <w:t>5</w:t>
            </w:r>
            <w:r>
              <w:rPr>
                <w:rFonts w:hint="eastAsia"/>
              </w:rPr>
              <w:t>、SS、氨氮、总磷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pPr>
              <w:pStyle w:val="51"/>
            </w:pPr>
          </w:p>
        </w:tc>
        <w:tc>
          <w:tcPr>
            <w:tcW w:w="6942" w:type="dxa"/>
            <w:vAlign w:val="center"/>
          </w:tcPr>
          <w:p>
            <w:pPr>
              <w:pStyle w:val="51"/>
            </w:pPr>
            <w:r>
              <w:rPr>
                <w:rFonts w:hint="eastAsia"/>
              </w:rPr>
              <w:t>影响评价因子：定性分析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restart"/>
            <w:vAlign w:val="center"/>
          </w:tcPr>
          <w:p>
            <w:pPr>
              <w:pStyle w:val="51"/>
            </w:pPr>
            <w:r>
              <w:rPr>
                <w:rFonts w:hint="eastAsia"/>
              </w:rPr>
              <w:t>地下水环境</w:t>
            </w:r>
          </w:p>
        </w:tc>
        <w:tc>
          <w:tcPr>
            <w:tcW w:w="6942" w:type="dxa"/>
            <w:vAlign w:val="center"/>
          </w:tcPr>
          <w:p>
            <w:pPr>
              <w:pStyle w:val="51"/>
            </w:pPr>
            <w:r>
              <w:rPr>
                <w:rFonts w:hint="eastAsia"/>
              </w:rPr>
              <w:t>现状评价因子：</w:t>
            </w:r>
            <w:r>
              <w:rPr>
                <w:szCs w:val="21"/>
              </w:rPr>
              <w:t>pH</w:t>
            </w:r>
            <w:r>
              <w:rPr>
                <w:rFonts w:hint="eastAsia"/>
                <w:szCs w:val="21"/>
              </w:rPr>
              <w:t>、挥发性酚类、氰化物、氨氮、汞、砷、</w:t>
            </w:r>
            <w:r>
              <w:rPr>
                <w:szCs w:val="21"/>
              </w:rPr>
              <w:t>K</w:t>
            </w:r>
            <w:r>
              <w:rPr>
                <w:szCs w:val="21"/>
                <w:vertAlign w:val="superscript"/>
              </w:rPr>
              <w:t>+</w:t>
            </w:r>
            <w:r>
              <w:rPr>
                <w:rFonts w:hint="eastAsia"/>
                <w:szCs w:val="21"/>
              </w:rPr>
              <w:t>、</w:t>
            </w:r>
            <w:r>
              <w:rPr>
                <w:szCs w:val="21"/>
              </w:rPr>
              <w:t>Na</w:t>
            </w:r>
            <w:r>
              <w:rPr>
                <w:szCs w:val="21"/>
                <w:vertAlign w:val="superscript"/>
              </w:rPr>
              <w:t>+</w:t>
            </w:r>
            <w:r>
              <w:rPr>
                <w:rFonts w:hint="eastAsia"/>
                <w:szCs w:val="21"/>
              </w:rPr>
              <w:t>、</w:t>
            </w:r>
            <w:r>
              <w:rPr>
                <w:szCs w:val="21"/>
              </w:rPr>
              <w:t>Ca</w:t>
            </w:r>
            <w:r>
              <w:rPr>
                <w:szCs w:val="21"/>
                <w:vertAlign w:val="superscript"/>
              </w:rPr>
              <w:t>2+</w:t>
            </w:r>
            <w:r>
              <w:rPr>
                <w:rFonts w:hint="eastAsia"/>
                <w:szCs w:val="21"/>
              </w:rPr>
              <w:t>、</w:t>
            </w:r>
            <w:r>
              <w:rPr>
                <w:szCs w:val="21"/>
              </w:rPr>
              <w:t>Mg</w:t>
            </w:r>
            <w:r>
              <w:rPr>
                <w:szCs w:val="21"/>
                <w:vertAlign w:val="superscript"/>
              </w:rPr>
              <w:t>2+</w:t>
            </w:r>
            <w:r>
              <w:rPr>
                <w:rFonts w:hint="eastAsia"/>
                <w:szCs w:val="21"/>
              </w:rPr>
              <w:t>、</w:t>
            </w:r>
            <w:r>
              <w:rPr>
                <w:szCs w:val="21"/>
              </w:rPr>
              <w:t>CO</w:t>
            </w:r>
            <w:r>
              <w:rPr>
                <w:szCs w:val="21"/>
                <w:vertAlign w:val="subscript"/>
              </w:rPr>
              <w:t>3</w:t>
            </w:r>
            <w:r>
              <w:rPr>
                <w:szCs w:val="21"/>
                <w:vertAlign w:val="superscript"/>
              </w:rPr>
              <w:t>2-</w:t>
            </w:r>
            <w:r>
              <w:rPr>
                <w:rFonts w:hint="eastAsia"/>
                <w:szCs w:val="21"/>
              </w:rPr>
              <w:t>、</w:t>
            </w:r>
            <w:r>
              <w:rPr>
                <w:szCs w:val="21"/>
              </w:rPr>
              <w:t>HCO</w:t>
            </w:r>
            <w:r>
              <w:rPr>
                <w:szCs w:val="21"/>
                <w:vertAlign w:val="subscript"/>
              </w:rPr>
              <w:t>3</w:t>
            </w:r>
            <w:r>
              <w:rPr>
                <w:szCs w:val="21"/>
                <w:vertAlign w:val="superscript"/>
              </w:rPr>
              <w:t>-</w:t>
            </w:r>
            <w:r>
              <w:rPr>
                <w:rFonts w:hint="eastAsia"/>
                <w:szCs w:val="21"/>
              </w:rPr>
              <w:t>、总大肠菌群、菌落总数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4" w:type="dxa"/>
            <w:vMerge w:val="continue"/>
            <w:vAlign w:val="center"/>
          </w:tcPr>
          <w:p>
            <w:pPr>
              <w:pStyle w:val="51"/>
            </w:pPr>
          </w:p>
        </w:tc>
        <w:tc>
          <w:tcPr>
            <w:tcW w:w="6942" w:type="dxa"/>
            <w:vAlign w:val="center"/>
          </w:tcPr>
          <w:p>
            <w:pPr>
              <w:pStyle w:val="51"/>
            </w:pPr>
            <w:r>
              <w:rPr>
                <w:rFonts w:hint="eastAsia"/>
              </w:rPr>
              <w:t>污染源评价因子：COD、氨氮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pPr>
              <w:pStyle w:val="51"/>
            </w:pPr>
          </w:p>
        </w:tc>
        <w:tc>
          <w:tcPr>
            <w:tcW w:w="6942" w:type="dxa"/>
            <w:vAlign w:val="center"/>
          </w:tcPr>
          <w:p>
            <w:pPr>
              <w:pStyle w:val="51"/>
            </w:pPr>
            <w:r>
              <w:rPr>
                <w:rFonts w:hint="eastAsia"/>
              </w:rPr>
              <w:t>影响评价因子：定性分析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restart"/>
            <w:vAlign w:val="center"/>
          </w:tcPr>
          <w:p>
            <w:pPr>
              <w:pStyle w:val="51"/>
            </w:pPr>
            <w:r>
              <w:rPr>
                <w:rFonts w:hint="eastAsia"/>
              </w:rPr>
              <w:t>声环境</w:t>
            </w:r>
          </w:p>
        </w:tc>
        <w:tc>
          <w:tcPr>
            <w:tcW w:w="6942" w:type="dxa"/>
            <w:vAlign w:val="center"/>
          </w:tcPr>
          <w:p>
            <w:pPr>
              <w:pStyle w:val="51"/>
              <w:rPr>
                <w:b/>
                <w:bCs/>
              </w:rPr>
            </w:pPr>
            <w:r>
              <w:rPr>
                <w:rFonts w:hint="eastAsia"/>
              </w:rPr>
              <w:t>现状评价因子：</w:t>
            </w:r>
            <w:r>
              <w:rPr>
                <w:rFonts w:hint="eastAsia"/>
                <w:color w:val="000000"/>
                <w:szCs w:val="21"/>
              </w:rPr>
              <w:t xml:space="preserve">等效连续 </w:t>
            </w:r>
            <w:r>
              <w:rPr>
                <w:rFonts w:cs="Times New Roman"/>
                <w:color w:val="000000"/>
                <w:szCs w:val="21"/>
              </w:rPr>
              <w:t xml:space="preserve">A </w:t>
            </w:r>
            <w:r>
              <w:rPr>
                <w:rFonts w:hint="eastAsia"/>
                <w:color w:val="000000"/>
                <w:szCs w:val="21"/>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pPr>
              <w:pStyle w:val="51"/>
            </w:pPr>
          </w:p>
        </w:tc>
        <w:tc>
          <w:tcPr>
            <w:tcW w:w="6942" w:type="dxa"/>
            <w:vAlign w:val="center"/>
          </w:tcPr>
          <w:p>
            <w:pPr>
              <w:pStyle w:val="51"/>
            </w:pPr>
            <w:r>
              <w:rPr>
                <w:rFonts w:hint="eastAsia"/>
              </w:rPr>
              <w:t>污染源评价因子：</w:t>
            </w:r>
            <w:r>
              <w:rPr>
                <w:rFonts w:hint="eastAsia"/>
                <w:color w:val="000000"/>
                <w:szCs w:val="21"/>
              </w:rPr>
              <w:t xml:space="preserve">等效连续 </w:t>
            </w:r>
            <w:r>
              <w:rPr>
                <w:rFonts w:cs="Times New Roman"/>
                <w:color w:val="000000"/>
                <w:szCs w:val="21"/>
              </w:rPr>
              <w:t xml:space="preserve">A </w:t>
            </w:r>
            <w:r>
              <w:rPr>
                <w:rFonts w:hint="eastAsia"/>
                <w:color w:val="000000"/>
                <w:szCs w:val="21"/>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pPr>
              <w:pStyle w:val="51"/>
            </w:pPr>
          </w:p>
        </w:tc>
        <w:tc>
          <w:tcPr>
            <w:tcW w:w="6942" w:type="dxa"/>
            <w:vAlign w:val="center"/>
          </w:tcPr>
          <w:p>
            <w:pPr>
              <w:pStyle w:val="51"/>
            </w:pPr>
            <w:r>
              <w:rPr>
                <w:rFonts w:hint="eastAsia"/>
              </w:rPr>
              <w:t>影响评价因子：</w:t>
            </w:r>
            <w:r>
              <w:rPr>
                <w:rFonts w:hint="eastAsia"/>
                <w:color w:val="000000"/>
                <w:szCs w:val="21"/>
              </w:rPr>
              <w:t xml:space="preserve">等效连续 </w:t>
            </w:r>
            <w:r>
              <w:rPr>
                <w:rFonts w:cs="Times New Roman"/>
                <w:color w:val="000000"/>
                <w:szCs w:val="21"/>
              </w:rPr>
              <w:t xml:space="preserve">A </w:t>
            </w:r>
            <w:r>
              <w:rPr>
                <w:rFonts w:hint="eastAsia"/>
                <w:color w:val="000000"/>
                <w:szCs w:val="21"/>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restart"/>
            <w:vAlign w:val="center"/>
          </w:tcPr>
          <w:p>
            <w:pPr>
              <w:pStyle w:val="51"/>
            </w:pPr>
            <w:r>
              <w:rPr>
                <w:rFonts w:hint="eastAsia"/>
              </w:rPr>
              <w:t>土壤</w:t>
            </w:r>
          </w:p>
        </w:tc>
        <w:tc>
          <w:tcPr>
            <w:tcW w:w="6942" w:type="dxa"/>
            <w:vAlign w:val="center"/>
          </w:tcPr>
          <w:p>
            <w:pPr>
              <w:pStyle w:val="51"/>
            </w:pPr>
            <w:r>
              <w:rPr>
                <w:rFonts w:hint="eastAsia"/>
              </w:rPr>
              <w:t xml:space="preserve">现状评价因子： </w:t>
            </w:r>
            <w:r>
              <w:t>PH</w:t>
            </w:r>
            <w:r>
              <w:rPr>
                <w:rFonts w:hint="eastAsia"/>
              </w:rPr>
              <w:t>、镉、汞、砷、铅、铬、锌、镍、铜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pPr>
              <w:pStyle w:val="51"/>
            </w:pPr>
          </w:p>
        </w:tc>
        <w:tc>
          <w:tcPr>
            <w:tcW w:w="6942" w:type="dxa"/>
            <w:vAlign w:val="center"/>
          </w:tcPr>
          <w:p>
            <w:pPr>
              <w:pStyle w:val="51"/>
            </w:pPr>
            <w:r>
              <w:rPr>
                <w:rFonts w:hint="eastAsia"/>
              </w:rPr>
              <w:t>污染源评价因子：定性分析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pPr>
              <w:pStyle w:val="51"/>
            </w:pPr>
          </w:p>
        </w:tc>
        <w:tc>
          <w:tcPr>
            <w:tcW w:w="6942" w:type="dxa"/>
            <w:vAlign w:val="center"/>
          </w:tcPr>
          <w:p>
            <w:pPr>
              <w:pStyle w:val="51"/>
            </w:pPr>
            <w:r>
              <w:rPr>
                <w:rFonts w:hint="eastAsia"/>
              </w:rPr>
              <w:t>影响评价因子：定性分析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Align w:val="center"/>
          </w:tcPr>
          <w:p>
            <w:pPr>
              <w:pStyle w:val="51"/>
            </w:pPr>
            <w:r>
              <w:rPr>
                <w:rFonts w:hint="eastAsia"/>
              </w:rPr>
              <w:t>固体废物</w:t>
            </w:r>
          </w:p>
        </w:tc>
        <w:tc>
          <w:tcPr>
            <w:tcW w:w="6942" w:type="dxa"/>
            <w:vAlign w:val="center"/>
          </w:tcPr>
          <w:p>
            <w:pPr>
              <w:pStyle w:val="51"/>
            </w:pPr>
            <w:r>
              <w:rPr>
                <w:rFonts w:hint="eastAsia"/>
                <w:color w:val="000000"/>
                <w:szCs w:val="21"/>
              </w:rPr>
              <w:t>固体废物种类、产生量及属性</w:t>
            </w:r>
          </w:p>
        </w:tc>
      </w:tr>
    </w:tbl>
    <w:p>
      <w:pPr>
        <w:pStyle w:val="3"/>
      </w:pPr>
      <w:bookmarkStart w:id="69" w:name="_Toc25777"/>
      <w:bookmarkStart w:id="70" w:name="_Toc11119"/>
      <w:bookmarkStart w:id="71" w:name="_Toc160443159"/>
      <w:bookmarkStart w:id="72" w:name="_Toc27014"/>
      <w:bookmarkStart w:id="73" w:name="_Toc1059"/>
      <w:bookmarkStart w:id="74" w:name="_Toc194481125"/>
      <w:bookmarkStart w:id="75" w:name="_Toc16476"/>
      <w:r>
        <w:t>2.</w:t>
      </w:r>
      <w:r>
        <w:rPr>
          <w:rFonts w:hint="eastAsia"/>
        </w:rPr>
        <w:t>3</w:t>
      </w:r>
      <w:r>
        <w:t xml:space="preserve"> 环境功能区划</w:t>
      </w:r>
      <w:bookmarkEnd w:id="69"/>
      <w:bookmarkEnd w:id="70"/>
      <w:bookmarkEnd w:id="71"/>
      <w:bookmarkEnd w:id="72"/>
      <w:bookmarkEnd w:id="73"/>
      <w:bookmarkEnd w:id="74"/>
      <w:bookmarkEnd w:id="75"/>
    </w:p>
    <w:p>
      <w:pPr>
        <w:pStyle w:val="4"/>
      </w:pPr>
      <w:bookmarkStart w:id="76" w:name="_Toc194481126"/>
      <w:r>
        <w:rPr>
          <w:rFonts w:hint="eastAsia"/>
        </w:rPr>
        <w:t>2</w:t>
      </w:r>
      <w:r>
        <w:t>.</w:t>
      </w:r>
      <w:r>
        <w:rPr>
          <w:rFonts w:hint="eastAsia"/>
        </w:rPr>
        <w:t>3</w:t>
      </w:r>
      <w:r>
        <w:t xml:space="preserve">.1 </w:t>
      </w:r>
      <w:r>
        <w:rPr>
          <w:rFonts w:hint="eastAsia"/>
        </w:rPr>
        <w:t>大气环境功能区划</w:t>
      </w:r>
      <w:bookmarkEnd w:id="76"/>
    </w:p>
    <w:p>
      <w:pPr>
        <w:pStyle w:val="49"/>
        <w:ind w:firstLine="480"/>
      </w:pPr>
      <w:r>
        <w:t>本项目</w:t>
      </w:r>
      <w:r>
        <w:rPr>
          <w:rFonts w:hint="eastAsia"/>
        </w:rPr>
        <w:t>位于永州市冷水滩区岚角山街道飞跃村、高桥头村</w:t>
      </w:r>
      <w:r>
        <w:t>，本项目所在地区属于典型的农村地区，根据《环境空气质量标准》中环境空气质量功能区分类，属于二类区，执行《环境空气质量标准》（GB3095-2012）及其修改单中二级标准。</w:t>
      </w:r>
    </w:p>
    <w:p>
      <w:pPr>
        <w:pStyle w:val="4"/>
        <w:rPr>
          <w:rFonts w:cs="Times New Roman"/>
          <w:color w:val="000000"/>
          <w:szCs w:val="28"/>
          <w14:ligatures w14:val="none"/>
        </w:rPr>
      </w:pPr>
      <w:bookmarkStart w:id="77" w:name="_Toc194481127"/>
      <w:r>
        <w:rPr>
          <w:rFonts w:hint="eastAsia" w:cs="Times New Roman"/>
          <w:color w:val="000000"/>
          <w:szCs w:val="28"/>
          <w14:ligatures w14:val="none"/>
        </w:rPr>
        <w:t>2</w:t>
      </w:r>
      <w:r>
        <w:rPr>
          <w:rFonts w:cs="Times New Roman"/>
          <w:color w:val="000000"/>
          <w:szCs w:val="28"/>
          <w14:ligatures w14:val="none"/>
        </w:rPr>
        <w:t>.</w:t>
      </w:r>
      <w:r>
        <w:rPr>
          <w:rFonts w:hint="eastAsia" w:cs="Times New Roman"/>
          <w:color w:val="000000"/>
          <w:szCs w:val="28"/>
          <w14:ligatures w14:val="none"/>
        </w:rPr>
        <w:t>3</w:t>
      </w:r>
      <w:r>
        <w:rPr>
          <w:rFonts w:cs="Times New Roman"/>
          <w:color w:val="000000"/>
          <w:szCs w:val="28"/>
          <w14:ligatures w14:val="none"/>
        </w:rPr>
        <w:t>.</w:t>
      </w:r>
      <w:r>
        <w:rPr>
          <w:rFonts w:hint="eastAsia" w:cs="Times New Roman"/>
          <w:color w:val="000000"/>
          <w:szCs w:val="28"/>
          <w14:ligatures w14:val="none"/>
        </w:rPr>
        <w:t>2</w:t>
      </w:r>
      <w:r>
        <w:rPr>
          <w:rFonts w:cs="Times New Roman"/>
          <w:color w:val="000000"/>
          <w:szCs w:val="28"/>
          <w14:ligatures w14:val="none"/>
        </w:rPr>
        <w:t xml:space="preserve"> 地表水环境功能区划</w:t>
      </w:r>
      <w:bookmarkEnd w:id="77"/>
    </w:p>
    <w:p>
      <w:pPr>
        <w:pStyle w:val="49"/>
        <w:ind w:firstLine="480"/>
      </w:pPr>
      <w:r>
        <w:rPr>
          <w:rFonts w:hint="eastAsia"/>
          <w:snapToGrid w:val="0"/>
        </w:rPr>
        <w:t>项目西侧5885m湘江，主要为景观娱乐用水区</w:t>
      </w:r>
      <w:r>
        <w:rPr>
          <w:rFonts w:hint="eastAsia"/>
        </w:rPr>
        <w:t>，</w:t>
      </w:r>
      <w:r>
        <w:t>执行《地表水环境质量标准》（GB3838-2002）</w:t>
      </w:r>
      <w:r>
        <w:rPr>
          <w:rFonts w:cs="Times New Roman"/>
        </w:rPr>
        <w:t>Ⅲ</w:t>
      </w:r>
      <w:r>
        <w:t>类标准</w:t>
      </w:r>
      <w:r>
        <w:rPr>
          <w:rFonts w:hint="eastAsia"/>
        </w:rPr>
        <w:t>；西北侧5537m曲河饮用水源保护区，</w:t>
      </w:r>
      <w:r>
        <w:rPr>
          <w:lang w:bidi="ar"/>
        </w:rPr>
        <w:t>饮用水</w:t>
      </w:r>
      <w:r>
        <w:rPr>
          <w:rFonts w:hint="eastAsia"/>
          <w:lang w:bidi="ar"/>
        </w:rPr>
        <w:t>水</w:t>
      </w:r>
      <w:r>
        <w:rPr>
          <w:lang w:bidi="ar"/>
        </w:rPr>
        <w:t>源</w:t>
      </w:r>
      <w:r>
        <w:rPr>
          <w:rFonts w:hint="eastAsia"/>
          <w:lang w:bidi="ar"/>
        </w:rPr>
        <w:t>一级保护区执行</w:t>
      </w:r>
      <w:r>
        <w:rPr>
          <w:lang w:bidi="ar"/>
        </w:rPr>
        <w:t>《地表水环境质量标准》（GB3838-2002）中的Ⅱ类标准，饮用水</w:t>
      </w:r>
      <w:r>
        <w:rPr>
          <w:rFonts w:hint="eastAsia"/>
          <w:lang w:bidi="ar"/>
        </w:rPr>
        <w:t>水</w:t>
      </w:r>
      <w:r>
        <w:rPr>
          <w:lang w:bidi="ar"/>
        </w:rPr>
        <w:t>源二级保护区执行《地表水环境质量标准》（GB3838-2002）中的Ⅲ类标准</w:t>
      </w:r>
      <w:r>
        <w:rPr>
          <w:rFonts w:hint="eastAsia"/>
        </w:rPr>
        <w:t>。</w:t>
      </w:r>
    </w:p>
    <w:p>
      <w:pPr>
        <w:pStyle w:val="4"/>
        <w:rPr>
          <w:rFonts w:cs="Times New Roman"/>
          <w:color w:val="000000"/>
          <w:szCs w:val="28"/>
          <w14:ligatures w14:val="none"/>
        </w:rPr>
      </w:pPr>
      <w:bookmarkStart w:id="78" w:name="_Toc194481128"/>
      <w:r>
        <w:rPr>
          <w:rFonts w:hint="eastAsia" w:cs="Times New Roman"/>
          <w:color w:val="000000"/>
          <w:szCs w:val="28"/>
          <w14:ligatures w14:val="none"/>
        </w:rPr>
        <w:t>2</w:t>
      </w:r>
      <w:r>
        <w:rPr>
          <w:rFonts w:cs="Times New Roman"/>
          <w:color w:val="000000"/>
          <w:szCs w:val="28"/>
          <w14:ligatures w14:val="none"/>
        </w:rPr>
        <w:t>.</w:t>
      </w:r>
      <w:r>
        <w:rPr>
          <w:rFonts w:hint="eastAsia" w:cs="Times New Roman"/>
          <w:color w:val="000000"/>
          <w:szCs w:val="28"/>
          <w14:ligatures w14:val="none"/>
        </w:rPr>
        <w:t>3</w:t>
      </w:r>
      <w:r>
        <w:rPr>
          <w:rFonts w:cs="Times New Roman"/>
          <w:color w:val="000000"/>
          <w:szCs w:val="28"/>
          <w14:ligatures w14:val="none"/>
        </w:rPr>
        <w:t>.</w:t>
      </w:r>
      <w:r>
        <w:rPr>
          <w:rFonts w:hint="eastAsia" w:cs="Times New Roman"/>
          <w:color w:val="000000"/>
          <w:szCs w:val="28"/>
          <w14:ligatures w14:val="none"/>
        </w:rPr>
        <w:t>3</w:t>
      </w:r>
      <w:r>
        <w:rPr>
          <w:rFonts w:cs="Times New Roman"/>
          <w:color w:val="000000"/>
          <w:szCs w:val="28"/>
          <w14:ligatures w14:val="none"/>
        </w:rPr>
        <w:t xml:space="preserve"> 地</w:t>
      </w:r>
      <w:r>
        <w:rPr>
          <w:rFonts w:hint="eastAsia" w:cs="Times New Roman"/>
          <w:color w:val="000000"/>
          <w:szCs w:val="28"/>
          <w14:ligatures w14:val="none"/>
        </w:rPr>
        <w:t>下</w:t>
      </w:r>
      <w:r>
        <w:rPr>
          <w:rFonts w:cs="Times New Roman"/>
          <w:color w:val="000000"/>
          <w:szCs w:val="28"/>
          <w14:ligatures w14:val="none"/>
        </w:rPr>
        <w:t>水环境功能区划</w:t>
      </w:r>
      <w:bookmarkEnd w:id="78"/>
    </w:p>
    <w:p>
      <w:pPr>
        <w:pStyle w:val="49"/>
        <w:ind w:firstLine="480"/>
        <w:rPr>
          <w:snapToGrid w:val="0"/>
        </w:rPr>
      </w:pPr>
      <w:r>
        <w:rPr>
          <w:rFonts w:hint="eastAsia"/>
          <w:snapToGrid w:val="0"/>
        </w:rPr>
        <w:t>项目所在区域的地下水主要用途为饮用、工业、农业用水，执行《地下水质量标准》（</w:t>
      </w:r>
      <w:r>
        <w:rPr>
          <w:snapToGrid w:val="0"/>
        </w:rPr>
        <w:t>GB/T14848-2017</w:t>
      </w:r>
      <w:r>
        <w:rPr>
          <w:rFonts w:hint="eastAsia"/>
          <w:snapToGrid w:val="0"/>
        </w:rPr>
        <w:t>）</w:t>
      </w:r>
      <w:r>
        <w:rPr>
          <w:snapToGrid w:val="0"/>
        </w:rPr>
        <w:t>Ⅲ</w:t>
      </w:r>
      <w:r>
        <w:rPr>
          <w:rFonts w:hint="eastAsia"/>
          <w:snapToGrid w:val="0"/>
        </w:rPr>
        <w:t>类标准。</w:t>
      </w:r>
    </w:p>
    <w:p>
      <w:pPr>
        <w:pStyle w:val="4"/>
        <w:rPr>
          <w:rFonts w:cs="Times New Roman"/>
          <w:color w:val="000000"/>
          <w:szCs w:val="28"/>
          <w14:ligatures w14:val="none"/>
        </w:rPr>
      </w:pPr>
      <w:bookmarkStart w:id="79" w:name="_Toc194481129"/>
      <w:r>
        <w:rPr>
          <w:rFonts w:cs="Times New Roman"/>
          <w:color w:val="000000"/>
          <w:szCs w:val="28"/>
          <w14:ligatures w14:val="none"/>
        </w:rPr>
        <w:t>2.</w:t>
      </w:r>
      <w:r>
        <w:rPr>
          <w:rFonts w:hint="eastAsia" w:cs="Times New Roman"/>
          <w:color w:val="000000"/>
          <w:szCs w:val="28"/>
          <w14:ligatures w14:val="none"/>
        </w:rPr>
        <w:t>3</w:t>
      </w:r>
      <w:r>
        <w:rPr>
          <w:rFonts w:cs="Times New Roman"/>
          <w:color w:val="000000"/>
          <w:szCs w:val="28"/>
          <w14:ligatures w14:val="none"/>
        </w:rPr>
        <w:t>.4 声环境功能区划</w:t>
      </w:r>
      <w:bookmarkEnd w:id="79"/>
    </w:p>
    <w:p>
      <w:pPr>
        <w:pStyle w:val="49"/>
        <w:ind w:firstLine="480"/>
        <w:rPr>
          <w:snapToGrid w:val="0"/>
        </w:rPr>
      </w:pPr>
      <w:r>
        <w:rPr>
          <w:rFonts w:hint="eastAsia"/>
          <w:snapToGrid w:val="0"/>
        </w:rPr>
        <w:t>本项目位于</w:t>
      </w:r>
      <w:r>
        <w:rPr>
          <w:rFonts w:hint="eastAsia"/>
        </w:rPr>
        <w:t>永州市冷水滩区岚角山街道飞跃村、高桥头村</w:t>
      </w:r>
      <w:r>
        <w:rPr>
          <w:rFonts w:hint="eastAsia"/>
          <w:snapToGrid w:val="0"/>
        </w:rPr>
        <w:t>，项目所在区域为农村地区，根据《声环境质量标准》（</w:t>
      </w:r>
      <w:r>
        <w:rPr>
          <w:snapToGrid w:val="0"/>
        </w:rPr>
        <w:t>GB3096-2008</w:t>
      </w:r>
      <w:r>
        <w:rPr>
          <w:rFonts w:hint="eastAsia"/>
          <w:snapToGrid w:val="0"/>
        </w:rPr>
        <w:t>） 和《声环境功能划分技术规范》（</w:t>
      </w:r>
      <w:r>
        <w:rPr>
          <w:snapToGrid w:val="0"/>
        </w:rPr>
        <w:t>GB/T15190-2014</w:t>
      </w:r>
      <w:r>
        <w:rPr>
          <w:rFonts w:hint="eastAsia"/>
          <w:snapToGrid w:val="0"/>
        </w:rPr>
        <w:t xml:space="preserve">），本项目所在地按 </w:t>
      </w:r>
      <w:r>
        <w:rPr>
          <w:snapToGrid w:val="0"/>
        </w:rPr>
        <w:t xml:space="preserve">2 </w:t>
      </w:r>
      <w:r>
        <w:rPr>
          <w:rFonts w:hint="eastAsia"/>
          <w:snapToGrid w:val="0"/>
        </w:rPr>
        <w:t>类声环境功能区进行评价。</w:t>
      </w:r>
    </w:p>
    <w:p>
      <w:pPr>
        <w:pStyle w:val="3"/>
        <w:keepNext w:val="0"/>
        <w:keepLines w:val="0"/>
        <w:widowControl w:val="0"/>
      </w:pPr>
      <w:bookmarkStart w:id="80" w:name="_Toc14408"/>
      <w:bookmarkStart w:id="81" w:name="_Toc31024"/>
      <w:bookmarkStart w:id="82" w:name="_Toc23629"/>
      <w:bookmarkStart w:id="83" w:name="_Toc160443160"/>
      <w:bookmarkStart w:id="84" w:name="_Toc6813"/>
      <w:bookmarkStart w:id="85" w:name="_Toc6651"/>
      <w:bookmarkStart w:id="86" w:name="_Toc194481130"/>
      <w:r>
        <w:t>2.</w:t>
      </w:r>
      <w:r>
        <w:rPr>
          <w:rFonts w:hint="eastAsia"/>
        </w:rPr>
        <w:t>4</w:t>
      </w:r>
      <w:r>
        <w:t xml:space="preserve"> 评价标准</w:t>
      </w:r>
      <w:bookmarkEnd w:id="80"/>
      <w:bookmarkEnd w:id="81"/>
      <w:bookmarkEnd w:id="82"/>
      <w:bookmarkEnd w:id="83"/>
      <w:bookmarkEnd w:id="84"/>
      <w:bookmarkEnd w:id="85"/>
      <w:bookmarkEnd w:id="86"/>
    </w:p>
    <w:p>
      <w:pPr>
        <w:pStyle w:val="4"/>
        <w:keepNext w:val="0"/>
        <w:keepLines w:val="0"/>
        <w:widowControl w:val="0"/>
      </w:pPr>
      <w:bookmarkStart w:id="87" w:name="_Toc194481131"/>
      <w:r>
        <w:t>2.</w:t>
      </w:r>
      <w:r>
        <w:rPr>
          <w:rFonts w:hint="eastAsia"/>
        </w:rPr>
        <w:t>4</w:t>
      </w:r>
      <w:r>
        <w:t>.1 环境质量标准</w:t>
      </w:r>
      <w:bookmarkEnd w:id="87"/>
    </w:p>
    <w:p>
      <w:pPr>
        <w:pStyle w:val="49"/>
        <w:ind w:firstLine="480"/>
        <w:rPr>
          <w:snapToGrid w:val="0"/>
        </w:rPr>
      </w:pPr>
      <w:r>
        <w:rPr>
          <w:snapToGrid w:val="0"/>
        </w:rPr>
        <w:t>根据</w:t>
      </w:r>
      <w:r>
        <w:rPr>
          <w:rFonts w:hint="eastAsia"/>
          <w:snapToGrid w:val="0"/>
        </w:rPr>
        <w:t>永州市生态环境局</w:t>
      </w:r>
      <w:r>
        <w:rPr>
          <w:snapToGrid w:val="0"/>
        </w:rPr>
        <w:t>出具的《关于</w:t>
      </w:r>
      <w:r>
        <w:rPr>
          <w:rFonts w:hint="eastAsia"/>
        </w:rPr>
        <w:t>湘五永兴120万羽智能化蛋鸡养殖场项目</w:t>
      </w:r>
      <w:r>
        <w:rPr>
          <w:snapToGrid w:val="0"/>
        </w:rPr>
        <w:t>环境影响评价执行标准的函》，确定本项目的评价标准如下：</w:t>
      </w:r>
    </w:p>
    <w:p>
      <w:pPr>
        <w:pStyle w:val="5"/>
      </w:pPr>
      <w:r>
        <w:rPr>
          <w:rFonts w:hint="eastAsia"/>
        </w:rPr>
        <w:t>2</w:t>
      </w:r>
      <w:r>
        <w:t>.</w:t>
      </w:r>
      <w:r>
        <w:rPr>
          <w:rFonts w:hint="eastAsia"/>
        </w:rPr>
        <w:t>4</w:t>
      </w:r>
      <w:r>
        <w:t>.1</w:t>
      </w:r>
      <w:r>
        <w:rPr>
          <w:rFonts w:hint="eastAsia"/>
        </w:rPr>
        <w:t>.1</w:t>
      </w:r>
      <w:r>
        <w:t xml:space="preserve"> </w:t>
      </w:r>
      <w:r>
        <w:rPr>
          <w:rFonts w:hint="eastAsia"/>
        </w:rPr>
        <w:t>环境空气质量标准</w:t>
      </w:r>
    </w:p>
    <w:p>
      <w:pPr>
        <w:pStyle w:val="49"/>
        <w:ind w:firstLine="480"/>
      </w:pPr>
      <w:r>
        <w:rPr>
          <w:rFonts w:hint="eastAsia"/>
        </w:rPr>
        <w:t>评价区域内TSP、</w:t>
      </w:r>
      <w:r>
        <w:t>环境空气质量标准执行</w:t>
      </w:r>
      <w:r>
        <w:rPr>
          <w:rFonts w:cs="Times New Roman"/>
          <w:color w:val="000000"/>
        </w:rPr>
        <w:t>《环境空气质量标准》（GB3095-2012）二级标准及修改单要求</w:t>
      </w:r>
      <w:r>
        <w:rPr>
          <w:rFonts w:hint="eastAsia" w:cs="Times New Roman"/>
          <w:color w:val="000000"/>
        </w:rPr>
        <w:t>；硫化氢、氨执行</w:t>
      </w:r>
      <w:r>
        <w:rPr>
          <w:rFonts w:cs="Times New Roman"/>
          <w:color w:val="000000"/>
        </w:rPr>
        <w:t>《环境影响评价技术导则 大气环境》（HJ 2.2- 2018）附录D中其他污染物空气质量浓度参考限值</w:t>
      </w:r>
      <w:r>
        <w:rPr>
          <w:rFonts w:hint="eastAsia" w:cs="Times New Roman"/>
          <w:color w:val="000000"/>
        </w:rPr>
        <w:t>；</w:t>
      </w:r>
      <w:bookmarkStart w:id="88" w:name="_Hlk194476574"/>
      <w:r>
        <w:rPr>
          <w:rFonts w:hint="eastAsia" w:cs="Times New Roman"/>
          <w:color w:val="000000"/>
        </w:rPr>
        <w:t>臭气仅作本底调查，无质量标准，不评价。</w:t>
      </w:r>
      <w:bookmarkEnd w:id="88"/>
      <w:r>
        <w:rPr>
          <w:snapToGrid w:val="0"/>
          <w:color w:val="000000"/>
        </w:rPr>
        <w:t>具体标准值见表2.</w:t>
      </w:r>
      <w:r>
        <w:rPr>
          <w:rFonts w:hint="eastAsia"/>
          <w:snapToGrid w:val="0"/>
          <w:color w:val="000000"/>
        </w:rPr>
        <w:t>4</w:t>
      </w:r>
      <w:r>
        <w:rPr>
          <w:snapToGrid w:val="0"/>
          <w:color w:val="000000"/>
        </w:rPr>
        <w:t>-</w:t>
      </w:r>
      <w:r>
        <w:rPr>
          <w:rFonts w:hint="eastAsia"/>
          <w:snapToGrid w:val="0"/>
          <w:color w:val="000000"/>
        </w:rPr>
        <w:t>1</w:t>
      </w:r>
      <w:r>
        <w:rPr>
          <w:snapToGrid w:val="0"/>
          <w:color w:val="000000"/>
        </w:rPr>
        <w:t>。</w:t>
      </w:r>
    </w:p>
    <w:p>
      <w:pPr>
        <w:pStyle w:val="53"/>
        <w:rPr>
          <w:snapToGrid w:val="0"/>
        </w:rPr>
      </w:pPr>
      <w:r>
        <w:rPr>
          <w:snapToGrid w:val="0"/>
        </w:rPr>
        <w:t>表2.</w:t>
      </w:r>
      <w:r>
        <w:rPr>
          <w:rFonts w:hint="eastAsia"/>
          <w:snapToGrid w:val="0"/>
        </w:rPr>
        <w:t>4</w:t>
      </w:r>
      <w:r>
        <w:rPr>
          <w:snapToGrid w:val="0"/>
        </w:rPr>
        <w:t>-</w:t>
      </w:r>
      <w:r>
        <w:rPr>
          <w:rFonts w:hint="eastAsia"/>
          <w:snapToGrid w:val="0"/>
        </w:rPr>
        <w:t>1</w:t>
      </w:r>
      <w:r>
        <w:rPr>
          <w:snapToGrid w:val="0"/>
        </w:rPr>
        <w:t xml:space="preserve">  环境空气质量评价执行标准值</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033"/>
        <w:gridCol w:w="1985"/>
        <w:gridCol w:w="2551"/>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pStyle w:val="51"/>
              <w:rPr>
                <w:b/>
                <w:bCs/>
                <w:snapToGrid w:val="0"/>
              </w:rPr>
            </w:pPr>
            <w:r>
              <w:rPr>
                <w:rFonts w:hint="eastAsia"/>
                <w:b/>
                <w:bCs/>
                <w:snapToGrid w:val="0"/>
              </w:rPr>
              <w:t>序号</w:t>
            </w:r>
          </w:p>
        </w:tc>
        <w:tc>
          <w:tcPr>
            <w:tcW w:w="1033" w:type="dxa"/>
            <w:vAlign w:val="center"/>
          </w:tcPr>
          <w:p>
            <w:pPr>
              <w:pStyle w:val="51"/>
              <w:rPr>
                <w:b/>
                <w:bCs/>
                <w:snapToGrid w:val="0"/>
              </w:rPr>
            </w:pPr>
            <w:r>
              <w:rPr>
                <w:rFonts w:hint="eastAsia"/>
                <w:b/>
                <w:bCs/>
                <w:snapToGrid w:val="0"/>
              </w:rPr>
              <w:t>污染物</w:t>
            </w:r>
          </w:p>
        </w:tc>
        <w:tc>
          <w:tcPr>
            <w:tcW w:w="1985" w:type="dxa"/>
            <w:vAlign w:val="center"/>
          </w:tcPr>
          <w:p>
            <w:pPr>
              <w:pStyle w:val="51"/>
              <w:rPr>
                <w:b/>
                <w:bCs/>
                <w:snapToGrid w:val="0"/>
              </w:rPr>
            </w:pPr>
            <w:r>
              <w:rPr>
                <w:rFonts w:hint="eastAsia"/>
                <w:b/>
                <w:bCs/>
                <w:snapToGrid w:val="0"/>
              </w:rPr>
              <w:t>平均时间</w:t>
            </w:r>
          </w:p>
        </w:tc>
        <w:tc>
          <w:tcPr>
            <w:tcW w:w="2551" w:type="dxa"/>
            <w:vAlign w:val="center"/>
          </w:tcPr>
          <w:p>
            <w:pPr>
              <w:pStyle w:val="51"/>
              <w:rPr>
                <w:b/>
                <w:bCs/>
                <w:snapToGrid w:val="0"/>
              </w:rPr>
            </w:pPr>
            <w:r>
              <w:rPr>
                <w:rFonts w:hint="eastAsia"/>
                <w:b/>
                <w:bCs/>
                <w:snapToGrid w:val="0"/>
              </w:rPr>
              <w:t>标准浓度限值（</w:t>
            </w:r>
            <w:r>
              <w:rPr>
                <w:b/>
                <w:bCs/>
                <w:szCs w:val="21"/>
              </w:rPr>
              <w:t>μg/m</w:t>
            </w:r>
            <w:r>
              <w:rPr>
                <w:b/>
                <w:bCs/>
                <w:szCs w:val="21"/>
                <w:vertAlign w:val="superscript"/>
              </w:rPr>
              <w:t>3</w:t>
            </w:r>
            <w:r>
              <w:rPr>
                <w:rFonts w:hint="eastAsia"/>
                <w:b/>
                <w:bCs/>
                <w:snapToGrid w:val="0"/>
              </w:rPr>
              <w:t>）</w:t>
            </w:r>
          </w:p>
        </w:tc>
        <w:tc>
          <w:tcPr>
            <w:tcW w:w="2064" w:type="dxa"/>
            <w:vAlign w:val="center"/>
          </w:tcPr>
          <w:p>
            <w:pPr>
              <w:pStyle w:val="51"/>
              <w:rPr>
                <w:b/>
                <w:bCs/>
                <w:snapToGrid w:val="0"/>
              </w:rPr>
            </w:pPr>
            <w:r>
              <w:rPr>
                <w:rFonts w:hint="eastAsia"/>
                <w:b/>
                <w:bCs/>
                <w:snapToGrid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restart"/>
            <w:vAlign w:val="center"/>
          </w:tcPr>
          <w:p>
            <w:pPr>
              <w:pStyle w:val="51"/>
              <w:rPr>
                <w:snapToGrid w:val="0"/>
              </w:rPr>
            </w:pPr>
            <w:r>
              <w:rPr>
                <w:rFonts w:hint="eastAsia"/>
                <w:snapToGrid w:val="0"/>
              </w:rPr>
              <w:t>1</w:t>
            </w:r>
          </w:p>
        </w:tc>
        <w:tc>
          <w:tcPr>
            <w:tcW w:w="1033" w:type="dxa"/>
            <w:vMerge w:val="restart"/>
            <w:vAlign w:val="center"/>
          </w:tcPr>
          <w:p>
            <w:pPr>
              <w:pStyle w:val="51"/>
              <w:rPr>
                <w:snapToGrid w:val="0"/>
              </w:rPr>
            </w:pPr>
            <w:r>
              <w:rPr>
                <w:rFonts w:hint="eastAsia"/>
                <w:snapToGrid w:val="0"/>
              </w:rPr>
              <w:t>SO</w:t>
            </w:r>
            <w:r>
              <w:rPr>
                <w:rFonts w:hint="eastAsia"/>
                <w:snapToGrid w:val="0"/>
                <w:vertAlign w:val="subscript"/>
              </w:rPr>
              <w:t>2</w:t>
            </w:r>
          </w:p>
        </w:tc>
        <w:tc>
          <w:tcPr>
            <w:tcW w:w="1985" w:type="dxa"/>
            <w:vAlign w:val="center"/>
          </w:tcPr>
          <w:p>
            <w:pPr>
              <w:pStyle w:val="51"/>
              <w:rPr>
                <w:snapToGrid w:val="0"/>
              </w:rPr>
            </w:pPr>
            <w:r>
              <w:rPr>
                <w:rFonts w:hint="eastAsia"/>
                <w:snapToGrid w:val="0"/>
              </w:rPr>
              <w:t>年平均</w:t>
            </w:r>
          </w:p>
        </w:tc>
        <w:tc>
          <w:tcPr>
            <w:tcW w:w="2551" w:type="dxa"/>
            <w:vAlign w:val="center"/>
          </w:tcPr>
          <w:p>
            <w:pPr>
              <w:pStyle w:val="51"/>
              <w:rPr>
                <w:snapToGrid w:val="0"/>
              </w:rPr>
            </w:pPr>
            <w:r>
              <w:rPr>
                <w:rFonts w:hint="eastAsia"/>
                <w:snapToGrid w:val="0"/>
              </w:rPr>
              <w:t>60</w:t>
            </w:r>
          </w:p>
        </w:tc>
        <w:tc>
          <w:tcPr>
            <w:tcW w:w="2064" w:type="dxa"/>
            <w:vMerge w:val="restart"/>
            <w:vAlign w:val="center"/>
          </w:tcPr>
          <w:p>
            <w:pPr>
              <w:pStyle w:val="51"/>
              <w:rPr>
                <w:rFonts w:cs="Times New Roman"/>
                <w:color w:val="000000"/>
              </w:rPr>
            </w:pPr>
            <w:r>
              <w:rPr>
                <w:rFonts w:cs="Times New Roman"/>
                <w:color w:val="000000"/>
              </w:rPr>
              <w:t>GB3095-2012</w:t>
            </w:r>
          </w:p>
          <w:p>
            <w:pPr>
              <w:pStyle w:val="51"/>
              <w:rPr>
                <w:snapToGrid w:val="0"/>
              </w:rPr>
            </w:pPr>
            <w:r>
              <w:rPr>
                <w:rFonts w:cs="Times New Roman"/>
                <w:color w:val="000000"/>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51"/>
              <w:rPr>
                <w:snapToGrid w:val="0"/>
              </w:rPr>
            </w:pPr>
          </w:p>
        </w:tc>
        <w:tc>
          <w:tcPr>
            <w:tcW w:w="1033" w:type="dxa"/>
            <w:vMerge w:val="continue"/>
            <w:vAlign w:val="center"/>
          </w:tcPr>
          <w:p>
            <w:pPr>
              <w:pStyle w:val="51"/>
              <w:rPr>
                <w:snapToGrid w:val="0"/>
              </w:rPr>
            </w:pPr>
          </w:p>
        </w:tc>
        <w:tc>
          <w:tcPr>
            <w:tcW w:w="1985" w:type="dxa"/>
            <w:vAlign w:val="center"/>
          </w:tcPr>
          <w:p>
            <w:pPr>
              <w:pStyle w:val="51"/>
              <w:rPr>
                <w:snapToGrid w:val="0"/>
              </w:rPr>
            </w:pPr>
            <w:r>
              <w:rPr>
                <w:rFonts w:hint="eastAsia"/>
                <w:snapToGrid w:val="0"/>
              </w:rPr>
              <w:t>24小时平均</w:t>
            </w:r>
          </w:p>
        </w:tc>
        <w:tc>
          <w:tcPr>
            <w:tcW w:w="2551" w:type="dxa"/>
            <w:vAlign w:val="center"/>
          </w:tcPr>
          <w:p>
            <w:pPr>
              <w:pStyle w:val="51"/>
              <w:rPr>
                <w:snapToGrid w:val="0"/>
              </w:rPr>
            </w:pPr>
            <w:r>
              <w:rPr>
                <w:rFonts w:hint="eastAsia"/>
                <w:snapToGrid w:val="0"/>
              </w:rPr>
              <w:t>150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3" w:type="dxa"/>
            <w:vMerge w:val="continue"/>
            <w:vAlign w:val="center"/>
          </w:tcPr>
          <w:p>
            <w:pPr>
              <w:pStyle w:val="51"/>
              <w:rPr>
                <w:snapToGrid w:val="0"/>
              </w:rPr>
            </w:pPr>
          </w:p>
        </w:tc>
        <w:tc>
          <w:tcPr>
            <w:tcW w:w="1033" w:type="dxa"/>
            <w:vMerge w:val="continue"/>
            <w:vAlign w:val="center"/>
          </w:tcPr>
          <w:p>
            <w:pPr>
              <w:pStyle w:val="51"/>
              <w:rPr>
                <w:snapToGrid w:val="0"/>
              </w:rPr>
            </w:pPr>
          </w:p>
        </w:tc>
        <w:tc>
          <w:tcPr>
            <w:tcW w:w="1985" w:type="dxa"/>
            <w:vAlign w:val="center"/>
          </w:tcPr>
          <w:p>
            <w:pPr>
              <w:pStyle w:val="51"/>
              <w:rPr>
                <w:snapToGrid w:val="0"/>
              </w:rPr>
            </w:pPr>
            <w:r>
              <w:rPr>
                <w:rFonts w:hint="eastAsia"/>
                <w:snapToGrid w:val="0"/>
              </w:rPr>
              <w:t>1小时平均</w:t>
            </w:r>
          </w:p>
        </w:tc>
        <w:tc>
          <w:tcPr>
            <w:tcW w:w="2551" w:type="dxa"/>
            <w:vAlign w:val="center"/>
          </w:tcPr>
          <w:p>
            <w:pPr>
              <w:pStyle w:val="51"/>
              <w:rPr>
                <w:snapToGrid w:val="0"/>
              </w:rPr>
            </w:pPr>
            <w:r>
              <w:rPr>
                <w:rFonts w:hint="eastAsia"/>
                <w:snapToGrid w:val="0"/>
              </w:rPr>
              <w:t>500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restart"/>
            <w:vAlign w:val="center"/>
          </w:tcPr>
          <w:p>
            <w:pPr>
              <w:pStyle w:val="51"/>
              <w:rPr>
                <w:snapToGrid w:val="0"/>
              </w:rPr>
            </w:pPr>
            <w:r>
              <w:rPr>
                <w:rFonts w:hint="eastAsia"/>
                <w:snapToGrid w:val="0"/>
              </w:rPr>
              <w:t>2</w:t>
            </w:r>
          </w:p>
        </w:tc>
        <w:tc>
          <w:tcPr>
            <w:tcW w:w="1033" w:type="dxa"/>
            <w:vMerge w:val="restart"/>
            <w:vAlign w:val="center"/>
          </w:tcPr>
          <w:p>
            <w:pPr>
              <w:pStyle w:val="51"/>
              <w:rPr>
                <w:snapToGrid w:val="0"/>
              </w:rPr>
            </w:pPr>
            <w:r>
              <w:rPr>
                <w:rFonts w:hint="eastAsia"/>
                <w:snapToGrid w:val="0"/>
              </w:rPr>
              <w:t>NO</w:t>
            </w:r>
            <w:r>
              <w:rPr>
                <w:rFonts w:hint="eastAsia"/>
                <w:snapToGrid w:val="0"/>
                <w:vertAlign w:val="subscript"/>
              </w:rPr>
              <w:t>2</w:t>
            </w:r>
          </w:p>
        </w:tc>
        <w:tc>
          <w:tcPr>
            <w:tcW w:w="1985" w:type="dxa"/>
            <w:vAlign w:val="center"/>
          </w:tcPr>
          <w:p>
            <w:pPr>
              <w:pStyle w:val="51"/>
              <w:rPr>
                <w:snapToGrid w:val="0"/>
              </w:rPr>
            </w:pPr>
            <w:r>
              <w:rPr>
                <w:rFonts w:hint="eastAsia"/>
                <w:snapToGrid w:val="0"/>
              </w:rPr>
              <w:t>年平均</w:t>
            </w:r>
          </w:p>
        </w:tc>
        <w:tc>
          <w:tcPr>
            <w:tcW w:w="2551" w:type="dxa"/>
            <w:vAlign w:val="center"/>
          </w:tcPr>
          <w:p>
            <w:pPr>
              <w:pStyle w:val="51"/>
              <w:rPr>
                <w:snapToGrid w:val="0"/>
              </w:rPr>
            </w:pPr>
            <w:r>
              <w:rPr>
                <w:rFonts w:hint="eastAsia"/>
                <w:snapToGrid w:val="0"/>
              </w:rPr>
              <w:t>40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51"/>
              <w:rPr>
                <w:snapToGrid w:val="0"/>
              </w:rPr>
            </w:pPr>
          </w:p>
        </w:tc>
        <w:tc>
          <w:tcPr>
            <w:tcW w:w="1033" w:type="dxa"/>
            <w:vMerge w:val="continue"/>
            <w:vAlign w:val="center"/>
          </w:tcPr>
          <w:p>
            <w:pPr>
              <w:pStyle w:val="51"/>
              <w:rPr>
                <w:snapToGrid w:val="0"/>
              </w:rPr>
            </w:pPr>
          </w:p>
        </w:tc>
        <w:tc>
          <w:tcPr>
            <w:tcW w:w="1985" w:type="dxa"/>
            <w:vAlign w:val="center"/>
          </w:tcPr>
          <w:p>
            <w:pPr>
              <w:pStyle w:val="51"/>
              <w:rPr>
                <w:snapToGrid w:val="0"/>
              </w:rPr>
            </w:pPr>
            <w:r>
              <w:rPr>
                <w:rFonts w:hint="eastAsia"/>
                <w:snapToGrid w:val="0"/>
              </w:rPr>
              <w:t>24小时平均</w:t>
            </w:r>
          </w:p>
        </w:tc>
        <w:tc>
          <w:tcPr>
            <w:tcW w:w="2551" w:type="dxa"/>
            <w:vAlign w:val="center"/>
          </w:tcPr>
          <w:p>
            <w:pPr>
              <w:pStyle w:val="51"/>
              <w:rPr>
                <w:snapToGrid w:val="0"/>
              </w:rPr>
            </w:pPr>
            <w:r>
              <w:rPr>
                <w:rFonts w:hint="eastAsia"/>
                <w:snapToGrid w:val="0"/>
              </w:rPr>
              <w:t>80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51"/>
              <w:rPr>
                <w:snapToGrid w:val="0"/>
              </w:rPr>
            </w:pPr>
          </w:p>
        </w:tc>
        <w:tc>
          <w:tcPr>
            <w:tcW w:w="1033" w:type="dxa"/>
            <w:vMerge w:val="continue"/>
            <w:vAlign w:val="center"/>
          </w:tcPr>
          <w:p>
            <w:pPr>
              <w:pStyle w:val="51"/>
              <w:rPr>
                <w:snapToGrid w:val="0"/>
              </w:rPr>
            </w:pPr>
          </w:p>
        </w:tc>
        <w:tc>
          <w:tcPr>
            <w:tcW w:w="1985" w:type="dxa"/>
            <w:vAlign w:val="center"/>
          </w:tcPr>
          <w:p>
            <w:pPr>
              <w:pStyle w:val="51"/>
              <w:rPr>
                <w:snapToGrid w:val="0"/>
              </w:rPr>
            </w:pPr>
            <w:r>
              <w:rPr>
                <w:rFonts w:hint="eastAsia"/>
                <w:snapToGrid w:val="0"/>
              </w:rPr>
              <w:t>1小时平均</w:t>
            </w:r>
          </w:p>
        </w:tc>
        <w:tc>
          <w:tcPr>
            <w:tcW w:w="2551" w:type="dxa"/>
            <w:vAlign w:val="center"/>
          </w:tcPr>
          <w:p>
            <w:pPr>
              <w:pStyle w:val="51"/>
              <w:rPr>
                <w:snapToGrid w:val="0"/>
              </w:rPr>
            </w:pPr>
            <w:r>
              <w:rPr>
                <w:rFonts w:hint="eastAsia"/>
                <w:snapToGrid w:val="0"/>
              </w:rPr>
              <w:t>200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3" w:type="dxa"/>
            <w:vMerge w:val="restart"/>
            <w:vAlign w:val="center"/>
          </w:tcPr>
          <w:p>
            <w:pPr>
              <w:pStyle w:val="51"/>
              <w:rPr>
                <w:snapToGrid w:val="0"/>
              </w:rPr>
            </w:pPr>
            <w:r>
              <w:rPr>
                <w:rFonts w:hint="eastAsia"/>
                <w:snapToGrid w:val="0"/>
              </w:rPr>
              <w:t>3</w:t>
            </w:r>
          </w:p>
        </w:tc>
        <w:tc>
          <w:tcPr>
            <w:tcW w:w="1033" w:type="dxa"/>
            <w:vMerge w:val="restart"/>
            <w:vAlign w:val="center"/>
          </w:tcPr>
          <w:p>
            <w:pPr>
              <w:pStyle w:val="51"/>
              <w:rPr>
                <w:snapToGrid w:val="0"/>
              </w:rPr>
            </w:pPr>
            <w:r>
              <w:rPr>
                <w:rFonts w:hint="eastAsia"/>
                <w:snapToGrid w:val="0"/>
              </w:rPr>
              <w:t>CO</w:t>
            </w:r>
          </w:p>
        </w:tc>
        <w:tc>
          <w:tcPr>
            <w:tcW w:w="1985" w:type="dxa"/>
            <w:vAlign w:val="center"/>
          </w:tcPr>
          <w:p>
            <w:pPr>
              <w:pStyle w:val="51"/>
              <w:rPr>
                <w:snapToGrid w:val="0"/>
              </w:rPr>
            </w:pPr>
            <w:r>
              <w:rPr>
                <w:rFonts w:hint="eastAsia"/>
                <w:snapToGrid w:val="0"/>
              </w:rPr>
              <w:t>24小时平均</w:t>
            </w:r>
          </w:p>
        </w:tc>
        <w:tc>
          <w:tcPr>
            <w:tcW w:w="2551" w:type="dxa"/>
            <w:vAlign w:val="center"/>
          </w:tcPr>
          <w:p>
            <w:pPr>
              <w:pStyle w:val="51"/>
              <w:rPr>
                <w:snapToGrid w:val="0"/>
              </w:rPr>
            </w:pPr>
            <w:r>
              <w:rPr>
                <w:rFonts w:hint="eastAsia"/>
                <w:snapToGrid w:val="0"/>
              </w:rPr>
              <w:t>4000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51"/>
              <w:rPr>
                <w:snapToGrid w:val="0"/>
              </w:rPr>
            </w:pPr>
          </w:p>
        </w:tc>
        <w:tc>
          <w:tcPr>
            <w:tcW w:w="1033" w:type="dxa"/>
            <w:vMerge w:val="continue"/>
            <w:vAlign w:val="center"/>
          </w:tcPr>
          <w:p>
            <w:pPr>
              <w:pStyle w:val="51"/>
              <w:rPr>
                <w:snapToGrid w:val="0"/>
              </w:rPr>
            </w:pPr>
          </w:p>
        </w:tc>
        <w:tc>
          <w:tcPr>
            <w:tcW w:w="1985" w:type="dxa"/>
            <w:vAlign w:val="center"/>
          </w:tcPr>
          <w:p>
            <w:pPr>
              <w:pStyle w:val="51"/>
              <w:rPr>
                <w:snapToGrid w:val="0"/>
              </w:rPr>
            </w:pPr>
            <w:r>
              <w:rPr>
                <w:rFonts w:hint="eastAsia"/>
                <w:snapToGrid w:val="0"/>
              </w:rPr>
              <w:t>1小时平均</w:t>
            </w:r>
          </w:p>
        </w:tc>
        <w:tc>
          <w:tcPr>
            <w:tcW w:w="2551" w:type="dxa"/>
            <w:vAlign w:val="center"/>
          </w:tcPr>
          <w:p>
            <w:pPr>
              <w:pStyle w:val="51"/>
              <w:rPr>
                <w:snapToGrid w:val="0"/>
              </w:rPr>
            </w:pPr>
            <w:r>
              <w:rPr>
                <w:rFonts w:hint="eastAsia"/>
                <w:snapToGrid w:val="0"/>
              </w:rPr>
              <w:t>10000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restart"/>
            <w:vAlign w:val="center"/>
          </w:tcPr>
          <w:p>
            <w:pPr>
              <w:pStyle w:val="51"/>
              <w:rPr>
                <w:snapToGrid w:val="0"/>
              </w:rPr>
            </w:pPr>
            <w:r>
              <w:rPr>
                <w:rFonts w:hint="eastAsia"/>
                <w:snapToGrid w:val="0"/>
              </w:rPr>
              <w:t>4</w:t>
            </w:r>
          </w:p>
        </w:tc>
        <w:tc>
          <w:tcPr>
            <w:tcW w:w="1033" w:type="dxa"/>
            <w:vMerge w:val="restart"/>
            <w:vAlign w:val="center"/>
          </w:tcPr>
          <w:p>
            <w:pPr>
              <w:pStyle w:val="51"/>
              <w:rPr>
                <w:snapToGrid w:val="0"/>
              </w:rPr>
            </w:pPr>
            <w:r>
              <w:rPr>
                <w:rFonts w:hint="eastAsia"/>
                <w:snapToGrid w:val="0"/>
              </w:rPr>
              <w:t>O</w:t>
            </w:r>
            <w:r>
              <w:rPr>
                <w:rFonts w:hint="eastAsia"/>
                <w:snapToGrid w:val="0"/>
                <w:vertAlign w:val="subscript"/>
              </w:rPr>
              <w:t>3</w:t>
            </w:r>
          </w:p>
        </w:tc>
        <w:tc>
          <w:tcPr>
            <w:tcW w:w="1985" w:type="dxa"/>
            <w:vAlign w:val="center"/>
          </w:tcPr>
          <w:p>
            <w:pPr>
              <w:pStyle w:val="51"/>
              <w:rPr>
                <w:snapToGrid w:val="0"/>
              </w:rPr>
            </w:pPr>
            <w:r>
              <w:rPr>
                <w:rFonts w:hint="eastAsia"/>
                <w:snapToGrid w:val="0"/>
              </w:rPr>
              <w:t>日最大8小时平均</w:t>
            </w:r>
          </w:p>
        </w:tc>
        <w:tc>
          <w:tcPr>
            <w:tcW w:w="2551" w:type="dxa"/>
            <w:vAlign w:val="center"/>
          </w:tcPr>
          <w:p>
            <w:pPr>
              <w:pStyle w:val="51"/>
              <w:rPr>
                <w:snapToGrid w:val="0"/>
              </w:rPr>
            </w:pPr>
            <w:r>
              <w:rPr>
                <w:rFonts w:hint="eastAsia"/>
                <w:snapToGrid w:val="0"/>
              </w:rPr>
              <w:t>160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51"/>
              <w:rPr>
                <w:snapToGrid w:val="0"/>
              </w:rPr>
            </w:pPr>
          </w:p>
        </w:tc>
        <w:tc>
          <w:tcPr>
            <w:tcW w:w="1033" w:type="dxa"/>
            <w:vMerge w:val="continue"/>
            <w:vAlign w:val="center"/>
          </w:tcPr>
          <w:p>
            <w:pPr>
              <w:pStyle w:val="51"/>
              <w:rPr>
                <w:snapToGrid w:val="0"/>
              </w:rPr>
            </w:pPr>
          </w:p>
        </w:tc>
        <w:tc>
          <w:tcPr>
            <w:tcW w:w="1985" w:type="dxa"/>
            <w:vAlign w:val="center"/>
          </w:tcPr>
          <w:p>
            <w:pPr>
              <w:pStyle w:val="51"/>
              <w:rPr>
                <w:snapToGrid w:val="0"/>
              </w:rPr>
            </w:pPr>
            <w:r>
              <w:rPr>
                <w:rFonts w:hint="eastAsia"/>
                <w:snapToGrid w:val="0"/>
              </w:rPr>
              <w:t>1小时平均</w:t>
            </w:r>
          </w:p>
        </w:tc>
        <w:tc>
          <w:tcPr>
            <w:tcW w:w="2551" w:type="dxa"/>
            <w:vAlign w:val="center"/>
          </w:tcPr>
          <w:p>
            <w:pPr>
              <w:pStyle w:val="51"/>
              <w:rPr>
                <w:snapToGrid w:val="0"/>
              </w:rPr>
            </w:pPr>
            <w:r>
              <w:rPr>
                <w:rFonts w:hint="eastAsia"/>
                <w:snapToGrid w:val="0"/>
              </w:rPr>
              <w:t>200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3" w:type="dxa"/>
            <w:vMerge w:val="restart"/>
            <w:vAlign w:val="center"/>
          </w:tcPr>
          <w:p>
            <w:pPr>
              <w:pStyle w:val="51"/>
              <w:rPr>
                <w:snapToGrid w:val="0"/>
              </w:rPr>
            </w:pPr>
            <w:r>
              <w:rPr>
                <w:rFonts w:hint="eastAsia"/>
                <w:snapToGrid w:val="0"/>
              </w:rPr>
              <w:t>5</w:t>
            </w:r>
          </w:p>
        </w:tc>
        <w:tc>
          <w:tcPr>
            <w:tcW w:w="1033" w:type="dxa"/>
            <w:vMerge w:val="restart"/>
            <w:vAlign w:val="center"/>
          </w:tcPr>
          <w:p>
            <w:pPr>
              <w:pStyle w:val="51"/>
              <w:rPr>
                <w:snapToGrid w:val="0"/>
              </w:rPr>
            </w:pPr>
            <w:r>
              <w:rPr>
                <w:rFonts w:hint="eastAsia"/>
                <w:snapToGrid w:val="0"/>
              </w:rPr>
              <w:t>PM</w:t>
            </w:r>
            <w:r>
              <w:rPr>
                <w:rFonts w:hint="eastAsia"/>
                <w:snapToGrid w:val="0"/>
                <w:vertAlign w:val="subscript"/>
              </w:rPr>
              <w:t>10</w:t>
            </w:r>
          </w:p>
        </w:tc>
        <w:tc>
          <w:tcPr>
            <w:tcW w:w="1985" w:type="dxa"/>
            <w:vAlign w:val="center"/>
          </w:tcPr>
          <w:p>
            <w:pPr>
              <w:pStyle w:val="51"/>
              <w:rPr>
                <w:snapToGrid w:val="0"/>
              </w:rPr>
            </w:pPr>
            <w:r>
              <w:rPr>
                <w:rFonts w:hint="eastAsia"/>
                <w:snapToGrid w:val="0"/>
              </w:rPr>
              <w:t>年平均</w:t>
            </w:r>
          </w:p>
        </w:tc>
        <w:tc>
          <w:tcPr>
            <w:tcW w:w="2551" w:type="dxa"/>
            <w:vAlign w:val="center"/>
          </w:tcPr>
          <w:p>
            <w:pPr>
              <w:pStyle w:val="51"/>
              <w:rPr>
                <w:snapToGrid w:val="0"/>
              </w:rPr>
            </w:pPr>
            <w:r>
              <w:rPr>
                <w:rFonts w:hint="eastAsia"/>
                <w:snapToGrid w:val="0"/>
              </w:rPr>
              <w:t>70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51"/>
              <w:rPr>
                <w:snapToGrid w:val="0"/>
              </w:rPr>
            </w:pPr>
          </w:p>
        </w:tc>
        <w:tc>
          <w:tcPr>
            <w:tcW w:w="1033" w:type="dxa"/>
            <w:vMerge w:val="continue"/>
            <w:vAlign w:val="center"/>
          </w:tcPr>
          <w:p>
            <w:pPr>
              <w:pStyle w:val="51"/>
              <w:rPr>
                <w:snapToGrid w:val="0"/>
              </w:rPr>
            </w:pPr>
          </w:p>
        </w:tc>
        <w:tc>
          <w:tcPr>
            <w:tcW w:w="1985" w:type="dxa"/>
            <w:vAlign w:val="center"/>
          </w:tcPr>
          <w:p>
            <w:pPr>
              <w:pStyle w:val="51"/>
              <w:rPr>
                <w:snapToGrid w:val="0"/>
              </w:rPr>
            </w:pPr>
            <w:r>
              <w:rPr>
                <w:rFonts w:hint="eastAsia"/>
                <w:snapToGrid w:val="0"/>
              </w:rPr>
              <w:t>24小时平均</w:t>
            </w:r>
          </w:p>
        </w:tc>
        <w:tc>
          <w:tcPr>
            <w:tcW w:w="2551" w:type="dxa"/>
            <w:vAlign w:val="center"/>
          </w:tcPr>
          <w:p>
            <w:pPr>
              <w:pStyle w:val="51"/>
              <w:rPr>
                <w:snapToGrid w:val="0"/>
              </w:rPr>
            </w:pPr>
            <w:r>
              <w:rPr>
                <w:rFonts w:hint="eastAsia"/>
                <w:snapToGrid w:val="0"/>
              </w:rPr>
              <w:t>150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restart"/>
            <w:vAlign w:val="center"/>
          </w:tcPr>
          <w:p>
            <w:pPr>
              <w:pStyle w:val="51"/>
              <w:rPr>
                <w:snapToGrid w:val="0"/>
              </w:rPr>
            </w:pPr>
            <w:r>
              <w:rPr>
                <w:rFonts w:hint="eastAsia"/>
                <w:snapToGrid w:val="0"/>
              </w:rPr>
              <w:t>6</w:t>
            </w:r>
          </w:p>
        </w:tc>
        <w:tc>
          <w:tcPr>
            <w:tcW w:w="1033" w:type="dxa"/>
            <w:vMerge w:val="restart"/>
            <w:vAlign w:val="center"/>
          </w:tcPr>
          <w:p>
            <w:pPr>
              <w:pStyle w:val="51"/>
              <w:rPr>
                <w:snapToGrid w:val="0"/>
              </w:rPr>
            </w:pPr>
            <w:r>
              <w:rPr>
                <w:rFonts w:hint="eastAsia"/>
                <w:snapToGrid w:val="0"/>
              </w:rPr>
              <w:t>PM</w:t>
            </w:r>
            <w:r>
              <w:rPr>
                <w:rFonts w:hint="eastAsia"/>
                <w:snapToGrid w:val="0"/>
                <w:vertAlign w:val="subscript"/>
              </w:rPr>
              <w:t>2.5</w:t>
            </w:r>
          </w:p>
        </w:tc>
        <w:tc>
          <w:tcPr>
            <w:tcW w:w="1985" w:type="dxa"/>
            <w:vAlign w:val="center"/>
          </w:tcPr>
          <w:p>
            <w:pPr>
              <w:pStyle w:val="51"/>
              <w:rPr>
                <w:snapToGrid w:val="0"/>
              </w:rPr>
            </w:pPr>
            <w:r>
              <w:rPr>
                <w:rFonts w:hint="eastAsia"/>
                <w:snapToGrid w:val="0"/>
              </w:rPr>
              <w:t>年平均</w:t>
            </w:r>
          </w:p>
        </w:tc>
        <w:tc>
          <w:tcPr>
            <w:tcW w:w="2551" w:type="dxa"/>
            <w:vAlign w:val="center"/>
          </w:tcPr>
          <w:p>
            <w:pPr>
              <w:pStyle w:val="51"/>
              <w:rPr>
                <w:snapToGrid w:val="0"/>
              </w:rPr>
            </w:pPr>
            <w:r>
              <w:rPr>
                <w:rFonts w:hint="eastAsia"/>
                <w:snapToGrid w:val="0"/>
              </w:rPr>
              <w:t>35</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pStyle w:val="51"/>
              <w:rPr>
                <w:snapToGrid w:val="0"/>
              </w:rPr>
            </w:pPr>
          </w:p>
        </w:tc>
        <w:tc>
          <w:tcPr>
            <w:tcW w:w="1033" w:type="dxa"/>
            <w:vMerge w:val="continue"/>
            <w:vAlign w:val="center"/>
          </w:tcPr>
          <w:p>
            <w:pPr>
              <w:pStyle w:val="51"/>
              <w:rPr>
                <w:snapToGrid w:val="0"/>
              </w:rPr>
            </w:pPr>
          </w:p>
        </w:tc>
        <w:tc>
          <w:tcPr>
            <w:tcW w:w="1985" w:type="dxa"/>
            <w:vAlign w:val="center"/>
          </w:tcPr>
          <w:p>
            <w:pPr>
              <w:pStyle w:val="51"/>
              <w:rPr>
                <w:snapToGrid w:val="0"/>
              </w:rPr>
            </w:pPr>
            <w:r>
              <w:rPr>
                <w:rFonts w:hint="eastAsia"/>
                <w:snapToGrid w:val="0"/>
              </w:rPr>
              <w:t>24小时平均</w:t>
            </w:r>
          </w:p>
        </w:tc>
        <w:tc>
          <w:tcPr>
            <w:tcW w:w="2551" w:type="dxa"/>
            <w:vAlign w:val="center"/>
          </w:tcPr>
          <w:p>
            <w:pPr>
              <w:pStyle w:val="51"/>
              <w:rPr>
                <w:snapToGrid w:val="0"/>
              </w:rPr>
            </w:pPr>
            <w:r>
              <w:rPr>
                <w:rFonts w:hint="eastAsia"/>
                <w:snapToGrid w:val="0"/>
              </w:rPr>
              <w:t>75</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3" w:type="dxa"/>
            <w:vAlign w:val="center"/>
          </w:tcPr>
          <w:p>
            <w:pPr>
              <w:pStyle w:val="51"/>
              <w:rPr>
                <w:snapToGrid w:val="0"/>
              </w:rPr>
            </w:pPr>
            <w:r>
              <w:rPr>
                <w:rFonts w:hint="eastAsia"/>
                <w:snapToGrid w:val="0"/>
              </w:rPr>
              <w:t>7</w:t>
            </w:r>
          </w:p>
        </w:tc>
        <w:tc>
          <w:tcPr>
            <w:tcW w:w="1033" w:type="dxa"/>
            <w:vAlign w:val="center"/>
          </w:tcPr>
          <w:p>
            <w:pPr>
              <w:pStyle w:val="51"/>
              <w:rPr>
                <w:snapToGrid w:val="0"/>
              </w:rPr>
            </w:pPr>
            <w:r>
              <w:rPr>
                <w:rFonts w:hint="eastAsia"/>
                <w:snapToGrid w:val="0"/>
              </w:rPr>
              <w:t>TSP</w:t>
            </w:r>
          </w:p>
        </w:tc>
        <w:tc>
          <w:tcPr>
            <w:tcW w:w="1985" w:type="dxa"/>
            <w:vAlign w:val="center"/>
          </w:tcPr>
          <w:p>
            <w:pPr>
              <w:pStyle w:val="51"/>
              <w:rPr>
                <w:snapToGrid w:val="0"/>
              </w:rPr>
            </w:pPr>
            <w:r>
              <w:rPr>
                <w:rFonts w:hint="eastAsia"/>
                <w:snapToGrid w:val="0"/>
              </w:rPr>
              <w:t>24小时平均</w:t>
            </w:r>
          </w:p>
        </w:tc>
        <w:tc>
          <w:tcPr>
            <w:tcW w:w="2551" w:type="dxa"/>
            <w:vAlign w:val="center"/>
          </w:tcPr>
          <w:p>
            <w:pPr>
              <w:pStyle w:val="51"/>
              <w:rPr>
                <w:snapToGrid w:val="0"/>
              </w:rPr>
            </w:pPr>
            <w:r>
              <w:rPr>
                <w:rFonts w:hint="eastAsia"/>
                <w:snapToGrid w:val="0"/>
              </w:rPr>
              <w:t>300</w:t>
            </w:r>
          </w:p>
        </w:tc>
        <w:tc>
          <w:tcPr>
            <w:tcW w:w="2064"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pStyle w:val="51"/>
              <w:rPr>
                <w:snapToGrid w:val="0"/>
              </w:rPr>
            </w:pPr>
            <w:r>
              <w:rPr>
                <w:rFonts w:hint="eastAsia"/>
                <w:snapToGrid w:val="0"/>
              </w:rPr>
              <w:t>8</w:t>
            </w:r>
          </w:p>
        </w:tc>
        <w:tc>
          <w:tcPr>
            <w:tcW w:w="1033" w:type="dxa"/>
            <w:vAlign w:val="center"/>
          </w:tcPr>
          <w:p>
            <w:pPr>
              <w:pStyle w:val="51"/>
              <w:rPr>
                <w:snapToGrid w:val="0"/>
              </w:rPr>
            </w:pPr>
            <w:r>
              <w:rPr>
                <w:rFonts w:hint="eastAsia"/>
                <w:snapToGrid w:val="0"/>
              </w:rPr>
              <w:t>硫化氢</w:t>
            </w:r>
          </w:p>
        </w:tc>
        <w:tc>
          <w:tcPr>
            <w:tcW w:w="1985" w:type="dxa"/>
            <w:vAlign w:val="center"/>
          </w:tcPr>
          <w:p>
            <w:pPr>
              <w:pStyle w:val="51"/>
              <w:rPr>
                <w:snapToGrid w:val="0"/>
              </w:rPr>
            </w:pPr>
            <w:r>
              <w:rPr>
                <w:rFonts w:hint="eastAsia"/>
                <w:snapToGrid w:val="0"/>
              </w:rPr>
              <w:t>1小时平均</w:t>
            </w:r>
          </w:p>
        </w:tc>
        <w:tc>
          <w:tcPr>
            <w:tcW w:w="2551" w:type="dxa"/>
            <w:vAlign w:val="center"/>
          </w:tcPr>
          <w:p>
            <w:pPr>
              <w:pStyle w:val="51"/>
              <w:rPr>
                <w:snapToGrid w:val="0"/>
              </w:rPr>
            </w:pPr>
            <w:r>
              <w:rPr>
                <w:rFonts w:hint="eastAsia"/>
                <w:snapToGrid w:val="0"/>
              </w:rPr>
              <w:t>10</w:t>
            </w:r>
          </w:p>
        </w:tc>
        <w:tc>
          <w:tcPr>
            <w:tcW w:w="2064" w:type="dxa"/>
            <w:vMerge w:val="restart"/>
            <w:vAlign w:val="center"/>
          </w:tcPr>
          <w:p>
            <w:pPr>
              <w:pStyle w:val="51"/>
              <w:rPr>
                <w:szCs w:val="21"/>
              </w:rPr>
            </w:pPr>
            <w:r>
              <w:rPr>
                <w:szCs w:val="21"/>
              </w:rPr>
              <w:t>HJ2.2-2018 附录D</w:t>
            </w:r>
          </w:p>
          <w:p>
            <w:pPr>
              <w:pStyle w:val="51"/>
              <w:rPr>
                <w:snapToGrid w:val="0"/>
              </w:rPr>
            </w:pPr>
            <w:r>
              <w:rPr>
                <w:szCs w:val="21"/>
              </w:rPr>
              <w:t>中限值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pStyle w:val="51"/>
              <w:rPr>
                <w:snapToGrid w:val="0"/>
              </w:rPr>
            </w:pPr>
            <w:r>
              <w:rPr>
                <w:rFonts w:hint="eastAsia"/>
                <w:snapToGrid w:val="0"/>
              </w:rPr>
              <w:t>9</w:t>
            </w:r>
          </w:p>
        </w:tc>
        <w:tc>
          <w:tcPr>
            <w:tcW w:w="1033" w:type="dxa"/>
            <w:vAlign w:val="center"/>
          </w:tcPr>
          <w:p>
            <w:pPr>
              <w:pStyle w:val="51"/>
              <w:rPr>
                <w:snapToGrid w:val="0"/>
              </w:rPr>
            </w:pPr>
            <w:r>
              <w:rPr>
                <w:rFonts w:hint="eastAsia"/>
                <w:snapToGrid w:val="0"/>
              </w:rPr>
              <w:t>氨</w:t>
            </w:r>
          </w:p>
        </w:tc>
        <w:tc>
          <w:tcPr>
            <w:tcW w:w="1985" w:type="dxa"/>
            <w:vAlign w:val="center"/>
          </w:tcPr>
          <w:p>
            <w:pPr>
              <w:pStyle w:val="51"/>
              <w:rPr>
                <w:snapToGrid w:val="0"/>
              </w:rPr>
            </w:pPr>
            <w:r>
              <w:rPr>
                <w:rFonts w:hint="eastAsia"/>
                <w:snapToGrid w:val="0"/>
              </w:rPr>
              <w:t>1小时平均</w:t>
            </w:r>
          </w:p>
        </w:tc>
        <w:tc>
          <w:tcPr>
            <w:tcW w:w="2551" w:type="dxa"/>
            <w:vAlign w:val="center"/>
          </w:tcPr>
          <w:p>
            <w:pPr>
              <w:pStyle w:val="51"/>
              <w:rPr>
                <w:snapToGrid w:val="0"/>
              </w:rPr>
            </w:pPr>
            <w:r>
              <w:rPr>
                <w:rFonts w:hint="eastAsia"/>
                <w:snapToGrid w:val="0"/>
              </w:rPr>
              <w:t>200</w:t>
            </w:r>
          </w:p>
        </w:tc>
        <w:tc>
          <w:tcPr>
            <w:tcW w:w="2064" w:type="dxa"/>
            <w:vMerge w:val="continue"/>
            <w:vAlign w:val="center"/>
          </w:tcPr>
          <w:p>
            <w:pPr>
              <w:pStyle w:val="51"/>
              <w:rPr>
                <w:snapToGrid w:val="0"/>
              </w:rPr>
            </w:pPr>
          </w:p>
        </w:tc>
      </w:tr>
    </w:tbl>
    <w:p>
      <w:pPr>
        <w:pStyle w:val="5"/>
      </w:pPr>
      <w:r>
        <w:rPr>
          <w:rFonts w:hint="eastAsia"/>
        </w:rPr>
        <w:t>2</w:t>
      </w:r>
      <w:r>
        <w:t>.</w:t>
      </w:r>
      <w:r>
        <w:rPr>
          <w:rFonts w:hint="eastAsia"/>
        </w:rPr>
        <w:t>4</w:t>
      </w:r>
      <w:r>
        <w:t>.</w:t>
      </w:r>
      <w:r>
        <w:rPr>
          <w:rFonts w:hint="eastAsia"/>
        </w:rPr>
        <w:t>1.2</w:t>
      </w:r>
      <w:r>
        <w:t xml:space="preserve"> </w:t>
      </w:r>
      <w:r>
        <w:rPr>
          <w:rFonts w:hint="eastAsia"/>
        </w:rPr>
        <w:t>地表水环境质量标准</w:t>
      </w:r>
    </w:p>
    <w:p>
      <w:pPr>
        <w:pStyle w:val="49"/>
        <w:ind w:firstLine="480"/>
        <w:rPr>
          <w:snapToGrid w:val="0"/>
        </w:rPr>
      </w:pPr>
      <w:r>
        <w:rPr>
          <w:rFonts w:hint="eastAsia"/>
          <w:snapToGrid w:val="0"/>
        </w:rPr>
        <w:t>区域地表水水质执行《地表水环境质量标准》（</w:t>
      </w:r>
      <w:r>
        <w:rPr>
          <w:snapToGrid w:val="0"/>
        </w:rPr>
        <w:t>GB3838-2002</w:t>
      </w:r>
      <w:r>
        <w:rPr>
          <w:rFonts w:hint="eastAsia"/>
          <w:snapToGrid w:val="0"/>
        </w:rPr>
        <w:t>）中的</w:t>
      </w:r>
      <w:r>
        <w:rPr>
          <w:snapToGrid w:val="0"/>
        </w:rPr>
        <w:t>Ⅲ</w:t>
      </w:r>
      <w:r>
        <w:rPr>
          <w:rFonts w:hint="eastAsia"/>
          <w:snapToGrid w:val="0"/>
        </w:rPr>
        <w:t>类标准限值</w:t>
      </w:r>
      <w:r>
        <w:rPr>
          <w:rFonts w:hint="eastAsia"/>
        </w:rPr>
        <w:t>，</w:t>
      </w:r>
      <w:r>
        <w:rPr>
          <w:snapToGrid w:val="0"/>
          <w:color w:val="000000"/>
        </w:rPr>
        <w:t>详细标准值见表2.</w:t>
      </w:r>
      <w:r>
        <w:rPr>
          <w:rFonts w:hint="eastAsia"/>
          <w:snapToGrid w:val="0"/>
          <w:color w:val="000000"/>
        </w:rPr>
        <w:t>4</w:t>
      </w:r>
      <w:r>
        <w:rPr>
          <w:snapToGrid w:val="0"/>
          <w:color w:val="000000"/>
        </w:rPr>
        <w:t>-2。</w:t>
      </w:r>
    </w:p>
    <w:p>
      <w:pPr>
        <w:pStyle w:val="53"/>
        <w:rPr>
          <w:snapToGrid w:val="0"/>
        </w:rPr>
      </w:pPr>
      <w:r>
        <w:rPr>
          <w:snapToGrid w:val="0"/>
        </w:rPr>
        <w:t>表2.6-2 《地表水环境质量标准》（GB3838-2002）</w:t>
      </w:r>
    </w:p>
    <w:tbl>
      <w:tblPr>
        <w:tblStyle w:val="39"/>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2132"/>
        <w:gridCol w:w="2561"/>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pPr>
              <w:widowControl w:val="0"/>
              <w:jc w:val="center"/>
              <w:rPr>
                <w:rFonts w:ascii="Times New Roman" w:hAnsi="Times New Roman" w:cs="Times New Roman"/>
                <w:bCs/>
                <w:kern w:val="2"/>
                <w:sz w:val="21"/>
                <w:szCs w:val="21"/>
                <w14:ligatures w14:val="none"/>
              </w:rPr>
            </w:pPr>
            <w:r>
              <w:rPr>
                <w:rFonts w:ascii="Times New Roman" w:hAnsi="Times New Roman" w:cs="Times New Roman"/>
                <w:bCs/>
                <w:kern w:val="2"/>
                <w:sz w:val="21"/>
                <w:szCs w:val="21"/>
                <w14:ligatures w14:val="none"/>
              </w:rPr>
              <w:t>项目</w:t>
            </w:r>
          </w:p>
        </w:tc>
        <w:tc>
          <w:tcPr>
            <w:tcW w:w="2132" w:type="dxa"/>
            <w:vAlign w:val="center"/>
          </w:tcPr>
          <w:p>
            <w:pPr>
              <w:widowControl w:val="0"/>
              <w:jc w:val="center"/>
              <w:rPr>
                <w:rFonts w:ascii="Times New Roman" w:hAnsi="Times New Roman" w:cs="Times New Roman"/>
                <w:bCs/>
                <w:kern w:val="2"/>
                <w:sz w:val="21"/>
                <w:szCs w:val="21"/>
                <w14:ligatures w14:val="none"/>
              </w:rPr>
            </w:pPr>
            <w:r>
              <w:rPr>
                <w:rFonts w:ascii="Times New Roman" w:hAnsi="Times New Roman" w:cs="Times New Roman"/>
                <w:bCs/>
                <w:kern w:val="2"/>
                <w:sz w:val="21"/>
                <w:szCs w:val="21"/>
                <w14:ligatures w14:val="none"/>
              </w:rPr>
              <w:t>Ⅲ类标准</w:t>
            </w:r>
          </w:p>
        </w:tc>
        <w:tc>
          <w:tcPr>
            <w:tcW w:w="2561" w:type="dxa"/>
            <w:vAlign w:val="center"/>
          </w:tcPr>
          <w:p>
            <w:pPr>
              <w:widowControl w:val="0"/>
              <w:jc w:val="center"/>
              <w:rPr>
                <w:rFonts w:ascii="Times New Roman" w:hAnsi="Times New Roman" w:cs="Times New Roman"/>
                <w:bCs/>
                <w:kern w:val="2"/>
                <w:sz w:val="21"/>
                <w:szCs w:val="21"/>
                <w14:ligatures w14:val="none"/>
              </w:rPr>
            </w:pPr>
            <w:r>
              <w:rPr>
                <w:rFonts w:ascii="Times New Roman" w:hAnsi="Times New Roman" w:cs="Times New Roman"/>
                <w:bCs/>
                <w:kern w:val="2"/>
                <w:sz w:val="21"/>
                <w:szCs w:val="21"/>
                <w14:ligatures w14:val="none"/>
              </w:rPr>
              <w:t>项目</w:t>
            </w:r>
          </w:p>
        </w:tc>
        <w:tc>
          <w:tcPr>
            <w:tcW w:w="2044" w:type="dxa"/>
            <w:vAlign w:val="center"/>
          </w:tcPr>
          <w:p>
            <w:pPr>
              <w:widowControl w:val="0"/>
              <w:jc w:val="center"/>
              <w:rPr>
                <w:rFonts w:ascii="Times New Roman" w:hAnsi="Times New Roman" w:cs="Times New Roman"/>
                <w:bCs/>
                <w:kern w:val="2"/>
                <w:sz w:val="21"/>
                <w:szCs w:val="21"/>
                <w14:ligatures w14:val="none"/>
              </w:rPr>
            </w:pPr>
            <w:r>
              <w:rPr>
                <w:rFonts w:ascii="Times New Roman" w:hAnsi="Times New Roman" w:cs="Times New Roman"/>
                <w:bCs/>
                <w:kern w:val="2"/>
                <w:sz w:val="21"/>
                <w:szCs w:val="21"/>
                <w14:ligatures w14:val="none"/>
              </w:rPr>
              <w:t>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pH</w:t>
            </w:r>
          </w:p>
        </w:tc>
        <w:tc>
          <w:tcPr>
            <w:tcW w:w="2132"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6-9</w:t>
            </w:r>
          </w:p>
        </w:tc>
        <w:tc>
          <w:tcPr>
            <w:tcW w:w="2561"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COD</w:t>
            </w:r>
            <w:r>
              <w:rPr>
                <w:rFonts w:ascii="Times New Roman" w:hAnsi="Times New Roman" w:cs="Times New Roman"/>
                <w:kern w:val="2"/>
                <w:sz w:val="21"/>
                <w:szCs w:val="21"/>
                <w:vertAlign w:val="subscript"/>
                <w14:ligatures w14:val="none"/>
              </w:rPr>
              <w:t>Mn</w:t>
            </w:r>
            <w:r>
              <w:rPr>
                <w:rFonts w:ascii="Times New Roman" w:hAnsi="Times New Roman" w:cs="Times New Roman"/>
                <w:kern w:val="2"/>
                <w:sz w:val="21"/>
                <w:szCs w:val="21"/>
                <w14:ligatures w14:val="none"/>
              </w:rPr>
              <w:t>（</w:t>
            </w:r>
            <w:r>
              <w:rPr>
                <w:rFonts w:ascii="Times New Roman" w:hAnsi="Times New Roman" w:cs="Times New Roman"/>
                <w:kern w:val="2"/>
                <w:sz w:val="21"/>
                <w14:ligatures w14:val="none"/>
              </w:rPr>
              <w:t>mg/L</w:t>
            </w:r>
            <w:r>
              <w:rPr>
                <w:rFonts w:ascii="Times New Roman" w:hAnsi="Times New Roman" w:cs="Times New Roman"/>
                <w:kern w:val="2"/>
                <w:sz w:val="21"/>
                <w:szCs w:val="21"/>
                <w14:ligatures w14:val="none"/>
              </w:rPr>
              <w:t>）</w:t>
            </w:r>
          </w:p>
        </w:tc>
        <w:tc>
          <w:tcPr>
            <w:tcW w:w="2044"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6"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BOD</w:t>
            </w:r>
            <w:r>
              <w:rPr>
                <w:rFonts w:ascii="Times New Roman" w:hAnsi="Times New Roman" w:cs="Times New Roman"/>
                <w:kern w:val="2"/>
                <w:sz w:val="21"/>
                <w:szCs w:val="21"/>
                <w:vertAlign w:val="subscript"/>
                <w14:ligatures w14:val="none"/>
              </w:rPr>
              <w:t>5</w:t>
            </w:r>
            <w:r>
              <w:rPr>
                <w:rFonts w:ascii="Times New Roman" w:hAnsi="Times New Roman" w:cs="Times New Roman"/>
                <w:kern w:val="2"/>
                <w:sz w:val="21"/>
                <w:szCs w:val="21"/>
                <w14:ligatures w14:val="none"/>
              </w:rPr>
              <w:t>（</w:t>
            </w:r>
            <w:r>
              <w:rPr>
                <w:rFonts w:ascii="Times New Roman" w:hAnsi="Times New Roman" w:cs="Times New Roman"/>
                <w:kern w:val="2"/>
                <w:sz w:val="21"/>
                <w14:ligatures w14:val="none"/>
              </w:rPr>
              <w:t>mg/L</w:t>
            </w:r>
            <w:r>
              <w:rPr>
                <w:rFonts w:ascii="Times New Roman" w:hAnsi="Times New Roman" w:cs="Times New Roman"/>
                <w:kern w:val="2"/>
                <w:sz w:val="21"/>
                <w:szCs w:val="21"/>
                <w14:ligatures w14:val="none"/>
              </w:rPr>
              <w:t>）</w:t>
            </w:r>
          </w:p>
        </w:tc>
        <w:tc>
          <w:tcPr>
            <w:tcW w:w="2132"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≤4</w:t>
            </w:r>
          </w:p>
        </w:tc>
        <w:tc>
          <w:tcPr>
            <w:tcW w:w="2561"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氨氮（</w:t>
            </w:r>
            <w:r>
              <w:rPr>
                <w:rFonts w:ascii="Times New Roman" w:hAnsi="Times New Roman" w:cs="Times New Roman"/>
                <w:kern w:val="2"/>
                <w:sz w:val="21"/>
                <w14:ligatures w14:val="none"/>
              </w:rPr>
              <w:t>mg/L</w:t>
            </w:r>
            <w:r>
              <w:rPr>
                <w:rFonts w:ascii="Times New Roman" w:hAnsi="Times New Roman" w:cs="Times New Roman"/>
                <w:kern w:val="2"/>
                <w:sz w:val="21"/>
                <w:szCs w:val="21"/>
                <w14:ligatures w14:val="none"/>
              </w:rPr>
              <w:t>）</w:t>
            </w:r>
          </w:p>
        </w:tc>
        <w:tc>
          <w:tcPr>
            <w:tcW w:w="2044"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06"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SS（</w:t>
            </w:r>
            <w:r>
              <w:rPr>
                <w:rFonts w:ascii="Times New Roman" w:hAnsi="Times New Roman" w:cs="Times New Roman"/>
                <w:kern w:val="2"/>
                <w:sz w:val="21"/>
                <w14:ligatures w14:val="none"/>
              </w:rPr>
              <w:t>mg/L</w:t>
            </w:r>
            <w:r>
              <w:rPr>
                <w:rFonts w:ascii="Times New Roman" w:hAnsi="Times New Roman" w:cs="Times New Roman"/>
                <w:kern w:val="2"/>
                <w:sz w:val="21"/>
                <w:szCs w:val="21"/>
                <w14:ligatures w14:val="none"/>
              </w:rPr>
              <w:t>）</w:t>
            </w:r>
          </w:p>
        </w:tc>
        <w:tc>
          <w:tcPr>
            <w:tcW w:w="2132"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≤30</w:t>
            </w:r>
          </w:p>
        </w:tc>
        <w:tc>
          <w:tcPr>
            <w:tcW w:w="2561"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总磷（</w:t>
            </w:r>
            <w:r>
              <w:rPr>
                <w:rFonts w:ascii="Times New Roman" w:hAnsi="Times New Roman" w:cs="Times New Roman"/>
                <w:kern w:val="2"/>
                <w:sz w:val="21"/>
                <w14:ligatures w14:val="none"/>
              </w:rPr>
              <w:t>mg/L</w:t>
            </w:r>
            <w:r>
              <w:rPr>
                <w:rFonts w:ascii="Times New Roman" w:hAnsi="Times New Roman" w:cs="Times New Roman"/>
                <w:kern w:val="2"/>
                <w:sz w:val="21"/>
                <w:szCs w:val="21"/>
                <w14:ligatures w14:val="none"/>
              </w:rPr>
              <w:t>）</w:t>
            </w:r>
            <w:r>
              <w:rPr>
                <w:rFonts w:hint="eastAsia" w:ascii="Times New Roman" w:hAnsi="Times New Roman" w:cs="Times New Roman"/>
                <w:kern w:val="2"/>
                <w:sz w:val="21"/>
                <w:szCs w:val="21"/>
                <w14:ligatures w14:val="none"/>
              </w:rPr>
              <w:t>（河流）</w:t>
            </w:r>
          </w:p>
        </w:tc>
        <w:tc>
          <w:tcPr>
            <w:tcW w:w="2044"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106"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粪大肠菌（</w:t>
            </w:r>
            <w:r>
              <w:rPr>
                <w:rFonts w:ascii="Times New Roman" w:hAnsi="Times New Roman" w:cs="Times New Roman"/>
                <w:kern w:val="2"/>
                <w:sz w:val="21"/>
                <w14:ligatures w14:val="none"/>
              </w:rPr>
              <w:t>个/L</w:t>
            </w:r>
            <w:r>
              <w:rPr>
                <w:rFonts w:ascii="Times New Roman" w:hAnsi="Times New Roman" w:cs="Times New Roman"/>
                <w:kern w:val="2"/>
                <w:sz w:val="21"/>
                <w:szCs w:val="21"/>
                <w14:ligatures w14:val="none"/>
              </w:rPr>
              <w:t>）</w:t>
            </w:r>
          </w:p>
        </w:tc>
        <w:tc>
          <w:tcPr>
            <w:tcW w:w="2132"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≤10000</w:t>
            </w:r>
          </w:p>
        </w:tc>
        <w:tc>
          <w:tcPr>
            <w:tcW w:w="2561"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总磷（</w:t>
            </w:r>
            <w:r>
              <w:rPr>
                <w:rFonts w:ascii="Times New Roman" w:hAnsi="Times New Roman" w:cs="Times New Roman"/>
                <w:kern w:val="2"/>
                <w:sz w:val="21"/>
                <w14:ligatures w14:val="none"/>
              </w:rPr>
              <w:t>mg/L</w:t>
            </w:r>
            <w:r>
              <w:rPr>
                <w:rFonts w:ascii="Times New Roman" w:hAnsi="Times New Roman" w:cs="Times New Roman"/>
                <w:kern w:val="2"/>
                <w:sz w:val="21"/>
                <w:szCs w:val="21"/>
                <w14:ligatures w14:val="none"/>
              </w:rPr>
              <w:t>）</w:t>
            </w:r>
            <w:r>
              <w:rPr>
                <w:rFonts w:hint="eastAsia" w:ascii="Times New Roman" w:hAnsi="Times New Roman" w:cs="Times New Roman"/>
                <w:kern w:val="2"/>
                <w:sz w:val="21"/>
                <w:szCs w:val="21"/>
                <w14:ligatures w14:val="none"/>
              </w:rPr>
              <w:t>（湖、库）</w:t>
            </w:r>
          </w:p>
        </w:tc>
        <w:tc>
          <w:tcPr>
            <w:tcW w:w="2044" w:type="dxa"/>
            <w:vAlign w:val="center"/>
          </w:tcPr>
          <w:p>
            <w:pPr>
              <w:widowControl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≤0.</w:t>
            </w:r>
            <w:r>
              <w:rPr>
                <w:rFonts w:hint="eastAsia" w:ascii="Times New Roman" w:hAnsi="Times New Roman" w:cs="Times New Roman"/>
                <w:kern w:val="2"/>
                <w:sz w:val="21"/>
                <w:szCs w:val="21"/>
                <w14:ligatures w14:val="none"/>
              </w:rPr>
              <w:t>05</w:t>
            </w:r>
          </w:p>
        </w:tc>
      </w:tr>
    </w:tbl>
    <w:p>
      <w:pPr>
        <w:pStyle w:val="5"/>
        <w:keepNext w:val="0"/>
        <w:keepLines w:val="0"/>
      </w:pPr>
      <w:r>
        <w:rPr>
          <w:rFonts w:hint="eastAsia"/>
        </w:rPr>
        <w:t>2</w:t>
      </w:r>
      <w:r>
        <w:t>.</w:t>
      </w:r>
      <w:r>
        <w:rPr>
          <w:rFonts w:hint="eastAsia"/>
        </w:rPr>
        <w:t>4</w:t>
      </w:r>
      <w:r>
        <w:t>.</w:t>
      </w:r>
      <w:r>
        <w:rPr>
          <w:rFonts w:hint="eastAsia"/>
        </w:rPr>
        <w:t>1.3</w:t>
      </w:r>
      <w:r>
        <w:t xml:space="preserve"> </w:t>
      </w:r>
      <w:r>
        <w:rPr>
          <w:rFonts w:hint="eastAsia"/>
        </w:rPr>
        <w:t>地下水环境质量标准</w:t>
      </w:r>
    </w:p>
    <w:p>
      <w:pPr>
        <w:pStyle w:val="49"/>
        <w:ind w:firstLine="480"/>
        <w:rPr>
          <w:snapToGrid w:val="0"/>
        </w:rPr>
      </w:pPr>
      <w:r>
        <w:rPr>
          <w:rFonts w:hint="eastAsia"/>
          <w:snapToGrid w:val="0"/>
        </w:rPr>
        <w:t>本项目评价区域地下水环境质量</w:t>
      </w:r>
      <w:r>
        <w:rPr>
          <w:snapToGrid w:val="0"/>
        </w:rPr>
        <w:t>执行《地下水质量标准》（GB/T 14848-2017）Ⅲ类标准，</w:t>
      </w:r>
      <w:bookmarkStart w:id="89" w:name="_Hlk167089727"/>
      <w:r>
        <w:rPr>
          <w:snapToGrid w:val="0"/>
        </w:rPr>
        <w:t>详细标准值见表2.</w:t>
      </w:r>
      <w:r>
        <w:rPr>
          <w:rFonts w:hint="eastAsia"/>
          <w:snapToGrid w:val="0"/>
        </w:rPr>
        <w:t>4</w:t>
      </w:r>
      <w:r>
        <w:rPr>
          <w:snapToGrid w:val="0"/>
        </w:rPr>
        <w:t>-</w:t>
      </w:r>
      <w:r>
        <w:rPr>
          <w:rFonts w:hint="eastAsia"/>
          <w:snapToGrid w:val="0"/>
        </w:rPr>
        <w:t>3</w:t>
      </w:r>
      <w:r>
        <w:rPr>
          <w:snapToGrid w:val="0"/>
        </w:rPr>
        <w:t>。</w:t>
      </w:r>
    </w:p>
    <w:bookmarkEnd w:id="89"/>
    <w:p>
      <w:pPr>
        <w:pStyle w:val="53"/>
        <w:rPr>
          <w:snapToGrid w:val="0"/>
        </w:rPr>
      </w:pPr>
    </w:p>
    <w:p>
      <w:pPr>
        <w:pStyle w:val="53"/>
        <w:rPr>
          <w:snapToGrid w:val="0"/>
        </w:rPr>
      </w:pPr>
    </w:p>
    <w:p>
      <w:pPr>
        <w:pStyle w:val="53"/>
        <w:rPr>
          <w:snapToGrid w:val="0"/>
        </w:rPr>
      </w:pPr>
      <w:r>
        <w:rPr>
          <w:snapToGrid w:val="0"/>
        </w:rPr>
        <w:t>表2.6-</w:t>
      </w:r>
      <w:r>
        <w:rPr>
          <w:rFonts w:hint="eastAsia"/>
          <w:snapToGrid w:val="0"/>
        </w:rPr>
        <w:t>3</w:t>
      </w:r>
      <w:r>
        <w:rPr>
          <w:snapToGrid w:val="0"/>
        </w:rPr>
        <w:t xml:space="preserve"> 《地下水质量标准》（GB/T14848-2017）Ⅲ类标准值</w:t>
      </w:r>
    </w:p>
    <w:tbl>
      <w:tblPr>
        <w:tblStyle w:val="40"/>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9"/>
        <w:gridCol w:w="4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rPr>
                <w:b/>
                <w:bCs/>
              </w:rPr>
            </w:pPr>
            <w:r>
              <w:rPr>
                <w:rFonts w:hint="eastAsia"/>
                <w:b/>
                <w:bCs/>
              </w:rPr>
              <w:t>项目</w:t>
            </w:r>
          </w:p>
        </w:tc>
        <w:tc>
          <w:tcPr>
            <w:tcW w:w="4362" w:type="dxa"/>
            <w:vAlign w:val="center"/>
          </w:tcPr>
          <w:p>
            <w:pPr>
              <w:pStyle w:val="51"/>
              <w:rPr>
                <w:b/>
                <w:bCs/>
              </w:rPr>
            </w:pPr>
            <w:r>
              <w:rPr>
                <w:rFonts w:cs="Times New Roman"/>
                <w:b/>
                <w:bCs/>
              </w:rPr>
              <w:t>Ⅲ</w:t>
            </w:r>
            <w:r>
              <w:rPr>
                <w:rFonts w:hint="eastAsia" w:cs="Times New Roman"/>
                <w:b/>
                <w:bCs/>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4362" w:type="dxa"/>
            <w:vAlign w:val="center"/>
          </w:tcPr>
          <w:p>
            <w:pPr>
              <w:pStyle w:val="51"/>
              <w:rPr>
                <w:color w:val="000000" w:themeColor="text1"/>
                <w14:textFill>
                  <w14:solidFill>
                    <w14:schemeClr w14:val="tx1"/>
                  </w14:solidFill>
                </w14:textFill>
              </w:rPr>
            </w:pPr>
            <w:r>
              <w:rPr>
                <w:rFonts w:hint="eastAsia"/>
                <w:color w:val="000000" w:themeColor="text1"/>
                <w14:textFill>
                  <w14:solidFill>
                    <w14:schemeClr w14:val="tx1"/>
                  </w14:solidFill>
                </w14:textFill>
              </w:rPr>
              <w:t>6.5≤pH≤8.5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299" w:type="dxa"/>
            <w:vAlign w:val="center"/>
          </w:tcPr>
          <w:p>
            <w:pPr>
              <w:pStyle w:val="51"/>
            </w:pPr>
            <w:r>
              <w:rPr>
                <w:rFonts w:hint="eastAsia"/>
              </w:rPr>
              <w:t>挥发性酚类</w:t>
            </w:r>
          </w:p>
        </w:tc>
        <w:tc>
          <w:tcPr>
            <w:tcW w:w="4362" w:type="dxa"/>
            <w:vAlign w:val="center"/>
          </w:tcPr>
          <w:p>
            <w:pPr>
              <w:pStyle w:val="51"/>
            </w:pPr>
            <w:r>
              <w:rPr>
                <w:rFonts w:hint="eastAsia"/>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氰化物</w:t>
            </w:r>
          </w:p>
        </w:tc>
        <w:tc>
          <w:tcPr>
            <w:tcW w:w="4362" w:type="dxa"/>
            <w:vAlign w:val="center"/>
          </w:tcPr>
          <w:p>
            <w:pPr>
              <w:pStyle w:val="51"/>
            </w:pPr>
            <w:r>
              <w:rPr>
                <w:rFonts w:hint="eastAsia"/>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氨氮</w:t>
            </w:r>
          </w:p>
        </w:tc>
        <w:tc>
          <w:tcPr>
            <w:tcW w:w="4362" w:type="dxa"/>
            <w:vAlign w:val="center"/>
          </w:tcPr>
          <w:p>
            <w:pPr>
              <w:pStyle w:val="51"/>
            </w:pPr>
            <w:r>
              <w:rPr>
                <w:rFonts w:hint="eastAsia"/>
              </w:rPr>
              <w:t>≤0.50mg/L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汞</w:t>
            </w:r>
          </w:p>
        </w:tc>
        <w:tc>
          <w:tcPr>
            <w:tcW w:w="4362" w:type="dxa"/>
            <w:vAlign w:val="center"/>
          </w:tcPr>
          <w:p>
            <w:pPr>
              <w:pStyle w:val="51"/>
            </w:pPr>
            <w:r>
              <w:rPr>
                <w:rFonts w:hint="eastAsia"/>
              </w:rPr>
              <w:t>≤0.001mg/L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砷</w:t>
            </w:r>
          </w:p>
        </w:tc>
        <w:tc>
          <w:tcPr>
            <w:tcW w:w="4362" w:type="dxa"/>
            <w:vAlign w:val="center"/>
          </w:tcPr>
          <w:p>
            <w:pPr>
              <w:pStyle w:val="51"/>
            </w:pPr>
            <w:r>
              <w:rPr>
                <w:rFonts w:hint="eastAsia"/>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钾</w:t>
            </w:r>
          </w:p>
        </w:tc>
        <w:tc>
          <w:tcPr>
            <w:tcW w:w="4362"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299" w:type="dxa"/>
            <w:vAlign w:val="center"/>
          </w:tcPr>
          <w:p>
            <w:pPr>
              <w:pStyle w:val="51"/>
            </w:pPr>
            <w:r>
              <w:rPr>
                <w:rFonts w:hint="eastAsia"/>
              </w:rPr>
              <w:t>钠</w:t>
            </w:r>
          </w:p>
        </w:tc>
        <w:tc>
          <w:tcPr>
            <w:tcW w:w="4362" w:type="dxa"/>
            <w:vAlign w:val="center"/>
          </w:tcPr>
          <w:p>
            <w:pPr>
              <w:pStyle w:val="51"/>
            </w:pPr>
            <w:r>
              <w:rPr>
                <w:rFonts w:hint="eastAsia"/>
              </w:rPr>
              <w:t>≤200mg/L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钙</w:t>
            </w:r>
          </w:p>
        </w:tc>
        <w:tc>
          <w:tcPr>
            <w:tcW w:w="4362"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镁</w:t>
            </w:r>
          </w:p>
        </w:tc>
        <w:tc>
          <w:tcPr>
            <w:tcW w:w="4362"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碳酸盐（CO</w:t>
            </w:r>
            <w:r>
              <w:rPr>
                <w:rFonts w:hint="eastAsia"/>
                <w:vertAlign w:val="subscript"/>
              </w:rPr>
              <w:t>3</w:t>
            </w:r>
            <w:r>
              <w:rPr>
                <w:rFonts w:hint="eastAsia"/>
                <w:vertAlign w:val="superscript"/>
              </w:rPr>
              <w:t>2-</w:t>
            </w:r>
            <w:r>
              <w:rPr>
                <w:rFonts w:hint="eastAsia"/>
              </w:rPr>
              <w:t>）</w:t>
            </w:r>
          </w:p>
        </w:tc>
        <w:tc>
          <w:tcPr>
            <w:tcW w:w="4362"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重碳酸盐（HCO</w:t>
            </w:r>
            <w:r>
              <w:rPr>
                <w:rFonts w:hint="eastAsia"/>
                <w:vertAlign w:val="subscript"/>
              </w:rPr>
              <w:t>3</w:t>
            </w:r>
            <w:r>
              <w:rPr>
                <w:rFonts w:hint="eastAsia"/>
                <w:vertAlign w:val="superscript"/>
              </w:rPr>
              <w:t>-</w:t>
            </w:r>
            <w:r>
              <w:rPr>
                <w:rFonts w:hint="eastAsia"/>
              </w:rPr>
              <w:t>）</w:t>
            </w:r>
          </w:p>
        </w:tc>
        <w:tc>
          <w:tcPr>
            <w:tcW w:w="4362"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99" w:type="dxa"/>
            <w:vAlign w:val="center"/>
          </w:tcPr>
          <w:p>
            <w:pPr>
              <w:pStyle w:val="51"/>
            </w:pPr>
            <w:r>
              <w:rPr>
                <w:rFonts w:hint="eastAsia"/>
              </w:rPr>
              <w:t>总大肠菌群</w:t>
            </w:r>
          </w:p>
        </w:tc>
        <w:tc>
          <w:tcPr>
            <w:tcW w:w="4362" w:type="dxa"/>
            <w:vAlign w:val="center"/>
          </w:tcPr>
          <w:p>
            <w:pPr>
              <w:pStyle w:val="51"/>
            </w:pPr>
            <w:r>
              <w:rPr>
                <w:rFonts w:hint="eastAsia"/>
              </w:rPr>
              <w:t>≤3.0MPN/100mL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299" w:type="dxa"/>
            <w:vAlign w:val="center"/>
          </w:tcPr>
          <w:p>
            <w:pPr>
              <w:pStyle w:val="51"/>
            </w:pPr>
            <w:r>
              <w:rPr>
                <w:rFonts w:hint="eastAsia"/>
              </w:rPr>
              <w:t>菌落总数</w:t>
            </w:r>
          </w:p>
        </w:tc>
        <w:tc>
          <w:tcPr>
            <w:tcW w:w="4362" w:type="dxa"/>
            <w:vAlign w:val="center"/>
          </w:tcPr>
          <w:p>
            <w:pPr>
              <w:pStyle w:val="51"/>
            </w:pPr>
            <w:r>
              <w:rPr>
                <w:rFonts w:hint="eastAsia"/>
              </w:rPr>
              <w:t>≤100CFU/mL</w:t>
            </w:r>
          </w:p>
        </w:tc>
      </w:tr>
    </w:tbl>
    <w:p>
      <w:pPr>
        <w:pStyle w:val="5"/>
      </w:pPr>
      <w:r>
        <w:rPr>
          <w:rFonts w:hint="eastAsia"/>
        </w:rPr>
        <w:t>2</w:t>
      </w:r>
      <w:r>
        <w:t>.</w:t>
      </w:r>
      <w:r>
        <w:rPr>
          <w:rFonts w:hint="eastAsia"/>
        </w:rPr>
        <w:t>4</w:t>
      </w:r>
      <w:r>
        <w:t>.</w:t>
      </w:r>
      <w:r>
        <w:rPr>
          <w:rFonts w:hint="eastAsia"/>
        </w:rPr>
        <w:t>1.4</w:t>
      </w:r>
      <w:r>
        <w:t xml:space="preserve"> </w:t>
      </w:r>
      <w:r>
        <w:rPr>
          <w:rFonts w:hint="eastAsia"/>
        </w:rPr>
        <w:t>土壤质量标准</w:t>
      </w:r>
    </w:p>
    <w:p>
      <w:pPr>
        <w:pStyle w:val="49"/>
        <w:ind w:firstLine="480"/>
      </w:pPr>
      <w:r>
        <w:rPr>
          <w:rFonts w:hint="eastAsia"/>
        </w:rPr>
        <w:t>项目所在区域土壤环境执行《土壤环境质量 农用地土壤污染风险管控标准（试行）》</w:t>
      </w:r>
      <w:r>
        <w:t>（</w:t>
      </w:r>
      <w:r>
        <w:rPr>
          <w:rFonts w:hint="eastAsia"/>
        </w:rPr>
        <w:t>GB15618-2018</w:t>
      </w:r>
      <w:r>
        <w:t>）</w:t>
      </w:r>
      <w:r>
        <w:rPr>
          <w:rFonts w:hint="eastAsia"/>
        </w:rPr>
        <w:t>中农用地土壤污染风险筛选值，</w:t>
      </w:r>
      <w:r>
        <w:rPr>
          <w:color w:val="000000"/>
        </w:rPr>
        <w:t>详见下表2.</w:t>
      </w:r>
      <w:r>
        <w:rPr>
          <w:rFonts w:hint="eastAsia"/>
          <w:color w:val="000000"/>
        </w:rPr>
        <w:t>4</w:t>
      </w:r>
      <w:r>
        <w:rPr>
          <w:color w:val="000000"/>
        </w:rPr>
        <w:t>-</w:t>
      </w:r>
      <w:r>
        <w:rPr>
          <w:rFonts w:hint="eastAsia"/>
          <w:color w:val="000000"/>
        </w:rPr>
        <w:t>4</w:t>
      </w:r>
      <w:r>
        <w:rPr>
          <w:color w:val="000000"/>
        </w:rPr>
        <w:t>。</w:t>
      </w:r>
    </w:p>
    <w:p>
      <w:pPr>
        <w:pStyle w:val="53"/>
      </w:pPr>
      <w:r>
        <w:rPr>
          <w:snapToGrid w:val="0"/>
        </w:rPr>
        <w:t>表2.</w:t>
      </w:r>
      <w:r>
        <w:rPr>
          <w:rFonts w:hint="eastAsia"/>
          <w:snapToGrid w:val="0"/>
        </w:rPr>
        <w:t>4</w:t>
      </w:r>
      <w:r>
        <w:rPr>
          <w:snapToGrid w:val="0"/>
        </w:rPr>
        <w:t>-</w:t>
      </w:r>
      <w:r>
        <w:rPr>
          <w:rFonts w:hint="eastAsia"/>
          <w:snapToGrid w:val="0"/>
        </w:rPr>
        <w:t>4</w:t>
      </w:r>
      <w:r>
        <w:rPr>
          <w:snapToGrid w:val="0"/>
        </w:rPr>
        <w:t xml:space="preserve"> </w:t>
      </w:r>
      <w:r>
        <w:rPr>
          <w:rFonts w:hint="eastAsia"/>
          <w:snapToGrid w:val="0"/>
        </w:rPr>
        <w:t xml:space="preserve">  农用地土壤污染风险筛选值一览表</w:t>
      </w:r>
      <w:r>
        <w:rPr>
          <w:rFonts w:hint="eastAsia"/>
          <w:snapToGrid w:val="0"/>
          <w:u w:val="single"/>
        </w:rPr>
        <w:t xml:space="preserve"> </w:t>
      </w:r>
      <w:r>
        <w:rPr>
          <w:rFonts w:hint="eastAsia"/>
        </w:rPr>
        <w:t xml:space="preserve">  </w:t>
      </w:r>
      <w:r>
        <w:t>单位：mg/kg</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561"/>
        <w:gridCol w:w="837"/>
        <w:gridCol w:w="1260"/>
        <w:gridCol w:w="1884"/>
        <w:gridCol w:w="1884"/>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序号</w:t>
            </w:r>
          </w:p>
        </w:tc>
        <w:tc>
          <w:tcPr>
            <w:tcW w:w="820" w:type="pct"/>
            <w:gridSpan w:val="2"/>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污染项目</w:t>
            </w:r>
          </w:p>
        </w:tc>
        <w:tc>
          <w:tcPr>
            <w:tcW w:w="3688" w:type="pct"/>
            <w:gridSpan w:val="4"/>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820" w:type="pct"/>
            <w:gridSpan w:val="2"/>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PH≤5.5</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5.5＜PH≤5.5</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6.5＜PH≤7.5</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w:t>
            </w:r>
          </w:p>
        </w:tc>
        <w:tc>
          <w:tcPr>
            <w:tcW w:w="329"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镉</w:t>
            </w: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水田</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0.3</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0.4</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0.6</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1"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329"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其他</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0.3</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0.3</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0.3</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w:t>
            </w:r>
          </w:p>
        </w:tc>
        <w:tc>
          <w:tcPr>
            <w:tcW w:w="329"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汞</w:t>
            </w: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水田</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0.5</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0.5</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0.6</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329"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其他</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1.3</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1.8</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2.4</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3</w:t>
            </w:r>
          </w:p>
        </w:tc>
        <w:tc>
          <w:tcPr>
            <w:tcW w:w="329"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砷</w:t>
            </w: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水田</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30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30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25</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1"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329"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其他</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40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40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30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4</w:t>
            </w:r>
          </w:p>
        </w:tc>
        <w:tc>
          <w:tcPr>
            <w:tcW w:w="329"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铅</w:t>
            </w: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水田</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80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100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140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329"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其他</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70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90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120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5</w:t>
            </w:r>
          </w:p>
        </w:tc>
        <w:tc>
          <w:tcPr>
            <w:tcW w:w="329"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铬</w:t>
            </w: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水田</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250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250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300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1"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329"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其他</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150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150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200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6</w:t>
            </w:r>
          </w:p>
        </w:tc>
        <w:tc>
          <w:tcPr>
            <w:tcW w:w="329" w:type="pct"/>
            <w:vMerge w:val="restar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铜</w:t>
            </w: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水田</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150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150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200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329" w:type="pct"/>
            <w:vMerge w:val="continue"/>
            <w:shd w:val="clear" w:color="auto" w:fill="auto"/>
            <w:vAlign w:val="center"/>
          </w:tcPr>
          <w:p>
            <w:pPr>
              <w:widowControl w:val="0"/>
              <w:snapToGrid w:val="0"/>
              <w:jc w:val="center"/>
              <w:rPr>
                <w:rFonts w:ascii="Times New Roman" w:hAnsi="Times New Roman" w:cs="Times New Roman"/>
                <w:kern w:val="2"/>
                <w:sz w:val="21"/>
                <w:szCs w:val="21"/>
                <w14:ligatures w14:val="none"/>
              </w:rPr>
            </w:pPr>
          </w:p>
        </w:tc>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其他</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50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50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100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7</w:t>
            </w:r>
          </w:p>
        </w:tc>
        <w:tc>
          <w:tcPr>
            <w:tcW w:w="820" w:type="pct"/>
            <w:gridSpan w:val="2"/>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镍</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60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70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100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1"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8</w:t>
            </w:r>
          </w:p>
        </w:tc>
        <w:tc>
          <w:tcPr>
            <w:tcW w:w="820" w:type="pct"/>
            <w:gridSpan w:val="2"/>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ascii="Times New Roman" w:hAnsi="Times New Roman" w:cs="Times New Roman"/>
                <w:kern w:val="2"/>
                <w:sz w:val="21"/>
                <w:szCs w:val="21"/>
                <w14:ligatures w14:val="none"/>
              </w:rPr>
              <w:t>锌</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200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200</w:t>
            </w:r>
          </w:p>
        </w:tc>
        <w:tc>
          <w:tcPr>
            <w:tcW w:w="1105"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250</w:t>
            </w:r>
          </w:p>
        </w:tc>
        <w:tc>
          <w:tcPr>
            <w:tcW w:w="739" w:type="pct"/>
            <w:shd w:val="clear" w:color="auto" w:fill="auto"/>
            <w:vAlign w:val="center"/>
          </w:tcPr>
          <w:p>
            <w:pPr>
              <w:widowControl w:val="0"/>
              <w:snapToGrid w:val="0"/>
              <w:jc w:val="center"/>
              <w:rPr>
                <w:rFonts w:ascii="Times New Roman" w:hAnsi="Times New Roman" w:cs="Times New Roman"/>
                <w:kern w:val="2"/>
                <w:sz w:val="21"/>
                <w:szCs w:val="21"/>
                <w14:ligatures w14:val="none"/>
              </w:rPr>
            </w:pPr>
            <w:r>
              <w:rPr>
                <w:rFonts w:hint="eastAsia" w:ascii="Times New Roman" w:hAnsi="Times New Roman" w:cs="Times New Roman"/>
                <w:kern w:val="2"/>
                <w:sz w:val="21"/>
                <w:szCs w:val="21"/>
                <w14:ligatures w14:val="none"/>
              </w:rPr>
              <w:t>300</w:t>
            </w:r>
          </w:p>
        </w:tc>
      </w:tr>
    </w:tbl>
    <w:p>
      <w:pPr>
        <w:pStyle w:val="5"/>
      </w:pPr>
      <w:r>
        <w:rPr>
          <w:rFonts w:hint="eastAsia"/>
        </w:rPr>
        <w:t>2</w:t>
      </w:r>
      <w:r>
        <w:t>.</w:t>
      </w:r>
      <w:r>
        <w:rPr>
          <w:rFonts w:hint="eastAsia"/>
        </w:rPr>
        <w:t>4</w:t>
      </w:r>
      <w:r>
        <w:t>.</w:t>
      </w:r>
      <w:r>
        <w:rPr>
          <w:rFonts w:hint="eastAsia"/>
        </w:rPr>
        <w:t>1.5</w:t>
      </w:r>
      <w:r>
        <w:t xml:space="preserve"> </w:t>
      </w:r>
      <w:r>
        <w:rPr>
          <w:rFonts w:hint="eastAsia"/>
        </w:rPr>
        <w:t>声环境质量标准</w:t>
      </w:r>
    </w:p>
    <w:p>
      <w:pPr>
        <w:pStyle w:val="49"/>
        <w:ind w:firstLine="480"/>
        <w:rPr>
          <w:snapToGrid w:val="0"/>
        </w:rPr>
      </w:pPr>
      <w:r>
        <w:rPr>
          <w:snapToGrid w:val="0"/>
        </w:rPr>
        <w:t>本项目所在地属</w:t>
      </w:r>
      <w:r>
        <w:rPr>
          <w:rFonts w:hint="eastAsia"/>
          <w:snapToGrid w:val="0"/>
        </w:rPr>
        <w:t>2</w:t>
      </w:r>
      <w:r>
        <w:rPr>
          <w:snapToGrid w:val="0"/>
        </w:rPr>
        <w:t>类声环境功能区，执行《声环境质量标准》（GB3096-2008）中</w:t>
      </w:r>
      <w:r>
        <w:rPr>
          <w:rFonts w:hint="eastAsia"/>
          <w:snapToGrid w:val="0"/>
        </w:rPr>
        <w:t>2</w:t>
      </w:r>
      <w:r>
        <w:rPr>
          <w:snapToGrid w:val="0"/>
        </w:rPr>
        <w:t>类标准，详细标准值见表2.</w:t>
      </w:r>
      <w:r>
        <w:rPr>
          <w:rFonts w:hint="eastAsia"/>
          <w:snapToGrid w:val="0"/>
        </w:rPr>
        <w:t>4</w:t>
      </w:r>
      <w:r>
        <w:rPr>
          <w:snapToGrid w:val="0"/>
        </w:rPr>
        <w:t>-</w:t>
      </w:r>
      <w:r>
        <w:rPr>
          <w:rFonts w:hint="eastAsia"/>
          <w:snapToGrid w:val="0"/>
        </w:rPr>
        <w:t>5</w:t>
      </w:r>
      <w:r>
        <w:rPr>
          <w:snapToGrid w:val="0"/>
        </w:rPr>
        <w:t>。</w:t>
      </w:r>
    </w:p>
    <w:p>
      <w:pPr>
        <w:pStyle w:val="53"/>
        <w:rPr>
          <w:snapToGrid w:val="0"/>
        </w:rPr>
      </w:pPr>
      <w:r>
        <w:rPr>
          <w:snapToGrid w:val="0"/>
        </w:rPr>
        <w:t>表2.</w:t>
      </w:r>
      <w:r>
        <w:rPr>
          <w:rFonts w:hint="eastAsia"/>
          <w:snapToGrid w:val="0"/>
        </w:rPr>
        <w:t>4</w:t>
      </w:r>
      <w:r>
        <w:rPr>
          <w:snapToGrid w:val="0"/>
        </w:rPr>
        <w:t>-</w:t>
      </w:r>
      <w:r>
        <w:rPr>
          <w:rFonts w:hint="eastAsia"/>
          <w:snapToGrid w:val="0"/>
        </w:rPr>
        <w:t>5</w:t>
      </w:r>
      <w:r>
        <w:rPr>
          <w:snapToGrid w:val="0"/>
        </w:rPr>
        <w:t xml:space="preserve"> 声环境质量标准（GB3096-2008）   单位：dB(A)</w:t>
      </w:r>
    </w:p>
    <w:tbl>
      <w:tblPr>
        <w:tblStyle w:val="39"/>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2986"/>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01" w:type="dxa"/>
            <w:vAlign w:val="center"/>
          </w:tcPr>
          <w:p>
            <w:pPr>
              <w:pStyle w:val="51"/>
              <w:rPr>
                <w:b/>
                <w:bCs/>
                <w:snapToGrid w:val="0"/>
              </w:rPr>
            </w:pPr>
            <w:r>
              <w:rPr>
                <w:b/>
                <w:bCs/>
                <w:snapToGrid w:val="0"/>
              </w:rPr>
              <w:t>类别</w:t>
            </w:r>
          </w:p>
        </w:tc>
        <w:tc>
          <w:tcPr>
            <w:tcW w:w="2986" w:type="dxa"/>
            <w:vAlign w:val="center"/>
          </w:tcPr>
          <w:p>
            <w:pPr>
              <w:pStyle w:val="51"/>
              <w:rPr>
                <w:b/>
                <w:bCs/>
                <w:snapToGrid w:val="0"/>
              </w:rPr>
            </w:pPr>
            <w:r>
              <w:rPr>
                <w:b/>
                <w:bCs/>
                <w:snapToGrid w:val="0"/>
              </w:rPr>
              <w:t>昼间</w:t>
            </w:r>
          </w:p>
        </w:tc>
        <w:tc>
          <w:tcPr>
            <w:tcW w:w="2812" w:type="dxa"/>
            <w:vAlign w:val="center"/>
          </w:tcPr>
          <w:p>
            <w:pPr>
              <w:pStyle w:val="51"/>
              <w:rPr>
                <w:b/>
                <w:bCs/>
                <w:snapToGrid w:val="0"/>
              </w:rPr>
            </w:pPr>
            <w:r>
              <w:rPr>
                <w:b/>
                <w:bCs/>
                <w:snapToGrid w:val="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01" w:type="dxa"/>
            <w:vAlign w:val="center"/>
          </w:tcPr>
          <w:p>
            <w:pPr>
              <w:pStyle w:val="51"/>
              <w:rPr>
                <w:snapToGrid w:val="0"/>
              </w:rPr>
            </w:pPr>
            <w:r>
              <w:rPr>
                <w:rFonts w:hint="eastAsia"/>
                <w:snapToGrid w:val="0"/>
              </w:rPr>
              <w:t>2</w:t>
            </w:r>
            <w:r>
              <w:rPr>
                <w:snapToGrid w:val="0"/>
              </w:rPr>
              <w:t>类</w:t>
            </w:r>
          </w:p>
        </w:tc>
        <w:tc>
          <w:tcPr>
            <w:tcW w:w="2986" w:type="dxa"/>
            <w:vAlign w:val="center"/>
          </w:tcPr>
          <w:p>
            <w:pPr>
              <w:pStyle w:val="51"/>
              <w:rPr>
                <w:snapToGrid w:val="0"/>
              </w:rPr>
            </w:pPr>
            <w:r>
              <w:rPr>
                <w:rFonts w:hint="eastAsia"/>
                <w:snapToGrid w:val="0"/>
              </w:rPr>
              <w:t>60</w:t>
            </w:r>
          </w:p>
        </w:tc>
        <w:tc>
          <w:tcPr>
            <w:tcW w:w="2812" w:type="dxa"/>
            <w:vAlign w:val="center"/>
          </w:tcPr>
          <w:p>
            <w:pPr>
              <w:pStyle w:val="51"/>
              <w:rPr>
                <w:snapToGrid w:val="0"/>
              </w:rPr>
            </w:pPr>
            <w:r>
              <w:rPr>
                <w:rFonts w:hint="eastAsia"/>
                <w:snapToGrid w:val="0"/>
              </w:rPr>
              <w:t>50</w:t>
            </w:r>
          </w:p>
        </w:tc>
      </w:tr>
    </w:tbl>
    <w:p>
      <w:pPr>
        <w:pStyle w:val="4"/>
      </w:pPr>
      <w:bookmarkStart w:id="90" w:name="_Toc194481132"/>
      <w:r>
        <w:t>2.</w:t>
      </w:r>
      <w:r>
        <w:rPr>
          <w:rFonts w:hint="eastAsia"/>
        </w:rPr>
        <w:t>4</w:t>
      </w:r>
      <w:r>
        <w:t>.</w:t>
      </w:r>
      <w:r>
        <w:rPr>
          <w:rFonts w:hint="eastAsia"/>
        </w:rPr>
        <w:t xml:space="preserve">2 </w:t>
      </w:r>
      <w:r>
        <w:t>污染物排放标准</w:t>
      </w:r>
      <w:bookmarkEnd w:id="90"/>
    </w:p>
    <w:p>
      <w:pPr>
        <w:pStyle w:val="5"/>
      </w:pPr>
      <w:r>
        <w:rPr>
          <w:rFonts w:hint="eastAsia"/>
        </w:rPr>
        <w:t>2</w:t>
      </w:r>
      <w:r>
        <w:t>.</w:t>
      </w:r>
      <w:r>
        <w:rPr>
          <w:rFonts w:hint="eastAsia"/>
        </w:rPr>
        <w:t>4</w:t>
      </w:r>
      <w:r>
        <w:t>.</w:t>
      </w:r>
      <w:r>
        <w:rPr>
          <w:rFonts w:hint="eastAsia"/>
        </w:rPr>
        <w:t>2.1</w:t>
      </w:r>
      <w:r>
        <w:t xml:space="preserve"> </w:t>
      </w:r>
      <w:r>
        <w:rPr>
          <w:rFonts w:hint="eastAsia"/>
        </w:rPr>
        <w:t>大气污染物排放标准</w:t>
      </w:r>
    </w:p>
    <w:p>
      <w:pPr>
        <w:pStyle w:val="49"/>
        <w:ind w:firstLine="480"/>
      </w:pPr>
      <w:r>
        <w:rPr>
          <w:rFonts w:hint="eastAsia"/>
        </w:rPr>
        <w:t>施工期执行《大气污染物综合排放标准》（GB16297-1996）表2中无组织排放监控浓度限值；营运期无组织排放的氨、硫化氢执行</w:t>
      </w:r>
      <w:r>
        <w:t>《恶臭污染物排放标准》（GB14554-93）</w:t>
      </w:r>
      <w:r>
        <w:rPr>
          <w:rFonts w:hint="eastAsia"/>
        </w:rPr>
        <w:t>表1中二级新扩改建标准值，臭气浓度执行</w:t>
      </w:r>
      <w:r>
        <w:t>《畜禽养殖业污染物排放标准》（GB18596-2001）</w:t>
      </w:r>
      <w:r>
        <w:rPr>
          <w:rFonts w:hint="eastAsia"/>
        </w:rPr>
        <w:t>表7中排放标准；颗粒物执行《大气污染物综合排放标准》（GB16297-1996）表2中无组织排放监控浓度限值；食堂油烟排放执行</w:t>
      </w:r>
      <w:r>
        <w:t>《饮食业油烟排放标准</w:t>
      </w:r>
      <w:r>
        <w:rPr>
          <w:rFonts w:hint="eastAsia"/>
        </w:rPr>
        <w:t>（</w:t>
      </w:r>
      <w:r>
        <w:t>试行</w:t>
      </w:r>
      <w:r>
        <w:rPr>
          <w:rFonts w:hint="eastAsia"/>
        </w:rPr>
        <w:t>）</w:t>
      </w:r>
      <w:r>
        <w:t>》（GB18483-2001）</w:t>
      </w:r>
      <w:r>
        <w:rPr>
          <w:rFonts w:hint="eastAsia"/>
        </w:rPr>
        <w:t>。具体见表2.4-6至2.6-7。</w:t>
      </w:r>
    </w:p>
    <w:p>
      <w:pPr>
        <w:pStyle w:val="53"/>
        <w:rPr>
          <w:snapToGrid w:val="0"/>
        </w:rPr>
      </w:pPr>
      <w:r>
        <w:rPr>
          <w:snapToGrid w:val="0"/>
        </w:rPr>
        <w:t>表2.</w:t>
      </w:r>
      <w:r>
        <w:rPr>
          <w:rFonts w:hint="eastAsia"/>
          <w:snapToGrid w:val="0"/>
        </w:rPr>
        <w:t>4</w:t>
      </w:r>
      <w:r>
        <w:rPr>
          <w:snapToGrid w:val="0"/>
        </w:rPr>
        <w:t>-</w:t>
      </w:r>
      <w:r>
        <w:rPr>
          <w:rFonts w:hint="eastAsia"/>
          <w:snapToGrid w:val="0"/>
        </w:rPr>
        <w:t>6</w:t>
      </w:r>
      <w:r>
        <w:rPr>
          <w:snapToGrid w:val="0"/>
        </w:rPr>
        <w:t xml:space="preserve"> </w:t>
      </w:r>
      <w:r>
        <w:rPr>
          <w:rFonts w:hint="eastAsia"/>
          <w:snapToGrid w:val="0"/>
        </w:rPr>
        <w:t>大气污染物综合排放标准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vAlign w:val="center"/>
          </w:tcPr>
          <w:p>
            <w:pPr>
              <w:pStyle w:val="51"/>
              <w:rPr>
                <w:b/>
                <w:bCs/>
              </w:rPr>
            </w:pPr>
            <w:r>
              <w:rPr>
                <w:rFonts w:hint="eastAsia"/>
                <w:b/>
                <w:bCs/>
              </w:rPr>
              <w:t>名称</w:t>
            </w:r>
          </w:p>
        </w:tc>
        <w:tc>
          <w:tcPr>
            <w:tcW w:w="5531" w:type="dxa"/>
            <w:gridSpan w:val="2"/>
            <w:vAlign w:val="center"/>
          </w:tcPr>
          <w:p>
            <w:pPr>
              <w:pStyle w:val="51"/>
              <w:rPr>
                <w:b/>
                <w:bCs/>
              </w:rPr>
            </w:pPr>
            <w:r>
              <w:rPr>
                <w:rFonts w:hint="eastAsia"/>
                <w:b/>
                <w:bCs/>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vAlign w:val="center"/>
          </w:tcPr>
          <w:p>
            <w:pPr>
              <w:pStyle w:val="51"/>
            </w:pPr>
          </w:p>
        </w:tc>
        <w:tc>
          <w:tcPr>
            <w:tcW w:w="2765" w:type="dxa"/>
            <w:vAlign w:val="center"/>
          </w:tcPr>
          <w:p>
            <w:pPr>
              <w:pStyle w:val="51"/>
              <w:rPr>
                <w:b/>
                <w:bCs/>
              </w:rPr>
            </w:pPr>
            <w:r>
              <w:rPr>
                <w:rFonts w:hint="eastAsia"/>
                <w:b/>
                <w:bCs/>
              </w:rPr>
              <w:t>监控点</w:t>
            </w:r>
          </w:p>
        </w:tc>
        <w:tc>
          <w:tcPr>
            <w:tcW w:w="2766" w:type="dxa"/>
            <w:vAlign w:val="center"/>
          </w:tcPr>
          <w:p>
            <w:pPr>
              <w:pStyle w:val="51"/>
            </w:pPr>
            <w:r>
              <w:rPr>
                <w:rFonts w:hint="eastAsia"/>
                <w:b/>
                <w:bCs/>
              </w:rPr>
              <w:t>浓度</w:t>
            </w:r>
            <w:r>
              <w:rPr>
                <w:rFonts w:cs="Times New Roman"/>
                <w:b/>
                <w:bCs/>
              </w:rPr>
              <w:t>mg/m</w:t>
            </w:r>
            <w:r>
              <w:rPr>
                <w:rFonts w:cs="Times New Roman"/>
                <w:b/>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pStyle w:val="51"/>
            </w:pPr>
            <w:r>
              <w:rPr>
                <w:rFonts w:hint="eastAsia"/>
              </w:rPr>
              <w:t>二氧化硫</w:t>
            </w:r>
          </w:p>
        </w:tc>
        <w:tc>
          <w:tcPr>
            <w:tcW w:w="2765" w:type="dxa"/>
            <w:vMerge w:val="restart"/>
            <w:vAlign w:val="center"/>
          </w:tcPr>
          <w:p>
            <w:pPr>
              <w:pStyle w:val="51"/>
            </w:pPr>
            <w:r>
              <w:rPr>
                <w:rFonts w:hint="eastAsia"/>
              </w:rPr>
              <w:t>厂界外浓度最高点</w:t>
            </w:r>
          </w:p>
        </w:tc>
        <w:tc>
          <w:tcPr>
            <w:tcW w:w="2766" w:type="dxa"/>
            <w:vAlign w:val="center"/>
          </w:tcPr>
          <w:p>
            <w:pPr>
              <w:pStyle w:val="51"/>
            </w:pPr>
            <w:r>
              <w:rPr>
                <w:rFonts w:hint="eastAsia"/>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5" w:type="dxa"/>
            <w:vAlign w:val="center"/>
          </w:tcPr>
          <w:p>
            <w:pPr>
              <w:pStyle w:val="51"/>
            </w:pPr>
            <w:r>
              <w:rPr>
                <w:rFonts w:hint="eastAsia"/>
              </w:rPr>
              <w:t>氮氧化物</w:t>
            </w:r>
          </w:p>
        </w:tc>
        <w:tc>
          <w:tcPr>
            <w:tcW w:w="2765" w:type="dxa"/>
            <w:vMerge w:val="continue"/>
            <w:vAlign w:val="center"/>
          </w:tcPr>
          <w:p>
            <w:pPr>
              <w:pStyle w:val="51"/>
            </w:pPr>
          </w:p>
        </w:tc>
        <w:tc>
          <w:tcPr>
            <w:tcW w:w="2766" w:type="dxa"/>
            <w:vAlign w:val="center"/>
          </w:tcPr>
          <w:p>
            <w:pPr>
              <w:pStyle w:val="51"/>
            </w:pPr>
            <w:r>
              <w:rPr>
                <w:rFonts w:hint="eastAsi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pStyle w:val="51"/>
            </w:pPr>
            <w:r>
              <w:rPr>
                <w:rFonts w:hint="eastAsia"/>
              </w:rPr>
              <w:t>颗粒物</w:t>
            </w:r>
          </w:p>
        </w:tc>
        <w:tc>
          <w:tcPr>
            <w:tcW w:w="2765" w:type="dxa"/>
            <w:vMerge w:val="continue"/>
            <w:vAlign w:val="center"/>
          </w:tcPr>
          <w:p>
            <w:pPr>
              <w:pStyle w:val="51"/>
            </w:pPr>
          </w:p>
        </w:tc>
        <w:tc>
          <w:tcPr>
            <w:tcW w:w="2766" w:type="dxa"/>
            <w:vAlign w:val="center"/>
          </w:tcPr>
          <w:p>
            <w:pPr>
              <w:pStyle w:val="51"/>
            </w:pPr>
            <w:r>
              <w:rPr>
                <w:rFonts w:hint="eastAsia"/>
              </w:rPr>
              <w:t>1.0</w:t>
            </w:r>
          </w:p>
        </w:tc>
      </w:tr>
    </w:tbl>
    <w:p>
      <w:pPr>
        <w:pStyle w:val="53"/>
        <w:rPr>
          <w:snapToGrid w:val="0"/>
        </w:rPr>
      </w:pPr>
      <w:r>
        <w:rPr>
          <w:snapToGrid w:val="0"/>
        </w:rPr>
        <w:t>表2.</w:t>
      </w:r>
      <w:r>
        <w:rPr>
          <w:rFonts w:hint="eastAsia"/>
          <w:snapToGrid w:val="0"/>
        </w:rPr>
        <w:t>4</w:t>
      </w:r>
      <w:r>
        <w:rPr>
          <w:snapToGrid w:val="0"/>
        </w:rPr>
        <w:t>-</w:t>
      </w:r>
      <w:r>
        <w:rPr>
          <w:rFonts w:hint="eastAsia"/>
          <w:snapToGrid w:val="0"/>
        </w:rPr>
        <w:t xml:space="preserve">7  饮食业油烟排放标准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1774"/>
        <w:gridCol w:w="1775"/>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Align w:val="center"/>
          </w:tcPr>
          <w:p>
            <w:pPr>
              <w:pStyle w:val="51"/>
              <w:rPr>
                <w:b/>
                <w:bCs/>
              </w:rPr>
            </w:pPr>
            <w:r>
              <w:rPr>
                <w:rFonts w:hint="eastAsia"/>
                <w:b/>
                <w:bCs/>
              </w:rPr>
              <w:t>规模</w:t>
            </w:r>
          </w:p>
        </w:tc>
        <w:tc>
          <w:tcPr>
            <w:tcW w:w="1774" w:type="dxa"/>
            <w:vAlign w:val="center"/>
          </w:tcPr>
          <w:p>
            <w:pPr>
              <w:pStyle w:val="51"/>
              <w:rPr>
                <w:b/>
                <w:bCs/>
              </w:rPr>
            </w:pPr>
            <w:r>
              <w:rPr>
                <w:rFonts w:hint="eastAsia"/>
                <w:b/>
                <w:bCs/>
              </w:rPr>
              <w:t>小型</w:t>
            </w:r>
          </w:p>
        </w:tc>
        <w:tc>
          <w:tcPr>
            <w:tcW w:w="1775" w:type="dxa"/>
            <w:vAlign w:val="center"/>
          </w:tcPr>
          <w:p>
            <w:pPr>
              <w:pStyle w:val="51"/>
              <w:rPr>
                <w:b/>
                <w:bCs/>
              </w:rPr>
            </w:pPr>
            <w:r>
              <w:rPr>
                <w:rFonts w:hint="eastAsia"/>
                <w:b/>
                <w:bCs/>
              </w:rPr>
              <w:t>中型</w:t>
            </w:r>
          </w:p>
        </w:tc>
        <w:tc>
          <w:tcPr>
            <w:tcW w:w="1775" w:type="dxa"/>
            <w:vAlign w:val="center"/>
          </w:tcPr>
          <w:p>
            <w:pPr>
              <w:pStyle w:val="51"/>
              <w:rPr>
                <w:b/>
                <w:bCs/>
              </w:rPr>
            </w:pPr>
            <w:r>
              <w:rPr>
                <w:rFonts w:hint="eastAsia"/>
                <w:b/>
                <w:bCs/>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Align w:val="center"/>
          </w:tcPr>
          <w:p>
            <w:pPr>
              <w:pStyle w:val="51"/>
            </w:pPr>
            <w:r>
              <w:rPr>
                <w:rFonts w:hint="eastAsia"/>
              </w:rPr>
              <w:t>最高允许排放浓度（</w:t>
            </w:r>
            <w:r>
              <w:rPr>
                <w:rFonts w:cs="Times New Roman"/>
              </w:rPr>
              <w:t>mg/m</w:t>
            </w:r>
            <w:r>
              <w:rPr>
                <w:rFonts w:cs="Times New Roman"/>
                <w:szCs w:val="21"/>
                <w:vertAlign w:val="superscript"/>
              </w:rPr>
              <w:t>3</w:t>
            </w:r>
            <w:r>
              <w:rPr>
                <w:rFonts w:hint="eastAsia"/>
              </w:rPr>
              <w:t>）</w:t>
            </w:r>
          </w:p>
        </w:tc>
        <w:tc>
          <w:tcPr>
            <w:tcW w:w="5324" w:type="dxa"/>
            <w:gridSpan w:val="3"/>
            <w:vAlign w:val="center"/>
          </w:tcPr>
          <w:p>
            <w:pPr>
              <w:pStyle w:val="51"/>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Align w:val="center"/>
          </w:tcPr>
          <w:p>
            <w:pPr>
              <w:pStyle w:val="51"/>
            </w:pPr>
            <w:r>
              <w:rPr>
                <w:rFonts w:hint="eastAsia"/>
              </w:rPr>
              <w:t>净化设施最低去除效率（%）</w:t>
            </w:r>
          </w:p>
        </w:tc>
        <w:tc>
          <w:tcPr>
            <w:tcW w:w="1774" w:type="dxa"/>
            <w:vAlign w:val="center"/>
          </w:tcPr>
          <w:p>
            <w:pPr>
              <w:pStyle w:val="51"/>
            </w:pPr>
            <w:r>
              <w:rPr>
                <w:rFonts w:hint="eastAsia"/>
              </w:rPr>
              <w:t>60</w:t>
            </w:r>
          </w:p>
        </w:tc>
        <w:tc>
          <w:tcPr>
            <w:tcW w:w="1775" w:type="dxa"/>
            <w:vAlign w:val="center"/>
          </w:tcPr>
          <w:p>
            <w:pPr>
              <w:pStyle w:val="51"/>
            </w:pPr>
            <w:r>
              <w:rPr>
                <w:rFonts w:hint="eastAsia"/>
              </w:rPr>
              <w:t>75</w:t>
            </w:r>
          </w:p>
        </w:tc>
        <w:tc>
          <w:tcPr>
            <w:tcW w:w="1775" w:type="dxa"/>
            <w:vAlign w:val="center"/>
          </w:tcPr>
          <w:p>
            <w:pPr>
              <w:pStyle w:val="51"/>
            </w:pPr>
            <w:r>
              <w:rPr>
                <w:rFonts w:hint="eastAsia"/>
              </w:rPr>
              <w:t>85</w:t>
            </w:r>
          </w:p>
        </w:tc>
      </w:tr>
    </w:tbl>
    <w:p>
      <w:pPr>
        <w:pStyle w:val="5"/>
      </w:pPr>
      <w:r>
        <w:rPr>
          <w:rFonts w:hint="eastAsia"/>
        </w:rPr>
        <w:t>2</w:t>
      </w:r>
      <w:r>
        <w:t>.</w:t>
      </w:r>
      <w:r>
        <w:rPr>
          <w:rFonts w:hint="eastAsia"/>
        </w:rPr>
        <w:t>4</w:t>
      </w:r>
      <w:r>
        <w:t>.</w:t>
      </w:r>
      <w:r>
        <w:rPr>
          <w:rFonts w:hint="eastAsia"/>
        </w:rPr>
        <w:t>2.2</w:t>
      </w:r>
      <w:r>
        <w:t xml:space="preserve"> </w:t>
      </w:r>
      <w:r>
        <w:rPr>
          <w:rFonts w:hint="eastAsia"/>
        </w:rPr>
        <w:t>废水污染物排放标准</w:t>
      </w:r>
    </w:p>
    <w:p>
      <w:pPr>
        <w:pStyle w:val="49"/>
        <w:ind w:firstLine="480"/>
        <w:rPr>
          <w:szCs w:val="21"/>
        </w:rPr>
      </w:pPr>
      <w:r>
        <w:rPr>
          <w:rFonts w:hint="eastAsia"/>
          <w:snapToGrid w:val="0"/>
        </w:rPr>
        <w:t>根据《畜禽养殖业污染防治技术规范》（</w:t>
      </w:r>
      <w:r>
        <w:rPr>
          <w:snapToGrid w:val="0"/>
        </w:rPr>
        <w:t>HJ/T81-2001</w:t>
      </w:r>
      <w:r>
        <w:rPr>
          <w:rFonts w:hint="eastAsia"/>
          <w:snapToGrid w:val="0"/>
        </w:rPr>
        <w:t>）的要求，畜禽养殖过程中产生的污水应坚持种养结合的原则，经无害化处理后尽量充分还田，实现污水资源化利用。本项目废水主要为</w:t>
      </w:r>
      <w:r>
        <w:rPr>
          <w:rFonts w:hint="eastAsia"/>
          <w:szCs w:val="21"/>
        </w:rPr>
        <w:t>鸡舍冲洗废水和生活污水，</w:t>
      </w:r>
      <w:bookmarkStart w:id="91" w:name="_Hlk193963897"/>
      <w:r>
        <w:rPr>
          <w:rFonts w:hint="eastAsia"/>
          <w:szCs w:val="21"/>
        </w:rPr>
        <w:t>一起进入一体化污水处理设施处理达</w:t>
      </w:r>
      <w:r>
        <w:rPr>
          <w:rStyle w:val="83"/>
          <w:rFonts w:hint="eastAsia"/>
        </w:rPr>
        <w:t>《污水综合排放标准》（GB8978-1996）表4中一级标准后，用于周边林地灌溉，不外排。</w:t>
      </w:r>
    </w:p>
    <w:bookmarkEnd w:id="91"/>
    <w:p>
      <w:pPr>
        <w:pStyle w:val="53"/>
        <w:rPr>
          <w:snapToGrid w:val="0"/>
        </w:rPr>
      </w:pPr>
      <w:r>
        <w:rPr>
          <w:snapToGrid w:val="0"/>
        </w:rPr>
        <w:t>表2.</w:t>
      </w:r>
      <w:r>
        <w:rPr>
          <w:rFonts w:hint="eastAsia"/>
          <w:snapToGrid w:val="0"/>
        </w:rPr>
        <w:t>4</w:t>
      </w:r>
      <w:r>
        <w:rPr>
          <w:snapToGrid w:val="0"/>
        </w:rPr>
        <w:t>-</w:t>
      </w:r>
      <w:r>
        <w:rPr>
          <w:rFonts w:hint="eastAsia"/>
          <w:snapToGrid w:val="0"/>
        </w:rPr>
        <w:t>8  水污染物排放标准  单位</w:t>
      </w:r>
      <w:r>
        <w:rPr>
          <w:snapToGrid w:val="0"/>
        </w:rPr>
        <w:t>:mg/L</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173"/>
        <w:gridCol w:w="1173"/>
        <w:gridCol w:w="1174"/>
        <w:gridCol w:w="1173"/>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405" w:type="dxa"/>
            <w:vAlign w:val="center"/>
          </w:tcPr>
          <w:p>
            <w:pPr>
              <w:pStyle w:val="51"/>
              <w:rPr>
                <w:snapToGrid w:val="0"/>
              </w:rPr>
            </w:pPr>
            <w:bookmarkStart w:id="92" w:name="_Hlk193963908"/>
            <w:r>
              <w:rPr>
                <w:rFonts w:hint="eastAsia"/>
                <w:snapToGrid w:val="0"/>
              </w:rPr>
              <w:t>排放标准</w:t>
            </w:r>
          </w:p>
        </w:tc>
        <w:tc>
          <w:tcPr>
            <w:tcW w:w="1173" w:type="dxa"/>
            <w:vAlign w:val="center"/>
          </w:tcPr>
          <w:p>
            <w:pPr>
              <w:pStyle w:val="51"/>
              <w:rPr>
                <w:snapToGrid w:val="0"/>
              </w:rPr>
            </w:pPr>
            <w:r>
              <w:rPr>
                <w:rFonts w:hint="eastAsia"/>
                <w:snapToGrid w:val="0"/>
              </w:rPr>
              <w:t>COD</w:t>
            </w:r>
          </w:p>
        </w:tc>
        <w:tc>
          <w:tcPr>
            <w:tcW w:w="1173" w:type="dxa"/>
            <w:vAlign w:val="center"/>
          </w:tcPr>
          <w:p>
            <w:pPr>
              <w:pStyle w:val="51"/>
              <w:rPr>
                <w:snapToGrid w:val="0"/>
              </w:rPr>
            </w:pPr>
            <w:r>
              <w:rPr>
                <w:rFonts w:hint="eastAsia"/>
                <w:snapToGrid w:val="0"/>
              </w:rPr>
              <w:t>BOD</w:t>
            </w:r>
            <w:r>
              <w:rPr>
                <w:rFonts w:hint="eastAsia"/>
                <w:snapToGrid w:val="0"/>
                <w:vertAlign w:val="subscript"/>
              </w:rPr>
              <w:t>5</w:t>
            </w:r>
          </w:p>
        </w:tc>
        <w:tc>
          <w:tcPr>
            <w:tcW w:w="1174" w:type="dxa"/>
            <w:vAlign w:val="center"/>
          </w:tcPr>
          <w:p>
            <w:pPr>
              <w:pStyle w:val="51"/>
              <w:rPr>
                <w:snapToGrid w:val="0"/>
              </w:rPr>
            </w:pPr>
            <w:r>
              <w:rPr>
                <w:rFonts w:hint="eastAsia"/>
                <w:snapToGrid w:val="0"/>
              </w:rPr>
              <w:t>NH</w:t>
            </w:r>
            <w:r>
              <w:rPr>
                <w:rFonts w:hint="eastAsia"/>
                <w:snapToGrid w:val="0"/>
                <w:vertAlign w:val="subscript"/>
              </w:rPr>
              <w:t>3</w:t>
            </w:r>
            <w:r>
              <w:rPr>
                <w:rFonts w:hint="eastAsia"/>
                <w:snapToGrid w:val="0"/>
              </w:rPr>
              <w:t>-N</w:t>
            </w:r>
          </w:p>
        </w:tc>
        <w:tc>
          <w:tcPr>
            <w:tcW w:w="1173" w:type="dxa"/>
            <w:vAlign w:val="center"/>
          </w:tcPr>
          <w:p>
            <w:pPr>
              <w:pStyle w:val="51"/>
              <w:rPr>
                <w:snapToGrid w:val="0"/>
              </w:rPr>
            </w:pPr>
            <w:r>
              <w:rPr>
                <w:rFonts w:hint="eastAsia"/>
                <w:snapToGrid w:val="0"/>
              </w:rPr>
              <w:t>TP</w:t>
            </w:r>
          </w:p>
        </w:tc>
        <w:tc>
          <w:tcPr>
            <w:tcW w:w="1174" w:type="dxa"/>
            <w:vAlign w:val="center"/>
          </w:tcPr>
          <w:p>
            <w:pPr>
              <w:pStyle w:val="51"/>
              <w:rPr>
                <w:snapToGrid w:val="0"/>
              </w:rPr>
            </w:pPr>
            <w:r>
              <w:rPr>
                <w:rFonts w:hint="eastAsia"/>
                <w:snapToGrid w:val="0"/>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405" w:type="dxa"/>
            <w:vAlign w:val="center"/>
          </w:tcPr>
          <w:p>
            <w:pPr>
              <w:pStyle w:val="51"/>
              <w:rPr>
                <w:snapToGrid w:val="0"/>
              </w:rPr>
            </w:pPr>
            <w:r>
              <w:rPr>
                <w:rStyle w:val="83"/>
                <w:rFonts w:hint="eastAsia"/>
                <w:sz w:val="21"/>
                <w:szCs w:val="16"/>
              </w:rPr>
              <w:t>《污水综合排放标准》（GB8978-1996）</w:t>
            </w:r>
          </w:p>
        </w:tc>
        <w:tc>
          <w:tcPr>
            <w:tcW w:w="1173" w:type="dxa"/>
            <w:vAlign w:val="center"/>
          </w:tcPr>
          <w:p>
            <w:pPr>
              <w:pStyle w:val="51"/>
              <w:rPr>
                <w:snapToGrid w:val="0"/>
              </w:rPr>
            </w:pPr>
            <w:r>
              <w:rPr>
                <w:rFonts w:hint="eastAsia"/>
              </w:rPr>
              <w:t>100</w:t>
            </w:r>
          </w:p>
        </w:tc>
        <w:tc>
          <w:tcPr>
            <w:tcW w:w="1173" w:type="dxa"/>
            <w:vAlign w:val="center"/>
          </w:tcPr>
          <w:p>
            <w:pPr>
              <w:pStyle w:val="51"/>
              <w:rPr>
                <w:snapToGrid w:val="0"/>
              </w:rPr>
            </w:pPr>
            <w:r>
              <w:rPr>
                <w:rFonts w:hint="eastAsia"/>
              </w:rPr>
              <w:t>20</w:t>
            </w:r>
          </w:p>
        </w:tc>
        <w:tc>
          <w:tcPr>
            <w:tcW w:w="1174" w:type="dxa"/>
            <w:vAlign w:val="center"/>
          </w:tcPr>
          <w:p>
            <w:pPr>
              <w:pStyle w:val="51"/>
              <w:rPr>
                <w:snapToGrid w:val="0"/>
              </w:rPr>
            </w:pPr>
            <w:r>
              <w:rPr>
                <w:rFonts w:hint="eastAsia"/>
              </w:rPr>
              <w:t>15</w:t>
            </w:r>
          </w:p>
        </w:tc>
        <w:tc>
          <w:tcPr>
            <w:tcW w:w="1173" w:type="dxa"/>
            <w:vAlign w:val="center"/>
          </w:tcPr>
          <w:p>
            <w:pPr>
              <w:pStyle w:val="51"/>
              <w:rPr>
                <w:snapToGrid w:val="0"/>
              </w:rPr>
            </w:pPr>
            <w:r>
              <w:rPr>
                <w:rFonts w:hint="eastAsia"/>
              </w:rPr>
              <w:t>70</w:t>
            </w:r>
          </w:p>
        </w:tc>
        <w:tc>
          <w:tcPr>
            <w:tcW w:w="1174" w:type="dxa"/>
            <w:vAlign w:val="center"/>
          </w:tcPr>
          <w:p>
            <w:pPr>
              <w:pStyle w:val="51"/>
              <w:rPr>
                <w:snapToGrid w:val="0"/>
              </w:rPr>
            </w:pPr>
            <w:r>
              <w:rPr>
                <w:rFonts w:hint="eastAsia"/>
              </w:rPr>
              <w:t>/</w:t>
            </w:r>
          </w:p>
        </w:tc>
      </w:tr>
      <w:bookmarkEnd w:id="92"/>
    </w:tbl>
    <w:p>
      <w:pPr>
        <w:pStyle w:val="5"/>
      </w:pPr>
      <w:r>
        <w:rPr>
          <w:rFonts w:hint="eastAsia"/>
        </w:rPr>
        <w:t>2</w:t>
      </w:r>
      <w:r>
        <w:t>.</w:t>
      </w:r>
      <w:r>
        <w:rPr>
          <w:rFonts w:hint="eastAsia"/>
        </w:rPr>
        <w:t>4</w:t>
      </w:r>
      <w:r>
        <w:t>.</w:t>
      </w:r>
      <w:r>
        <w:rPr>
          <w:rFonts w:hint="eastAsia"/>
        </w:rPr>
        <w:t>2.3</w:t>
      </w:r>
      <w:r>
        <w:t xml:space="preserve"> </w:t>
      </w:r>
      <w:r>
        <w:rPr>
          <w:rFonts w:hint="eastAsia"/>
        </w:rPr>
        <w:t>噪声排放标准</w:t>
      </w:r>
    </w:p>
    <w:p>
      <w:pPr>
        <w:pStyle w:val="49"/>
        <w:ind w:firstLine="480"/>
        <w:rPr>
          <w:snapToGrid w:val="0"/>
        </w:rPr>
      </w:pPr>
      <w:r>
        <w:rPr>
          <w:snapToGrid w:val="0"/>
        </w:rPr>
        <w:t>项目施工期噪声排放执行《建筑施工厂界环境噪声排放标准》（GB12523-2011），相关限值见表2.</w:t>
      </w:r>
      <w:r>
        <w:rPr>
          <w:rFonts w:hint="eastAsia"/>
          <w:snapToGrid w:val="0"/>
        </w:rPr>
        <w:t>4</w:t>
      </w:r>
      <w:r>
        <w:rPr>
          <w:snapToGrid w:val="0"/>
        </w:rPr>
        <w:t>-</w:t>
      </w:r>
      <w:r>
        <w:rPr>
          <w:rFonts w:hint="eastAsia"/>
          <w:snapToGrid w:val="0"/>
        </w:rPr>
        <w:t>9</w:t>
      </w:r>
      <w:r>
        <w:rPr>
          <w:snapToGrid w:val="0"/>
        </w:rPr>
        <w:t>。</w:t>
      </w:r>
    </w:p>
    <w:p>
      <w:pPr>
        <w:pStyle w:val="53"/>
        <w:rPr>
          <w:snapToGrid w:val="0"/>
        </w:rPr>
      </w:pPr>
    </w:p>
    <w:p>
      <w:pPr>
        <w:pStyle w:val="53"/>
        <w:rPr>
          <w:snapToGrid w:val="0"/>
        </w:rPr>
      </w:pPr>
    </w:p>
    <w:p>
      <w:pPr>
        <w:pStyle w:val="53"/>
        <w:rPr>
          <w:snapToGrid w:val="0"/>
        </w:rPr>
      </w:pPr>
      <w:r>
        <w:rPr>
          <w:snapToGrid w:val="0"/>
        </w:rPr>
        <w:t>表2.</w:t>
      </w:r>
      <w:r>
        <w:rPr>
          <w:rFonts w:hint="eastAsia"/>
          <w:snapToGrid w:val="0"/>
        </w:rPr>
        <w:t>4</w:t>
      </w:r>
      <w:r>
        <w:rPr>
          <w:snapToGrid w:val="0"/>
        </w:rPr>
        <w:t>-</w:t>
      </w:r>
      <w:r>
        <w:rPr>
          <w:rFonts w:hint="eastAsia"/>
          <w:snapToGrid w:val="0"/>
        </w:rPr>
        <w:t>9</w:t>
      </w:r>
      <w:r>
        <w:rPr>
          <w:snapToGrid w:val="0"/>
        </w:rPr>
        <w:t xml:space="preserve"> 《建筑施工场界环境噪声排放标准》（GB12523-2011）  单位：dB(A)</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pStyle w:val="51"/>
              <w:rPr>
                <w:snapToGrid w:val="0"/>
              </w:rPr>
            </w:pPr>
            <w:r>
              <w:rPr>
                <w:snapToGrid w:val="0"/>
              </w:rPr>
              <w:t>昼间</w:t>
            </w:r>
          </w:p>
        </w:tc>
        <w:tc>
          <w:tcPr>
            <w:tcW w:w="4261" w:type="dxa"/>
            <w:vAlign w:val="center"/>
          </w:tcPr>
          <w:p>
            <w:pPr>
              <w:pStyle w:val="51"/>
              <w:rPr>
                <w:snapToGrid w:val="0"/>
              </w:rPr>
            </w:pPr>
            <w:r>
              <w:rPr>
                <w:snapToGrid w:val="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pStyle w:val="51"/>
              <w:rPr>
                <w:snapToGrid w:val="0"/>
              </w:rPr>
            </w:pPr>
            <w:r>
              <w:rPr>
                <w:snapToGrid w:val="0"/>
              </w:rPr>
              <w:t>70</w:t>
            </w:r>
          </w:p>
        </w:tc>
        <w:tc>
          <w:tcPr>
            <w:tcW w:w="4261" w:type="dxa"/>
            <w:vAlign w:val="center"/>
          </w:tcPr>
          <w:p>
            <w:pPr>
              <w:pStyle w:val="51"/>
              <w:rPr>
                <w:snapToGrid w:val="0"/>
              </w:rPr>
            </w:pPr>
            <w:r>
              <w:rPr>
                <w:snapToGrid w:val="0"/>
              </w:rPr>
              <w:t>55</w:t>
            </w:r>
          </w:p>
        </w:tc>
      </w:tr>
    </w:tbl>
    <w:p>
      <w:pPr>
        <w:pStyle w:val="49"/>
        <w:ind w:firstLine="480"/>
        <w:rPr>
          <w:snapToGrid w:val="0"/>
        </w:rPr>
      </w:pPr>
      <w:r>
        <w:rPr>
          <w:snapToGrid w:val="0"/>
        </w:rPr>
        <w:t>项目运营期噪声排放执行《工业企业厂界环境噪声排放标准》（GB12348-2008）3类标准，相关限值见表2.</w:t>
      </w:r>
      <w:r>
        <w:rPr>
          <w:rFonts w:hint="eastAsia"/>
          <w:snapToGrid w:val="0"/>
        </w:rPr>
        <w:t>4</w:t>
      </w:r>
      <w:r>
        <w:rPr>
          <w:snapToGrid w:val="0"/>
        </w:rPr>
        <w:t>-</w:t>
      </w:r>
      <w:r>
        <w:rPr>
          <w:rFonts w:hint="eastAsia"/>
          <w:snapToGrid w:val="0"/>
        </w:rPr>
        <w:t>10</w:t>
      </w:r>
      <w:r>
        <w:rPr>
          <w:snapToGrid w:val="0"/>
        </w:rPr>
        <w:t>。</w:t>
      </w:r>
    </w:p>
    <w:p>
      <w:pPr>
        <w:pStyle w:val="53"/>
        <w:rPr>
          <w:snapToGrid w:val="0"/>
        </w:rPr>
      </w:pPr>
      <w:r>
        <w:rPr>
          <w:snapToGrid w:val="0"/>
        </w:rPr>
        <w:t>表2.</w:t>
      </w:r>
      <w:r>
        <w:rPr>
          <w:rFonts w:hint="eastAsia"/>
          <w:snapToGrid w:val="0"/>
        </w:rPr>
        <w:t>4</w:t>
      </w:r>
      <w:r>
        <w:rPr>
          <w:snapToGrid w:val="0"/>
        </w:rPr>
        <w:t>-1</w:t>
      </w:r>
      <w:r>
        <w:rPr>
          <w:rFonts w:hint="eastAsia"/>
          <w:snapToGrid w:val="0"/>
        </w:rPr>
        <w:t>0</w:t>
      </w:r>
      <w:r>
        <w:rPr>
          <w:snapToGrid w:val="0"/>
        </w:rPr>
        <w:t xml:space="preserve"> 《工业企业厂界环境噪声排放标准》（GB12348-2008）  单位：dB(A)</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Style w:val="51"/>
              <w:rPr>
                <w:snapToGrid w:val="0"/>
              </w:rPr>
            </w:pPr>
            <w:r>
              <w:rPr>
                <w:snapToGrid w:val="0"/>
                <w:color w:val="000000"/>
                <w:szCs w:val="21"/>
              </w:rPr>
              <w:t>类别</w:t>
            </w:r>
          </w:p>
        </w:tc>
        <w:tc>
          <w:tcPr>
            <w:tcW w:w="2841" w:type="dxa"/>
            <w:vAlign w:val="center"/>
          </w:tcPr>
          <w:p>
            <w:pPr>
              <w:pStyle w:val="51"/>
              <w:rPr>
                <w:snapToGrid w:val="0"/>
              </w:rPr>
            </w:pPr>
            <w:r>
              <w:rPr>
                <w:snapToGrid w:val="0"/>
                <w:color w:val="000000"/>
                <w:szCs w:val="21"/>
              </w:rPr>
              <w:t>昼间</w:t>
            </w:r>
          </w:p>
        </w:tc>
        <w:tc>
          <w:tcPr>
            <w:tcW w:w="2841" w:type="dxa"/>
            <w:vAlign w:val="center"/>
          </w:tcPr>
          <w:p>
            <w:pPr>
              <w:pStyle w:val="51"/>
              <w:rPr>
                <w:snapToGrid w:val="0"/>
              </w:rPr>
            </w:pPr>
            <w:r>
              <w:rPr>
                <w:snapToGrid w:val="0"/>
                <w:color w:val="00000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Style w:val="51"/>
              <w:rPr>
                <w:snapToGrid w:val="0"/>
              </w:rPr>
            </w:pPr>
            <w:r>
              <w:rPr>
                <w:rFonts w:hint="eastAsia"/>
                <w:snapToGrid w:val="0"/>
                <w:color w:val="000000"/>
                <w:szCs w:val="21"/>
              </w:rPr>
              <w:t>2</w:t>
            </w:r>
            <w:r>
              <w:rPr>
                <w:snapToGrid w:val="0"/>
                <w:color w:val="000000"/>
                <w:szCs w:val="21"/>
              </w:rPr>
              <w:t>类</w:t>
            </w:r>
          </w:p>
        </w:tc>
        <w:tc>
          <w:tcPr>
            <w:tcW w:w="2841" w:type="dxa"/>
            <w:vAlign w:val="center"/>
          </w:tcPr>
          <w:p>
            <w:pPr>
              <w:pStyle w:val="51"/>
              <w:rPr>
                <w:snapToGrid w:val="0"/>
              </w:rPr>
            </w:pPr>
            <w:r>
              <w:rPr>
                <w:rFonts w:hint="eastAsia"/>
                <w:snapToGrid w:val="0"/>
                <w:color w:val="000000"/>
                <w:szCs w:val="21"/>
              </w:rPr>
              <w:t>60</w:t>
            </w:r>
          </w:p>
        </w:tc>
        <w:tc>
          <w:tcPr>
            <w:tcW w:w="2841" w:type="dxa"/>
            <w:vAlign w:val="center"/>
          </w:tcPr>
          <w:p>
            <w:pPr>
              <w:pStyle w:val="51"/>
              <w:rPr>
                <w:snapToGrid w:val="0"/>
              </w:rPr>
            </w:pPr>
            <w:r>
              <w:rPr>
                <w:rFonts w:hint="eastAsia"/>
                <w:snapToGrid w:val="0"/>
                <w:color w:val="000000"/>
                <w:szCs w:val="21"/>
              </w:rPr>
              <w:t>50</w:t>
            </w:r>
          </w:p>
        </w:tc>
      </w:tr>
    </w:tbl>
    <w:p>
      <w:pPr>
        <w:pStyle w:val="5"/>
      </w:pPr>
      <w:r>
        <w:rPr>
          <w:rFonts w:hint="eastAsia"/>
        </w:rPr>
        <w:t>2</w:t>
      </w:r>
      <w:r>
        <w:t>.</w:t>
      </w:r>
      <w:r>
        <w:rPr>
          <w:rFonts w:hint="eastAsia"/>
        </w:rPr>
        <w:t>4</w:t>
      </w:r>
      <w:r>
        <w:t>.</w:t>
      </w:r>
      <w:r>
        <w:rPr>
          <w:rFonts w:hint="eastAsia"/>
        </w:rPr>
        <w:t>2.4</w:t>
      </w:r>
      <w:r>
        <w:t xml:space="preserve"> 固体废物处置</w:t>
      </w:r>
      <w:r>
        <w:rPr>
          <w:rFonts w:hint="eastAsia"/>
        </w:rPr>
        <w:t>标准</w:t>
      </w:r>
    </w:p>
    <w:p>
      <w:pPr>
        <w:pStyle w:val="49"/>
        <w:ind w:firstLine="480"/>
      </w:pPr>
      <w:r>
        <w:rPr>
          <w:rFonts w:hint="eastAsia"/>
          <w:snapToGrid w:val="0"/>
        </w:rPr>
        <w:t>本项目鸡粪执行</w:t>
      </w:r>
      <w:r>
        <w:rPr>
          <w:rFonts w:hint="eastAsia"/>
        </w:rPr>
        <w:t>《畜禽养殖业污染物排放标准》（</w:t>
      </w:r>
      <w:r>
        <w:t>GB18596-2001</w:t>
      </w:r>
      <w:r>
        <w:rPr>
          <w:rFonts w:hint="eastAsia"/>
        </w:rPr>
        <w:t>），</w:t>
      </w:r>
      <w:bookmarkStart w:id="93" w:name="_Hlk193963923"/>
      <w:r>
        <w:rPr>
          <w:rFonts w:hint="eastAsia"/>
        </w:rPr>
        <w:t>通过收集每日新鲜鸡粪送鸡粪风干车间风干后，转运至有湖南恩润生物科技有限公司制造有机肥；</w:t>
      </w:r>
      <w:bookmarkEnd w:id="93"/>
      <w:r>
        <w:rPr>
          <w:rFonts w:hint="eastAsia"/>
        </w:rPr>
        <w:t>防疫医疗产生的医疗废物执行《医疗废物处置污染控制标准》（GB39707-2020），暂存执行</w:t>
      </w:r>
      <w:r>
        <w:rPr>
          <w:snapToGrid w:val="0"/>
        </w:rPr>
        <w:t>《危险废物贮存污染控制标准》（GB18597-2023）</w:t>
      </w:r>
      <w:r>
        <w:rPr>
          <w:rFonts w:hint="eastAsia"/>
          <w:snapToGrid w:val="0"/>
        </w:rPr>
        <w:t>；病死鸡处理执行</w:t>
      </w:r>
      <w:r>
        <w:t>《病害动物和病害动物产品生物安全处理规程》（GB16548-2006）</w:t>
      </w:r>
      <w:r>
        <w:rPr>
          <w:rFonts w:hint="eastAsia"/>
        </w:rPr>
        <w:t>和《病死动物无害化处理技术规范》（农医发</w:t>
      </w:r>
      <w:r>
        <w:rPr>
          <w:rFonts w:cs="Times New Roman"/>
        </w:rPr>
        <w:t>[</w:t>
      </w:r>
      <w:r>
        <w:rPr>
          <w:rFonts w:hint="eastAsia" w:cs="Times New Roman"/>
        </w:rPr>
        <w:t>2017</w:t>
      </w:r>
      <w:r>
        <w:rPr>
          <w:rFonts w:cs="Times New Roman"/>
        </w:rPr>
        <w:t>]</w:t>
      </w:r>
      <w:r>
        <w:rPr>
          <w:rFonts w:hint="eastAsia" w:cs="Times New Roman"/>
        </w:rPr>
        <w:t>25号</w:t>
      </w:r>
      <w:r>
        <w:rPr>
          <w:rFonts w:hint="eastAsia"/>
        </w:rPr>
        <w:t>）；一般固废执行</w:t>
      </w:r>
      <w:r>
        <w:rPr>
          <w:snapToGrid w:val="0"/>
        </w:rPr>
        <w:t>《</w:t>
      </w:r>
      <w:r>
        <w:rPr>
          <w:rFonts w:hint="eastAsia"/>
        </w:rPr>
        <w:t>一般工业固体废物贮存和填埋污染控制标准</w:t>
      </w:r>
      <w:r>
        <w:rPr>
          <w:snapToGrid w:val="0"/>
        </w:rPr>
        <w:t>》（GB18599-2020</w:t>
      </w:r>
      <w:r>
        <w:rPr>
          <w:rFonts w:hint="eastAsia"/>
          <w:snapToGrid w:val="0"/>
        </w:rPr>
        <w:t>）；生活垃圾执行《生活垃圾填埋场污染控制标准》（GB16889-2024）。</w:t>
      </w:r>
    </w:p>
    <w:p>
      <w:pPr>
        <w:pStyle w:val="3"/>
      </w:pPr>
      <w:bookmarkStart w:id="94" w:name="_Toc25638"/>
      <w:bookmarkStart w:id="95" w:name="_Toc11332"/>
      <w:bookmarkStart w:id="96" w:name="_Toc17199"/>
      <w:bookmarkStart w:id="97" w:name="_Toc160443161"/>
      <w:bookmarkStart w:id="98" w:name="_Toc28846"/>
      <w:bookmarkStart w:id="99" w:name="_Toc1467"/>
      <w:bookmarkStart w:id="100" w:name="_Toc194481133"/>
      <w:r>
        <w:t>2.</w:t>
      </w:r>
      <w:r>
        <w:rPr>
          <w:rFonts w:hint="eastAsia"/>
        </w:rPr>
        <w:t>5</w:t>
      </w:r>
      <w:r>
        <w:t xml:space="preserve"> 评价工作等级</w:t>
      </w:r>
      <w:bookmarkEnd w:id="94"/>
      <w:bookmarkEnd w:id="95"/>
      <w:bookmarkEnd w:id="96"/>
      <w:bookmarkEnd w:id="97"/>
      <w:bookmarkEnd w:id="98"/>
      <w:bookmarkEnd w:id="99"/>
      <w:r>
        <w:rPr>
          <w:rFonts w:hint="eastAsia"/>
        </w:rPr>
        <w:t>及评价范围</w:t>
      </w:r>
      <w:bookmarkEnd w:id="100"/>
    </w:p>
    <w:p>
      <w:pPr>
        <w:pStyle w:val="4"/>
      </w:pPr>
      <w:bookmarkStart w:id="101" w:name="_Toc194481134"/>
      <w:r>
        <w:t>2.</w:t>
      </w:r>
      <w:r>
        <w:rPr>
          <w:rFonts w:hint="eastAsia"/>
        </w:rPr>
        <w:t>5</w:t>
      </w:r>
      <w:r>
        <w:t xml:space="preserve">.1 </w:t>
      </w:r>
      <w:r>
        <w:rPr>
          <w:rFonts w:cs="Times New Roman"/>
          <w:color w:val="000000"/>
          <w:szCs w:val="28"/>
        </w:rPr>
        <w:t>大气环境</w:t>
      </w:r>
      <w:r>
        <w:rPr>
          <w:rFonts w:hint="eastAsia" w:cs="Times New Roman"/>
          <w:color w:val="000000"/>
          <w:szCs w:val="28"/>
        </w:rPr>
        <w:t>评价等级</w:t>
      </w:r>
      <w:r>
        <w:rPr>
          <w:rFonts w:cs="Times New Roman"/>
          <w:color w:val="000000"/>
          <w:szCs w:val="28"/>
        </w:rPr>
        <w:t>及评价范围</w:t>
      </w:r>
      <w:bookmarkEnd w:id="101"/>
    </w:p>
    <w:p>
      <w:pPr>
        <w:pStyle w:val="49"/>
        <w:ind w:firstLine="480"/>
      </w:pPr>
      <w:r>
        <w:rPr>
          <w:rFonts w:hint="eastAsia"/>
        </w:rPr>
        <w:t>（1）评价等级</w:t>
      </w:r>
    </w:p>
    <w:p>
      <w:pPr>
        <w:pStyle w:val="49"/>
        <w:overflowPunct w:val="0"/>
        <w:ind w:firstLine="480"/>
      </w:pPr>
      <w:r>
        <w:t>本项目排放的大气污染物主要为</w:t>
      </w:r>
      <w:r>
        <w:rPr>
          <w:rFonts w:hint="eastAsia"/>
        </w:rPr>
        <w:t>NH</w:t>
      </w:r>
      <w:r>
        <w:rPr>
          <w:rFonts w:hint="eastAsia"/>
          <w:vertAlign w:val="subscript"/>
        </w:rPr>
        <w:t>3</w:t>
      </w:r>
      <w:r>
        <w:rPr>
          <w:rFonts w:hint="eastAsia"/>
        </w:rPr>
        <w:t>、H</w:t>
      </w:r>
      <w:r>
        <w:rPr>
          <w:rFonts w:hint="eastAsia"/>
          <w:vertAlign w:val="subscript"/>
        </w:rPr>
        <w:t>2</w:t>
      </w:r>
      <w:r>
        <w:rPr>
          <w:rFonts w:hint="eastAsia"/>
        </w:rPr>
        <w:t>S、颗粒物等。</w:t>
      </w:r>
      <w:r>
        <w:rPr>
          <w:snapToGrid w:val="0"/>
        </w:rPr>
        <w:t>根据</w:t>
      </w:r>
      <w:r>
        <w:t>《环境影响评价技术导则――大气环境》（HJ2.2-2018）中评价等级的划分方法，采用《导则》附录A中推荐的AERSCREEN模型中估算模型分别计算项目排放主要污染物的最大地面空气质量浓度占标率</w:t>
      </w:r>
      <w:r>
        <w:rPr>
          <w:i/>
          <w:iCs/>
        </w:rPr>
        <w:t>P</w:t>
      </w:r>
      <w:r>
        <w:rPr>
          <w:i/>
          <w:iCs/>
          <w:vertAlign w:val="subscript"/>
        </w:rPr>
        <w:t>i</w:t>
      </w:r>
      <w:r>
        <w:t>（第</w:t>
      </w:r>
      <w:r>
        <w:rPr>
          <w:i/>
          <w:iCs/>
        </w:rPr>
        <w:t>i</w:t>
      </w:r>
      <w:r>
        <w:t>个污染物，简称“最大浓度占标率”），及第</w:t>
      </w:r>
      <w:r>
        <w:rPr>
          <w:i/>
          <w:iCs/>
        </w:rPr>
        <w:t>i</w:t>
      </w:r>
      <w:r>
        <w:t>个污染物的地面空气质量浓度达到标准值的10%时所对应的最远距离</w:t>
      </w:r>
      <w:r>
        <w:rPr>
          <w:i/>
          <w:iCs/>
        </w:rPr>
        <w:t>D</w:t>
      </w:r>
      <w:r>
        <w:rPr>
          <w:i/>
          <w:iCs/>
          <w:vertAlign w:val="subscript"/>
        </w:rPr>
        <w:t>10%</w:t>
      </w:r>
      <w:r>
        <w:t>。其中</w:t>
      </w:r>
      <w:r>
        <w:rPr>
          <w:i/>
          <w:iCs/>
        </w:rPr>
        <w:t>P</w:t>
      </w:r>
      <w:r>
        <w:rPr>
          <w:i/>
          <w:iCs/>
          <w:vertAlign w:val="subscript"/>
        </w:rPr>
        <w:t>i</w:t>
      </w:r>
      <w:r>
        <w:t>定义见下公式：</w:t>
      </w:r>
    </w:p>
    <w:p>
      <w:pPr>
        <w:pStyle w:val="49"/>
        <w:spacing w:line="240" w:lineRule="auto"/>
        <w:ind w:firstLine="0" w:firstLineChars="0"/>
        <w:jc w:val="center"/>
      </w:pPr>
      <w:r>
        <w:drawing>
          <wp:inline distT="0" distB="0" distL="0" distR="0">
            <wp:extent cx="1123950" cy="447675"/>
            <wp:effectExtent l="0" t="0" r="0" b="0"/>
            <wp:docPr id="1068709542" name="图片 1" descr="环境影响评价技术导则 大气环境 2018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8709542" name="图片 1" descr="环境影响评价技术导则 大气环境 2018 -9"/>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1123950" cy="447675"/>
                    </a:xfrm>
                    <a:prstGeom prst="rect">
                      <a:avLst/>
                    </a:prstGeom>
                    <a:noFill/>
                    <a:ln>
                      <a:noFill/>
                    </a:ln>
                    <a:effectLst/>
                  </pic:spPr>
                </pic:pic>
              </a:graphicData>
            </a:graphic>
          </wp:inline>
        </w:drawing>
      </w:r>
    </w:p>
    <w:p>
      <w:pPr>
        <w:pStyle w:val="49"/>
        <w:ind w:firstLine="480"/>
      </w:pPr>
      <w:r>
        <w:t>式中：</w:t>
      </w:r>
      <w:r>
        <w:rPr>
          <w:i/>
          <w:iCs/>
        </w:rPr>
        <w:t>Pi</w:t>
      </w:r>
      <w:r>
        <w:t>—第</w:t>
      </w:r>
      <w:r>
        <w:rPr>
          <w:i/>
          <w:iCs/>
        </w:rPr>
        <w:t>i</w:t>
      </w:r>
      <w:r>
        <w:t>个污染物的最大地面空气的质量浓度占标率，</w:t>
      </w:r>
      <w:r>
        <w:rPr>
          <w:rFonts w:hint="eastAsia"/>
        </w:rPr>
        <w:t>%</w:t>
      </w:r>
      <w:r>
        <w:t>；</w:t>
      </w:r>
    </w:p>
    <w:p>
      <w:pPr>
        <w:pStyle w:val="49"/>
        <w:ind w:firstLine="1200" w:firstLineChars="500"/>
      </w:pPr>
      <w:r>
        <w:rPr>
          <w:i/>
          <w:iCs/>
        </w:rPr>
        <w:t>Ci</w:t>
      </w:r>
      <w:r>
        <w:t>—采用估算模式计算出的第</w:t>
      </w:r>
      <w:r>
        <w:rPr>
          <w:i/>
          <w:iCs/>
        </w:rPr>
        <w:t>i</w:t>
      </w:r>
      <w:r>
        <w:t>个污染物的最大1h地面空气质量浓度；</w:t>
      </w:r>
    </w:p>
    <w:p>
      <w:pPr>
        <w:pStyle w:val="49"/>
        <w:ind w:firstLine="1200" w:firstLineChars="500"/>
        <w:rPr>
          <w:snapToGrid w:val="0"/>
        </w:rPr>
      </w:pPr>
      <w:r>
        <w:rPr>
          <w:i/>
          <w:iCs/>
        </w:rPr>
        <w:t>C</w:t>
      </w:r>
      <w:r>
        <w:rPr>
          <w:i/>
          <w:iCs/>
          <w:vertAlign w:val="subscript"/>
        </w:rPr>
        <w:t>0i</w:t>
      </w:r>
      <w:r>
        <w:t>—第</w:t>
      </w:r>
      <w:r>
        <w:rPr>
          <w:i/>
          <w:iCs/>
        </w:rPr>
        <w:t>i</w:t>
      </w:r>
      <w:r>
        <w:t>个污染物的环境空气质量标准，一般选用GB 3095中1 h平均质量浓度的二级浓度限值，如项目位于一类环境空气功能区，应选择相应的一级浓度限值；对该标准中未包含的污染物，使用5.2确定的各评价因子1 h平均质量浓度限值。对仅有8 h平均质量浓度限值、日平均质量浓度限值或年平均质量浓度限值的，可分别按2倍、3倍、6倍折算为1h平均质量浓度限值。</w:t>
      </w:r>
    </w:p>
    <w:p>
      <w:pPr>
        <w:pStyle w:val="49"/>
        <w:ind w:firstLine="480"/>
      </w:pPr>
      <w:r>
        <w:t>评价工作等级按下表的分级判据进行划分。</w:t>
      </w:r>
    </w:p>
    <w:p>
      <w:pPr>
        <w:pStyle w:val="53"/>
      </w:pPr>
      <w:r>
        <w:t>表2.</w:t>
      </w:r>
      <w:r>
        <w:rPr>
          <w:rFonts w:hint="eastAsia"/>
        </w:rPr>
        <w:t>5</w:t>
      </w:r>
      <w:r>
        <w:t>-</w:t>
      </w:r>
      <w:r>
        <w:rPr>
          <w:rFonts w:hint="eastAsia"/>
        </w:rPr>
        <w:t>1</w:t>
      </w:r>
      <w:r>
        <w:t xml:space="preserve">  大气环境评价工作等级划分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pStyle w:val="51"/>
            </w:pPr>
            <w:r>
              <w:rPr>
                <w:szCs w:val="21"/>
              </w:rPr>
              <w:t>评价工作等级</w:t>
            </w:r>
          </w:p>
        </w:tc>
        <w:tc>
          <w:tcPr>
            <w:tcW w:w="4261" w:type="dxa"/>
            <w:vAlign w:val="center"/>
          </w:tcPr>
          <w:p>
            <w:pPr>
              <w:pStyle w:val="51"/>
            </w:pPr>
            <w:r>
              <w:rPr>
                <w:szCs w:val="21"/>
              </w:rPr>
              <w:t>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pStyle w:val="51"/>
            </w:pPr>
            <w:r>
              <w:rPr>
                <w:szCs w:val="21"/>
              </w:rPr>
              <w:t>一级评价</w:t>
            </w:r>
          </w:p>
        </w:tc>
        <w:tc>
          <w:tcPr>
            <w:tcW w:w="4261" w:type="dxa"/>
            <w:vAlign w:val="center"/>
          </w:tcPr>
          <w:p>
            <w:pPr>
              <w:pStyle w:val="51"/>
            </w:pPr>
            <w:r>
              <w:rPr>
                <w:i/>
                <w:iCs/>
                <w:szCs w:val="21"/>
              </w:rPr>
              <w:t>P</w:t>
            </w:r>
            <w:r>
              <w:rPr>
                <w:i/>
                <w:iCs/>
                <w:szCs w:val="21"/>
                <w:vertAlign w:val="subscript"/>
              </w:rPr>
              <w:t>max</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pStyle w:val="51"/>
            </w:pPr>
            <w:r>
              <w:rPr>
                <w:szCs w:val="21"/>
              </w:rPr>
              <w:t>二级评价</w:t>
            </w:r>
          </w:p>
        </w:tc>
        <w:tc>
          <w:tcPr>
            <w:tcW w:w="4261" w:type="dxa"/>
            <w:vAlign w:val="center"/>
          </w:tcPr>
          <w:p>
            <w:pPr>
              <w:pStyle w:val="51"/>
            </w:pPr>
            <w:r>
              <w:rPr>
                <w:szCs w:val="21"/>
              </w:rPr>
              <w:t>1%≤</w:t>
            </w:r>
            <w:r>
              <w:rPr>
                <w:i/>
                <w:iCs/>
                <w:szCs w:val="21"/>
              </w:rPr>
              <w:t>P</w:t>
            </w:r>
            <w:r>
              <w:rPr>
                <w:i/>
                <w:iCs/>
                <w:szCs w:val="21"/>
                <w:vertAlign w:val="subscript"/>
              </w:rPr>
              <w:t>max</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vAlign w:val="center"/>
          </w:tcPr>
          <w:p>
            <w:pPr>
              <w:pStyle w:val="51"/>
            </w:pPr>
            <w:r>
              <w:rPr>
                <w:szCs w:val="21"/>
              </w:rPr>
              <w:t>三级评价</w:t>
            </w:r>
          </w:p>
        </w:tc>
        <w:tc>
          <w:tcPr>
            <w:tcW w:w="4261" w:type="dxa"/>
            <w:vAlign w:val="center"/>
          </w:tcPr>
          <w:p>
            <w:pPr>
              <w:pStyle w:val="51"/>
            </w:pPr>
            <w:r>
              <w:rPr>
                <w:i/>
                <w:iCs/>
                <w:szCs w:val="21"/>
              </w:rPr>
              <w:t>P</w:t>
            </w:r>
            <w:r>
              <w:rPr>
                <w:i/>
                <w:iCs/>
                <w:szCs w:val="21"/>
                <w:vertAlign w:val="subscript"/>
              </w:rPr>
              <w:t>max</w:t>
            </w:r>
            <w:r>
              <w:rPr>
                <w:szCs w:val="21"/>
              </w:rPr>
              <w:t>＜1%</w:t>
            </w:r>
          </w:p>
        </w:tc>
      </w:tr>
    </w:tbl>
    <w:p>
      <w:pPr>
        <w:pStyle w:val="49"/>
        <w:ind w:firstLine="480"/>
      </w:pPr>
      <w:r>
        <w:t>根据影响分析章节，项目各污染源正常排放估算结果见下表2.</w:t>
      </w:r>
      <w:r>
        <w:rPr>
          <w:rFonts w:hint="eastAsia"/>
        </w:rPr>
        <w:t>5</w:t>
      </w:r>
      <w:r>
        <w:t>-</w:t>
      </w:r>
      <w:r>
        <w:rPr>
          <w:rFonts w:hint="eastAsia"/>
        </w:rPr>
        <w:t>2</w:t>
      </w:r>
      <w:r>
        <w:t>。</w:t>
      </w:r>
    </w:p>
    <w:p>
      <w:pPr>
        <w:pStyle w:val="53"/>
      </w:pPr>
      <w:r>
        <w:t>表2.</w:t>
      </w:r>
      <w:r>
        <w:rPr>
          <w:rFonts w:hint="eastAsia"/>
        </w:rPr>
        <w:t>5</w:t>
      </w:r>
      <w:r>
        <w:t>-</w:t>
      </w:r>
      <w:r>
        <w:rPr>
          <w:rFonts w:hint="eastAsia"/>
        </w:rPr>
        <w:t>2</w:t>
      </w:r>
      <w:r>
        <w:t xml:space="preserve"> 项目各污染物正常排放估算模式计算结果</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134"/>
        <w:gridCol w:w="1072"/>
        <w:gridCol w:w="1242"/>
        <w:gridCol w:w="889"/>
        <w:gridCol w:w="766"/>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pPr>
              <w:pStyle w:val="51"/>
            </w:pPr>
            <w:r>
              <w:t>污染源名称</w:t>
            </w:r>
          </w:p>
        </w:tc>
        <w:tc>
          <w:tcPr>
            <w:tcW w:w="1134" w:type="dxa"/>
            <w:vAlign w:val="center"/>
          </w:tcPr>
          <w:p>
            <w:pPr>
              <w:pStyle w:val="51"/>
            </w:pPr>
            <w:r>
              <w:t>评价因子</w:t>
            </w:r>
          </w:p>
        </w:tc>
        <w:tc>
          <w:tcPr>
            <w:tcW w:w="1072" w:type="dxa"/>
            <w:vAlign w:val="center"/>
          </w:tcPr>
          <w:p>
            <w:pPr>
              <w:pStyle w:val="51"/>
            </w:pPr>
            <w:r>
              <w:t>评价标准(μg/m</w:t>
            </w:r>
            <w:r>
              <w:rPr>
                <w:vertAlign w:val="superscript"/>
              </w:rPr>
              <w:t>3</w:t>
            </w:r>
            <w:r>
              <w:t>)</w:t>
            </w:r>
          </w:p>
        </w:tc>
        <w:tc>
          <w:tcPr>
            <w:tcW w:w="1242" w:type="dxa"/>
            <w:vAlign w:val="center"/>
          </w:tcPr>
          <w:p>
            <w:pPr>
              <w:pStyle w:val="51"/>
            </w:pPr>
            <w:r>
              <w:t>C</w:t>
            </w:r>
            <w:r>
              <w:rPr>
                <w:vertAlign w:val="subscript"/>
              </w:rPr>
              <w:t xml:space="preserve">max </w:t>
            </w:r>
            <w:r>
              <w:t>(μg/m</w:t>
            </w:r>
            <w:r>
              <w:rPr>
                <w:vertAlign w:val="superscript"/>
              </w:rPr>
              <w:t>3</w:t>
            </w:r>
            <w:r>
              <w:t>)</w:t>
            </w:r>
          </w:p>
        </w:tc>
        <w:tc>
          <w:tcPr>
            <w:tcW w:w="889" w:type="dxa"/>
            <w:vAlign w:val="center"/>
          </w:tcPr>
          <w:p>
            <w:pPr>
              <w:pStyle w:val="51"/>
            </w:pPr>
            <w:r>
              <w:t>P</w:t>
            </w:r>
            <w:r>
              <w:rPr>
                <w:vertAlign w:val="subscript"/>
              </w:rPr>
              <w:t>max</w:t>
            </w:r>
            <w:r>
              <w:t>(%)</w:t>
            </w:r>
          </w:p>
        </w:tc>
        <w:tc>
          <w:tcPr>
            <w:tcW w:w="766" w:type="dxa"/>
            <w:vAlign w:val="center"/>
          </w:tcPr>
          <w:p>
            <w:pPr>
              <w:pStyle w:val="51"/>
            </w:pPr>
            <w:r>
              <w:t>D</w:t>
            </w:r>
            <w:r>
              <w:rPr>
                <w:vertAlign w:val="subscript"/>
              </w:rPr>
              <w:t xml:space="preserve">10% </w:t>
            </w:r>
            <w:r>
              <w:t>(m)</w:t>
            </w:r>
          </w:p>
        </w:tc>
        <w:tc>
          <w:tcPr>
            <w:tcW w:w="788" w:type="dxa"/>
            <w:vAlign w:val="center"/>
          </w:tcPr>
          <w:p>
            <w:pPr>
              <w:pStyle w:val="51"/>
            </w:pPr>
            <w: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05" w:type="dxa"/>
            <w:vMerge w:val="restart"/>
            <w:vAlign w:val="center"/>
          </w:tcPr>
          <w:p>
            <w:pPr>
              <w:pStyle w:val="51"/>
            </w:pPr>
            <w:r>
              <w:rPr>
                <w:rFonts w:hint="eastAsia"/>
              </w:rPr>
              <w:t>鸡舍、鸡粪风干车间、一体化污水处理设施</w:t>
            </w:r>
          </w:p>
        </w:tc>
        <w:tc>
          <w:tcPr>
            <w:tcW w:w="1134" w:type="dxa"/>
            <w:vAlign w:val="center"/>
          </w:tcPr>
          <w:p>
            <w:pPr>
              <w:pStyle w:val="51"/>
            </w:pPr>
            <w:r>
              <w:rPr>
                <w:rFonts w:hint="eastAsia"/>
              </w:rPr>
              <w:t>NH</w:t>
            </w:r>
            <w:r>
              <w:rPr>
                <w:rFonts w:hint="eastAsia"/>
                <w:vertAlign w:val="subscript"/>
              </w:rPr>
              <w:t>3</w:t>
            </w:r>
          </w:p>
        </w:tc>
        <w:tc>
          <w:tcPr>
            <w:tcW w:w="1072" w:type="dxa"/>
            <w:vAlign w:val="center"/>
          </w:tcPr>
          <w:p>
            <w:pPr>
              <w:pStyle w:val="51"/>
            </w:pPr>
            <w:r>
              <w:rPr>
                <w:rFonts w:hint="eastAsia"/>
                <w:szCs w:val="21"/>
              </w:rPr>
              <w:t>200</w:t>
            </w:r>
          </w:p>
        </w:tc>
        <w:tc>
          <w:tcPr>
            <w:tcW w:w="1242" w:type="dxa"/>
            <w:vAlign w:val="center"/>
          </w:tcPr>
          <w:p>
            <w:pPr>
              <w:pStyle w:val="51"/>
              <w:rPr>
                <w:snapToGrid w:val="0"/>
              </w:rPr>
            </w:pPr>
            <w:r>
              <w:rPr>
                <w:rFonts w:hint="eastAsia"/>
                <w:snapToGrid w:val="0"/>
              </w:rPr>
              <w:t>4.09</w:t>
            </w:r>
          </w:p>
        </w:tc>
        <w:tc>
          <w:tcPr>
            <w:tcW w:w="889" w:type="dxa"/>
            <w:vAlign w:val="center"/>
          </w:tcPr>
          <w:p>
            <w:pPr>
              <w:pStyle w:val="51"/>
              <w:rPr>
                <w:snapToGrid w:val="0"/>
              </w:rPr>
            </w:pPr>
            <w:r>
              <w:rPr>
                <w:rFonts w:hint="eastAsia"/>
                <w:snapToGrid w:val="0"/>
              </w:rPr>
              <w:t>2.05</w:t>
            </w:r>
          </w:p>
        </w:tc>
        <w:tc>
          <w:tcPr>
            <w:tcW w:w="766" w:type="dxa"/>
            <w:vAlign w:val="center"/>
          </w:tcPr>
          <w:p>
            <w:pPr>
              <w:pStyle w:val="51"/>
            </w:pPr>
            <w:r>
              <w:rPr>
                <w:rFonts w:hint="eastAsia"/>
              </w:rPr>
              <w:t>/</w:t>
            </w:r>
          </w:p>
        </w:tc>
        <w:tc>
          <w:tcPr>
            <w:tcW w:w="788" w:type="dxa"/>
            <w:vAlign w:val="center"/>
          </w:tcPr>
          <w:p>
            <w:pPr>
              <w:pStyle w:val="51"/>
            </w:pPr>
            <w:r>
              <w:rPr>
                <w:rFonts w:hint="eastAsi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51"/>
            </w:pPr>
          </w:p>
        </w:tc>
        <w:tc>
          <w:tcPr>
            <w:tcW w:w="1134" w:type="dxa"/>
            <w:vAlign w:val="center"/>
          </w:tcPr>
          <w:p>
            <w:pPr>
              <w:pStyle w:val="51"/>
            </w:pPr>
            <w:r>
              <w:rPr>
                <w:rFonts w:hint="eastAsia"/>
              </w:rPr>
              <w:t>H</w:t>
            </w:r>
            <w:r>
              <w:rPr>
                <w:rFonts w:hint="eastAsia"/>
                <w:vertAlign w:val="subscript"/>
              </w:rPr>
              <w:t>2</w:t>
            </w:r>
            <w:r>
              <w:rPr>
                <w:rFonts w:hint="eastAsia"/>
              </w:rPr>
              <w:t>S</w:t>
            </w:r>
          </w:p>
        </w:tc>
        <w:tc>
          <w:tcPr>
            <w:tcW w:w="1072" w:type="dxa"/>
            <w:vAlign w:val="center"/>
          </w:tcPr>
          <w:p>
            <w:pPr>
              <w:pStyle w:val="51"/>
              <w:rPr>
                <w:szCs w:val="21"/>
              </w:rPr>
            </w:pPr>
            <w:r>
              <w:rPr>
                <w:rFonts w:hint="eastAsia"/>
                <w:szCs w:val="21"/>
              </w:rPr>
              <w:t>10</w:t>
            </w:r>
          </w:p>
        </w:tc>
        <w:tc>
          <w:tcPr>
            <w:tcW w:w="1242" w:type="dxa"/>
            <w:vAlign w:val="center"/>
          </w:tcPr>
          <w:p>
            <w:pPr>
              <w:pStyle w:val="51"/>
            </w:pPr>
            <w:r>
              <w:rPr>
                <w:rFonts w:hint="eastAsia"/>
              </w:rPr>
              <w:t>0.58</w:t>
            </w:r>
          </w:p>
        </w:tc>
        <w:tc>
          <w:tcPr>
            <w:tcW w:w="889" w:type="dxa"/>
            <w:vAlign w:val="center"/>
          </w:tcPr>
          <w:p>
            <w:pPr>
              <w:pStyle w:val="51"/>
            </w:pPr>
            <w:r>
              <w:rPr>
                <w:rFonts w:hint="eastAsia"/>
              </w:rPr>
              <w:t>5.78</w:t>
            </w:r>
          </w:p>
        </w:tc>
        <w:tc>
          <w:tcPr>
            <w:tcW w:w="766" w:type="dxa"/>
            <w:vAlign w:val="center"/>
          </w:tcPr>
          <w:p>
            <w:pPr>
              <w:pStyle w:val="51"/>
            </w:pPr>
            <w:r>
              <w:rPr>
                <w:rFonts w:hint="eastAsia"/>
              </w:rPr>
              <w:t>/</w:t>
            </w:r>
          </w:p>
        </w:tc>
        <w:tc>
          <w:tcPr>
            <w:tcW w:w="788" w:type="dxa"/>
            <w:vAlign w:val="center"/>
          </w:tcPr>
          <w:p>
            <w:pPr>
              <w:pStyle w:val="51"/>
            </w:pPr>
            <w:r>
              <w:rPr>
                <w:rFonts w:hint="eastAsi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51"/>
            </w:pPr>
          </w:p>
        </w:tc>
        <w:tc>
          <w:tcPr>
            <w:tcW w:w="1134" w:type="dxa"/>
            <w:vAlign w:val="center"/>
          </w:tcPr>
          <w:p>
            <w:pPr>
              <w:pStyle w:val="51"/>
            </w:pPr>
            <w:r>
              <w:t>颗粒物</w:t>
            </w:r>
          </w:p>
        </w:tc>
        <w:tc>
          <w:tcPr>
            <w:tcW w:w="1072" w:type="dxa"/>
            <w:vAlign w:val="center"/>
          </w:tcPr>
          <w:p>
            <w:pPr>
              <w:pStyle w:val="51"/>
              <w:rPr>
                <w:szCs w:val="21"/>
              </w:rPr>
            </w:pPr>
            <w:r>
              <w:rPr>
                <w:rFonts w:hint="eastAsia"/>
              </w:rPr>
              <w:t>900</w:t>
            </w:r>
          </w:p>
        </w:tc>
        <w:tc>
          <w:tcPr>
            <w:tcW w:w="1242" w:type="dxa"/>
            <w:vAlign w:val="center"/>
          </w:tcPr>
          <w:p>
            <w:pPr>
              <w:pStyle w:val="51"/>
            </w:pPr>
            <w:r>
              <w:rPr>
                <w:rFonts w:hint="eastAsia"/>
              </w:rPr>
              <w:t>53.8</w:t>
            </w:r>
          </w:p>
        </w:tc>
        <w:tc>
          <w:tcPr>
            <w:tcW w:w="889" w:type="dxa"/>
            <w:vAlign w:val="center"/>
          </w:tcPr>
          <w:p>
            <w:pPr>
              <w:pStyle w:val="51"/>
            </w:pPr>
            <w:r>
              <w:rPr>
                <w:rFonts w:hint="eastAsia"/>
              </w:rPr>
              <w:t>5.98</w:t>
            </w:r>
          </w:p>
        </w:tc>
        <w:tc>
          <w:tcPr>
            <w:tcW w:w="766" w:type="dxa"/>
            <w:vAlign w:val="center"/>
          </w:tcPr>
          <w:p>
            <w:pPr>
              <w:pStyle w:val="51"/>
            </w:pPr>
            <w:r>
              <w:rPr>
                <w:rFonts w:hint="eastAsia"/>
              </w:rPr>
              <w:t>/</w:t>
            </w:r>
          </w:p>
        </w:tc>
        <w:tc>
          <w:tcPr>
            <w:tcW w:w="788" w:type="dxa"/>
            <w:vAlign w:val="center"/>
          </w:tcPr>
          <w:p>
            <w:pPr>
              <w:pStyle w:val="51"/>
            </w:pPr>
            <w:r>
              <w:rPr>
                <w:rFonts w:hint="eastAsia"/>
              </w:rPr>
              <w:t>二级</w:t>
            </w:r>
          </w:p>
        </w:tc>
      </w:tr>
    </w:tbl>
    <w:p>
      <w:pPr>
        <w:pStyle w:val="49"/>
        <w:ind w:firstLine="480"/>
      </w:pPr>
      <w:r>
        <w:t>按照技术导则第5.3.3.1规定</w:t>
      </w:r>
      <w:r>
        <w:rPr>
          <w:rFonts w:ascii="宋体" w:hAnsi="宋体"/>
        </w:rPr>
        <w:t>“</w:t>
      </w:r>
      <w:r>
        <w:t>同一项目有多个污染源（两个及以上）时，则按各污染源分别确定评价等级，并取评价等级最高者作为项目的评价等级</w:t>
      </w:r>
      <w:r>
        <w:rPr>
          <w:rFonts w:ascii="宋体" w:hAnsi="宋体"/>
        </w:rPr>
        <w:t>”</w:t>
      </w:r>
      <w:r>
        <w:t>。因此结合上表2.7-</w:t>
      </w:r>
      <w:r>
        <w:rPr>
          <w:rFonts w:hint="eastAsia"/>
        </w:rPr>
        <w:t>2</w:t>
      </w:r>
      <w:r>
        <w:t>计算结果可得，最终确定本项目大气环境影响评价等级定为</w:t>
      </w:r>
      <w:r>
        <w:rPr>
          <w:rFonts w:hint="eastAsia"/>
        </w:rPr>
        <w:t>二</w:t>
      </w:r>
      <w:r>
        <w:t>级评价。</w:t>
      </w:r>
    </w:p>
    <w:p>
      <w:pPr>
        <w:pStyle w:val="49"/>
        <w:ind w:firstLine="480"/>
      </w:pPr>
      <w:r>
        <w:rPr>
          <w:rFonts w:hint="eastAsia"/>
        </w:rPr>
        <w:t>（2）评价范围</w:t>
      </w:r>
    </w:p>
    <w:p>
      <w:pPr>
        <w:pStyle w:val="49"/>
        <w:ind w:firstLine="480"/>
      </w:pPr>
      <w:r>
        <w:rPr>
          <w:rFonts w:hint="eastAsia"/>
        </w:rPr>
        <w:t>根据《环境影响评价技术导则大气环境》（</w:t>
      </w:r>
      <w:r>
        <w:rPr>
          <w:rFonts w:cs="Times New Roman"/>
        </w:rPr>
        <w:t>HJ 2.2-2018</w:t>
      </w:r>
      <w:r>
        <w:rPr>
          <w:rFonts w:hint="eastAsia"/>
        </w:rPr>
        <w:t xml:space="preserve">），二级评价项目大气环境影响评价范围边长取 </w:t>
      </w:r>
      <w:r>
        <w:rPr>
          <w:rFonts w:cs="Times New Roman"/>
        </w:rPr>
        <w:t>5km</w:t>
      </w:r>
      <w:r>
        <w:rPr>
          <w:rFonts w:hint="eastAsia"/>
        </w:rPr>
        <w:t>。因此本项目大气环境影响评价范围为以厂址为中心的边长5km×5km的矩形区域。</w:t>
      </w:r>
    </w:p>
    <w:p>
      <w:pPr>
        <w:pStyle w:val="4"/>
        <w:keepNext w:val="0"/>
        <w:keepLines w:val="0"/>
        <w:widowControl w:val="0"/>
      </w:pPr>
      <w:bookmarkStart w:id="102" w:name="_Toc194481135"/>
      <w:r>
        <w:t>2.</w:t>
      </w:r>
      <w:r>
        <w:rPr>
          <w:rFonts w:hint="eastAsia"/>
        </w:rPr>
        <w:t>5</w:t>
      </w:r>
      <w:r>
        <w:t>.</w:t>
      </w:r>
      <w:r>
        <w:rPr>
          <w:rFonts w:hint="eastAsia"/>
        </w:rPr>
        <w:t>2</w:t>
      </w:r>
      <w:r>
        <w:t xml:space="preserve"> </w:t>
      </w:r>
      <w:r>
        <w:rPr>
          <w:rFonts w:hint="eastAsia" w:cs="Times New Roman"/>
          <w:color w:val="000000"/>
          <w:szCs w:val="28"/>
        </w:rPr>
        <w:t>地表水</w:t>
      </w:r>
      <w:r>
        <w:rPr>
          <w:rFonts w:cs="Times New Roman"/>
          <w:color w:val="000000"/>
          <w:szCs w:val="28"/>
        </w:rPr>
        <w:t>环境</w:t>
      </w:r>
      <w:r>
        <w:rPr>
          <w:rFonts w:hint="eastAsia" w:cs="Times New Roman"/>
          <w:color w:val="000000"/>
          <w:szCs w:val="28"/>
        </w:rPr>
        <w:t>评价等级</w:t>
      </w:r>
      <w:r>
        <w:rPr>
          <w:rFonts w:cs="Times New Roman"/>
          <w:color w:val="000000"/>
          <w:szCs w:val="28"/>
        </w:rPr>
        <w:t>及评价范围</w:t>
      </w:r>
      <w:bookmarkEnd w:id="102"/>
    </w:p>
    <w:p>
      <w:pPr>
        <w:adjustRightInd w:val="0"/>
        <w:snapToGrid w:val="0"/>
        <w:spacing w:line="360" w:lineRule="auto"/>
        <w:ind w:firstLine="480" w:firstLineChars="200"/>
        <w:rPr>
          <w:rStyle w:val="50"/>
        </w:rPr>
      </w:pPr>
      <w:r>
        <w:rPr>
          <w:rStyle w:val="50"/>
          <w:rFonts w:hint="eastAsia"/>
        </w:rPr>
        <w:t>（1）评价等级</w:t>
      </w:r>
    </w:p>
    <w:p>
      <w:pPr>
        <w:adjustRightInd w:val="0"/>
        <w:snapToGrid w:val="0"/>
        <w:spacing w:line="360" w:lineRule="auto"/>
        <w:ind w:firstLine="480" w:firstLineChars="200"/>
        <w:rPr>
          <w:rFonts w:hint="eastAsia"/>
          <w:snapToGrid w:val="0"/>
          <w:color w:val="000000"/>
        </w:rPr>
      </w:pPr>
      <w:r>
        <w:rPr>
          <w:rStyle w:val="50"/>
        </w:rPr>
        <w:t>根据《环境影响评价技术导则 地表水环境》（HJ2.3-2018），地表水环境评价工作等级按照影响类型、排放方式、排放量或影响情况、受纳水体环境质量现状、水环境保护目标等综合确定。本项目属于水污染影响型建设项目，其评价等级按照下表2.</w:t>
      </w:r>
      <w:r>
        <w:rPr>
          <w:rStyle w:val="50"/>
          <w:rFonts w:hint="eastAsia"/>
        </w:rPr>
        <w:t>5</w:t>
      </w:r>
      <w:r>
        <w:rPr>
          <w:rStyle w:val="50"/>
        </w:rPr>
        <w:t>-</w:t>
      </w:r>
      <w:r>
        <w:rPr>
          <w:rStyle w:val="50"/>
          <w:rFonts w:hint="eastAsia"/>
        </w:rPr>
        <w:t>3</w:t>
      </w:r>
      <w:r>
        <w:rPr>
          <w:rStyle w:val="50"/>
        </w:rPr>
        <w:t>进行判定</w:t>
      </w:r>
      <w:r>
        <w:rPr>
          <w:snapToGrid w:val="0"/>
          <w:color w:val="000000"/>
        </w:rPr>
        <w:t>。</w:t>
      </w:r>
    </w:p>
    <w:p>
      <w:pPr>
        <w:pStyle w:val="53"/>
        <w:rPr>
          <w:snapToGrid w:val="0"/>
        </w:rPr>
      </w:pPr>
      <w:r>
        <w:rPr>
          <w:snapToGrid w:val="0"/>
        </w:rPr>
        <w:t>表2.</w:t>
      </w:r>
      <w:r>
        <w:rPr>
          <w:rFonts w:hint="eastAsia"/>
          <w:snapToGrid w:val="0"/>
        </w:rPr>
        <w:t>5</w:t>
      </w:r>
      <w:r>
        <w:rPr>
          <w:snapToGrid w:val="0"/>
        </w:rPr>
        <w:t>-</w:t>
      </w:r>
      <w:r>
        <w:rPr>
          <w:rFonts w:hint="eastAsia"/>
          <w:snapToGrid w:val="0"/>
        </w:rPr>
        <w:t>3</w:t>
      </w:r>
      <w:r>
        <w:rPr>
          <w:snapToGrid w:val="0"/>
        </w:rPr>
        <w:t xml:space="preserve"> 水污染影响型建设项目评价等级判定</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134"/>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vAlign w:val="center"/>
          </w:tcPr>
          <w:p>
            <w:pPr>
              <w:pStyle w:val="51"/>
              <w:rPr>
                <w:snapToGrid w:val="0"/>
              </w:rPr>
            </w:pPr>
            <w:r>
              <w:rPr>
                <w:rFonts w:hint="eastAsia"/>
                <w:snapToGrid w:val="0"/>
              </w:rPr>
              <w:t>评价等级</w:t>
            </w:r>
          </w:p>
        </w:tc>
        <w:tc>
          <w:tcPr>
            <w:tcW w:w="7421" w:type="dxa"/>
            <w:gridSpan w:val="2"/>
            <w:vAlign w:val="center"/>
          </w:tcPr>
          <w:p>
            <w:pPr>
              <w:pStyle w:val="51"/>
              <w:rPr>
                <w:snapToGrid w:val="0"/>
              </w:rPr>
            </w:pPr>
            <w:r>
              <w:rPr>
                <w:rFonts w:hint="eastAsia"/>
                <w:snapToGrid w:val="0"/>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pPr>
              <w:pStyle w:val="51"/>
              <w:rPr>
                <w:snapToGrid w:val="0"/>
              </w:rPr>
            </w:pPr>
          </w:p>
        </w:tc>
        <w:tc>
          <w:tcPr>
            <w:tcW w:w="1134" w:type="dxa"/>
            <w:vAlign w:val="center"/>
          </w:tcPr>
          <w:p>
            <w:pPr>
              <w:pStyle w:val="51"/>
              <w:rPr>
                <w:snapToGrid w:val="0"/>
              </w:rPr>
            </w:pPr>
            <w:r>
              <w:rPr>
                <w:rFonts w:hint="eastAsia"/>
                <w:snapToGrid w:val="0"/>
              </w:rPr>
              <w:t>排放方式</w:t>
            </w:r>
          </w:p>
        </w:tc>
        <w:tc>
          <w:tcPr>
            <w:tcW w:w="6287" w:type="dxa"/>
            <w:vAlign w:val="center"/>
          </w:tcPr>
          <w:p>
            <w:pPr>
              <w:pStyle w:val="51"/>
              <w:rPr>
                <w:snapToGrid w:val="0"/>
              </w:rPr>
            </w:pPr>
            <w:r>
              <w:rPr>
                <w:rFonts w:cs="Times New Roman"/>
                <w:color w:val="000000"/>
                <w:szCs w:val="21"/>
              </w:rPr>
              <w:t>废水排放量Q/（m</w:t>
            </w:r>
            <w:r>
              <w:rPr>
                <w:rFonts w:cs="Times New Roman"/>
                <w:color w:val="000000"/>
                <w:szCs w:val="21"/>
                <w:vertAlign w:val="superscript"/>
              </w:rPr>
              <w:t>3</w:t>
            </w:r>
            <w:r>
              <w:rPr>
                <w:rFonts w:cs="Times New Roman"/>
                <w:color w:val="000000"/>
                <w:szCs w:val="21"/>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51"/>
              <w:rPr>
                <w:snapToGrid w:val="0"/>
              </w:rPr>
            </w:pPr>
            <w:r>
              <w:rPr>
                <w:rFonts w:cs="Times New Roman"/>
                <w:color w:val="000000"/>
                <w:szCs w:val="21"/>
              </w:rPr>
              <w:t>一级</w:t>
            </w:r>
          </w:p>
        </w:tc>
        <w:tc>
          <w:tcPr>
            <w:tcW w:w="1134" w:type="dxa"/>
            <w:vAlign w:val="center"/>
          </w:tcPr>
          <w:p>
            <w:pPr>
              <w:pStyle w:val="51"/>
              <w:rPr>
                <w:snapToGrid w:val="0"/>
              </w:rPr>
            </w:pPr>
            <w:r>
              <w:rPr>
                <w:rFonts w:cs="Times New Roman"/>
                <w:color w:val="000000"/>
                <w:szCs w:val="21"/>
              </w:rPr>
              <w:t>直接排放</w:t>
            </w:r>
          </w:p>
        </w:tc>
        <w:tc>
          <w:tcPr>
            <w:tcW w:w="6287" w:type="dxa"/>
            <w:vAlign w:val="center"/>
          </w:tcPr>
          <w:p>
            <w:pPr>
              <w:pStyle w:val="51"/>
              <w:rPr>
                <w:snapToGrid w:val="0"/>
              </w:rPr>
            </w:pPr>
            <w:r>
              <w:rPr>
                <w:rFonts w:cs="Times New Roman"/>
                <w:color w:val="000000"/>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1" w:type="dxa"/>
            <w:vAlign w:val="center"/>
          </w:tcPr>
          <w:p>
            <w:pPr>
              <w:pStyle w:val="51"/>
              <w:rPr>
                <w:snapToGrid w:val="0"/>
              </w:rPr>
            </w:pPr>
            <w:r>
              <w:rPr>
                <w:rFonts w:cs="Times New Roman"/>
                <w:color w:val="000000"/>
                <w:szCs w:val="21"/>
              </w:rPr>
              <w:t>二级</w:t>
            </w:r>
          </w:p>
        </w:tc>
        <w:tc>
          <w:tcPr>
            <w:tcW w:w="1134" w:type="dxa"/>
            <w:vAlign w:val="center"/>
          </w:tcPr>
          <w:p>
            <w:pPr>
              <w:pStyle w:val="51"/>
              <w:rPr>
                <w:snapToGrid w:val="0"/>
              </w:rPr>
            </w:pPr>
            <w:r>
              <w:rPr>
                <w:rFonts w:cs="Times New Roman"/>
                <w:color w:val="000000"/>
                <w:szCs w:val="21"/>
              </w:rPr>
              <w:t>直接排放</w:t>
            </w:r>
          </w:p>
        </w:tc>
        <w:tc>
          <w:tcPr>
            <w:tcW w:w="6287" w:type="dxa"/>
            <w:vAlign w:val="center"/>
          </w:tcPr>
          <w:p>
            <w:pPr>
              <w:pStyle w:val="51"/>
              <w:rPr>
                <w:snapToGrid w:val="0"/>
              </w:rPr>
            </w:pPr>
            <w:r>
              <w:rPr>
                <w:rFonts w:cs="Times New Roman"/>
                <w:color w:val="00000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51"/>
              <w:rPr>
                <w:snapToGrid w:val="0"/>
              </w:rPr>
            </w:pPr>
            <w:r>
              <w:rPr>
                <w:rFonts w:cs="Times New Roman"/>
                <w:color w:val="000000"/>
                <w:szCs w:val="21"/>
              </w:rPr>
              <w:t>三级A</w:t>
            </w:r>
          </w:p>
        </w:tc>
        <w:tc>
          <w:tcPr>
            <w:tcW w:w="1134" w:type="dxa"/>
            <w:vAlign w:val="center"/>
          </w:tcPr>
          <w:p>
            <w:pPr>
              <w:pStyle w:val="51"/>
              <w:rPr>
                <w:snapToGrid w:val="0"/>
              </w:rPr>
            </w:pPr>
            <w:r>
              <w:rPr>
                <w:rFonts w:cs="Times New Roman"/>
                <w:color w:val="000000"/>
                <w:szCs w:val="21"/>
              </w:rPr>
              <w:t>直接排放</w:t>
            </w:r>
          </w:p>
        </w:tc>
        <w:tc>
          <w:tcPr>
            <w:tcW w:w="6287" w:type="dxa"/>
            <w:vAlign w:val="center"/>
          </w:tcPr>
          <w:p>
            <w:pPr>
              <w:pStyle w:val="51"/>
              <w:rPr>
                <w:snapToGrid w:val="0"/>
              </w:rPr>
            </w:pPr>
            <w:r>
              <w:rPr>
                <w:rFonts w:cs="Times New Roman"/>
                <w:color w:val="000000"/>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51"/>
              <w:rPr>
                <w:snapToGrid w:val="0"/>
              </w:rPr>
            </w:pPr>
            <w:r>
              <w:rPr>
                <w:rFonts w:cs="Times New Roman"/>
                <w:color w:val="000000"/>
                <w:szCs w:val="21"/>
              </w:rPr>
              <w:t>三级B</w:t>
            </w:r>
          </w:p>
        </w:tc>
        <w:tc>
          <w:tcPr>
            <w:tcW w:w="1134" w:type="dxa"/>
            <w:vAlign w:val="center"/>
          </w:tcPr>
          <w:p>
            <w:pPr>
              <w:pStyle w:val="51"/>
              <w:rPr>
                <w:snapToGrid w:val="0"/>
              </w:rPr>
            </w:pPr>
            <w:r>
              <w:rPr>
                <w:rFonts w:cs="Times New Roman"/>
                <w:color w:val="000000"/>
                <w:szCs w:val="21"/>
              </w:rPr>
              <w:t>间接排放</w:t>
            </w:r>
          </w:p>
        </w:tc>
        <w:tc>
          <w:tcPr>
            <w:tcW w:w="6287" w:type="dxa"/>
            <w:vAlign w:val="center"/>
          </w:tcPr>
          <w:p>
            <w:pPr>
              <w:pStyle w:val="51"/>
              <w:rPr>
                <w:snapToGrid w:val="0"/>
              </w:rPr>
            </w:pPr>
            <w:r>
              <w:rPr>
                <w:rFonts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vAlign w:val="center"/>
          </w:tcPr>
          <w:p>
            <w:pPr>
              <w:pStyle w:val="51"/>
              <w:jc w:val="both"/>
            </w:pPr>
            <w: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51"/>
              <w:jc w:val="both"/>
            </w:pPr>
            <w: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51"/>
              <w:jc w:val="both"/>
            </w:pPr>
            <w:r>
              <w:t>注3：场区存在堆积物（露天堆放的原料、燃料、废渣等以及垃圾堆放场）、降尘污染的，应将初期雨污水纳入废水排放量，相应的主要污染物纳入水污染当量计算。</w:t>
            </w:r>
          </w:p>
          <w:p>
            <w:pPr>
              <w:pStyle w:val="51"/>
              <w:jc w:val="both"/>
            </w:pPr>
            <w:r>
              <w:t>注4：建设项目直接排放第一类污染物的，其评价等级为一级；建设项目直接排放的污染物为受纳水体超标因子的，评价等级不低于二级。</w:t>
            </w:r>
          </w:p>
          <w:p>
            <w:pPr>
              <w:pStyle w:val="51"/>
              <w:jc w:val="both"/>
            </w:pPr>
            <w:r>
              <w:t>注5：直接排放受纳水体影响范围涉及饮用水水源保护区、饮用水取水口、重点保护与珍稀水生生物的栖息地、重要水生生物的自然产卵场等保护目标时，评价等级不低于二级。</w:t>
            </w:r>
          </w:p>
          <w:p>
            <w:pPr>
              <w:pStyle w:val="51"/>
              <w:jc w:val="both"/>
            </w:pPr>
            <w:r>
              <w:t>注6：建设项目向河流、湖库排放温排水引起受纳水体水温变化超过水环境质量标准要求，且评价范围有水温敏感目标时，评价等级为一级。</w:t>
            </w:r>
          </w:p>
          <w:p>
            <w:pPr>
              <w:pStyle w:val="51"/>
              <w:jc w:val="both"/>
            </w:pPr>
            <w:r>
              <w:t>注7：建设项目利用海水作为调节温度介质，排水量≥500万m</w:t>
            </w:r>
            <w:r>
              <w:rPr>
                <w:vertAlign w:val="superscript"/>
              </w:rPr>
              <w:t>3</w:t>
            </w:r>
            <w:r>
              <w:t>/d，评价等级为一级；排水量＜500万m</w:t>
            </w:r>
            <w:r>
              <w:rPr>
                <w:vertAlign w:val="superscript"/>
              </w:rPr>
              <w:t>3</w:t>
            </w:r>
            <w:r>
              <w:t>/d，评价等级为二级。</w:t>
            </w:r>
          </w:p>
          <w:p>
            <w:pPr>
              <w:pStyle w:val="51"/>
              <w:jc w:val="both"/>
            </w:pPr>
            <w:r>
              <w:t>注8：仅涉及清净下水排放的，如其排放水质满足受纳水体水环境质量标准要求的，评价等级为三级A。</w:t>
            </w:r>
          </w:p>
          <w:p>
            <w:pPr>
              <w:pStyle w:val="51"/>
              <w:jc w:val="both"/>
            </w:pPr>
            <w:r>
              <w:t>注9：依托现有排放口，且对外环境未新增排放污染物的直接排放建设项目，评价等级参照间接排放，定为三级B。</w:t>
            </w:r>
          </w:p>
          <w:p>
            <w:pPr>
              <w:pStyle w:val="51"/>
              <w:jc w:val="both"/>
            </w:pPr>
            <w:r>
              <w:rPr>
                <w:rFonts w:hint="eastAsia"/>
              </w:rPr>
              <w:t>注</w:t>
            </w:r>
            <w:r>
              <w:t>10：建设项目生产工艺中有废水产生，但作为回水利用，不排放到外环境的，按三级B评价。</w:t>
            </w:r>
          </w:p>
        </w:tc>
      </w:tr>
    </w:tbl>
    <w:p>
      <w:pPr>
        <w:pStyle w:val="49"/>
        <w:ind w:firstLine="480"/>
        <w:rPr>
          <w:snapToGrid w:val="0"/>
        </w:rPr>
      </w:pPr>
      <w:r>
        <w:rPr>
          <w:rFonts w:hint="eastAsia"/>
        </w:rPr>
        <w:t>本项目废水主要为鸡舍冲洗废水和生活污水，</w:t>
      </w:r>
      <w:bookmarkStart w:id="103" w:name="_Hlk193963996"/>
      <w:r>
        <w:rPr>
          <w:rFonts w:hint="eastAsia"/>
          <w:szCs w:val="21"/>
        </w:rPr>
        <w:t>一起进入一体化污水处理设施处理达标后，用于周边林地灌溉，不外排</w:t>
      </w:r>
      <w:r>
        <w:rPr>
          <w:rFonts w:hint="eastAsia"/>
        </w:rPr>
        <w:t>。</w:t>
      </w:r>
      <w:bookmarkEnd w:id="103"/>
      <w:r>
        <w:rPr>
          <w:rFonts w:hint="eastAsia"/>
        </w:rPr>
        <w:t>由表2.7-3可知，</w:t>
      </w:r>
      <w:r>
        <w:rPr>
          <w:snapToGrid w:val="0"/>
          <w:color w:val="000000"/>
        </w:rPr>
        <w:t>本项目地表水环境评价等级为三级B。</w:t>
      </w:r>
    </w:p>
    <w:p>
      <w:pPr>
        <w:pStyle w:val="49"/>
        <w:ind w:firstLine="480"/>
        <w:rPr>
          <w:rStyle w:val="50"/>
        </w:rPr>
      </w:pPr>
      <w:r>
        <w:rPr>
          <w:rStyle w:val="50"/>
          <w:rFonts w:hint="eastAsia"/>
        </w:rPr>
        <w:t>（2）评价范围</w:t>
      </w:r>
    </w:p>
    <w:p>
      <w:pPr>
        <w:pStyle w:val="49"/>
        <w:ind w:firstLine="480"/>
      </w:pPr>
      <w:r>
        <w:rPr>
          <w:rFonts w:hint="eastAsia"/>
        </w:rPr>
        <w:t>根据《环境影响评价技术导则 地表水环境》（</w:t>
      </w:r>
      <w:r>
        <w:rPr>
          <w:rFonts w:cs="Times New Roman"/>
        </w:rPr>
        <w:t>HJ2.3-2018</w:t>
      </w:r>
      <w:r>
        <w:rPr>
          <w:rFonts w:hint="eastAsia"/>
        </w:rPr>
        <w:t xml:space="preserve">）中 </w:t>
      </w:r>
      <w:r>
        <w:rPr>
          <w:rFonts w:cs="Times New Roman"/>
        </w:rPr>
        <w:t xml:space="preserve">5.3 </w:t>
      </w:r>
      <w:r>
        <w:rPr>
          <w:rFonts w:hint="eastAsia"/>
        </w:rPr>
        <w:t xml:space="preserve">评价范围确定中未明确三级 </w:t>
      </w:r>
      <w:r>
        <w:rPr>
          <w:rFonts w:cs="Times New Roman"/>
        </w:rPr>
        <w:t xml:space="preserve">B </w:t>
      </w:r>
      <w:r>
        <w:rPr>
          <w:rFonts w:hint="eastAsia"/>
        </w:rPr>
        <w:t>的评价等级的评级范围，仅提出要分析其依托污水处理设施的环境可行性。因此，本环评主要分析废水处理设施的可行性和废水用于周边林地灌溉可行性。</w:t>
      </w:r>
    </w:p>
    <w:p>
      <w:pPr>
        <w:pStyle w:val="4"/>
      </w:pPr>
      <w:bookmarkStart w:id="104" w:name="_Toc194481136"/>
      <w:r>
        <w:t>2.</w:t>
      </w:r>
      <w:r>
        <w:rPr>
          <w:rFonts w:hint="eastAsia"/>
        </w:rPr>
        <w:t>5</w:t>
      </w:r>
      <w:r>
        <w:t>.</w:t>
      </w:r>
      <w:r>
        <w:rPr>
          <w:rFonts w:hint="eastAsia"/>
        </w:rPr>
        <w:t>3</w:t>
      </w:r>
      <w:r>
        <w:t xml:space="preserve"> </w:t>
      </w:r>
      <w:r>
        <w:rPr>
          <w:rFonts w:hint="eastAsia" w:cs="Times New Roman"/>
          <w:color w:val="000000"/>
          <w:szCs w:val="28"/>
        </w:rPr>
        <w:t>地下水</w:t>
      </w:r>
      <w:r>
        <w:rPr>
          <w:rFonts w:cs="Times New Roman"/>
          <w:color w:val="000000"/>
          <w:szCs w:val="28"/>
        </w:rPr>
        <w:t>环境</w:t>
      </w:r>
      <w:r>
        <w:rPr>
          <w:rFonts w:hint="eastAsia" w:cs="Times New Roman"/>
          <w:color w:val="000000"/>
          <w:szCs w:val="28"/>
        </w:rPr>
        <w:t>评价等级</w:t>
      </w:r>
      <w:r>
        <w:rPr>
          <w:rFonts w:cs="Times New Roman"/>
          <w:color w:val="000000"/>
          <w:szCs w:val="28"/>
        </w:rPr>
        <w:t>及评价范围</w:t>
      </w:r>
      <w:bookmarkEnd w:id="104"/>
    </w:p>
    <w:p>
      <w:pPr>
        <w:pStyle w:val="49"/>
        <w:ind w:firstLine="480"/>
        <w:rPr>
          <w:snapToGrid w:val="0"/>
        </w:rPr>
      </w:pPr>
      <w:r>
        <w:rPr>
          <w:rFonts w:hint="eastAsia"/>
          <w:snapToGrid w:val="0"/>
        </w:rPr>
        <w:t>（1）评价等级</w:t>
      </w:r>
    </w:p>
    <w:p>
      <w:pPr>
        <w:pStyle w:val="49"/>
        <w:ind w:firstLine="480"/>
      </w:pPr>
      <w:r>
        <w:t>根据《环境影响评价技术导则 地下水环境》（HJ610-2016）</w:t>
      </w:r>
      <w:r>
        <w:rPr>
          <w:rFonts w:hint="eastAsia"/>
        </w:rPr>
        <w:t>附录A中地下水环境影响评价行业分类表，本项目属于</w:t>
      </w:r>
      <w:r>
        <w:rPr>
          <w:rFonts w:hint="eastAsia" w:ascii="宋体" w:hAnsi="宋体"/>
          <w:color w:val="000000"/>
          <w14:ligatures w14:val="none"/>
        </w:rPr>
        <w:t>“</w:t>
      </w:r>
      <w:r>
        <w:rPr>
          <w:rFonts w:hint="eastAsia" w:cs="Times New Roman"/>
          <w:color w:val="000000"/>
          <w14:ligatures w14:val="none"/>
        </w:rPr>
        <w:t>畜禽养殖场、养殖小区</w:t>
      </w:r>
      <w:r>
        <w:rPr>
          <w:rFonts w:hint="eastAsia" w:ascii="宋体" w:hAnsi="宋体"/>
          <w:color w:val="000000"/>
          <w14:ligatures w14:val="none"/>
        </w:rPr>
        <w:t>”报告书，</w:t>
      </w:r>
      <w:r>
        <w:rPr>
          <w:rFonts w:hint="eastAsia"/>
        </w:rPr>
        <w:t>地下水环境影响评价项目类别为</w:t>
      </w:r>
      <w:r>
        <w:rPr>
          <w:rFonts w:cs="Times New Roman"/>
          <w:color w:val="000000"/>
          <w14:ligatures w14:val="none"/>
        </w:rPr>
        <w:t>III</w:t>
      </w:r>
      <w:r>
        <w:t>类</w:t>
      </w:r>
      <w:r>
        <w:rPr>
          <w:rFonts w:hint="eastAsia"/>
        </w:rPr>
        <w:t>。</w:t>
      </w:r>
    </w:p>
    <w:p>
      <w:pPr>
        <w:pStyle w:val="49"/>
        <w:ind w:firstLine="480"/>
      </w:pPr>
      <w:r>
        <w:rPr>
          <w:rFonts w:hint="eastAsia"/>
        </w:rPr>
        <w:t>建设项目的地下水环境敏感程度可分为敏感、较敏感、不敏感三级，分级原则见表2.5-4。</w:t>
      </w:r>
    </w:p>
    <w:p>
      <w:pPr>
        <w:pStyle w:val="53"/>
      </w:pPr>
      <w:r>
        <w:t>表2.</w:t>
      </w:r>
      <w:r>
        <w:rPr>
          <w:rFonts w:hint="eastAsia"/>
        </w:rPr>
        <w:t>5</w:t>
      </w:r>
      <w:r>
        <w:t>-</w:t>
      </w:r>
      <w:r>
        <w:rPr>
          <w:rFonts w:hint="eastAsia"/>
        </w:rPr>
        <w:t>4</w:t>
      </w:r>
      <w:r>
        <w:t xml:space="preserve"> 地下水环境敏感程度分级</w:t>
      </w:r>
    </w:p>
    <w:tbl>
      <w:tblPr>
        <w:tblStyle w:val="4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7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vAlign w:val="center"/>
          </w:tcPr>
          <w:p>
            <w:pPr>
              <w:pStyle w:val="51"/>
            </w:pPr>
            <w:r>
              <w:rPr>
                <w:color w:val="000000"/>
                <w:szCs w:val="21"/>
              </w:rPr>
              <w:t>分级</w:t>
            </w:r>
          </w:p>
        </w:tc>
        <w:tc>
          <w:tcPr>
            <w:tcW w:w="7419" w:type="dxa"/>
            <w:vAlign w:val="center"/>
          </w:tcPr>
          <w:p>
            <w:pPr>
              <w:pStyle w:val="51"/>
            </w:pPr>
            <w:r>
              <w:rPr>
                <w:color w:val="000000"/>
                <w:szCs w:val="21"/>
              </w:rPr>
              <w:t>项目场地的地下水环境敏感特征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vAlign w:val="center"/>
          </w:tcPr>
          <w:p>
            <w:pPr>
              <w:pStyle w:val="51"/>
            </w:pPr>
            <w:r>
              <w:rPr>
                <w:color w:val="000000"/>
                <w:szCs w:val="21"/>
              </w:rPr>
              <w:t>敏感</w:t>
            </w:r>
          </w:p>
        </w:tc>
        <w:tc>
          <w:tcPr>
            <w:tcW w:w="7419" w:type="dxa"/>
            <w:vAlign w:val="center"/>
          </w:tcPr>
          <w:p>
            <w:pPr>
              <w:pStyle w:val="51"/>
              <w:jc w:val="both"/>
            </w:pPr>
            <w:r>
              <w:rPr>
                <w:color w:val="000000"/>
                <w:szCs w:val="21"/>
              </w:rPr>
              <w:t>集中式饮用水水源（包括已建成的在用、备用、应急水源地，在建和规划的水源地）准保护区；除生活供水水源地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vAlign w:val="center"/>
          </w:tcPr>
          <w:p>
            <w:pPr>
              <w:pStyle w:val="51"/>
            </w:pPr>
            <w:r>
              <w:rPr>
                <w:color w:val="000000"/>
                <w:szCs w:val="21"/>
              </w:rPr>
              <w:t>较敏感</w:t>
            </w:r>
          </w:p>
        </w:tc>
        <w:tc>
          <w:tcPr>
            <w:tcW w:w="7419" w:type="dxa"/>
            <w:vAlign w:val="center"/>
          </w:tcPr>
          <w:p>
            <w:pPr>
              <w:pStyle w:val="51"/>
              <w:jc w:val="both"/>
            </w:pPr>
            <w:r>
              <w:rPr>
                <w:color w:val="000000"/>
                <w:szCs w:val="21"/>
              </w:rPr>
              <w:t>集中式饮用水水源（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1" w:type="dxa"/>
            <w:vAlign w:val="center"/>
          </w:tcPr>
          <w:p>
            <w:pPr>
              <w:pStyle w:val="51"/>
            </w:pPr>
            <w:r>
              <w:rPr>
                <w:color w:val="000000"/>
                <w:szCs w:val="21"/>
              </w:rPr>
              <w:t>不敏感</w:t>
            </w:r>
          </w:p>
        </w:tc>
        <w:tc>
          <w:tcPr>
            <w:tcW w:w="7419" w:type="dxa"/>
            <w:vAlign w:val="center"/>
          </w:tcPr>
          <w:p>
            <w:pPr>
              <w:pStyle w:val="51"/>
              <w:jc w:val="both"/>
            </w:pPr>
            <w:r>
              <w:rPr>
                <w:color w:val="000000"/>
                <w:szCs w:val="21"/>
              </w:rPr>
              <w:t>以上情形之外的其它地区。</w:t>
            </w:r>
          </w:p>
        </w:tc>
      </w:tr>
    </w:tbl>
    <w:p>
      <w:pPr>
        <w:pStyle w:val="49"/>
        <w:ind w:firstLine="480"/>
        <w:rPr>
          <w:color w:val="000000"/>
        </w:rPr>
      </w:pPr>
      <w:r>
        <w:rPr>
          <w:color w:val="000000"/>
        </w:rPr>
        <w:t>根据调查可知，</w:t>
      </w:r>
      <w:r>
        <w:rPr>
          <w:rFonts w:hint="eastAsia"/>
          <w:color w:val="000000"/>
        </w:rPr>
        <w:t>项目</w:t>
      </w:r>
      <w:r>
        <w:rPr>
          <w:rFonts w:hint="eastAsia"/>
        </w:rPr>
        <w:t>周边居民大多使用地下水，即项目所在地为农村居民分散式饮用水水源地，</w:t>
      </w:r>
      <w:r>
        <w:rPr>
          <w:rFonts w:cs="Times New Roman"/>
          <w:color w:val="000000"/>
        </w:rPr>
        <w:t>地下水环境敏感程度为</w:t>
      </w:r>
      <w:r>
        <w:rPr>
          <w:rFonts w:hint="eastAsia" w:cs="Times New Roman"/>
          <w:color w:val="000000"/>
        </w:rPr>
        <w:t>较</w:t>
      </w:r>
      <w:r>
        <w:rPr>
          <w:rFonts w:cs="Times New Roman"/>
          <w:color w:val="000000"/>
        </w:rPr>
        <w:t>敏感。</w:t>
      </w:r>
    </w:p>
    <w:p>
      <w:pPr>
        <w:pStyle w:val="49"/>
        <w:ind w:firstLine="480"/>
      </w:pPr>
      <w:r>
        <w:t>根据《环境影响评价技术导则—地下水环境》（HJ610-2016）中地下水环境影响评价工作等级划分的原则对工程评价工作等级进行划分。</w:t>
      </w:r>
    </w:p>
    <w:p>
      <w:pPr>
        <w:pStyle w:val="53"/>
      </w:pPr>
      <w:r>
        <w:t>表2.</w:t>
      </w:r>
      <w:r>
        <w:rPr>
          <w:rFonts w:hint="eastAsia"/>
        </w:rPr>
        <w:t>5</w:t>
      </w:r>
      <w:r>
        <w:t>-</w:t>
      </w:r>
      <w:r>
        <w:rPr>
          <w:rFonts w:hint="eastAsia"/>
        </w:rPr>
        <w:t>5 评价工作等级分级表</w:t>
      </w:r>
      <w:r>
        <w:t xml:space="preserve"> </w:t>
      </w:r>
    </w:p>
    <w:tbl>
      <w:tblPr>
        <w:tblStyle w:val="39"/>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9"/>
        <w:gridCol w:w="1577"/>
        <w:gridCol w:w="1575"/>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tcBorders>
              <w:tl2br w:val="single" w:color="auto" w:sz="4" w:space="0"/>
            </w:tcBorders>
            <w:vAlign w:val="center"/>
          </w:tcPr>
          <w:p>
            <w:pPr>
              <w:pStyle w:val="51"/>
              <w:rPr>
                <w:snapToGrid w:val="0"/>
              </w:rPr>
            </w:pPr>
            <w:r>
              <w:rPr>
                <w:rFonts w:hint="eastAsia"/>
                <w:snapToGrid w:val="0"/>
              </w:rPr>
              <w:t xml:space="preserve">                   </w:t>
            </w:r>
            <w:r>
              <w:rPr>
                <w:snapToGrid w:val="0"/>
              </w:rPr>
              <w:t>项目类别</w:t>
            </w:r>
          </w:p>
          <w:p>
            <w:pPr>
              <w:pStyle w:val="51"/>
              <w:jc w:val="both"/>
              <w:rPr>
                <w:snapToGrid w:val="0"/>
              </w:rPr>
            </w:pPr>
            <w:r>
              <w:rPr>
                <w:snapToGrid w:val="0"/>
              </w:rPr>
              <w:t>环境敏感程度</w:t>
            </w:r>
          </w:p>
        </w:tc>
        <w:tc>
          <w:tcPr>
            <w:tcW w:w="1577" w:type="dxa"/>
            <w:vAlign w:val="center"/>
          </w:tcPr>
          <w:p>
            <w:pPr>
              <w:pStyle w:val="51"/>
              <w:rPr>
                <w:snapToGrid w:val="0"/>
              </w:rPr>
            </w:pPr>
            <w:r>
              <w:rPr>
                <w:snapToGrid w:val="0"/>
              </w:rPr>
              <w:t>Ⅰ类项目</w:t>
            </w:r>
          </w:p>
        </w:tc>
        <w:tc>
          <w:tcPr>
            <w:tcW w:w="1575" w:type="dxa"/>
            <w:vAlign w:val="center"/>
          </w:tcPr>
          <w:p>
            <w:pPr>
              <w:pStyle w:val="51"/>
              <w:rPr>
                <w:snapToGrid w:val="0"/>
              </w:rPr>
            </w:pPr>
            <w:r>
              <w:rPr>
                <w:snapToGrid w:val="0"/>
              </w:rPr>
              <w:t>Ⅱ类项目</w:t>
            </w:r>
          </w:p>
        </w:tc>
        <w:tc>
          <w:tcPr>
            <w:tcW w:w="1579" w:type="dxa"/>
            <w:vAlign w:val="center"/>
          </w:tcPr>
          <w:p>
            <w:pPr>
              <w:pStyle w:val="51"/>
              <w:rPr>
                <w:snapToGrid w:val="0"/>
              </w:rPr>
            </w:pPr>
            <w:r>
              <w:rPr>
                <w:snapToGrid w:val="0"/>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vAlign w:val="center"/>
          </w:tcPr>
          <w:p>
            <w:pPr>
              <w:pStyle w:val="51"/>
              <w:rPr>
                <w:snapToGrid w:val="0"/>
              </w:rPr>
            </w:pPr>
            <w:r>
              <w:rPr>
                <w:snapToGrid w:val="0"/>
              </w:rPr>
              <w:t>敏感</w:t>
            </w:r>
          </w:p>
        </w:tc>
        <w:tc>
          <w:tcPr>
            <w:tcW w:w="1577" w:type="dxa"/>
            <w:vAlign w:val="center"/>
          </w:tcPr>
          <w:p>
            <w:pPr>
              <w:pStyle w:val="51"/>
              <w:rPr>
                <w:snapToGrid w:val="0"/>
              </w:rPr>
            </w:pPr>
            <w:r>
              <w:rPr>
                <w:snapToGrid w:val="0"/>
              </w:rPr>
              <w:t>一</w:t>
            </w:r>
          </w:p>
        </w:tc>
        <w:tc>
          <w:tcPr>
            <w:tcW w:w="1575" w:type="dxa"/>
            <w:vAlign w:val="center"/>
          </w:tcPr>
          <w:p>
            <w:pPr>
              <w:pStyle w:val="51"/>
              <w:rPr>
                <w:snapToGrid w:val="0"/>
              </w:rPr>
            </w:pPr>
            <w:r>
              <w:rPr>
                <w:snapToGrid w:val="0"/>
              </w:rPr>
              <w:t>一</w:t>
            </w:r>
          </w:p>
        </w:tc>
        <w:tc>
          <w:tcPr>
            <w:tcW w:w="1579" w:type="dxa"/>
            <w:vAlign w:val="center"/>
          </w:tcPr>
          <w:p>
            <w:pPr>
              <w:pStyle w:val="51"/>
              <w:rPr>
                <w:snapToGrid w:val="0"/>
              </w:rPr>
            </w:pPr>
            <w:r>
              <w:rPr>
                <w:snapToGrid w:val="0"/>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vAlign w:val="center"/>
          </w:tcPr>
          <w:p>
            <w:pPr>
              <w:pStyle w:val="51"/>
              <w:rPr>
                <w:snapToGrid w:val="0"/>
              </w:rPr>
            </w:pPr>
            <w:r>
              <w:rPr>
                <w:snapToGrid w:val="0"/>
              </w:rPr>
              <w:t>较敏感</w:t>
            </w:r>
          </w:p>
        </w:tc>
        <w:tc>
          <w:tcPr>
            <w:tcW w:w="1577" w:type="dxa"/>
            <w:tcBorders>
              <w:bottom w:val="single" w:color="auto" w:sz="4" w:space="0"/>
            </w:tcBorders>
            <w:vAlign w:val="center"/>
          </w:tcPr>
          <w:p>
            <w:pPr>
              <w:pStyle w:val="51"/>
              <w:rPr>
                <w:snapToGrid w:val="0"/>
              </w:rPr>
            </w:pPr>
            <w:r>
              <w:rPr>
                <w:snapToGrid w:val="0"/>
              </w:rPr>
              <w:t>一</w:t>
            </w:r>
          </w:p>
        </w:tc>
        <w:tc>
          <w:tcPr>
            <w:tcW w:w="1575" w:type="dxa"/>
            <w:vAlign w:val="center"/>
          </w:tcPr>
          <w:p>
            <w:pPr>
              <w:pStyle w:val="51"/>
              <w:rPr>
                <w:snapToGrid w:val="0"/>
              </w:rPr>
            </w:pPr>
            <w:r>
              <w:rPr>
                <w:snapToGrid w:val="0"/>
              </w:rPr>
              <w:t>二</w:t>
            </w:r>
          </w:p>
        </w:tc>
        <w:tc>
          <w:tcPr>
            <w:tcW w:w="1579" w:type="dxa"/>
            <w:vAlign w:val="center"/>
          </w:tcPr>
          <w:p>
            <w:pPr>
              <w:pStyle w:val="51"/>
              <w:rPr>
                <w:snapToGrid w:val="0"/>
              </w:rPr>
            </w:pPr>
            <w:r>
              <w:rPr>
                <w:snapToGrid w:val="0"/>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49" w:type="dxa"/>
            <w:vAlign w:val="center"/>
          </w:tcPr>
          <w:p>
            <w:pPr>
              <w:pStyle w:val="51"/>
              <w:rPr>
                <w:snapToGrid w:val="0"/>
              </w:rPr>
            </w:pPr>
            <w:r>
              <w:rPr>
                <w:snapToGrid w:val="0"/>
              </w:rPr>
              <w:t>不敏感</w:t>
            </w:r>
          </w:p>
        </w:tc>
        <w:tc>
          <w:tcPr>
            <w:tcW w:w="1577" w:type="dxa"/>
            <w:tcBorders>
              <w:bottom w:val="single" w:color="auto" w:sz="4" w:space="0"/>
            </w:tcBorders>
            <w:vAlign w:val="center"/>
          </w:tcPr>
          <w:p>
            <w:pPr>
              <w:pStyle w:val="51"/>
              <w:rPr>
                <w:snapToGrid w:val="0"/>
              </w:rPr>
            </w:pPr>
            <w:r>
              <w:rPr>
                <w:snapToGrid w:val="0"/>
              </w:rPr>
              <w:t>二</w:t>
            </w:r>
          </w:p>
        </w:tc>
        <w:tc>
          <w:tcPr>
            <w:tcW w:w="1575" w:type="dxa"/>
            <w:vAlign w:val="center"/>
          </w:tcPr>
          <w:p>
            <w:pPr>
              <w:pStyle w:val="51"/>
              <w:rPr>
                <w:snapToGrid w:val="0"/>
              </w:rPr>
            </w:pPr>
            <w:r>
              <w:rPr>
                <w:snapToGrid w:val="0"/>
              </w:rPr>
              <w:t>三</w:t>
            </w:r>
          </w:p>
        </w:tc>
        <w:tc>
          <w:tcPr>
            <w:tcW w:w="1579" w:type="dxa"/>
            <w:vAlign w:val="center"/>
          </w:tcPr>
          <w:p>
            <w:pPr>
              <w:pStyle w:val="51"/>
              <w:rPr>
                <w:snapToGrid w:val="0"/>
              </w:rPr>
            </w:pPr>
            <w:r>
              <w:rPr>
                <w:snapToGrid w:val="0"/>
              </w:rPr>
              <w:t>三</w:t>
            </w:r>
          </w:p>
        </w:tc>
      </w:tr>
    </w:tbl>
    <w:p>
      <w:pPr>
        <w:pStyle w:val="49"/>
        <w:ind w:firstLine="480"/>
      </w:pPr>
      <w:r>
        <w:t>结合上述分析以及根据评价工作等级分级表，最终确定本项目地下水环境评价等级为</w:t>
      </w:r>
      <w:r>
        <w:rPr>
          <w:rFonts w:hint="eastAsia"/>
        </w:rPr>
        <w:t>三</w:t>
      </w:r>
      <w:r>
        <w:t>级。</w:t>
      </w:r>
    </w:p>
    <w:p>
      <w:pPr>
        <w:pStyle w:val="49"/>
        <w:ind w:firstLine="480"/>
        <w:rPr>
          <w:snapToGrid w:val="0"/>
        </w:rPr>
      </w:pPr>
      <w:r>
        <w:rPr>
          <w:rFonts w:hint="eastAsia"/>
          <w:snapToGrid w:val="0"/>
        </w:rPr>
        <w:t>（2）评价范围</w:t>
      </w:r>
    </w:p>
    <w:p>
      <w:pPr>
        <w:pStyle w:val="49"/>
        <w:ind w:firstLine="480"/>
      </w:pPr>
      <w:r>
        <w:rPr>
          <w:rFonts w:hint="eastAsia"/>
        </w:rPr>
        <w:t>根据《环境影响评价技术导则 地下水环境》中评价范围参照表，三级评价调查评价范围为</w:t>
      </w:r>
      <w:r>
        <w:rPr>
          <w:rFonts w:cs="Times New Roman"/>
        </w:rPr>
        <w:t>≤6km</w:t>
      </w:r>
      <w:r>
        <w:rPr>
          <w:rFonts w:cs="Times New Roman"/>
          <w:vertAlign w:val="superscript"/>
        </w:rPr>
        <w:t>2</w:t>
      </w:r>
      <w:r>
        <w:rPr>
          <w:rFonts w:hint="eastAsia"/>
        </w:rPr>
        <w:t>，因此本项目地下水评价范围为以厂址为中心面积</w:t>
      </w:r>
      <w:r>
        <w:rPr>
          <w:rFonts w:cs="Times New Roman"/>
        </w:rPr>
        <w:t>6km</w:t>
      </w:r>
      <w:r>
        <w:rPr>
          <w:rFonts w:cs="Times New Roman"/>
          <w:vertAlign w:val="superscript"/>
        </w:rPr>
        <w:t>2</w:t>
      </w:r>
      <w:r>
        <w:rPr>
          <w:rFonts w:hint="eastAsia" w:cs="Times New Roman"/>
        </w:rPr>
        <w:t>的区域。</w:t>
      </w:r>
    </w:p>
    <w:p>
      <w:pPr>
        <w:pStyle w:val="4"/>
      </w:pPr>
      <w:bookmarkStart w:id="105" w:name="_Toc194481137"/>
      <w:r>
        <w:t>2.</w:t>
      </w:r>
      <w:r>
        <w:rPr>
          <w:rFonts w:hint="eastAsia"/>
        </w:rPr>
        <w:t>5</w:t>
      </w:r>
      <w:r>
        <w:t>.</w:t>
      </w:r>
      <w:r>
        <w:rPr>
          <w:rFonts w:hint="eastAsia"/>
        </w:rPr>
        <w:t>4</w:t>
      </w:r>
      <w:r>
        <w:t xml:space="preserve"> </w:t>
      </w:r>
      <w:r>
        <w:rPr>
          <w:rFonts w:hint="eastAsia" w:cs="Times New Roman"/>
          <w:color w:val="000000"/>
          <w:szCs w:val="28"/>
        </w:rPr>
        <w:t>声</w:t>
      </w:r>
      <w:r>
        <w:rPr>
          <w:rFonts w:cs="Times New Roman"/>
          <w:color w:val="000000"/>
          <w:szCs w:val="28"/>
        </w:rPr>
        <w:t>环境</w:t>
      </w:r>
      <w:r>
        <w:rPr>
          <w:rFonts w:hint="eastAsia" w:cs="Times New Roman"/>
          <w:color w:val="000000"/>
          <w:szCs w:val="28"/>
        </w:rPr>
        <w:t>评价等级</w:t>
      </w:r>
      <w:r>
        <w:rPr>
          <w:rFonts w:cs="Times New Roman"/>
          <w:color w:val="000000"/>
          <w:szCs w:val="28"/>
        </w:rPr>
        <w:t>及评价范围</w:t>
      </w:r>
      <w:bookmarkEnd w:id="105"/>
    </w:p>
    <w:p>
      <w:pPr>
        <w:pStyle w:val="49"/>
        <w:ind w:firstLine="480"/>
      </w:pPr>
      <w:r>
        <w:rPr>
          <w:rFonts w:hint="eastAsia"/>
        </w:rPr>
        <w:t>（1）评价等级</w:t>
      </w:r>
    </w:p>
    <w:p>
      <w:pPr>
        <w:pStyle w:val="49"/>
        <w:ind w:firstLine="480"/>
      </w:pPr>
      <w:r>
        <w:t>根据《环境影响评价技术导则 声环境》（HJ2.4-2021）声环境评价工作等级划分原则，结合厂址周边环境敏感目标分布情况等因素综合考虑，声环境影响评价工作等级定为三级，具体判定过程详见表2.</w:t>
      </w:r>
      <w:r>
        <w:rPr>
          <w:rFonts w:hint="eastAsia"/>
        </w:rPr>
        <w:t>7</w:t>
      </w:r>
      <w:r>
        <w:t>-6。</w:t>
      </w:r>
    </w:p>
    <w:p>
      <w:pPr>
        <w:pStyle w:val="53"/>
      </w:pPr>
      <w:r>
        <w:t>表2.</w:t>
      </w:r>
      <w:r>
        <w:rPr>
          <w:rFonts w:hint="eastAsia"/>
        </w:rPr>
        <w:t>5</w:t>
      </w:r>
      <w:r>
        <w:t>-6  本项目声环境影响评价工作等级划分表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pStyle w:val="51"/>
              <w:rPr>
                <w:rFonts w:cs="Times New Roman"/>
                <w:color w:val="000000"/>
                <w:szCs w:val="21"/>
              </w:rPr>
            </w:pPr>
            <w:r>
              <w:rPr>
                <w:rFonts w:cs="Times New Roman"/>
                <w:color w:val="000000"/>
                <w:szCs w:val="21"/>
              </w:rPr>
              <w:t xml:space="preserve">HJ2.4-2021 </w:t>
            </w:r>
          </w:p>
          <w:p>
            <w:pPr>
              <w:pStyle w:val="51"/>
            </w:pPr>
            <w:r>
              <w:rPr>
                <w:rFonts w:hint="eastAsia"/>
                <w:color w:val="000000"/>
                <w:szCs w:val="21"/>
              </w:rPr>
              <w:t>划分原则</w:t>
            </w:r>
          </w:p>
        </w:tc>
        <w:tc>
          <w:tcPr>
            <w:tcW w:w="6600" w:type="dxa"/>
            <w:vAlign w:val="center"/>
          </w:tcPr>
          <w:p>
            <w:pPr>
              <w:pStyle w:val="51"/>
            </w:pPr>
            <w:r>
              <w:rPr>
                <w:rFonts w:hint="eastAsia"/>
              </w:rPr>
              <w:t xml:space="preserve">建设项目所处的声环境功能区为 </w:t>
            </w:r>
            <w:r>
              <w:t xml:space="preserve">GB 3096 </w:t>
            </w:r>
            <w:r>
              <w:rPr>
                <w:rFonts w:hint="eastAsia"/>
              </w:rPr>
              <w:t xml:space="preserve">规定的 </w:t>
            </w:r>
            <w:r>
              <w:t xml:space="preserve">1 </w:t>
            </w:r>
            <w:r>
              <w:rPr>
                <w:rFonts w:hint="eastAsia"/>
              </w:rPr>
              <w:t>类、</w:t>
            </w:r>
            <w:r>
              <w:t xml:space="preserve">2 </w:t>
            </w:r>
            <w:r>
              <w:rPr>
                <w:rFonts w:hint="eastAsia"/>
              </w:rPr>
              <w:t xml:space="preserve">类地区，或建设项目建设前后评价范围内声环境保护目标噪声级增量达 </w:t>
            </w:r>
          </w:p>
          <w:p>
            <w:pPr>
              <w:pStyle w:val="51"/>
              <w:jc w:val="left"/>
            </w:pPr>
            <w:r>
              <w:t>3dB</w:t>
            </w:r>
            <w:r>
              <w:rPr>
                <w:rFonts w:hint="eastAsia"/>
              </w:rPr>
              <w:t>(</w:t>
            </w:r>
            <w:r>
              <w:t>A</w:t>
            </w:r>
            <w:r>
              <w:rPr>
                <w:rFonts w:hint="eastAsia"/>
              </w:rPr>
              <w:t>)~</w:t>
            </w:r>
            <w:r>
              <w:t>5dB</w:t>
            </w:r>
            <w:r>
              <w:rPr>
                <w:rFonts w:hint="eastAsia"/>
              </w:rPr>
              <w:t>(</w:t>
            </w:r>
            <w:r>
              <w:t>A</w:t>
            </w:r>
            <w:r>
              <w:rPr>
                <w:rFonts w:hint="eastAsia"/>
              </w:rPr>
              <w:t>)，或受噪声影响人口数量增加较多时，按二级评价。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pStyle w:val="51"/>
              <w:rPr>
                <w:sz w:val="24"/>
              </w:rPr>
            </w:pPr>
            <w:r>
              <w:rPr>
                <w:rFonts w:hint="eastAsia"/>
              </w:rPr>
              <w:t>项目所在区域环境功能区划</w:t>
            </w:r>
          </w:p>
        </w:tc>
        <w:tc>
          <w:tcPr>
            <w:tcW w:w="6600" w:type="dxa"/>
            <w:vAlign w:val="center"/>
          </w:tcPr>
          <w:p>
            <w:pPr>
              <w:pStyle w:val="51"/>
              <w:rPr>
                <w:rFonts w:cs="Times New Roman"/>
                <w:color w:val="000000"/>
                <w:szCs w:val="21"/>
              </w:rPr>
            </w:pPr>
            <w:r>
              <w:rPr>
                <w:rFonts w:cs="Times New Roman"/>
                <w:color w:val="000000"/>
                <w:szCs w:val="21"/>
              </w:rPr>
              <w:t xml:space="preserve">GB3096-2008 </w:t>
            </w:r>
            <w:r>
              <w:rPr>
                <w:rFonts w:hint="eastAsia" w:cs="Times New Roman"/>
                <w:color w:val="000000"/>
                <w:szCs w:val="21"/>
              </w:rPr>
              <w:t>2</w:t>
            </w:r>
            <w:r>
              <w:rPr>
                <w:rFonts w:cs="Times New Roman"/>
                <w:color w:val="000000"/>
                <w:szCs w:val="21"/>
              </w:rPr>
              <w:t xml:space="preserve"> </w:t>
            </w:r>
            <w:r>
              <w:rPr>
                <w:rFonts w:hint="eastAsia"/>
                <w:color w:val="000000"/>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pStyle w:val="51"/>
            </w:pPr>
            <w:r>
              <w:rPr>
                <w:rFonts w:hint="eastAsia"/>
                <w:color w:val="000000"/>
                <w:szCs w:val="21"/>
              </w:rPr>
              <w:t>受影响人口</w:t>
            </w:r>
          </w:p>
        </w:tc>
        <w:tc>
          <w:tcPr>
            <w:tcW w:w="6600" w:type="dxa"/>
            <w:vAlign w:val="center"/>
          </w:tcPr>
          <w:p>
            <w:pPr>
              <w:pStyle w:val="51"/>
              <w:rPr>
                <w:sz w:val="24"/>
              </w:rPr>
            </w:pPr>
            <w:r>
              <w:rPr>
                <w:rFonts w:hint="eastAsia"/>
              </w:rPr>
              <w:t>受影响人口变化不大。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vAlign w:val="center"/>
          </w:tcPr>
          <w:p>
            <w:pPr>
              <w:pStyle w:val="51"/>
              <w:rPr>
                <w:sz w:val="24"/>
              </w:rPr>
            </w:pPr>
            <w:r>
              <w:rPr>
                <w:rFonts w:hint="eastAsia"/>
              </w:rPr>
              <w:t>项目建设前后噪声级增量</w:t>
            </w:r>
          </w:p>
        </w:tc>
        <w:tc>
          <w:tcPr>
            <w:tcW w:w="6600" w:type="dxa"/>
            <w:vAlign w:val="center"/>
          </w:tcPr>
          <w:p>
            <w:pPr>
              <w:pStyle w:val="51"/>
            </w:pPr>
            <w:r>
              <w:rPr>
                <w:rFonts w:cs="Times New Roman"/>
                <w:color w:val="000000"/>
                <w:szCs w:val="21"/>
              </w:rPr>
              <w:t>&lt;3dB</w:t>
            </w:r>
            <w:r>
              <w:rPr>
                <w:rFonts w:hint="eastAsia"/>
                <w:color w:val="000000"/>
                <w:szCs w:val="21"/>
              </w:rPr>
              <w:t>（</w:t>
            </w:r>
            <w:r>
              <w:rPr>
                <w:rFonts w:cs="Times New Roman"/>
                <w:color w:val="000000"/>
                <w:szCs w:val="21"/>
              </w:rPr>
              <w:t>A</w:t>
            </w: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pStyle w:val="51"/>
            </w:pPr>
            <w:r>
              <w:rPr>
                <w:rFonts w:hint="eastAsia"/>
                <w:color w:val="000000"/>
                <w:szCs w:val="21"/>
              </w:rPr>
              <w:t>评价等级</w:t>
            </w:r>
          </w:p>
        </w:tc>
        <w:tc>
          <w:tcPr>
            <w:tcW w:w="6600" w:type="dxa"/>
            <w:vAlign w:val="center"/>
          </w:tcPr>
          <w:p>
            <w:pPr>
              <w:pStyle w:val="51"/>
            </w:pPr>
            <w:r>
              <w:rPr>
                <w:rFonts w:hint="eastAsia"/>
              </w:rPr>
              <w:t>二级</w:t>
            </w:r>
          </w:p>
        </w:tc>
      </w:tr>
    </w:tbl>
    <w:p>
      <w:pPr>
        <w:pStyle w:val="49"/>
        <w:ind w:firstLine="480"/>
      </w:pPr>
      <w:r>
        <w:rPr>
          <w:rFonts w:hint="eastAsia"/>
        </w:rPr>
        <w:t>（2）评价范围</w:t>
      </w:r>
    </w:p>
    <w:p>
      <w:pPr>
        <w:pStyle w:val="49"/>
        <w:ind w:firstLine="480"/>
      </w:pPr>
      <w:r>
        <w:rPr>
          <w:rFonts w:hint="eastAsia"/>
        </w:rPr>
        <w:t>根据《环境影响评价技术导则 声环境》（</w:t>
      </w:r>
      <w:r>
        <w:rPr>
          <w:rFonts w:cs="Times New Roman"/>
        </w:rPr>
        <w:t>HJ2.4-20</w:t>
      </w:r>
      <w:r>
        <w:rPr>
          <w:rFonts w:hint="eastAsia" w:cs="Times New Roman"/>
        </w:rPr>
        <w:t>21</w:t>
      </w:r>
      <w:r>
        <w:rPr>
          <w:rFonts w:hint="eastAsia"/>
        </w:rPr>
        <w:t xml:space="preserve">），本项目声环境影响评价范围取项目厂界外 </w:t>
      </w:r>
      <w:r>
        <w:rPr>
          <w:rFonts w:cs="Times New Roman"/>
        </w:rPr>
        <w:t>200m</w:t>
      </w:r>
      <w:r>
        <w:rPr>
          <w:rFonts w:hint="eastAsia"/>
        </w:rPr>
        <w:t>范围。</w:t>
      </w:r>
    </w:p>
    <w:p>
      <w:pPr>
        <w:pStyle w:val="4"/>
      </w:pPr>
      <w:bookmarkStart w:id="106" w:name="_Toc194481138"/>
      <w:r>
        <w:t>2.</w:t>
      </w:r>
      <w:r>
        <w:rPr>
          <w:rFonts w:hint="eastAsia"/>
        </w:rPr>
        <w:t>5</w:t>
      </w:r>
      <w:r>
        <w:t>.</w:t>
      </w:r>
      <w:r>
        <w:rPr>
          <w:rFonts w:hint="eastAsia"/>
        </w:rPr>
        <w:t xml:space="preserve">5 </w:t>
      </w:r>
      <w:r>
        <w:rPr>
          <w:rFonts w:hint="eastAsia" w:cs="Times New Roman"/>
          <w:color w:val="000000"/>
          <w:szCs w:val="28"/>
        </w:rPr>
        <w:t>土壤</w:t>
      </w:r>
      <w:r>
        <w:rPr>
          <w:rFonts w:cs="Times New Roman"/>
          <w:color w:val="000000"/>
          <w:szCs w:val="28"/>
        </w:rPr>
        <w:t>环境</w:t>
      </w:r>
      <w:r>
        <w:rPr>
          <w:rFonts w:hint="eastAsia" w:cs="Times New Roman"/>
          <w:color w:val="000000"/>
          <w:szCs w:val="28"/>
        </w:rPr>
        <w:t>评价等级</w:t>
      </w:r>
      <w:r>
        <w:rPr>
          <w:rFonts w:cs="Times New Roman"/>
          <w:color w:val="000000"/>
          <w:szCs w:val="28"/>
        </w:rPr>
        <w:t>及评价范围</w:t>
      </w:r>
      <w:bookmarkEnd w:id="106"/>
    </w:p>
    <w:p>
      <w:pPr>
        <w:pStyle w:val="49"/>
        <w:ind w:firstLine="480"/>
      </w:pPr>
      <w:r>
        <w:rPr>
          <w:rFonts w:hint="eastAsia"/>
        </w:rPr>
        <w:t>（1）评价等级</w:t>
      </w:r>
    </w:p>
    <w:p>
      <w:pPr>
        <w:pStyle w:val="49"/>
        <w:ind w:firstLine="480"/>
        <w:rPr>
          <w:snapToGrid w:val="0"/>
        </w:rPr>
      </w:pPr>
      <w:r>
        <w:rPr>
          <w:snapToGrid w:val="0"/>
        </w:rPr>
        <w:t>本项目属于污染影响型项目，根据《环境影响评价技术导则 土壤环境（试行）》（HJ964-2018），污染影响型评价工作等级划分按照下表2.</w:t>
      </w:r>
      <w:r>
        <w:rPr>
          <w:rFonts w:hint="eastAsia"/>
          <w:snapToGrid w:val="0"/>
        </w:rPr>
        <w:t>5</w:t>
      </w:r>
      <w:r>
        <w:rPr>
          <w:snapToGrid w:val="0"/>
        </w:rPr>
        <w:t>-</w:t>
      </w:r>
      <w:r>
        <w:rPr>
          <w:rFonts w:hint="eastAsia"/>
          <w:snapToGrid w:val="0"/>
        </w:rPr>
        <w:t>7</w:t>
      </w:r>
      <w:r>
        <w:rPr>
          <w:snapToGrid w:val="0"/>
        </w:rPr>
        <w:t>。</w:t>
      </w:r>
    </w:p>
    <w:p>
      <w:pPr>
        <w:pStyle w:val="53"/>
      </w:pPr>
      <w:r>
        <w:t>表2.</w:t>
      </w:r>
      <w:r>
        <w:rPr>
          <w:rFonts w:hint="eastAsia"/>
        </w:rPr>
        <w:t>5</w:t>
      </w:r>
      <w:r>
        <w:t>-7  污染影响型评价工作等级划分表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94"/>
        <w:gridCol w:w="761"/>
        <w:gridCol w:w="762"/>
        <w:gridCol w:w="761"/>
        <w:gridCol w:w="762"/>
        <w:gridCol w:w="761"/>
        <w:gridCol w:w="762"/>
        <w:gridCol w:w="761"/>
        <w:gridCol w:w="76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vAlign w:val="center"/>
          </w:tcPr>
          <w:p>
            <w:pPr>
              <w:pStyle w:val="51"/>
            </w:pPr>
            <w:r>
              <w:rPr>
                <w:rFonts w:hint="eastAsia"/>
              </w:rPr>
              <w:t>项目类别</w:t>
            </w:r>
          </w:p>
        </w:tc>
        <w:tc>
          <w:tcPr>
            <w:tcW w:w="2284" w:type="dxa"/>
            <w:gridSpan w:val="3"/>
            <w:vAlign w:val="center"/>
          </w:tcPr>
          <w:p>
            <w:pPr>
              <w:pStyle w:val="51"/>
            </w:pPr>
            <w:r>
              <w:rPr>
                <w:snapToGrid w:val="0"/>
                <w:color w:val="000000"/>
                <w:szCs w:val="21"/>
              </w:rPr>
              <w:t>Ⅰ类</w:t>
            </w:r>
          </w:p>
        </w:tc>
        <w:tc>
          <w:tcPr>
            <w:tcW w:w="2285" w:type="dxa"/>
            <w:gridSpan w:val="3"/>
            <w:vAlign w:val="center"/>
          </w:tcPr>
          <w:p>
            <w:pPr>
              <w:pStyle w:val="51"/>
            </w:pPr>
            <w:r>
              <w:rPr>
                <w:snapToGrid w:val="0"/>
                <w:color w:val="000000"/>
                <w:szCs w:val="21"/>
              </w:rPr>
              <w:t>Ⅱ类</w:t>
            </w:r>
          </w:p>
        </w:tc>
        <w:tc>
          <w:tcPr>
            <w:tcW w:w="2285" w:type="dxa"/>
            <w:gridSpan w:val="3"/>
            <w:vAlign w:val="center"/>
          </w:tcPr>
          <w:p>
            <w:pPr>
              <w:pStyle w:val="51"/>
            </w:pPr>
            <w:r>
              <w:rPr>
                <w:snapToGrid w:val="0"/>
                <w:color w:val="000000"/>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vAlign w:val="center"/>
          </w:tcPr>
          <w:p>
            <w:pPr>
              <w:pStyle w:val="51"/>
            </w:pPr>
            <w:r>
              <w:rPr>
                <w:rFonts w:hint="eastAsia"/>
              </w:rPr>
              <w:t>占地规模</w:t>
            </w:r>
          </w:p>
        </w:tc>
        <w:tc>
          <w:tcPr>
            <w:tcW w:w="761" w:type="dxa"/>
            <w:vAlign w:val="center"/>
          </w:tcPr>
          <w:p>
            <w:pPr>
              <w:pStyle w:val="51"/>
            </w:pPr>
            <w:r>
              <w:rPr>
                <w:snapToGrid w:val="0"/>
                <w:color w:val="000000"/>
                <w:szCs w:val="21"/>
              </w:rPr>
              <w:t>大</w:t>
            </w:r>
          </w:p>
        </w:tc>
        <w:tc>
          <w:tcPr>
            <w:tcW w:w="762" w:type="dxa"/>
            <w:vAlign w:val="center"/>
          </w:tcPr>
          <w:p>
            <w:pPr>
              <w:pStyle w:val="51"/>
            </w:pPr>
            <w:r>
              <w:rPr>
                <w:snapToGrid w:val="0"/>
                <w:color w:val="000000"/>
                <w:szCs w:val="21"/>
              </w:rPr>
              <w:t>中</w:t>
            </w:r>
          </w:p>
        </w:tc>
        <w:tc>
          <w:tcPr>
            <w:tcW w:w="761" w:type="dxa"/>
            <w:vAlign w:val="center"/>
          </w:tcPr>
          <w:p>
            <w:pPr>
              <w:pStyle w:val="51"/>
            </w:pPr>
            <w:r>
              <w:rPr>
                <w:snapToGrid w:val="0"/>
                <w:color w:val="000000"/>
                <w:szCs w:val="21"/>
              </w:rPr>
              <w:t>小</w:t>
            </w:r>
          </w:p>
        </w:tc>
        <w:tc>
          <w:tcPr>
            <w:tcW w:w="762" w:type="dxa"/>
            <w:vAlign w:val="center"/>
          </w:tcPr>
          <w:p>
            <w:pPr>
              <w:pStyle w:val="51"/>
            </w:pPr>
            <w:r>
              <w:rPr>
                <w:snapToGrid w:val="0"/>
                <w:color w:val="000000"/>
                <w:szCs w:val="21"/>
              </w:rPr>
              <w:t>大</w:t>
            </w:r>
          </w:p>
        </w:tc>
        <w:tc>
          <w:tcPr>
            <w:tcW w:w="761" w:type="dxa"/>
            <w:vAlign w:val="center"/>
          </w:tcPr>
          <w:p>
            <w:pPr>
              <w:pStyle w:val="51"/>
            </w:pPr>
            <w:r>
              <w:rPr>
                <w:snapToGrid w:val="0"/>
                <w:color w:val="000000"/>
                <w:szCs w:val="21"/>
              </w:rPr>
              <w:t>中</w:t>
            </w:r>
          </w:p>
        </w:tc>
        <w:tc>
          <w:tcPr>
            <w:tcW w:w="762" w:type="dxa"/>
            <w:vAlign w:val="center"/>
          </w:tcPr>
          <w:p>
            <w:pPr>
              <w:pStyle w:val="51"/>
            </w:pPr>
            <w:r>
              <w:rPr>
                <w:snapToGrid w:val="0"/>
                <w:color w:val="000000"/>
                <w:szCs w:val="21"/>
              </w:rPr>
              <w:t>小</w:t>
            </w:r>
          </w:p>
        </w:tc>
        <w:tc>
          <w:tcPr>
            <w:tcW w:w="761" w:type="dxa"/>
            <w:vAlign w:val="center"/>
          </w:tcPr>
          <w:p>
            <w:pPr>
              <w:pStyle w:val="51"/>
            </w:pPr>
            <w:r>
              <w:rPr>
                <w:snapToGrid w:val="0"/>
                <w:color w:val="000000"/>
                <w:szCs w:val="21"/>
              </w:rPr>
              <w:t>大</w:t>
            </w:r>
          </w:p>
        </w:tc>
        <w:tc>
          <w:tcPr>
            <w:tcW w:w="762" w:type="dxa"/>
            <w:vAlign w:val="center"/>
          </w:tcPr>
          <w:p>
            <w:pPr>
              <w:pStyle w:val="51"/>
            </w:pPr>
            <w:r>
              <w:rPr>
                <w:snapToGrid w:val="0"/>
                <w:color w:val="000000"/>
                <w:szCs w:val="21"/>
              </w:rPr>
              <w:t>中</w:t>
            </w:r>
          </w:p>
        </w:tc>
        <w:tc>
          <w:tcPr>
            <w:tcW w:w="762" w:type="dxa"/>
            <w:vAlign w:val="center"/>
          </w:tcPr>
          <w:p>
            <w:pPr>
              <w:pStyle w:val="51"/>
            </w:pPr>
            <w:r>
              <w:rPr>
                <w:snapToGrid w:val="0"/>
                <w:color w:val="000000"/>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restart"/>
            <w:vAlign w:val="center"/>
          </w:tcPr>
          <w:p>
            <w:pPr>
              <w:pStyle w:val="51"/>
            </w:pPr>
            <w:r>
              <w:rPr>
                <w:rFonts w:hint="eastAsia"/>
              </w:rPr>
              <w:t>敏感程度</w:t>
            </w:r>
          </w:p>
        </w:tc>
        <w:tc>
          <w:tcPr>
            <w:tcW w:w="894" w:type="dxa"/>
            <w:vAlign w:val="center"/>
          </w:tcPr>
          <w:p>
            <w:pPr>
              <w:pStyle w:val="51"/>
            </w:pPr>
            <w:r>
              <w:rPr>
                <w:snapToGrid w:val="0"/>
                <w:color w:val="000000"/>
                <w:szCs w:val="21"/>
              </w:rPr>
              <w:t>敏感</w:t>
            </w:r>
          </w:p>
        </w:tc>
        <w:tc>
          <w:tcPr>
            <w:tcW w:w="761" w:type="dxa"/>
            <w:vAlign w:val="center"/>
          </w:tcPr>
          <w:p>
            <w:pPr>
              <w:pStyle w:val="51"/>
            </w:pPr>
            <w:r>
              <w:rPr>
                <w:snapToGrid w:val="0"/>
                <w:color w:val="000000"/>
                <w:szCs w:val="21"/>
              </w:rPr>
              <w:t>一级</w:t>
            </w:r>
          </w:p>
        </w:tc>
        <w:tc>
          <w:tcPr>
            <w:tcW w:w="762" w:type="dxa"/>
            <w:vAlign w:val="center"/>
          </w:tcPr>
          <w:p>
            <w:pPr>
              <w:pStyle w:val="51"/>
            </w:pPr>
            <w:r>
              <w:rPr>
                <w:snapToGrid w:val="0"/>
                <w:color w:val="000000"/>
                <w:szCs w:val="21"/>
              </w:rPr>
              <w:t>一级</w:t>
            </w:r>
          </w:p>
        </w:tc>
        <w:tc>
          <w:tcPr>
            <w:tcW w:w="761" w:type="dxa"/>
            <w:vAlign w:val="center"/>
          </w:tcPr>
          <w:p>
            <w:pPr>
              <w:pStyle w:val="51"/>
            </w:pPr>
            <w:r>
              <w:rPr>
                <w:snapToGrid w:val="0"/>
                <w:color w:val="000000"/>
                <w:szCs w:val="21"/>
              </w:rPr>
              <w:t>一级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二级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dxa"/>
            <w:vMerge w:val="continue"/>
            <w:vAlign w:val="center"/>
          </w:tcPr>
          <w:p>
            <w:pPr>
              <w:pStyle w:val="51"/>
            </w:pPr>
          </w:p>
        </w:tc>
        <w:tc>
          <w:tcPr>
            <w:tcW w:w="894" w:type="dxa"/>
            <w:vAlign w:val="center"/>
          </w:tcPr>
          <w:p>
            <w:pPr>
              <w:pStyle w:val="51"/>
            </w:pPr>
            <w:r>
              <w:rPr>
                <w:snapToGrid w:val="0"/>
                <w:color w:val="000000"/>
                <w:szCs w:val="21"/>
              </w:rPr>
              <w:t>较敏感</w:t>
            </w:r>
          </w:p>
        </w:tc>
        <w:tc>
          <w:tcPr>
            <w:tcW w:w="761" w:type="dxa"/>
            <w:vAlign w:val="center"/>
          </w:tcPr>
          <w:p>
            <w:pPr>
              <w:pStyle w:val="51"/>
            </w:pPr>
            <w:r>
              <w:rPr>
                <w:snapToGrid w:val="0"/>
                <w:color w:val="000000"/>
                <w:szCs w:val="21"/>
              </w:rPr>
              <w:t>一级</w:t>
            </w:r>
          </w:p>
        </w:tc>
        <w:tc>
          <w:tcPr>
            <w:tcW w:w="762" w:type="dxa"/>
            <w:vAlign w:val="center"/>
          </w:tcPr>
          <w:p>
            <w:pPr>
              <w:pStyle w:val="51"/>
            </w:pPr>
            <w:r>
              <w:rPr>
                <w:snapToGrid w:val="0"/>
                <w:color w:val="000000"/>
                <w:szCs w:val="21"/>
              </w:rPr>
              <w:t>一级</w:t>
            </w:r>
          </w:p>
        </w:tc>
        <w:tc>
          <w:tcPr>
            <w:tcW w:w="761" w:type="dxa"/>
            <w:vAlign w:val="center"/>
          </w:tcPr>
          <w:p>
            <w:pPr>
              <w:pStyle w:val="51"/>
            </w:pPr>
            <w:r>
              <w:rPr>
                <w:snapToGrid w:val="0"/>
                <w:color w:val="000000"/>
                <w:szCs w:val="21"/>
              </w:rPr>
              <w:t>二级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二级</w:t>
            </w:r>
          </w:p>
        </w:tc>
        <w:tc>
          <w:tcPr>
            <w:tcW w:w="762" w:type="dxa"/>
            <w:vAlign w:val="center"/>
          </w:tcPr>
          <w:p>
            <w:pPr>
              <w:pStyle w:val="51"/>
            </w:pPr>
            <w:r>
              <w:rPr>
                <w:snapToGrid w:val="0"/>
                <w:color w:val="000000"/>
                <w:szCs w:val="21"/>
              </w:rPr>
              <w:t>三级</w:t>
            </w:r>
          </w:p>
        </w:tc>
        <w:tc>
          <w:tcPr>
            <w:tcW w:w="761"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vAlign w:val="center"/>
          </w:tcPr>
          <w:p>
            <w:pPr>
              <w:pStyle w:val="51"/>
            </w:pPr>
          </w:p>
        </w:tc>
        <w:tc>
          <w:tcPr>
            <w:tcW w:w="894" w:type="dxa"/>
            <w:vAlign w:val="center"/>
          </w:tcPr>
          <w:p>
            <w:pPr>
              <w:pStyle w:val="51"/>
            </w:pPr>
            <w:r>
              <w:rPr>
                <w:snapToGrid w:val="0"/>
                <w:color w:val="000000"/>
                <w:szCs w:val="21"/>
              </w:rPr>
              <w:t>不敏感</w:t>
            </w:r>
          </w:p>
        </w:tc>
        <w:tc>
          <w:tcPr>
            <w:tcW w:w="761" w:type="dxa"/>
            <w:vAlign w:val="center"/>
          </w:tcPr>
          <w:p>
            <w:pPr>
              <w:pStyle w:val="51"/>
            </w:pPr>
            <w:r>
              <w:rPr>
                <w:snapToGrid w:val="0"/>
                <w:color w:val="000000"/>
                <w:szCs w:val="21"/>
              </w:rPr>
              <w:t>一级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二级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三级</w:t>
            </w:r>
          </w:p>
        </w:tc>
        <w:tc>
          <w:tcPr>
            <w:tcW w:w="761"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w:t>
            </w:r>
          </w:p>
        </w:tc>
        <w:tc>
          <w:tcPr>
            <w:tcW w:w="762" w:type="dxa"/>
            <w:vAlign w:val="center"/>
          </w:tcPr>
          <w:p>
            <w:pPr>
              <w:pStyle w:val="51"/>
            </w:pPr>
            <w:r>
              <w:rPr>
                <w:snapToGrid w:val="0"/>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1"/>
            <w:vAlign w:val="center"/>
          </w:tcPr>
          <w:p>
            <w:pPr>
              <w:pStyle w:val="51"/>
              <w:jc w:val="both"/>
            </w:pPr>
            <w:r>
              <w:rPr>
                <w:snapToGrid w:val="0"/>
                <w:color w:val="000000"/>
                <w:szCs w:val="21"/>
              </w:rPr>
              <w:t>注：“-”表示可不开展土壤环境影响评价工作。</w:t>
            </w:r>
          </w:p>
        </w:tc>
      </w:tr>
    </w:tbl>
    <w:p>
      <w:pPr>
        <w:pStyle w:val="49"/>
        <w:ind w:firstLine="480"/>
      </w:pPr>
      <w:r>
        <w:rPr>
          <w:rFonts w:hint="eastAsia"/>
        </w:rPr>
        <w:t>根据《环境影响评价技术导则土壤环境（试行）》（</w:t>
      </w:r>
      <w:r>
        <w:rPr>
          <w:rFonts w:cs="Times New Roman"/>
        </w:rPr>
        <w:t>HJ964-2018</w:t>
      </w:r>
      <w:r>
        <w:rPr>
          <w:rFonts w:hint="eastAsia"/>
        </w:rPr>
        <w:t xml:space="preserve">）中附录 </w:t>
      </w:r>
      <w:r>
        <w:rPr>
          <w:rFonts w:cs="Times New Roman"/>
        </w:rPr>
        <w:t xml:space="preserve">A </w:t>
      </w:r>
      <w:r>
        <w:rPr>
          <w:rFonts w:hint="eastAsia"/>
        </w:rPr>
        <w:t xml:space="preserve">的表 </w:t>
      </w:r>
      <w:r>
        <w:rPr>
          <w:rFonts w:cs="Times New Roman"/>
        </w:rPr>
        <w:t xml:space="preserve">A.1 </w:t>
      </w:r>
      <w:r>
        <w:rPr>
          <w:rFonts w:hint="eastAsia"/>
        </w:rPr>
        <w:t>土壤环境影响评价项目类别，本项目属于“农林牧鱼业-年出栏生猪5000头（其他畜禽种类折合猪的养殖规模）及以上畜禽养殖场或养殖小区”，土壤环境影响评价项目类别为</w:t>
      </w:r>
      <w:r>
        <w:rPr>
          <w:rFonts w:cs="Times New Roman"/>
        </w:rPr>
        <w:t>Ⅲ</w:t>
      </w:r>
      <w:r>
        <w:t>类</w:t>
      </w:r>
      <w:r>
        <w:rPr>
          <w:rFonts w:hint="eastAsia"/>
        </w:rPr>
        <w:t>。本项目占地面</w:t>
      </w:r>
      <w:r>
        <w:t>5hm</w:t>
      </w:r>
      <w:r>
        <w:rPr>
          <w:vertAlign w:val="superscript"/>
        </w:rPr>
        <w:t>2</w:t>
      </w:r>
      <w:r>
        <w:rPr>
          <w:rFonts w:hint="eastAsia" w:ascii="宋体" w:hAnsi="宋体"/>
        </w:rPr>
        <w:t>＜</w:t>
      </w:r>
      <w:r>
        <w:rPr>
          <w:rFonts w:hint="eastAsia" w:cs="Times New Roman"/>
          <w:szCs w:val="28"/>
        </w:rPr>
        <w:t>76953</w:t>
      </w:r>
      <w:r>
        <w:rPr>
          <w:rFonts w:hint="eastAsia"/>
        </w:rPr>
        <w:t>m</w:t>
      </w:r>
      <w:r>
        <w:rPr>
          <w:rFonts w:hint="eastAsia"/>
          <w:vertAlign w:val="superscript"/>
        </w:rPr>
        <w:t>2</w:t>
      </w:r>
      <w:r>
        <w:rPr>
          <w:rFonts w:hint="eastAsia" w:ascii="宋体" w:hAnsi="宋体"/>
        </w:rPr>
        <w:t>＜</w:t>
      </w:r>
      <w:r>
        <w:t>5</w:t>
      </w:r>
      <w:r>
        <w:rPr>
          <w:rFonts w:hint="eastAsia"/>
        </w:rPr>
        <w:t>0</w:t>
      </w:r>
      <w:r>
        <w:t>hm</w:t>
      </w:r>
      <w:r>
        <w:rPr>
          <w:vertAlign w:val="superscript"/>
        </w:rPr>
        <w:t>2</w:t>
      </w:r>
      <w:r>
        <w:rPr>
          <w:rFonts w:hint="eastAsia"/>
        </w:rPr>
        <w:t>，占地规模属于中型，项目0.05km范围内有农田，因此周边土壤环境敏感程度为敏感。</w:t>
      </w:r>
      <w:r>
        <w:rPr>
          <w:snapToGrid w:val="0"/>
        </w:rPr>
        <w:t>因此，对照上表分析可知，本项目的土壤环境评价等级为</w:t>
      </w:r>
      <w:r>
        <w:rPr>
          <w:rFonts w:hint="eastAsia"/>
          <w:snapToGrid w:val="0"/>
        </w:rPr>
        <w:t>三</w:t>
      </w:r>
      <w:r>
        <w:rPr>
          <w:snapToGrid w:val="0"/>
        </w:rPr>
        <w:t>级。</w:t>
      </w:r>
    </w:p>
    <w:p>
      <w:pPr>
        <w:pStyle w:val="49"/>
        <w:ind w:firstLine="480"/>
      </w:pPr>
      <w:r>
        <w:rPr>
          <w:rFonts w:hint="eastAsia"/>
        </w:rPr>
        <w:t>（2）评价范围</w:t>
      </w:r>
    </w:p>
    <w:p>
      <w:pPr>
        <w:pStyle w:val="49"/>
        <w:ind w:firstLine="480"/>
      </w:pPr>
      <w:r>
        <w:rPr>
          <w:rFonts w:hint="eastAsia"/>
        </w:rPr>
        <w:t>根据《环境影响评价技术导则土壤环境（试行）》（</w:t>
      </w:r>
      <w:r>
        <w:rPr>
          <w:rFonts w:cs="Times New Roman"/>
        </w:rPr>
        <w:t>HJ964-2018</w:t>
      </w:r>
      <w:r>
        <w:rPr>
          <w:rFonts w:hint="eastAsia"/>
        </w:rPr>
        <w:t>），本项目土壤环境影响评价范围为项目占地区域及厂界外延0.05k</w:t>
      </w:r>
      <w:r>
        <w:t>m范围。</w:t>
      </w:r>
    </w:p>
    <w:p>
      <w:pPr>
        <w:pStyle w:val="4"/>
      </w:pPr>
      <w:bookmarkStart w:id="107" w:name="_Toc194481139"/>
      <w:r>
        <w:t>2.</w:t>
      </w:r>
      <w:r>
        <w:rPr>
          <w:rFonts w:hint="eastAsia"/>
        </w:rPr>
        <w:t>5</w:t>
      </w:r>
      <w:r>
        <w:t>.</w:t>
      </w:r>
      <w:r>
        <w:rPr>
          <w:rFonts w:hint="eastAsia"/>
        </w:rPr>
        <w:t xml:space="preserve">6 </w:t>
      </w:r>
      <w:r>
        <w:rPr>
          <w:rFonts w:hint="eastAsia" w:cs="Times New Roman"/>
          <w:color w:val="000000"/>
          <w:szCs w:val="28"/>
        </w:rPr>
        <w:t>环境风险评价等级</w:t>
      </w:r>
      <w:r>
        <w:rPr>
          <w:rFonts w:cs="Times New Roman"/>
          <w:color w:val="000000"/>
          <w:szCs w:val="28"/>
        </w:rPr>
        <w:t>及评价范围</w:t>
      </w:r>
      <w:bookmarkEnd w:id="107"/>
    </w:p>
    <w:p>
      <w:pPr>
        <w:pStyle w:val="49"/>
        <w:ind w:firstLine="480"/>
      </w:pPr>
      <w:r>
        <w:rPr>
          <w:rFonts w:hint="eastAsia"/>
        </w:rPr>
        <w:t>（1）</w:t>
      </w:r>
      <w:r>
        <w:rPr>
          <w:rFonts w:cs="Times New Roman"/>
          <w:color w:val="000000"/>
        </w:rPr>
        <w:t>危险物质数量与临界量比值（Q）</w:t>
      </w:r>
    </w:p>
    <w:p>
      <w:pPr>
        <w:pStyle w:val="49"/>
        <w:ind w:firstLine="480"/>
      </w:pPr>
      <w:r>
        <w:rPr>
          <w:rFonts w:hint="eastAsia"/>
        </w:rPr>
        <w:t>根据《建设项目环境风险评价导则》（</w:t>
      </w:r>
      <w:r>
        <w:t>HJ/T169-2018</w:t>
      </w:r>
      <w:r>
        <w:rPr>
          <w:rFonts w:hint="eastAsia"/>
        </w:rPr>
        <w:t xml:space="preserve">）附录 </w:t>
      </w:r>
      <w:r>
        <w:t>C</w:t>
      </w:r>
      <w:r>
        <w:rPr>
          <w:rFonts w:hint="eastAsia"/>
        </w:rPr>
        <w:t>，计算所涉及的每种危险物质在厂界内的最大存在总量与其在《建设项目环境风险评价技术导则》（</w:t>
      </w:r>
      <w:r>
        <w:rPr>
          <w:rFonts w:cs="Times New Roman"/>
        </w:rPr>
        <w:t>HJ169-2018</w:t>
      </w:r>
      <w:r>
        <w:rPr>
          <w:rFonts w:hint="eastAsia"/>
        </w:rPr>
        <w:t>）（以下称</w:t>
      </w:r>
      <w:r>
        <w:rPr>
          <w:rFonts w:ascii="宋体" w:hAnsi="宋体" w:cs="Times New Roman"/>
        </w:rPr>
        <w:t>“</w:t>
      </w:r>
      <w:r>
        <w:rPr>
          <w:rFonts w:hint="eastAsia"/>
        </w:rPr>
        <w:t>风险导则</w:t>
      </w:r>
      <w:r>
        <w:rPr>
          <w:rFonts w:ascii="宋体" w:hAnsi="宋体" w:cs="Times New Roman"/>
        </w:rPr>
        <w:t>”</w:t>
      </w:r>
      <w:r>
        <w:rPr>
          <w:rFonts w:hint="eastAsia"/>
        </w:rPr>
        <w:t>）附录</w:t>
      </w:r>
      <w:r>
        <w:rPr>
          <w:rFonts w:cs="Times New Roman"/>
        </w:rPr>
        <w:t>B</w:t>
      </w:r>
      <w:r>
        <w:rPr>
          <w:rFonts w:hint="eastAsia"/>
        </w:rPr>
        <w:t>中对应临界量的比值</w:t>
      </w:r>
      <w:r>
        <w:rPr>
          <w:rFonts w:cs="Times New Roman"/>
          <w:i/>
          <w:iCs/>
        </w:rPr>
        <w:t>Q</w:t>
      </w:r>
      <w:r>
        <w:rPr>
          <w:rFonts w:hint="eastAsia"/>
        </w:rPr>
        <w:t xml:space="preserve">。在不同场区的同一种物质，按其在厂界内的最大存在总量计算。 </w:t>
      </w:r>
    </w:p>
    <w:p>
      <w:pPr>
        <w:pStyle w:val="49"/>
        <w:ind w:firstLine="480"/>
      </w:pPr>
      <w:r>
        <w:t>当只涉及一种危险物质时，计算该物质的总量与其临界量比值，即为Q；</w:t>
      </w:r>
    </w:p>
    <w:p>
      <w:pPr>
        <w:pStyle w:val="49"/>
        <w:ind w:firstLine="480"/>
        <w:jc w:val="center"/>
      </w:pPr>
      <w:r>
        <w:t>当存在多种危险物质时，则按式(C.1)计算物质总量与其临界量比值(Q)：</w:t>
      </w:r>
      <w:r>
        <w:rPr>
          <w:rFonts w:hint="eastAsia"/>
        </w:rPr>
        <w:t xml:space="preserve">    </w:t>
      </w:r>
      <w:r>
        <w:drawing>
          <wp:inline distT="0" distB="0" distL="0" distR="0">
            <wp:extent cx="3819525" cy="571500"/>
            <wp:effectExtent l="0" t="0" r="0" b="0"/>
            <wp:docPr id="117122127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1221277" name="图片 2"/>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3819525" cy="571500"/>
                    </a:xfrm>
                    <a:prstGeom prst="rect">
                      <a:avLst/>
                    </a:prstGeom>
                    <a:noFill/>
                    <a:ln>
                      <a:noFill/>
                    </a:ln>
                  </pic:spPr>
                </pic:pic>
              </a:graphicData>
            </a:graphic>
          </wp:inline>
        </w:drawing>
      </w:r>
    </w:p>
    <w:p>
      <w:pPr>
        <w:pStyle w:val="49"/>
        <w:ind w:firstLine="480"/>
      </w:pPr>
      <w:r>
        <w:t>式中，q1,q2…,qn--每种危险物质的最大存在总量，t。</w:t>
      </w:r>
    </w:p>
    <w:p>
      <w:pPr>
        <w:pStyle w:val="49"/>
        <w:ind w:firstLine="480"/>
      </w:pPr>
      <w:r>
        <w:t>Q1，Q2…Qn—每种危险物质的临界量，t。</w:t>
      </w:r>
    </w:p>
    <w:p>
      <w:pPr>
        <w:pStyle w:val="49"/>
        <w:ind w:firstLine="480"/>
      </w:pPr>
      <w:r>
        <w:t>当Q＜1时，该项目环境风险潜势为Ⅰ。</w:t>
      </w:r>
    </w:p>
    <w:p>
      <w:pPr>
        <w:pStyle w:val="49"/>
        <w:ind w:firstLine="480"/>
      </w:pPr>
      <w:r>
        <w:t>当Q</w:t>
      </w:r>
      <w:r>
        <w:rPr>
          <w:rFonts w:hint="eastAsia"/>
        </w:rPr>
        <w:t>≥</w:t>
      </w:r>
      <w:r>
        <w:t>1时，将Q值划分为：</w:t>
      </w:r>
    </w:p>
    <w:p>
      <w:pPr>
        <w:pStyle w:val="49"/>
        <w:ind w:firstLine="480"/>
      </w:pPr>
      <w:r>
        <w:t>（1）</w:t>
      </w:r>
      <w:r>
        <w:rPr>
          <w:rFonts w:hint="eastAsia"/>
        </w:rPr>
        <w:t>1≤</w:t>
      </w:r>
      <w:r>
        <w:t>Q＜10；（2）10</w:t>
      </w:r>
      <w:r>
        <w:rPr>
          <w:rFonts w:hint="eastAsia"/>
        </w:rPr>
        <w:t>≤</w:t>
      </w:r>
      <w:r>
        <w:t>Q＜100；（3）Q</w:t>
      </w:r>
      <w:r>
        <w:rPr>
          <w:rFonts w:hint="eastAsia"/>
        </w:rPr>
        <w:t>≥</w:t>
      </w:r>
      <w:r>
        <w:t>100。</w:t>
      </w:r>
    </w:p>
    <w:p>
      <w:pPr>
        <w:pStyle w:val="49"/>
        <w:ind w:firstLine="480"/>
      </w:pPr>
      <w:r>
        <w:t>本项目涉及危险物质q/Q值计算见表2.</w:t>
      </w:r>
      <w:r>
        <w:rPr>
          <w:rFonts w:hint="eastAsia"/>
        </w:rPr>
        <w:t>5</w:t>
      </w:r>
      <w:r>
        <w:t>-</w:t>
      </w:r>
      <w:r>
        <w:rPr>
          <w:rFonts w:hint="eastAsia"/>
        </w:rPr>
        <w:t>8</w:t>
      </w:r>
      <w:r>
        <w:t>。</w:t>
      </w:r>
    </w:p>
    <w:p>
      <w:pPr>
        <w:pStyle w:val="53"/>
      </w:pPr>
      <w:r>
        <w:t>表2.</w:t>
      </w:r>
      <w:r>
        <w:rPr>
          <w:rFonts w:hint="eastAsia"/>
        </w:rPr>
        <w:t>5</w:t>
      </w:r>
      <w:r>
        <w:t>-</w:t>
      </w:r>
      <w:r>
        <w:rPr>
          <w:rFonts w:hint="eastAsia"/>
        </w:rPr>
        <w:t>8</w:t>
      </w:r>
      <w:r>
        <w:t xml:space="preserve">  项目涉及危险物质q/Q 值计算</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839"/>
        <w:gridCol w:w="1991"/>
        <w:gridCol w:w="2043"/>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5" w:type="dxa"/>
            <w:vAlign w:val="center"/>
          </w:tcPr>
          <w:p>
            <w:pPr>
              <w:pStyle w:val="51"/>
            </w:pPr>
            <w:r>
              <w:rPr>
                <w:rFonts w:hint="eastAsia"/>
              </w:rPr>
              <w:t>序号</w:t>
            </w:r>
          </w:p>
        </w:tc>
        <w:tc>
          <w:tcPr>
            <w:tcW w:w="1839" w:type="dxa"/>
            <w:vAlign w:val="center"/>
          </w:tcPr>
          <w:p>
            <w:pPr>
              <w:pStyle w:val="51"/>
            </w:pPr>
            <w:r>
              <w:rPr>
                <w:rFonts w:hint="eastAsia"/>
              </w:rPr>
              <w:t>危险物质名称</w:t>
            </w:r>
          </w:p>
        </w:tc>
        <w:tc>
          <w:tcPr>
            <w:tcW w:w="1991" w:type="dxa"/>
            <w:vAlign w:val="center"/>
          </w:tcPr>
          <w:p>
            <w:pPr>
              <w:pStyle w:val="51"/>
            </w:pPr>
            <w:r>
              <w:rPr>
                <w:rFonts w:hint="eastAsia"/>
              </w:rPr>
              <w:t>最大存在量</w:t>
            </w:r>
            <w:r>
              <w:rPr>
                <w:rFonts w:hint="eastAsia"/>
                <w:i/>
                <w:iCs/>
              </w:rPr>
              <w:t>q</w:t>
            </w:r>
            <w:r>
              <w:rPr>
                <w:rFonts w:hint="eastAsia"/>
              </w:rPr>
              <w:t>n/t</w:t>
            </w:r>
          </w:p>
        </w:tc>
        <w:tc>
          <w:tcPr>
            <w:tcW w:w="2043" w:type="dxa"/>
            <w:vAlign w:val="center"/>
          </w:tcPr>
          <w:p>
            <w:pPr>
              <w:pStyle w:val="51"/>
            </w:pPr>
            <w:r>
              <w:rPr>
                <w:rFonts w:hint="eastAsia"/>
              </w:rPr>
              <w:t>临界量</w:t>
            </w:r>
            <w:r>
              <w:rPr>
                <w:rFonts w:hint="eastAsia"/>
                <w:i/>
                <w:iCs/>
              </w:rPr>
              <w:t>Q</w:t>
            </w:r>
            <w:r>
              <w:rPr>
                <w:rFonts w:hint="eastAsia"/>
              </w:rPr>
              <w:t>n/t</w:t>
            </w:r>
          </w:p>
        </w:tc>
        <w:tc>
          <w:tcPr>
            <w:tcW w:w="1538" w:type="dxa"/>
            <w:vAlign w:val="center"/>
          </w:tcPr>
          <w:p>
            <w:pPr>
              <w:pStyle w:val="51"/>
            </w:pPr>
            <w:r>
              <w:rPr>
                <w:rFonts w:hint="eastAsia"/>
                <w:i/>
                <w:iCs/>
              </w:rPr>
              <w:t>q</w:t>
            </w:r>
            <w:r>
              <w:rPr>
                <w:rFonts w:hint="eastAsia"/>
              </w:rPr>
              <w:t>n/</w:t>
            </w:r>
            <w:r>
              <w:rPr>
                <w:rFonts w:hint="eastAsia"/>
                <w:i/>
                <w:iCs/>
              </w:rPr>
              <w:t>Q</w:t>
            </w:r>
            <w:r>
              <w:rPr>
                <w:rFonts w:hint="eastAsi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5" w:type="dxa"/>
            <w:vAlign w:val="center"/>
          </w:tcPr>
          <w:p>
            <w:pPr>
              <w:pStyle w:val="51"/>
            </w:pPr>
            <w:r>
              <w:rPr>
                <w:rFonts w:hint="eastAsia"/>
              </w:rPr>
              <w:t>1</w:t>
            </w:r>
          </w:p>
        </w:tc>
        <w:tc>
          <w:tcPr>
            <w:tcW w:w="1839" w:type="dxa"/>
            <w:vAlign w:val="center"/>
          </w:tcPr>
          <w:p>
            <w:pPr>
              <w:pStyle w:val="51"/>
            </w:pPr>
            <w:r>
              <w:rPr>
                <w:rFonts w:hint="eastAsia"/>
              </w:rPr>
              <w:t>柴油</w:t>
            </w:r>
          </w:p>
        </w:tc>
        <w:tc>
          <w:tcPr>
            <w:tcW w:w="1991" w:type="dxa"/>
            <w:vAlign w:val="center"/>
          </w:tcPr>
          <w:p>
            <w:pPr>
              <w:pStyle w:val="51"/>
            </w:pPr>
            <w:r>
              <w:rPr>
                <w:rFonts w:hint="eastAsia"/>
              </w:rPr>
              <w:t>0.174</w:t>
            </w:r>
          </w:p>
        </w:tc>
        <w:tc>
          <w:tcPr>
            <w:tcW w:w="2043" w:type="dxa"/>
            <w:vAlign w:val="center"/>
          </w:tcPr>
          <w:p>
            <w:pPr>
              <w:pStyle w:val="51"/>
            </w:pPr>
            <w:r>
              <w:rPr>
                <w:rFonts w:hint="eastAsia"/>
              </w:rPr>
              <w:t>2500</w:t>
            </w:r>
          </w:p>
        </w:tc>
        <w:tc>
          <w:tcPr>
            <w:tcW w:w="1538" w:type="dxa"/>
            <w:vAlign w:val="bottom"/>
          </w:tcPr>
          <w:p>
            <w:pPr>
              <w:pStyle w:val="51"/>
            </w:pPr>
            <w:r>
              <w:rPr>
                <w:rFonts w:hint="eastAsia"/>
              </w:rPr>
              <w:t>0.00007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85" w:type="dxa"/>
            <w:vAlign w:val="center"/>
          </w:tcPr>
          <w:p>
            <w:pPr>
              <w:pStyle w:val="51"/>
            </w:pPr>
            <w:r>
              <w:rPr>
                <w:rFonts w:hint="eastAsia"/>
              </w:rPr>
              <w:t>2</w:t>
            </w:r>
          </w:p>
        </w:tc>
        <w:tc>
          <w:tcPr>
            <w:tcW w:w="1839" w:type="dxa"/>
            <w:vAlign w:val="center"/>
          </w:tcPr>
          <w:p>
            <w:pPr>
              <w:pStyle w:val="51"/>
            </w:pPr>
            <w:r>
              <w:rPr>
                <w:rFonts w:hint="eastAsia"/>
              </w:rPr>
              <w:t>次氯酸钠</w:t>
            </w:r>
          </w:p>
        </w:tc>
        <w:tc>
          <w:tcPr>
            <w:tcW w:w="1991" w:type="dxa"/>
            <w:vAlign w:val="center"/>
          </w:tcPr>
          <w:p>
            <w:pPr>
              <w:pStyle w:val="51"/>
            </w:pPr>
            <w:r>
              <w:rPr>
                <w:rFonts w:hint="eastAsia"/>
              </w:rPr>
              <w:t>0.05</w:t>
            </w:r>
          </w:p>
        </w:tc>
        <w:tc>
          <w:tcPr>
            <w:tcW w:w="2043" w:type="dxa"/>
            <w:vAlign w:val="center"/>
          </w:tcPr>
          <w:p>
            <w:pPr>
              <w:pStyle w:val="51"/>
            </w:pPr>
            <w:r>
              <w:rPr>
                <w:lang w:bidi="en-US"/>
              </w:rPr>
              <w:t>200</w:t>
            </w:r>
          </w:p>
        </w:tc>
        <w:tc>
          <w:tcPr>
            <w:tcW w:w="1538" w:type="dxa"/>
            <w:vAlign w:val="bottom"/>
          </w:tcPr>
          <w:p>
            <w:pPr>
              <w:pStyle w:val="51"/>
            </w:pPr>
            <w:r>
              <w:rPr>
                <w:rFonts w:hint="eastAsia"/>
              </w:rPr>
              <w:t>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758" w:type="dxa"/>
            <w:gridSpan w:val="4"/>
            <w:vAlign w:val="center"/>
          </w:tcPr>
          <w:p>
            <w:pPr>
              <w:pStyle w:val="51"/>
            </w:pPr>
            <w:r>
              <w:rPr>
                <w:rFonts w:hint="eastAsia"/>
              </w:rPr>
              <w:t>合计</w:t>
            </w:r>
          </w:p>
        </w:tc>
        <w:tc>
          <w:tcPr>
            <w:tcW w:w="1538" w:type="dxa"/>
            <w:vAlign w:val="bottom"/>
          </w:tcPr>
          <w:p>
            <w:pPr>
              <w:pStyle w:val="51"/>
              <w:rPr>
                <w:rFonts w:hint="eastAsia" w:ascii="等线" w:hAnsi="等线" w:eastAsia="等线"/>
                <w:color w:val="000000"/>
                <w:sz w:val="22"/>
                <w:szCs w:val="22"/>
              </w:rPr>
            </w:pPr>
            <w:r>
              <w:rPr>
                <w:rFonts w:hint="eastAsia"/>
              </w:rPr>
              <w:t>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296" w:type="dxa"/>
            <w:gridSpan w:val="5"/>
            <w:vAlign w:val="center"/>
          </w:tcPr>
          <w:p>
            <w:pPr>
              <w:pStyle w:val="51"/>
              <w:jc w:val="left"/>
            </w:pPr>
            <w:r>
              <w:rPr>
                <w:rFonts w:hint="eastAsia"/>
              </w:rPr>
              <w:t>注：备用柴油发电机最大储存柴油量200L，折纯后0.174t</w:t>
            </w:r>
          </w:p>
        </w:tc>
      </w:tr>
    </w:tbl>
    <w:p>
      <w:pPr>
        <w:pStyle w:val="49"/>
        <w:ind w:firstLine="480"/>
      </w:pPr>
      <w:r>
        <w:rPr>
          <w:rFonts w:hint="eastAsia"/>
        </w:rPr>
        <w:t xml:space="preserve">根据以上计算结果可知，危险物质数量与临界量比值 </w:t>
      </w:r>
      <w:r>
        <w:rPr>
          <w:rFonts w:cs="Times New Roman"/>
          <w:i/>
          <w:iCs/>
        </w:rPr>
        <w:t>Q</w:t>
      </w:r>
      <w:r>
        <w:rPr>
          <w:rFonts w:hint="eastAsia" w:cs="Times New Roman"/>
        </w:rPr>
        <w:t>=</w:t>
      </w:r>
      <w:r>
        <w:rPr>
          <w:rFonts w:hint="eastAsia"/>
        </w:rPr>
        <w:t>0.00032＜</w:t>
      </w:r>
      <w:r>
        <w:rPr>
          <w:rFonts w:hint="eastAsia" w:cs="Times New Roman"/>
        </w:rPr>
        <w:t>1</w:t>
      </w:r>
      <w:r>
        <w:rPr>
          <w:rFonts w:hint="eastAsia"/>
        </w:rPr>
        <w:t>。</w:t>
      </w:r>
    </w:p>
    <w:p>
      <w:pPr>
        <w:pStyle w:val="49"/>
        <w:ind w:firstLine="480"/>
      </w:pPr>
      <w:r>
        <w:rPr>
          <w:rFonts w:hint="eastAsia"/>
        </w:rPr>
        <w:t>（2）</w:t>
      </w:r>
      <w:r>
        <w:rPr>
          <w:rFonts w:cs="Times New Roman"/>
          <w:color w:val="000000"/>
        </w:rPr>
        <w:t>评价等级</w:t>
      </w:r>
    </w:p>
    <w:p>
      <w:pPr>
        <w:pStyle w:val="49"/>
        <w:ind w:firstLine="480"/>
        <w:rPr>
          <w:color w:val="000000"/>
        </w:rPr>
      </w:pPr>
      <w:r>
        <w:rPr>
          <w:rFonts w:hint="eastAsia"/>
          <w:color w:val="000000"/>
        </w:rPr>
        <w:t xml:space="preserve">本项目危险物质数量与临界量的比值 </w:t>
      </w:r>
      <w:r>
        <w:rPr>
          <w:rFonts w:cs="Times New Roman"/>
          <w:i/>
          <w:iCs/>
        </w:rPr>
        <w:t>Q</w:t>
      </w:r>
      <w:r>
        <w:rPr>
          <w:color w:val="000000"/>
        </w:rPr>
        <w:t>=</w:t>
      </w:r>
      <w:r>
        <w:rPr>
          <w:rFonts w:hint="eastAsia"/>
        </w:rPr>
        <w:t>0.00032＜</w:t>
      </w:r>
      <w:r>
        <w:rPr>
          <w:rFonts w:hint="eastAsia" w:cs="Times New Roman"/>
        </w:rPr>
        <w:t>1</w:t>
      </w:r>
      <w:r>
        <w:rPr>
          <w:rFonts w:hint="eastAsia"/>
          <w:color w:val="000000"/>
        </w:rPr>
        <w:t>，根据《建设项目环境风险评价技术导则》（</w:t>
      </w:r>
      <w:r>
        <w:rPr>
          <w:color w:val="000000"/>
        </w:rPr>
        <w:t>HJ169-2018</w:t>
      </w:r>
      <w:r>
        <w:rPr>
          <w:rFonts w:hint="eastAsia"/>
          <w:color w:val="000000"/>
        </w:rPr>
        <w:t xml:space="preserve">）附录 </w:t>
      </w:r>
      <w:r>
        <w:rPr>
          <w:color w:val="000000"/>
        </w:rPr>
        <w:t xml:space="preserve">C </w:t>
      </w:r>
      <w:r>
        <w:rPr>
          <w:rFonts w:hint="eastAsia"/>
          <w:color w:val="000000"/>
        </w:rPr>
        <w:t xml:space="preserve">的要求及评价工作等级划分表，当 </w:t>
      </w:r>
      <w:r>
        <w:rPr>
          <w:color w:val="000000"/>
        </w:rPr>
        <w:t>Q</w:t>
      </w:r>
      <w:r>
        <w:rPr>
          <w:rFonts w:hint="eastAsia"/>
          <w:color w:val="000000"/>
        </w:rPr>
        <w:t>＜</w:t>
      </w:r>
      <w:r>
        <w:rPr>
          <w:color w:val="000000"/>
        </w:rPr>
        <w:t>1</w:t>
      </w:r>
      <w:r>
        <w:rPr>
          <w:rFonts w:hint="eastAsia"/>
          <w:color w:val="000000"/>
        </w:rPr>
        <w:t>时，项目环境风险潜势为</w:t>
      </w:r>
      <w:r>
        <w:rPr>
          <w:rFonts w:cs="Times New Roman"/>
          <w:color w:val="000000"/>
          <w:szCs w:val="21"/>
        </w:rPr>
        <w:t>Ⅰ</w:t>
      </w:r>
      <w:r>
        <w:rPr>
          <w:rFonts w:hint="eastAsia"/>
          <w:color w:val="000000"/>
        </w:rPr>
        <w:t>。</w:t>
      </w:r>
    </w:p>
    <w:p>
      <w:pPr>
        <w:pStyle w:val="49"/>
        <w:ind w:firstLine="480"/>
      </w:pPr>
      <w:r>
        <w:t>评价工作等级划分见表2.</w:t>
      </w:r>
      <w:r>
        <w:rPr>
          <w:rFonts w:hint="eastAsia"/>
        </w:rPr>
        <w:t>7</w:t>
      </w:r>
      <w:r>
        <w:t>-</w:t>
      </w:r>
      <w:r>
        <w:rPr>
          <w:rFonts w:hint="eastAsia"/>
        </w:rPr>
        <w:t>9</w:t>
      </w:r>
      <w:r>
        <w:t>。</w:t>
      </w:r>
    </w:p>
    <w:p>
      <w:pPr>
        <w:pStyle w:val="53"/>
      </w:pPr>
      <w:r>
        <w:t>表2.</w:t>
      </w:r>
      <w:r>
        <w:rPr>
          <w:rFonts w:hint="eastAsia"/>
        </w:rPr>
        <w:t>7</w:t>
      </w:r>
      <w:r>
        <w:t>-</w:t>
      </w:r>
      <w:r>
        <w:rPr>
          <w:rFonts w:hint="eastAsia"/>
        </w:rPr>
        <w:t>9</w:t>
      </w:r>
      <w:r>
        <w:t xml:space="preserve">  评价工作等级划分表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665"/>
        <w:gridCol w:w="1657"/>
        <w:gridCol w:w="165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vAlign w:val="center"/>
          </w:tcPr>
          <w:p>
            <w:pPr>
              <w:pStyle w:val="51"/>
            </w:pPr>
            <w:r>
              <w:rPr>
                <w:rFonts w:cs="Times New Roman"/>
                <w:color w:val="000000"/>
                <w:szCs w:val="21"/>
                <w:lang w:bidi="ar"/>
              </w:rPr>
              <w:t>环境风险潜势</w:t>
            </w:r>
          </w:p>
        </w:tc>
        <w:tc>
          <w:tcPr>
            <w:tcW w:w="1665" w:type="dxa"/>
            <w:vAlign w:val="center"/>
          </w:tcPr>
          <w:p>
            <w:pPr>
              <w:pStyle w:val="51"/>
            </w:pPr>
            <w:r>
              <w:rPr>
                <w:rFonts w:cs="Times New Roman"/>
                <w:color w:val="000000"/>
                <w:szCs w:val="21"/>
              </w:rPr>
              <w:t>Ⅳ、Ⅳ</w:t>
            </w:r>
            <w:r>
              <w:rPr>
                <w:rFonts w:cs="Times New Roman"/>
                <w:color w:val="000000"/>
                <w:szCs w:val="21"/>
                <w:vertAlign w:val="superscript"/>
              </w:rPr>
              <w:t>+</w:t>
            </w:r>
          </w:p>
        </w:tc>
        <w:tc>
          <w:tcPr>
            <w:tcW w:w="1657" w:type="dxa"/>
            <w:vAlign w:val="center"/>
          </w:tcPr>
          <w:p>
            <w:pPr>
              <w:pStyle w:val="51"/>
            </w:pPr>
            <w:r>
              <w:rPr>
                <w:rFonts w:cs="Times New Roman"/>
                <w:color w:val="000000"/>
                <w:szCs w:val="21"/>
              </w:rPr>
              <w:t>Ⅲ</w:t>
            </w:r>
          </w:p>
        </w:tc>
        <w:tc>
          <w:tcPr>
            <w:tcW w:w="1658" w:type="dxa"/>
            <w:vAlign w:val="center"/>
          </w:tcPr>
          <w:p>
            <w:pPr>
              <w:pStyle w:val="51"/>
            </w:pPr>
            <w:r>
              <w:rPr>
                <w:rFonts w:cs="Times New Roman"/>
                <w:color w:val="000000"/>
                <w:szCs w:val="21"/>
              </w:rPr>
              <w:t>Ⅱ</w:t>
            </w:r>
          </w:p>
        </w:tc>
        <w:tc>
          <w:tcPr>
            <w:tcW w:w="1658" w:type="dxa"/>
            <w:vAlign w:val="center"/>
          </w:tcPr>
          <w:p>
            <w:pPr>
              <w:pStyle w:val="51"/>
            </w:pPr>
            <w:r>
              <w:rPr>
                <w:rFonts w:cs="Times New Roman"/>
                <w:color w:val="00000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vAlign w:val="center"/>
          </w:tcPr>
          <w:p>
            <w:pPr>
              <w:pStyle w:val="51"/>
            </w:pPr>
            <w:r>
              <w:rPr>
                <w:rFonts w:cs="Times New Roman"/>
                <w:color w:val="000000"/>
                <w:szCs w:val="21"/>
                <w:lang w:bidi="ar"/>
              </w:rPr>
              <w:t>评价工作等级</w:t>
            </w:r>
          </w:p>
        </w:tc>
        <w:tc>
          <w:tcPr>
            <w:tcW w:w="1665" w:type="dxa"/>
            <w:vAlign w:val="center"/>
          </w:tcPr>
          <w:p>
            <w:pPr>
              <w:pStyle w:val="51"/>
            </w:pPr>
            <w:r>
              <w:rPr>
                <w:rFonts w:cs="Times New Roman"/>
                <w:color w:val="000000"/>
                <w:szCs w:val="21"/>
                <w:lang w:bidi="ar"/>
              </w:rPr>
              <w:t>一</w:t>
            </w:r>
          </w:p>
        </w:tc>
        <w:tc>
          <w:tcPr>
            <w:tcW w:w="1657" w:type="dxa"/>
            <w:vAlign w:val="center"/>
          </w:tcPr>
          <w:p>
            <w:pPr>
              <w:pStyle w:val="51"/>
            </w:pPr>
            <w:r>
              <w:rPr>
                <w:rFonts w:cs="Times New Roman"/>
                <w:color w:val="000000"/>
                <w:szCs w:val="21"/>
                <w:lang w:bidi="ar"/>
              </w:rPr>
              <w:t>二</w:t>
            </w:r>
          </w:p>
        </w:tc>
        <w:tc>
          <w:tcPr>
            <w:tcW w:w="1658" w:type="dxa"/>
            <w:vAlign w:val="center"/>
          </w:tcPr>
          <w:p>
            <w:pPr>
              <w:pStyle w:val="51"/>
            </w:pPr>
            <w:r>
              <w:rPr>
                <w:rFonts w:cs="Times New Roman"/>
                <w:color w:val="000000"/>
                <w:szCs w:val="21"/>
                <w:lang w:bidi="ar"/>
              </w:rPr>
              <w:t>三</w:t>
            </w:r>
          </w:p>
        </w:tc>
        <w:tc>
          <w:tcPr>
            <w:tcW w:w="1658" w:type="dxa"/>
            <w:vAlign w:val="center"/>
          </w:tcPr>
          <w:p>
            <w:pPr>
              <w:pStyle w:val="51"/>
            </w:pPr>
            <w:r>
              <w:rPr>
                <w:rFonts w:cs="Times New Roman"/>
                <w:color w:val="000000"/>
                <w:szCs w:val="21"/>
              </w:rPr>
              <w:t>简单分析</w:t>
            </w:r>
            <w:r>
              <w:rPr>
                <w:rFonts w:cs="Times New Roman"/>
                <w:color w:val="000000"/>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5"/>
          </w:tcPr>
          <w:p>
            <w:pPr>
              <w:pStyle w:val="51"/>
              <w:jc w:val="both"/>
            </w:pPr>
            <w:r>
              <w:t>a是相对与详细评价工作内容而言，在描述危险物质、环境影响途径、环境危害后果、风险防范措施等方面给出定性的说明。见附录A。</w:t>
            </w:r>
          </w:p>
        </w:tc>
      </w:tr>
    </w:tbl>
    <w:p>
      <w:pPr>
        <w:pStyle w:val="49"/>
        <w:ind w:firstLine="480"/>
      </w:pPr>
      <w:r>
        <w:rPr>
          <w:rFonts w:hint="eastAsia"/>
        </w:rPr>
        <w:t>根据上表，本项目仅需对环境风险进行简单分析。</w:t>
      </w:r>
    </w:p>
    <w:p>
      <w:pPr>
        <w:pStyle w:val="49"/>
        <w:ind w:firstLine="480"/>
      </w:pPr>
      <w:r>
        <w:rPr>
          <w:rFonts w:hint="eastAsia"/>
        </w:rPr>
        <w:t>（3）评价范围</w:t>
      </w:r>
    </w:p>
    <w:p>
      <w:pPr>
        <w:pStyle w:val="49"/>
        <w:ind w:firstLine="480"/>
      </w:pPr>
      <w:r>
        <w:rPr>
          <w:rFonts w:hint="eastAsia"/>
        </w:rPr>
        <w:t>本次环境风险评价不设置评价范围。</w:t>
      </w:r>
    </w:p>
    <w:p>
      <w:pPr>
        <w:pStyle w:val="4"/>
      </w:pPr>
      <w:bookmarkStart w:id="108" w:name="_Toc194481140"/>
      <w:r>
        <w:t>2.</w:t>
      </w:r>
      <w:r>
        <w:rPr>
          <w:rFonts w:hint="eastAsia"/>
        </w:rPr>
        <w:t>5</w:t>
      </w:r>
      <w:r>
        <w:t>.</w:t>
      </w:r>
      <w:r>
        <w:rPr>
          <w:rFonts w:hint="eastAsia"/>
        </w:rPr>
        <w:t xml:space="preserve">7 </w:t>
      </w:r>
      <w:r>
        <w:rPr>
          <w:rFonts w:hint="eastAsia" w:cs="Times New Roman"/>
          <w:color w:val="000000"/>
          <w:szCs w:val="28"/>
        </w:rPr>
        <w:t>生态环境评价等级</w:t>
      </w:r>
      <w:r>
        <w:rPr>
          <w:rFonts w:cs="Times New Roman"/>
          <w:color w:val="000000"/>
          <w:szCs w:val="28"/>
        </w:rPr>
        <w:t>及评价范围</w:t>
      </w:r>
      <w:bookmarkEnd w:id="108"/>
    </w:p>
    <w:p>
      <w:pPr>
        <w:pStyle w:val="49"/>
        <w:ind w:firstLine="480"/>
      </w:pPr>
      <w:r>
        <w:rPr>
          <w:rFonts w:hint="eastAsia"/>
        </w:rPr>
        <w:t>（1）评价等级</w:t>
      </w:r>
    </w:p>
    <w:p>
      <w:pPr>
        <w:pStyle w:val="49"/>
        <w:ind w:firstLine="480"/>
      </w:pPr>
      <w:r>
        <w:rPr>
          <w:rFonts w:hint="eastAsia"/>
        </w:rPr>
        <w:t>根据《环境影响评价技术导则</w:t>
      </w:r>
      <w:r>
        <w:t>-</w:t>
      </w:r>
      <w:r>
        <w:rPr>
          <w:rFonts w:hint="eastAsia"/>
        </w:rPr>
        <w:t>生态影响》（</w:t>
      </w:r>
      <w:r>
        <w:t>HJ19-2022</w:t>
      </w:r>
      <w:r>
        <w:rPr>
          <w:rFonts w:hint="eastAsia"/>
        </w:rPr>
        <w:t xml:space="preserve">），本项目不涉及国家公园、自然保护区、世界自然遗产、重要生境、不涉及自然公园及生态保护红线，地表水评价等级为三级 </w:t>
      </w:r>
      <w:r>
        <w:t>B</w:t>
      </w:r>
      <w:r>
        <w:rPr>
          <w:rFonts w:hint="eastAsia"/>
        </w:rPr>
        <w:t xml:space="preserve">，土壤影响范围内无天然林、公益林、湿地等生态保护目标，项目占地小于 </w:t>
      </w:r>
      <w:r>
        <w:t>20km</w:t>
      </w:r>
      <w:r>
        <w:rPr>
          <w:vertAlign w:val="superscript"/>
        </w:rPr>
        <w:t>2</w:t>
      </w:r>
      <w:r>
        <w:rPr>
          <w:rFonts w:hint="eastAsia"/>
        </w:rPr>
        <w:t>，故确定本期工程生态环境影响评价等级为三级评价。</w:t>
      </w:r>
    </w:p>
    <w:p>
      <w:pPr>
        <w:pStyle w:val="49"/>
        <w:ind w:firstLine="480"/>
      </w:pPr>
      <w:r>
        <w:rPr>
          <w:rFonts w:hint="eastAsia"/>
        </w:rPr>
        <w:t>（2）评价范围</w:t>
      </w:r>
    </w:p>
    <w:p>
      <w:pPr>
        <w:pStyle w:val="49"/>
        <w:ind w:firstLine="480"/>
      </w:pPr>
      <w:r>
        <w:rPr>
          <w:rFonts w:hint="eastAsia"/>
        </w:rPr>
        <w:t>根据《环境影响评价技术导则 生态影响》（HJ19-2022），本项目生态环境影响评价范围为项目占地区域及厂界外延200</w:t>
      </w:r>
      <w:r>
        <w:t>m范围。</w:t>
      </w:r>
    </w:p>
    <w:p>
      <w:pPr>
        <w:pStyle w:val="3"/>
      </w:pPr>
      <w:bookmarkStart w:id="109" w:name="_Toc194481141"/>
      <w:r>
        <w:t>2.</w:t>
      </w:r>
      <w:r>
        <w:rPr>
          <w:rFonts w:hint="eastAsia"/>
        </w:rPr>
        <w:t>6</w:t>
      </w:r>
      <w:r>
        <w:t xml:space="preserve"> 评价</w:t>
      </w:r>
      <w:r>
        <w:rPr>
          <w:rFonts w:hint="eastAsia"/>
        </w:rPr>
        <w:t>重点</w:t>
      </w:r>
      <w:bookmarkEnd w:id="109"/>
    </w:p>
    <w:p>
      <w:pPr>
        <w:pStyle w:val="49"/>
        <w:ind w:firstLine="480"/>
      </w:pPr>
      <w:r>
        <w:t>本项目工程分析、环境影响预测与评价、总量控制和环保措施分析、产业政策符合性分析等作为本次评价的重点。</w:t>
      </w:r>
    </w:p>
    <w:p>
      <w:pPr>
        <w:pStyle w:val="3"/>
      </w:pPr>
      <w:bookmarkStart w:id="110" w:name="_Toc194481142"/>
      <w:r>
        <w:t>2.</w:t>
      </w:r>
      <w:r>
        <w:rPr>
          <w:rFonts w:hint="eastAsia"/>
        </w:rPr>
        <w:t>7</w:t>
      </w:r>
      <w:r>
        <w:t xml:space="preserve"> </w:t>
      </w:r>
      <w:r>
        <w:rPr>
          <w:rFonts w:cs="Times New Roman"/>
          <w:color w:val="000000"/>
          <w:szCs w:val="30"/>
        </w:rPr>
        <w:t>环境保护目标</w:t>
      </w:r>
      <w:bookmarkEnd w:id="110"/>
    </w:p>
    <w:p>
      <w:pPr>
        <w:pStyle w:val="49"/>
        <w:ind w:firstLine="480"/>
      </w:pPr>
      <w:r>
        <w:rPr>
          <w:rFonts w:cs="Times New Roman"/>
          <w:color w:val="000000"/>
        </w:rPr>
        <w:t>根据项目污染物排放特征和区域的水文、气象等情况，结合现场踏勘和调查， 区域内无重点保护文物和珍稀动植物</w:t>
      </w:r>
      <w:r>
        <w:rPr>
          <w:rFonts w:hint="eastAsia"/>
        </w:rPr>
        <w:t>。</w:t>
      </w:r>
      <w:r>
        <w:rPr>
          <w:color w:val="000000"/>
        </w:rPr>
        <w:t>项目大气环境评价范围内、地表水环境、声环境以及地下水环境评价范围内的保护目标见下表2.</w:t>
      </w:r>
      <w:r>
        <w:rPr>
          <w:rFonts w:hint="eastAsia"/>
          <w:color w:val="000000"/>
        </w:rPr>
        <w:t>7</w:t>
      </w:r>
      <w:r>
        <w:rPr>
          <w:color w:val="000000"/>
        </w:rPr>
        <w:t>-1~</w:t>
      </w:r>
      <w:r>
        <w:rPr>
          <w:rFonts w:hint="eastAsia"/>
          <w:color w:val="000000"/>
        </w:rPr>
        <w:t>3</w:t>
      </w:r>
      <w:r>
        <w:rPr>
          <w:color w:val="000000"/>
        </w:rPr>
        <w:t>。</w:t>
      </w:r>
    </w:p>
    <w:p>
      <w:pPr>
        <w:pStyle w:val="49"/>
        <w:ind w:firstLine="480"/>
        <w:sectPr>
          <w:pgSz w:w="11906" w:h="16838"/>
          <w:pgMar w:top="1440" w:right="1800" w:bottom="1440" w:left="1800" w:header="851" w:footer="992" w:gutter="0"/>
          <w:cols w:space="425" w:num="1"/>
          <w:docGrid w:type="lines" w:linePitch="312" w:charSpace="0"/>
        </w:sectPr>
      </w:pPr>
    </w:p>
    <w:p>
      <w:pPr>
        <w:pStyle w:val="53"/>
      </w:pPr>
      <w:r>
        <w:rPr>
          <w:bCs/>
          <w:snapToGrid w:val="0"/>
          <w:color w:val="000000"/>
        </w:rPr>
        <w:t>表2.</w:t>
      </w:r>
      <w:r>
        <w:rPr>
          <w:rFonts w:hint="eastAsia"/>
          <w:bCs/>
          <w:snapToGrid w:val="0"/>
          <w:color w:val="000000"/>
        </w:rPr>
        <w:t>7</w:t>
      </w:r>
      <w:r>
        <w:rPr>
          <w:bCs/>
          <w:snapToGrid w:val="0"/>
          <w:color w:val="000000"/>
        </w:rPr>
        <w:t>-1</w:t>
      </w:r>
      <w:r>
        <w:t>评价区内主要大气环境敏感目标</w:t>
      </w:r>
    </w:p>
    <w:tbl>
      <w:tblPr>
        <w:tblStyle w:val="39"/>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999"/>
        <w:gridCol w:w="1715"/>
        <w:gridCol w:w="1752"/>
        <w:gridCol w:w="1157"/>
        <w:gridCol w:w="3080"/>
        <w:gridCol w:w="1065"/>
        <w:gridCol w:w="961"/>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 w:hRule="atLeast"/>
        </w:trPr>
        <w:tc>
          <w:tcPr>
            <w:tcW w:w="1070" w:type="pct"/>
            <w:vMerge w:val="restart"/>
            <w:vAlign w:val="center"/>
          </w:tcPr>
          <w:p>
            <w:pPr>
              <w:pStyle w:val="51"/>
            </w:pPr>
            <w:bookmarkStart w:id="111" w:name="_Hlk171577732"/>
            <w:r>
              <w:t>环境敏感点名称</w:t>
            </w:r>
          </w:p>
        </w:tc>
        <w:tc>
          <w:tcPr>
            <w:tcW w:w="1237" w:type="pct"/>
            <w:gridSpan w:val="2"/>
            <w:vAlign w:val="center"/>
          </w:tcPr>
          <w:p>
            <w:pPr>
              <w:pStyle w:val="51"/>
            </w:pPr>
            <w:r>
              <w:t>经纬度坐标</w:t>
            </w:r>
          </w:p>
        </w:tc>
        <w:tc>
          <w:tcPr>
            <w:tcW w:w="413" w:type="pct"/>
            <w:vMerge w:val="restart"/>
            <w:vAlign w:val="center"/>
          </w:tcPr>
          <w:p>
            <w:pPr>
              <w:pStyle w:val="51"/>
            </w:pPr>
            <w:r>
              <w:t>保护对象</w:t>
            </w:r>
          </w:p>
        </w:tc>
        <w:tc>
          <w:tcPr>
            <w:tcW w:w="1099" w:type="pct"/>
            <w:vMerge w:val="restart"/>
            <w:vAlign w:val="center"/>
          </w:tcPr>
          <w:p>
            <w:pPr>
              <w:pStyle w:val="51"/>
            </w:pPr>
            <w:r>
              <w:t>保护内容</w:t>
            </w:r>
          </w:p>
        </w:tc>
        <w:tc>
          <w:tcPr>
            <w:tcW w:w="380" w:type="pct"/>
            <w:vMerge w:val="restart"/>
            <w:vAlign w:val="center"/>
          </w:tcPr>
          <w:p>
            <w:pPr>
              <w:pStyle w:val="51"/>
            </w:pPr>
            <w:r>
              <w:t>环境功能</w:t>
            </w:r>
          </w:p>
        </w:tc>
        <w:tc>
          <w:tcPr>
            <w:tcW w:w="343" w:type="pct"/>
            <w:vMerge w:val="restart"/>
            <w:vAlign w:val="center"/>
          </w:tcPr>
          <w:p>
            <w:pPr>
              <w:pStyle w:val="51"/>
            </w:pPr>
            <w:r>
              <w:t>方位</w:t>
            </w:r>
          </w:p>
        </w:tc>
        <w:tc>
          <w:tcPr>
            <w:tcW w:w="458" w:type="pct"/>
            <w:vMerge w:val="restart"/>
            <w:vAlign w:val="center"/>
          </w:tcPr>
          <w:p>
            <w:pPr>
              <w:pStyle w:val="51"/>
            </w:pPr>
            <w:r>
              <w:t>与</w:t>
            </w:r>
            <w:r>
              <w:rPr>
                <w:rFonts w:hint="eastAsia"/>
              </w:rPr>
              <w:t>项目</w:t>
            </w:r>
            <w:r>
              <w:t>边界距离m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1070" w:type="pct"/>
            <w:vMerge w:val="continue"/>
            <w:vAlign w:val="center"/>
          </w:tcPr>
          <w:p>
            <w:pPr>
              <w:pStyle w:val="51"/>
            </w:pPr>
          </w:p>
        </w:tc>
        <w:tc>
          <w:tcPr>
            <w:tcW w:w="612" w:type="pct"/>
            <w:vAlign w:val="center"/>
          </w:tcPr>
          <w:p>
            <w:pPr>
              <w:pStyle w:val="51"/>
            </w:pPr>
            <w:r>
              <w:rPr>
                <w:rFonts w:hint="eastAsia"/>
              </w:rPr>
              <w:t>经度</w:t>
            </w:r>
          </w:p>
        </w:tc>
        <w:tc>
          <w:tcPr>
            <w:tcW w:w="625" w:type="pct"/>
            <w:vAlign w:val="center"/>
          </w:tcPr>
          <w:p>
            <w:pPr>
              <w:pStyle w:val="51"/>
            </w:pPr>
            <w:r>
              <w:rPr>
                <w:rFonts w:hint="eastAsia"/>
              </w:rPr>
              <w:t>纬度</w:t>
            </w:r>
          </w:p>
        </w:tc>
        <w:tc>
          <w:tcPr>
            <w:tcW w:w="413" w:type="pct"/>
            <w:vMerge w:val="continue"/>
            <w:vAlign w:val="center"/>
          </w:tcPr>
          <w:p>
            <w:pPr>
              <w:pStyle w:val="51"/>
            </w:pPr>
          </w:p>
        </w:tc>
        <w:tc>
          <w:tcPr>
            <w:tcW w:w="1099" w:type="pct"/>
            <w:vMerge w:val="continue"/>
            <w:vAlign w:val="center"/>
          </w:tcPr>
          <w:p>
            <w:pPr>
              <w:pStyle w:val="51"/>
            </w:pPr>
          </w:p>
        </w:tc>
        <w:tc>
          <w:tcPr>
            <w:tcW w:w="380" w:type="pct"/>
            <w:vMerge w:val="continue"/>
            <w:vAlign w:val="center"/>
          </w:tcPr>
          <w:p>
            <w:pPr>
              <w:pStyle w:val="51"/>
            </w:pPr>
          </w:p>
        </w:tc>
        <w:tc>
          <w:tcPr>
            <w:tcW w:w="343" w:type="pct"/>
            <w:vMerge w:val="continue"/>
            <w:vAlign w:val="center"/>
          </w:tcPr>
          <w:p>
            <w:pPr>
              <w:pStyle w:val="51"/>
            </w:pPr>
          </w:p>
        </w:tc>
        <w:tc>
          <w:tcPr>
            <w:tcW w:w="458"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对江岭莫家</w:t>
            </w:r>
          </w:p>
        </w:tc>
        <w:tc>
          <w:tcPr>
            <w:tcW w:w="612" w:type="pct"/>
            <w:vAlign w:val="center"/>
          </w:tcPr>
          <w:p>
            <w:pPr>
              <w:pStyle w:val="51"/>
            </w:pPr>
            <w:r>
              <w:rPr>
                <w:rFonts w:hint="eastAsia"/>
              </w:rPr>
              <w:t>111</w:t>
            </w:r>
            <w:r>
              <w:t>°</w:t>
            </w:r>
            <w:r>
              <w:rPr>
                <w:rFonts w:hint="eastAsia"/>
              </w:rPr>
              <w:t>40'10.0053"</w:t>
            </w:r>
          </w:p>
        </w:tc>
        <w:tc>
          <w:tcPr>
            <w:tcW w:w="625" w:type="pct"/>
            <w:vAlign w:val="center"/>
          </w:tcPr>
          <w:p>
            <w:pPr>
              <w:pStyle w:val="51"/>
            </w:pPr>
            <w:r>
              <w:rPr>
                <w:rFonts w:hint="eastAsia"/>
              </w:rPr>
              <w:t>26</w:t>
            </w:r>
            <w:r>
              <w:t>°</w:t>
            </w:r>
            <w:r>
              <w:rPr>
                <w:rFonts w:hint="eastAsia"/>
              </w:rPr>
              <w:t>21'29.5078"</w:t>
            </w:r>
          </w:p>
        </w:tc>
        <w:tc>
          <w:tcPr>
            <w:tcW w:w="413" w:type="pct"/>
            <w:vAlign w:val="center"/>
          </w:tcPr>
          <w:p>
            <w:pPr>
              <w:pStyle w:val="51"/>
            </w:pPr>
            <w:r>
              <w:rPr>
                <w:rFonts w:hint="eastAsia"/>
              </w:rPr>
              <w:t>居民</w:t>
            </w:r>
          </w:p>
        </w:tc>
        <w:tc>
          <w:tcPr>
            <w:tcW w:w="1099" w:type="pct"/>
            <w:vAlign w:val="center"/>
          </w:tcPr>
          <w:p>
            <w:pPr>
              <w:pStyle w:val="51"/>
            </w:pPr>
            <w:r>
              <w:t>自然村落，</w:t>
            </w:r>
            <w:r>
              <w:rPr>
                <w:rFonts w:hint="eastAsia"/>
              </w:rPr>
              <w:t>3</w:t>
            </w:r>
            <w:r>
              <w:t>户</w:t>
            </w:r>
            <w:r>
              <w:rPr>
                <w:rFonts w:hint="eastAsia"/>
              </w:rPr>
              <w:t>9</w:t>
            </w:r>
            <w:r>
              <w:t>人</w:t>
            </w:r>
          </w:p>
        </w:tc>
        <w:tc>
          <w:tcPr>
            <w:tcW w:w="380" w:type="pct"/>
            <w:vMerge w:val="restart"/>
            <w:vAlign w:val="center"/>
          </w:tcPr>
          <w:p>
            <w:pPr>
              <w:pStyle w:val="51"/>
            </w:pPr>
            <w:r>
              <w:t>二类区</w:t>
            </w:r>
          </w:p>
        </w:tc>
        <w:tc>
          <w:tcPr>
            <w:tcW w:w="343" w:type="pct"/>
            <w:vAlign w:val="center"/>
          </w:tcPr>
          <w:p>
            <w:pPr>
              <w:pStyle w:val="51"/>
            </w:pPr>
            <w:r>
              <w:rPr>
                <w:rFonts w:hint="eastAsia"/>
              </w:rPr>
              <w:t>东北</w:t>
            </w:r>
          </w:p>
        </w:tc>
        <w:tc>
          <w:tcPr>
            <w:tcW w:w="458" w:type="pct"/>
            <w:vAlign w:val="center"/>
          </w:tcPr>
          <w:p>
            <w:pPr>
              <w:pStyle w:val="51"/>
            </w:pPr>
            <w:r>
              <w:rPr>
                <w:rFonts w:hint="eastAsia"/>
              </w:rPr>
              <w:t>167-225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7" w:hRule="atLeast"/>
        </w:trPr>
        <w:tc>
          <w:tcPr>
            <w:tcW w:w="1070" w:type="pct"/>
            <w:vAlign w:val="center"/>
          </w:tcPr>
          <w:p>
            <w:pPr>
              <w:pStyle w:val="51"/>
            </w:pPr>
            <w:r>
              <w:rPr>
                <w:rFonts w:hint="eastAsia"/>
              </w:rPr>
              <w:t>北塘莫家</w:t>
            </w:r>
          </w:p>
        </w:tc>
        <w:tc>
          <w:tcPr>
            <w:tcW w:w="612" w:type="pct"/>
            <w:vAlign w:val="center"/>
          </w:tcPr>
          <w:p>
            <w:pPr>
              <w:pStyle w:val="51"/>
            </w:pPr>
            <w:r>
              <w:rPr>
                <w:rFonts w:hint="eastAsia"/>
              </w:rPr>
              <w:t>111</w:t>
            </w:r>
            <w:r>
              <w:t>°</w:t>
            </w:r>
            <w:r>
              <w:rPr>
                <w:rFonts w:hint="eastAsia"/>
              </w:rPr>
              <w:t>40'17.0309"</w:t>
            </w:r>
          </w:p>
        </w:tc>
        <w:tc>
          <w:tcPr>
            <w:tcW w:w="625" w:type="pct"/>
            <w:vAlign w:val="center"/>
          </w:tcPr>
          <w:p>
            <w:pPr>
              <w:pStyle w:val="51"/>
            </w:pPr>
            <w:r>
              <w:rPr>
                <w:rFonts w:hint="eastAsia"/>
              </w:rPr>
              <w:t>26</w:t>
            </w:r>
            <w:r>
              <w:t>°</w:t>
            </w:r>
            <w:r>
              <w:rPr>
                <w:rFonts w:hint="eastAsia"/>
              </w:rPr>
              <w:t>21'25.1969"</w:t>
            </w:r>
          </w:p>
        </w:tc>
        <w:tc>
          <w:tcPr>
            <w:tcW w:w="413" w:type="pct"/>
            <w:vAlign w:val="center"/>
          </w:tcPr>
          <w:p>
            <w:pPr>
              <w:pStyle w:val="51"/>
            </w:pPr>
            <w:r>
              <w:rPr>
                <w:rFonts w:hint="eastAsia"/>
              </w:rPr>
              <w:t>居民</w:t>
            </w:r>
          </w:p>
        </w:tc>
        <w:tc>
          <w:tcPr>
            <w:tcW w:w="1099" w:type="pct"/>
            <w:vAlign w:val="center"/>
          </w:tcPr>
          <w:p>
            <w:pPr>
              <w:pStyle w:val="51"/>
            </w:pPr>
            <w:r>
              <w:t>自然村落，</w:t>
            </w:r>
            <w:r>
              <w:rPr>
                <w:rFonts w:hint="eastAsia"/>
              </w:rPr>
              <w:t xml:space="preserve"> 4</w:t>
            </w:r>
            <w:r>
              <w:t>户</w:t>
            </w:r>
            <w:r>
              <w:rPr>
                <w:rFonts w:hint="eastAsia"/>
              </w:rPr>
              <w:t>12</w:t>
            </w:r>
            <w:r>
              <w:t>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195~272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三官岭</w:t>
            </w:r>
          </w:p>
        </w:tc>
        <w:tc>
          <w:tcPr>
            <w:tcW w:w="612" w:type="pct"/>
            <w:vAlign w:val="center"/>
          </w:tcPr>
          <w:p>
            <w:pPr>
              <w:pStyle w:val="51"/>
            </w:pPr>
            <w:r>
              <w:rPr>
                <w:rFonts w:hint="eastAsia"/>
              </w:rPr>
              <w:t>111</w:t>
            </w:r>
            <w:r>
              <w:t>°</w:t>
            </w:r>
            <w:r>
              <w:rPr>
                <w:rFonts w:hint="eastAsia"/>
              </w:rPr>
              <w:t>40'14.3221"</w:t>
            </w:r>
          </w:p>
        </w:tc>
        <w:tc>
          <w:tcPr>
            <w:tcW w:w="625" w:type="pct"/>
            <w:vAlign w:val="center"/>
          </w:tcPr>
          <w:p>
            <w:pPr>
              <w:pStyle w:val="51"/>
            </w:pPr>
            <w:r>
              <w:rPr>
                <w:rFonts w:hint="eastAsia"/>
              </w:rPr>
              <w:t>26</w:t>
            </w:r>
            <w:r>
              <w:t>°</w:t>
            </w:r>
            <w:r>
              <w:rPr>
                <w:rFonts w:hint="eastAsia"/>
              </w:rPr>
              <w:t>21'38.9768"</w:t>
            </w:r>
          </w:p>
        </w:tc>
        <w:tc>
          <w:tcPr>
            <w:tcW w:w="413" w:type="pct"/>
            <w:vAlign w:val="center"/>
          </w:tcPr>
          <w:p>
            <w:pPr>
              <w:pStyle w:val="51"/>
            </w:pPr>
            <w:r>
              <w:rPr>
                <w:rFonts w:hint="eastAsia"/>
              </w:rPr>
              <w:t>居民</w:t>
            </w:r>
          </w:p>
        </w:tc>
        <w:tc>
          <w:tcPr>
            <w:tcW w:w="1099" w:type="pct"/>
            <w:vAlign w:val="center"/>
          </w:tcPr>
          <w:p>
            <w:pPr>
              <w:pStyle w:val="51"/>
            </w:pPr>
            <w:r>
              <w:t>自然村落，</w:t>
            </w:r>
            <w:r>
              <w:rPr>
                <w:rFonts w:hint="eastAsia"/>
              </w:rPr>
              <w:t>3</w:t>
            </w:r>
            <w:r>
              <w:t>户</w:t>
            </w:r>
            <w:r>
              <w:rPr>
                <w:rFonts w:hint="eastAsia"/>
              </w:rPr>
              <w:t>9</w:t>
            </w:r>
            <w:r>
              <w:t>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480-535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小岭陈家</w:t>
            </w:r>
          </w:p>
        </w:tc>
        <w:tc>
          <w:tcPr>
            <w:tcW w:w="612" w:type="pct"/>
            <w:vAlign w:val="center"/>
          </w:tcPr>
          <w:p>
            <w:pPr>
              <w:pStyle w:val="51"/>
            </w:pPr>
            <w:r>
              <w:rPr>
                <w:rFonts w:hint="eastAsia"/>
              </w:rPr>
              <w:t>111</w:t>
            </w:r>
            <w:r>
              <w:t>°</w:t>
            </w:r>
            <w:r>
              <w:rPr>
                <w:rFonts w:hint="eastAsia"/>
              </w:rPr>
              <w:t>40'33.1545"</w:t>
            </w:r>
          </w:p>
        </w:tc>
        <w:tc>
          <w:tcPr>
            <w:tcW w:w="625" w:type="pct"/>
            <w:vAlign w:val="center"/>
          </w:tcPr>
          <w:p>
            <w:pPr>
              <w:pStyle w:val="51"/>
            </w:pPr>
            <w:r>
              <w:rPr>
                <w:rFonts w:hint="eastAsia"/>
              </w:rPr>
              <w:t>26</w:t>
            </w:r>
            <w:r>
              <w:t>°</w:t>
            </w:r>
            <w:r>
              <w:rPr>
                <w:rFonts w:hint="eastAsia"/>
              </w:rPr>
              <w:t>21'37.5079"</w:t>
            </w:r>
          </w:p>
        </w:tc>
        <w:tc>
          <w:tcPr>
            <w:tcW w:w="413" w:type="pct"/>
            <w:vAlign w:val="center"/>
          </w:tcPr>
          <w:p>
            <w:pPr>
              <w:pStyle w:val="51"/>
            </w:pPr>
            <w:r>
              <w:rPr>
                <w:rFonts w:hint="eastAsia"/>
              </w:rPr>
              <w:t>居民</w:t>
            </w:r>
          </w:p>
        </w:tc>
        <w:tc>
          <w:tcPr>
            <w:tcW w:w="1099" w:type="pct"/>
            <w:vAlign w:val="center"/>
          </w:tcPr>
          <w:p>
            <w:pPr>
              <w:pStyle w:val="51"/>
            </w:pPr>
            <w:r>
              <w:t>自然村落，</w:t>
            </w:r>
            <w:r>
              <w:rPr>
                <w:rFonts w:hint="eastAsia"/>
              </w:rPr>
              <w:t>约 11</w:t>
            </w:r>
            <w:r>
              <w:t>户</w:t>
            </w:r>
            <w:r>
              <w:rPr>
                <w:rFonts w:hint="eastAsia"/>
              </w:rPr>
              <w:t>33</w:t>
            </w:r>
            <w:r>
              <w:t>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745~920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母塘前</w:t>
            </w:r>
          </w:p>
        </w:tc>
        <w:tc>
          <w:tcPr>
            <w:tcW w:w="612" w:type="pct"/>
            <w:vAlign w:val="center"/>
          </w:tcPr>
          <w:p>
            <w:pPr>
              <w:pStyle w:val="51"/>
            </w:pPr>
            <w:r>
              <w:rPr>
                <w:rFonts w:hint="eastAsia"/>
              </w:rPr>
              <w:t>111</w:t>
            </w:r>
            <w:r>
              <w:t>°</w:t>
            </w:r>
            <w:r>
              <w:rPr>
                <w:rFonts w:hint="eastAsia"/>
              </w:rPr>
              <w:t>40'14.8070"</w:t>
            </w:r>
          </w:p>
        </w:tc>
        <w:tc>
          <w:tcPr>
            <w:tcW w:w="625" w:type="pct"/>
            <w:vAlign w:val="center"/>
          </w:tcPr>
          <w:p>
            <w:pPr>
              <w:pStyle w:val="51"/>
            </w:pPr>
            <w:r>
              <w:rPr>
                <w:rFonts w:hint="eastAsia"/>
              </w:rPr>
              <w:t>26</w:t>
            </w:r>
            <w:r>
              <w:t>°</w:t>
            </w:r>
            <w:r>
              <w:rPr>
                <w:rFonts w:hint="eastAsia"/>
              </w:rPr>
              <w:t>21'52.0360"</w:t>
            </w:r>
          </w:p>
        </w:tc>
        <w:tc>
          <w:tcPr>
            <w:tcW w:w="413" w:type="pct"/>
            <w:vAlign w:val="center"/>
          </w:tcPr>
          <w:p>
            <w:pPr>
              <w:pStyle w:val="51"/>
            </w:pPr>
            <w:r>
              <w:rPr>
                <w:rFonts w:hint="eastAsia"/>
              </w:rPr>
              <w:t>居民</w:t>
            </w:r>
          </w:p>
        </w:tc>
        <w:tc>
          <w:tcPr>
            <w:tcW w:w="1099" w:type="pct"/>
            <w:vAlign w:val="center"/>
          </w:tcPr>
          <w:p>
            <w:pPr>
              <w:pStyle w:val="51"/>
            </w:pPr>
            <w:r>
              <w:t>自然村落，</w:t>
            </w:r>
            <w:r>
              <w:rPr>
                <w:rFonts w:hint="eastAsia"/>
              </w:rPr>
              <w:t xml:space="preserve"> 8</w:t>
            </w:r>
            <w:r>
              <w:t>户</w:t>
            </w:r>
            <w:r>
              <w:rPr>
                <w:rFonts w:hint="eastAsia"/>
              </w:rPr>
              <w:t>24</w:t>
            </w:r>
            <w:r>
              <w:t>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810~940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山脚里</w:t>
            </w:r>
          </w:p>
        </w:tc>
        <w:tc>
          <w:tcPr>
            <w:tcW w:w="612" w:type="pct"/>
            <w:vAlign w:val="center"/>
          </w:tcPr>
          <w:p>
            <w:pPr>
              <w:pStyle w:val="51"/>
            </w:pPr>
            <w:r>
              <w:rPr>
                <w:rFonts w:hint="eastAsia"/>
              </w:rPr>
              <w:t>111</w:t>
            </w:r>
            <w:r>
              <w:t>°</w:t>
            </w:r>
            <w:r>
              <w:rPr>
                <w:rFonts w:hint="eastAsia"/>
              </w:rPr>
              <w:t>40'26.6908"</w:t>
            </w:r>
          </w:p>
        </w:tc>
        <w:tc>
          <w:tcPr>
            <w:tcW w:w="625" w:type="pct"/>
            <w:vAlign w:val="center"/>
          </w:tcPr>
          <w:p>
            <w:pPr>
              <w:pStyle w:val="51"/>
            </w:pPr>
            <w:r>
              <w:rPr>
                <w:rFonts w:hint="eastAsia"/>
              </w:rPr>
              <w:t>26</w:t>
            </w:r>
            <w:r>
              <w:t>°</w:t>
            </w:r>
            <w:r>
              <w:rPr>
                <w:rFonts w:hint="eastAsia"/>
              </w:rPr>
              <w:t>21'49.0491"</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自然村落，约12</w:t>
            </w:r>
            <w:r>
              <w:t>户</w:t>
            </w:r>
            <w:r>
              <w:rPr>
                <w:rFonts w:hint="eastAsia"/>
              </w:rPr>
              <w:t>36</w:t>
            </w:r>
            <w:r>
              <w:t>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925~1400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新屋</w:t>
            </w:r>
          </w:p>
        </w:tc>
        <w:tc>
          <w:tcPr>
            <w:tcW w:w="612" w:type="pct"/>
            <w:vAlign w:val="center"/>
          </w:tcPr>
          <w:p>
            <w:pPr>
              <w:pStyle w:val="51"/>
            </w:pPr>
            <w:r>
              <w:rPr>
                <w:rFonts w:hint="eastAsia"/>
              </w:rPr>
              <w:t>111</w:t>
            </w:r>
            <w:r>
              <w:t>°</w:t>
            </w:r>
            <w:r>
              <w:rPr>
                <w:rFonts w:hint="eastAsia"/>
              </w:rPr>
              <w:t>40'41.6329"</w:t>
            </w:r>
          </w:p>
        </w:tc>
        <w:tc>
          <w:tcPr>
            <w:tcW w:w="625" w:type="pct"/>
            <w:vAlign w:val="center"/>
          </w:tcPr>
          <w:p>
            <w:pPr>
              <w:pStyle w:val="51"/>
            </w:pPr>
            <w:r>
              <w:rPr>
                <w:rFonts w:hint="eastAsia"/>
              </w:rPr>
              <w:t>26</w:t>
            </w:r>
            <w:r>
              <w:t>°</w:t>
            </w:r>
            <w:r>
              <w:rPr>
                <w:rFonts w:hint="eastAsia"/>
              </w:rPr>
              <w:t>21'48.3858"</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自然村落，约12户36人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1130~1270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莫家大屋里</w:t>
            </w:r>
          </w:p>
        </w:tc>
        <w:tc>
          <w:tcPr>
            <w:tcW w:w="612" w:type="pct"/>
            <w:vAlign w:val="center"/>
          </w:tcPr>
          <w:p>
            <w:pPr>
              <w:pStyle w:val="51"/>
            </w:pPr>
            <w:r>
              <w:rPr>
                <w:rFonts w:hint="eastAsia"/>
              </w:rPr>
              <w:t>111</w:t>
            </w:r>
            <w:r>
              <w:t>°</w:t>
            </w:r>
            <w:r>
              <w:rPr>
                <w:rFonts w:hint="eastAsia"/>
              </w:rPr>
              <w:t>40'49.5682"</w:t>
            </w:r>
          </w:p>
        </w:tc>
        <w:tc>
          <w:tcPr>
            <w:tcW w:w="625" w:type="pct"/>
            <w:vAlign w:val="center"/>
          </w:tcPr>
          <w:p>
            <w:pPr>
              <w:pStyle w:val="51"/>
            </w:pPr>
            <w:r>
              <w:rPr>
                <w:rFonts w:hint="eastAsia"/>
              </w:rPr>
              <w:t>26</w:t>
            </w:r>
            <w:r>
              <w:t>°</w:t>
            </w:r>
            <w:r>
              <w:rPr>
                <w:rFonts w:hint="eastAsia"/>
              </w:rPr>
              <w:t>21'44.9072"</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 8户24人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1254~1370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槎木文家</w:t>
            </w:r>
          </w:p>
        </w:tc>
        <w:tc>
          <w:tcPr>
            <w:tcW w:w="612" w:type="pct"/>
            <w:vAlign w:val="center"/>
          </w:tcPr>
          <w:p>
            <w:pPr>
              <w:pStyle w:val="51"/>
            </w:pPr>
            <w:r>
              <w:rPr>
                <w:rFonts w:hint="eastAsia"/>
              </w:rPr>
              <w:t>111</w:t>
            </w:r>
            <w:r>
              <w:t>°</w:t>
            </w:r>
            <w:r>
              <w:rPr>
                <w:rFonts w:hint="eastAsia"/>
              </w:rPr>
              <w:t>41'04.5858"</w:t>
            </w:r>
          </w:p>
        </w:tc>
        <w:tc>
          <w:tcPr>
            <w:tcW w:w="625" w:type="pct"/>
            <w:vAlign w:val="center"/>
          </w:tcPr>
          <w:p>
            <w:pPr>
              <w:pStyle w:val="51"/>
            </w:pPr>
            <w:r>
              <w:rPr>
                <w:rFonts w:hint="eastAsia"/>
              </w:rPr>
              <w:t>26</w:t>
            </w:r>
            <w:r>
              <w:t>°</w:t>
            </w:r>
            <w:r>
              <w:rPr>
                <w:rFonts w:hint="eastAsia"/>
              </w:rPr>
              <w:t>21'22.8313"</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自然村落，约14户42人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1240-1580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新岭口</w:t>
            </w:r>
          </w:p>
        </w:tc>
        <w:tc>
          <w:tcPr>
            <w:tcW w:w="612" w:type="pct"/>
            <w:vAlign w:val="center"/>
          </w:tcPr>
          <w:p>
            <w:pPr>
              <w:pStyle w:val="51"/>
            </w:pPr>
            <w:r>
              <w:rPr>
                <w:rFonts w:hint="eastAsia"/>
              </w:rPr>
              <w:t>111</w:t>
            </w:r>
            <w:r>
              <w:t>°</w:t>
            </w:r>
            <w:r>
              <w:rPr>
                <w:rFonts w:hint="eastAsia"/>
              </w:rPr>
              <w:t>41'08.1482"</w:t>
            </w:r>
          </w:p>
        </w:tc>
        <w:tc>
          <w:tcPr>
            <w:tcW w:w="625" w:type="pct"/>
            <w:vAlign w:val="center"/>
          </w:tcPr>
          <w:p>
            <w:pPr>
              <w:pStyle w:val="51"/>
            </w:pPr>
            <w:r>
              <w:rPr>
                <w:rFonts w:hint="eastAsia"/>
              </w:rPr>
              <w:t>26</w:t>
            </w:r>
            <w:r>
              <w:t>°</w:t>
            </w:r>
            <w:r>
              <w:rPr>
                <w:rFonts w:hint="eastAsia"/>
              </w:rPr>
              <w:t>21'38.1970"</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自然村落，约18户54人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1575~1720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五口井村</w:t>
            </w:r>
          </w:p>
        </w:tc>
        <w:tc>
          <w:tcPr>
            <w:tcW w:w="612" w:type="pct"/>
            <w:vAlign w:val="center"/>
          </w:tcPr>
          <w:p>
            <w:pPr>
              <w:pStyle w:val="51"/>
            </w:pPr>
            <w:r>
              <w:rPr>
                <w:rFonts w:hint="eastAsia"/>
              </w:rPr>
              <w:t>111</w:t>
            </w:r>
            <w:r>
              <w:t>°</w:t>
            </w:r>
            <w:r>
              <w:rPr>
                <w:rFonts w:hint="eastAsia"/>
              </w:rPr>
              <w:t>41'35.7841"</w:t>
            </w:r>
          </w:p>
        </w:tc>
        <w:tc>
          <w:tcPr>
            <w:tcW w:w="625" w:type="pct"/>
            <w:vAlign w:val="center"/>
          </w:tcPr>
          <w:p>
            <w:pPr>
              <w:pStyle w:val="51"/>
            </w:pPr>
            <w:r>
              <w:rPr>
                <w:rFonts w:hint="eastAsia"/>
              </w:rPr>
              <w:t>26</w:t>
            </w:r>
            <w:r>
              <w:t>°</w:t>
            </w:r>
            <w:r>
              <w:rPr>
                <w:rFonts w:hint="eastAsia"/>
              </w:rPr>
              <w:t>21'25.7949"</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自然村落，约30户90人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2200~2500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坦头唐家</w:t>
            </w:r>
          </w:p>
        </w:tc>
        <w:tc>
          <w:tcPr>
            <w:tcW w:w="612" w:type="pct"/>
            <w:vAlign w:val="center"/>
          </w:tcPr>
          <w:p>
            <w:pPr>
              <w:pStyle w:val="51"/>
            </w:pPr>
            <w:r>
              <w:rPr>
                <w:rFonts w:hint="eastAsia"/>
              </w:rPr>
              <w:t>111</w:t>
            </w:r>
            <w:r>
              <w:t>°</w:t>
            </w:r>
            <w:r>
              <w:rPr>
                <w:rFonts w:hint="eastAsia"/>
              </w:rPr>
              <w:t>40'24.1768"</w:t>
            </w:r>
          </w:p>
        </w:tc>
        <w:tc>
          <w:tcPr>
            <w:tcW w:w="625" w:type="pct"/>
            <w:vAlign w:val="center"/>
          </w:tcPr>
          <w:p>
            <w:pPr>
              <w:pStyle w:val="51"/>
            </w:pPr>
            <w:r>
              <w:rPr>
                <w:rFonts w:hint="eastAsia"/>
              </w:rPr>
              <w:t>26</w:t>
            </w:r>
            <w:r>
              <w:t>°</w:t>
            </w:r>
            <w:r>
              <w:rPr>
                <w:rFonts w:hint="eastAsia"/>
              </w:rPr>
              <w:t>22'19.1377"</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自然村落，约16户48人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1600~1840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老岭口莫家</w:t>
            </w:r>
          </w:p>
        </w:tc>
        <w:tc>
          <w:tcPr>
            <w:tcW w:w="612" w:type="pct"/>
            <w:vAlign w:val="center"/>
          </w:tcPr>
          <w:p>
            <w:pPr>
              <w:pStyle w:val="51"/>
            </w:pPr>
            <w:r>
              <w:rPr>
                <w:rFonts w:hint="eastAsia"/>
              </w:rPr>
              <w:t>111</w:t>
            </w:r>
            <w:r>
              <w:t>°</w:t>
            </w:r>
            <w:r>
              <w:rPr>
                <w:rFonts w:hint="eastAsia"/>
              </w:rPr>
              <w:t>40'45.5446"</w:t>
            </w:r>
          </w:p>
        </w:tc>
        <w:tc>
          <w:tcPr>
            <w:tcW w:w="625" w:type="pct"/>
            <w:vAlign w:val="center"/>
          </w:tcPr>
          <w:p>
            <w:pPr>
              <w:pStyle w:val="51"/>
            </w:pPr>
            <w:r>
              <w:rPr>
                <w:rFonts w:hint="eastAsia"/>
              </w:rPr>
              <w:t>26</w:t>
            </w:r>
            <w:r>
              <w:t>°</w:t>
            </w:r>
            <w:r>
              <w:rPr>
                <w:rFonts w:hint="eastAsia"/>
              </w:rPr>
              <w:t>22'15.9271"</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自然村落，约20户60人</w:t>
            </w:r>
          </w:p>
        </w:tc>
        <w:tc>
          <w:tcPr>
            <w:tcW w:w="380" w:type="pct"/>
            <w:vMerge w:val="continue"/>
            <w:vAlign w:val="center"/>
          </w:tcPr>
          <w:p>
            <w:pPr>
              <w:pStyle w:val="51"/>
            </w:pPr>
          </w:p>
        </w:tc>
        <w:tc>
          <w:tcPr>
            <w:tcW w:w="343" w:type="pct"/>
            <w:vAlign w:val="center"/>
          </w:tcPr>
          <w:p>
            <w:pPr>
              <w:pStyle w:val="51"/>
            </w:pPr>
            <w:r>
              <w:rPr>
                <w:rFonts w:hint="eastAsia"/>
              </w:rPr>
              <w:t>东北</w:t>
            </w:r>
          </w:p>
        </w:tc>
        <w:tc>
          <w:tcPr>
            <w:tcW w:w="458" w:type="pct"/>
            <w:vAlign w:val="center"/>
          </w:tcPr>
          <w:p>
            <w:pPr>
              <w:pStyle w:val="51"/>
            </w:pPr>
            <w:r>
              <w:rPr>
                <w:rFonts w:hint="eastAsia"/>
              </w:rPr>
              <w:t>1630~2100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坦头胡家</w:t>
            </w:r>
          </w:p>
        </w:tc>
        <w:tc>
          <w:tcPr>
            <w:tcW w:w="612" w:type="pct"/>
            <w:vAlign w:val="center"/>
          </w:tcPr>
          <w:p>
            <w:pPr>
              <w:pStyle w:val="51"/>
            </w:pPr>
            <w:r>
              <w:rPr>
                <w:rFonts w:hint="eastAsia"/>
              </w:rPr>
              <w:t>111</w:t>
            </w:r>
            <w:r>
              <w:t>°</w:t>
            </w:r>
            <w:r>
              <w:rPr>
                <w:rFonts w:hint="eastAsia"/>
              </w:rPr>
              <w:t>40'21.9324"</w:t>
            </w:r>
          </w:p>
        </w:tc>
        <w:tc>
          <w:tcPr>
            <w:tcW w:w="625" w:type="pct"/>
            <w:vAlign w:val="center"/>
          </w:tcPr>
          <w:p>
            <w:pPr>
              <w:pStyle w:val="51"/>
            </w:pPr>
            <w:r>
              <w:rPr>
                <w:rFonts w:hint="eastAsia"/>
              </w:rPr>
              <w:t>26</w:t>
            </w:r>
            <w:r>
              <w:t>°</w:t>
            </w:r>
            <w:r>
              <w:rPr>
                <w:rFonts w:hint="eastAsia"/>
              </w:rPr>
              <w:t>22'30.9627"</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自然村落，约12</w:t>
            </w:r>
            <w:r>
              <w:t>户</w:t>
            </w:r>
            <w:r>
              <w:rPr>
                <w:rFonts w:hint="eastAsia"/>
              </w:rPr>
              <w:t>36</w:t>
            </w:r>
            <w:r>
              <w:t>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2030~2280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北塘</w:t>
            </w:r>
          </w:p>
        </w:tc>
        <w:tc>
          <w:tcPr>
            <w:tcW w:w="612" w:type="pct"/>
            <w:vAlign w:val="center"/>
          </w:tcPr>
          <w:p>
            <w:pPr>
              <w:pStyle w:val="51"/>
            </w:pPr>
            <w:r>
              <w:rPr>
                <w:rFonts w:hint="eastAsia"/>
              </w:rPr>
              <w:t>111</w:t>
            </w:r>
            <w:r>
              <w:t>°</w:t>
            </w:r>
            <w:r>
              <w:rPr>
                <w:rFonts w:hint="eastAsia"/>
              </w:rPr>
              <w:t>40'21.3077"</w:t>
            </w:r>
          </w:p>
        </w:tc>
        <w:tc>
          <w:tcPr>
            <w:tcW w:w="625" w:type="pct"/>
            <w:vAlign w:val="center"/>
          </w:tcPr>
          <w:p>
            <w:pPr>
              <w:pStyle w:val="51"/>
            </w:pPr>
            <w:r>
              <w:rPr>
                <w:rFonts w:hint="eastAsia"/>
              </w:rPr>
              <w:t>26</w:t>
            </w:r>
            <w:r>
              <w:t>°</w:t>
            </w:r>
            <w:r>
              <w:rPr>
                <w:rFonts w:hint="eastAsia"/>
              </w:rPr>
              <w:t>21'16.9373"</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自然村落，约15</w:t>
            </w:r>
            <w:r>
              <w:t>户</w:t>
            </w:r>
            <w:r>
              <w:rPr>
                <w:rFonts w:hint="eastAsia"/>
              </w:rPr>
              <w:t>45</w:t>
            </w:r>
            <w:r>
              <w:t>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225~380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井塘前</w:t>
            </w:r>
          </w:p>
        </w:tc>
        <w:tc>
          <w:tcPr>
            <w:tcW w:w="612" w:type="pct"/>
            <w:vAlign w:val="center"/>
          </w:tcPr>
          <w:p>
            <w:pPr>
              <w:pStyle w:val="51"/>
            </w:pPr>
            <w:r>
              <w:rPr>
                <w:rFonts w:hint="eastAsia"/>
              </w:rPr>
              <w:t>111</w:t>
            </w:r>
            <w:r>
              <w:t>°</w:t>
            </w:r>
            <w:r>
              <w:rPr>
                <w:rFonts w:hint="eastAsia"/>
              </w:rPr>
              <w:t>40'45.6940"</w:t>
            </w:r>
          </w:p>
        </w:tc>
        <w:tc>
          <w:tcPr>
            <w:tcW w:w="625" w:type="pct"/>
            <w:vAlign w:val="center"/>
          </w:tcPr>
          <w:p>
            <w:pPr>
              <w:pStyle w:val="51"/>
            </w:pPr>
            <w:r>
              <w:rPr>
                <w:rFonts w:hint="eastAsia"/>
              </w:rPr>
              <w:t>26</w:t>
            </w:r>
            <w:r>
              <w:t>°</w:t>
            </w:r>
            <w:r>
              <w:rPr>
                <w:rFonts w:hint="eastAsia"/>
              </w:rPr>
              <w:t>21'01.7625"</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自然村落，约28户84人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674~1180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大力头</w:t>
            </w:r>
          </w:p>
        </w:tc>
        <w:tc>
          <w:tcPr>
            <w:tcW w:w="612" w:type="pct"/>
            <w:vAlign w:val="center"/>
          </w:tcPr>
          <w:p>
            <w:pPr>
              <w:pStyle w:val="51"/>
            </w:pPr>
            <w:r>
              <w:rPr>
                <w:rFonts w:hint="eastAsia"/>
              </w:rPr>
              <w:t>111</w:t>
            </w:r>
            <w:r>
              <w:t>°</w:t>
            </w:r>
            <w:r>
              <w:rPr>
                <w:rFonts w:hint="eastAsia"/>
              </w:rPr>
              <w:t>40'23.3189"</w:t>
            </w:r>
          </w:p>
        </w:tc>
        <w:tc>
          <w:tcPr>
            <w:tcW w:w="625" w:type="pct"/>
            <w:vAlign w:val="center"/>
          </w:tcPr>
          <w:p>
            <w:pPr>
              <w:pStyle w:val="51"/>
            </w:pPr>
            <w:r>
              <w:rPr>
                <w:rFonts w:hint="eastAsia"/>
              </w:rPr>
              <w:t>26</w:t>
            </w:r>
            <w:r>
              <w:t>°</w:t>
            </w:r>
            <w:r>
              <w:rPr>
                <w:rFonts w:hint="eastAsia"/>
              </w:rPr>
              <w:t>20'52.5349"</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自然村落，5户15人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730~820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大福塘</w:t>
            </w:r>
          </w:p>
        </w:tc>
        <w:tc>
          <w:tcPr>
            <w:tcW w:w="612" w:type="pct"/>
            <w:vAlign w:val="center"/>
          </w:tcPr>
          <w:p>
            <w:pPr>
              <w:pStyle w:val="51"/>
            </w:pPr>
            <w:r>
              <w:rPr>
                <w:rFonts w:hint="eastAsia"/>
              </w:rPr>
              <w:t>111</w:t>
            </w:r>
            <w:r>
              <w:t>°</w:t>
            </w:r>
            <w:r>
              <w:rPr>
                <w:rFonts w:hint="eastAsia"/>
              </w:rPr>
              <w:t>40'10.0026"</w:t>
            </w:r>
          </w:p>
        </w:tc>
        <w:tc>
          <w:tcPr>
            <w:tcW w:w="625" w:type="pct"/>
            <w:vAlign w:val="center"/>
          </w:tcPr>
          <w:p>
            <w:pPr>
              <w:pStyle w:val="51"/>
            </w:pPr>
            <w:r>
              <w:rPr>
                <w:rFonts w:hint="eastAsia"/>
              </w:rPr>
              <w:t>26</w:t>
            </w:r>
            <w:r>
              <w:t>°</w:t>
            </w:r>
            <w:r>
              <w:rPr>
                <w:rFonts w:hint="eastAsia"/>
              </w:rPr>
              <w:t>20'51.8697"</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自然村落，4户12人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720~755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高桥头村</w:t>
            </w:r>
          </w:p>
        </w:tc>
        <w:tc>
          <w:tcPr>
            <w:tcW w:w="612" w:type="pct"/>
            <w:vAlign w:val="center"/>
          </w:tcPr>
          <w:p>
            <w:pPr>
              <w:pStyle w:val="51"/>
            </w:pPr>
            <w:r>
              <w:rPr>
                <w:rFonts w:hint="eastAsia"/>
              </w:rPr>
              <w:t>111</w:t>
            </w:r>
            <w:r>
              <w:t>°</w:t>
            </w:r>
            <w:r>
              <w:rPr>
                <w:rFonts w:hint="eastAsia"/>
              </w:rPr>
              <w:t>41'22.4681"</w:t>
            </w:r>
          </w:p>
        </w:tc>
        <w:tc>
          <w:tcPr>
            <w:tcW w:w="625" w:type="pct"/>
            <w:vAlign w:val="center"/>
          </w:tcPr>
          <w:p>
            <w:pPr>
              <w:pStyle w:val="51"/>
            </w:pPr>
            <w:r>
              <w:rPr>
                <w:rFonts w:hint="eastAsia"/>
              </w:rPr>
              <w:t>26</w:t>
            </w:r>
            <w:r>
              <w:t>°</w:t>
            </w:r>
            <w:r>
              <w:rPr>
                <w:rFonts w:hint="eastAsia"/>
              </w:rPr>
              <w:t>21'11.3105"</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自然村落，约38户114人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1780~2175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新塘角文家</w:t>
            </w:r>
          </w:p>
        </w:tc>
        <w:tc>
          <w:tcPr>
            <w:tcW w:w="612" w:type="pct"/>
            <w:vAlign w:val="center"/>
          </w:tcPr>
          <w:p>
            <w:pPr>
              <w:pStyle w:val="51"/>
            </w:pPr>
            <w:r>
              <w:rPr>
                <w:rFonts w:hint="eastAsia"/>
              </w:rPr>
              <w:t>111</w:t>
            </w:r>
            <w:r>
              <w:t>°</w:t>
            </w:r>
            <w:r>
              <w:rPr>
                <w:rFonts w:hint="eastAsia"/>
              </w:rPr>
              <w:t>41'04.2737"</w:t>
            </w:r>
          </w:p>
        </w:tc>
        <w:tc>
          <w:tcPr>
            <w:tcW w:w="625" w:type="pct"/>
            <w:vAlign w:val="center"/>
          </w:tcPr>
          <w:p>
            <w:pPr>
              <w:pStyle w:val="51"/>
            </w:pPr>
            <w:r>
              <w:rPr>
                <w:rFonts w:hint="eastAsia"/>
              </w:rPr>
              <w:t>26</w:t>
            </w:r>
            <w:r>
              <w:t>°</w:t>
            </w:r>
            <w:r>
              <w:rPr>
                <w:rFonts w:hint="eastAsia"/>
              </w:rPr>
              <w:t>20'49.3435"</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自然村落，约12户36人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1665~1850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高脚李家</w:t>
            </w:r>
          </w:p>
        </w:tc>
        <w:tc>
          <w:tcPr>
            <w:tcW w:w="612" w:type="pct"/>
            <w:vAlign w:val="center"/>
          </w:tcPr>
          <w:p>
            <w:pPr>
              <w:pStyle w:val="51"/>
            </w:pPr>
            <w:r>
              <w:rPr>
                <w:rFonts w:hint="eastAsia"/>
              </w:rPr>
              <w:t>111</w:t>
            </w:r>
            <w:r>
              <w:t>°</w:t>
            </w:r>
            <w:r>
              <w:rPr>
                <w:rFonts w:hint="eastAsia"/>
              </w:rPr>
              <w:t>41'13.9313"</w:t>
            </w:r>
          </w:p>
        </w:tc>
        <w:tc>
          <w:tcPr>
            <w:tcW w:w="625" w:type="pct"/>
            <w:vAlign w:val="center"/>
          </w:tcPr>
          <w:p>
            <w:pPr>
              <w:pStyle w:val="51"/>
            </w:pPr>
            <w:r>
              <w:rPr>
                <w:rFonts w:hint="eastAsia"/>
              </w:rPr>
              <w:t>26</w:t>
            </w:r>
            <w:r>
              <w:t>°</w:t>
            </w:r>
            <w:r>
              <w:rPr>
                <w:rFonts w:hint="eastAsia"/>
              </w:rPr>
              <w:t>20'46.8189"</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自然村落，6户18人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1900~2000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东冲</w:t>
            </w:r>
          </w:p>
        </w:tc>
        <w:tc>
          <w:tcPr>
            <w:tcW w:w="612" w:type="pct"/>
            <w:vAlign w:val="center"/>
          </w:tcPr>
          <w:p>
            <w:pPr>
              <w:pStyle w:val="51"/>
            </w:pPr>
            <w:r>
              <w:rPr>
                <w:rFonts w:hint="eastAsia"/>
              </w:rPr>
              <w:t>111</w:t>
            </w:r>
            <w:r>
              <w:t>°</w:t>
            </w:r>
            <w:r>
              <w:rPr>
                <w:rFonts w:hint="eastAsia"/>
              </w:rPr>
              <w:t>40'20.6078"</w:t>
            </w:r>
          </w:p>
        </w:tc>
        <w:tc>
          <w:tcPr>
            <w:tcW w:w="625" w:type="pct"/>
            <w:vAlign w:val="center"/>
          </w:tcPr>
          <w:p>
            <w:pPr>
              <w:pStyle w:val="51"/>
            </w:pPr>
            <w:r>
              <w:rPr>
                <w:rFonts w:hint="eastAsia"/>
              </w:rPr>
              <w:t>26</w:t>
            </w:r>
            <w:r>
              <w:t>°</w:t>
            </w:r>
            <w:r>
              <w:rPr>
                <w:rFonts w:hint="eastAsia"/>
              </w:rPr>
              <w:t>20'34.3150"</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自然村落，3户9人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1300~1355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大塘陈家</w:t>
            </w:r>
          </w:p>
        </w:tc>
        <w:tc>
          <w:tcPr>
            <w:tcW w:w="612" w:type="pct"/>
            <w:vAlign w:val="center"/>
          </w:tcPr>
          <w:p>
            <w:pPr>
              <w:pStyle w:val="51"/>
            </w:pPr>
            <w:r>
              <w:rPr>
                <w:rFonts w:hint="eastAsia"/>
              </w:rPr>
              <w:t>111</w:t>
            </w:r>
            <w:r>
              <w:t>°</w:t>
            </w:r>
            <w:r>
              <w:rPr>
                <w:rFonts w:hint="eastAsia"/>
              </w:rPr>
              <w:t>40'07.1552"</w:t>
            </w:r>
          </w:p>
        </w:tc>
        <w:tc>
          <w:tcPr>
            <w:tcW w:w="625" w:type="pct"/>
            <w:vAlign w:val="center"/>
          </w:tcPr>
          <w:p>
            <w:pPr>
              <w:pStyle w:val="51"/>
            </w:pPr>
            <w:r>
              <w:rPr>
                <w:rFonts w:hint="eastAsia"/>
              </w:rPr>
              <w:t>26</w:t>
            </w:r>
            <w:r>
              <w:t>°</w:t>
            </w:r>
            <w:r>
              <w:rPr>
                <w:rFonts w:hint="eastAsia"/>
              </w:rPr>
              <w:t>20'20.9006"</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自然村落，约47户141人</w:t>
            </w:r>
          </w:p>
        </w:tc>
        <w:tc>
          <w:tcPr>
            <w:tcW w:w="380" w:type="pct"/>
            <w:vMerge w:val="continue"/>
            <w:vAlign w:val="center"/>
          </w:tcPr>
          <w:p>
            <w:pPr>
              <w:pStyle w:val="51"/>
            </w:pPr>
          </w:p>
        </w:tc>
        <w:tc>
          <w:tcPr>
            <w:tcW w:w="343" w:type="pct"/>
            <w:vAlign w:val="center"/>
          </w:tcPr>
          <w:p>
            <w:pPr>
              <w:pStyle w:val="51"/>
            </w:pPr>
            <w:r>
              <w:rPr>
                <w:rFonts w:hint="eastAsia"/>
              </w:rPr>
              <w:t>南</w:t>
            </w:r>
          </w:p>
        </w:tc>
        <w:tc>
          <w:tcPr>
            <w:tcW w:w="458" w:type="pct"/>
            <w:vAlign w:val="center"/>
          </w:tcPr>
          <w:p>
            <w:pPr>
              <w:pStyle w:val="51"/>
            </w:pPr>
            <w:r>
              <w:rPr>
                <w:rFonts w:hint="eastAsia"/>
              </w:rPr>
              <w:t>1505~1880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新屋里</w:t>
            </w:r>
          </w:p>
        </w:tc>
        <w:tc>
          <w:tcPr>
            <w:tcW w:w="612" w:type="pct"/>
            <w:tcBorders>
              <w:bottom w:val="single" w:color="auto" w:sz="4" w:space="0"/>
            </w:tcBorders>
            <w:vAlign w:val="center"/>
          </w:tcPr>
          <w:p>
            <w:pPr>
              <w:pStyle w:val="51"/>
            </w:pPr>
            <w:r>
              <w:rPr>
                <w:rFonts w:hint="eastAsia"/>
              </w:rPr>
              <w:t>111</w:t>
            </w:r>
            <w:r>
              <w:t>°</w:t>
            </w:r>
            <w:r>
              <w:rPr>
                <w:rFonts w:hint="eastAsia"/>
              </w:rPr>
              <w:t>40'37.0572"</w:t>
            </w:r>
          </w:p>
        </w:tc>
        <w:tc>
          <w:tcPr>
            <w:tcW w:w="625" w:type="pct"/>
            <w:tcBorders>
              <w:bottom w:val="single" w:color="auto" w:sz="4" w:space="0"/>
            </w:tcBorders>
            <w:vAlign w:val="center"/>
          </w:tcPr>
          <w:p>
            <w:pPr>
              <w:pStyle w:val="51"/>
            </w:pPr>
            <w:r>
              <w:rPr>
                <w:rFonts w:hint="eastAsia"/>
              </w:rPr>
              <w:t>26</w:t>
            </w:r>
            <w:r>
              <w:t>°</w:t>
            </w:r>
            <w:r>
              <w:rPr>
                <w:rFonts w:hint="eastAsia"/>
              </w:rPr>
              <w:t>20'00.3715"</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自然村落，8户24人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2500~3150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垄家屋</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40'53.8573"</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19'59.7115"</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 5</w:t>
            </w:r>
            <w:r>
              <w:t>户</w:t>
            </w:r>
            <w:r>
              <w:rPr>
                <w:rFonts w:hint="eastAsia"/>
              </w:rPr>
              <w:t>15</w:t>
            </w:r>
            <w:r>
              <w:t>人</w:t>
            </w:r>
          </w:p>
        </w:tc>
        <w:tc>
          <w:tcPr>
            <w:tcW w:w="380" w:type="pct"/>
            <w:vMerge w:val="continue"/>
            <w:vAlign w:val="center"/>
          </w:tcPr>
          <w:p>
            <w:pPr>
              <w:pStyle w:val="51"/>
            </w:pPr>
          </w:p>
        </w:tc>
        <w:tc>
          <w:tcPr>
            <w:tcW w:w="343" w:type="pct"/>
            <w:vAlign w:val="center"/>
          </w:tcPr>
          <w:p>
            <w:pPr>
              <w:pStyle w:val="51"/>
            </w:pPr>
            <w:r>
              <w:rPr>
                <w:rFonts w:hint="eastAsia"/>
              </w:rPr>
              <w:t>东南</w:t>
            </w:r>
          </w:p>
        </w:tc>
        <w:tc>
          <w:tcPr>
            <w:tcW w:w="458" w:type="pct"/>
            <w:vAlign w:val="center"/>
          </w:tcPr>
          <w:p>
            <w:pPr>
              <w:pStyle w:val="51"/>
            </w:pPr>
            <w:r>
              <w:rPr>
                <w:rFonts w:hint="eastAsia"/>
              </w:rPr>
              <w:t>2625~2685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新屋袁家</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41'01.1347"</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20'00.9016"</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 8</w:t>
            </w:r>
            <w:r>
              <w:t>户</w:t>
            </w:r>
            <w:r>
              <w:rPr>
                <w:rFonts w:hint="eastAsia"/>
              </w:rPr>
              <w:t>24</w:t>
            </w:r>
            <w:r>
              <w:t>人</w:t>
            </w:r>
          </w:p>
        </w:tc>
        <w:tc>
          <w:tcPr>
            <w:tcW w:w="380" w:type="pct"/>
            <w:vMerge w:val="restart"/>
            <w:vAlign w:val="center"/>
          </w:tcPr>
          <w:p>
            <w:pPr>
              <w:pStyle w:val="51"/>
            </w:pPr>
            <w:r>
              <w:rPr>
                <w:rFonts w:hint="eastAsia"/>
              </w:rPr>
              <w:t>二类区</w:t>
            </w:r>
          </w:p>
        </w:tc>
        <w:tc>
          <w:tcPr>
            <w:tcW w:w="343" w:type="pct"/>
            <w:vAlign w:val="center"/>
          </w:tcPr>
          <w:p>
            <w:pPr>
              <w:pStyle w:val="51"/>
            </w:pPr>
            <w:r>
              <w:rPr>
                <w:rFonts w:hint="eastAsia"/>
              </w:rPr>
              <w:t>东南</w:t>
            </w:r>
          </w:p>
        </w:tc>
        <w:tc>
          <w:tcPr>
            <w:tcW w:w="458" w:type="pct"/>
            <w:vAlign w:val="center"/>
          </w:tcPr>
          <w:p>
            <w:pPr>
              <w:pStyle w:val="51"/>
            </w:pPr>
            <w:r>
              <w:rPr>
                <w:rFonts w:hint="eastAsia"/>
              </w:rPr>
              <w:t>2665~2785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奢仔口</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39'39.7337"</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1'06.8970"</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自然村落，约25</w:t>
            </w:r>
            <w:r>
              <w:t>户</w:t>
            </w:r>
            <w:r>
              <w:rPr>
                <w:rFonts w:hint="eastAsia"/>
              </w:rPr>
              <w:t>75</w:t>
            </w:r>
            <w:r>
              <w:t>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670~950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门口洞</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39'48.9453"</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20'56.7429"</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自然村落，约16</w:t>
            </w:r>
            <w:r>
              <w:t>户</w:t>
            </w:r>
            <w:r>
              <w:rPr>
                <w:rFonts w:hint="eastAsia"/>
              </w:rPr>
              <w:t>48</w:t>
            </w:r>
            <w:r>
              <w:t>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660~845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飞跃村</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39'26.9608"</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21'05.8364"</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自然村落，约36</w:t>
            </w:r>
            <w:r>
              <w:t>户</w:t>
            </w:r>
            <w:r>
              <w:rPr>
                <w:rFonts w:hint="eastAsia"/>
              </w:rPr>
              <w:t>108</w:t>
            </w:r>
            <w:r>
              <w:t>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900~1330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官禄塘村</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39'11.7115"</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21'03.6999"</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自然村落，约20户60人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1415~1720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田头村</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38'47.6387"</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20'37.7491"</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自然村落，约22户66人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2100~2515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新渣头</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39'24.0940"</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20'28.8834"</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自然村落，约24户72人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1620~2020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官禄塘</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39'10.3150"</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20'18.4807"</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自然村落，约15户45人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2120~2520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周家</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39'38.3366"</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20'15.5195"</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自然村落，约10户30人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1725~2040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trPr>
        <w:tc>
          <w:tcPr>
            <w:tcW w:w="1070" w:type="pct"/>
            <w:vAlign w:val="center"/>
          </w:tcPr>
          <w:p>
            <w:pPr>
              <w:pStyle w:val="51"/>
            </w:pPr>
            <w:r>
              <w:rPr>
                <w:rFonts w:hint="eastAsia"/>
              </w:rPr>
              <w:t>七里洞</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39'22.5830"</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20'07.9492"</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自然村落，约50户150人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2080~2605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沈家</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39'29.9754"</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20'05.0905"</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自然村落，4户12人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2353~2500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凡岭塘</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39'01.6450"</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20'04.6963"</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自然村落，8户24人</w:t>
            </w:r>
          </w:p>
        </w:tc>
        <w:tc>
          <w:tcPr>
            <w:tcW w:w="380" w:type="pct"/>
            <w:vMerge w:val="continue"/>
            <w:vAlign w:val="center"/>
          </w:tcPr>
          <w:p>
            <w:pPr>
              <w:pStyle w:val="51"/>
            </w:pPr>
          </w:p>
        </w:tc>
        <w:tc>
          <w:tcPr>
            <w:tcW w:w="343" w:type="pct"/>
            <w:vAlign w:val="center"/>
          </w:tcPr>
          <w:p>
            <w:pPr>
              <w:pStyle w:val="51"/>
            </w:pPr>
            <w:r>
              <w:rPr>
                <w:rFonts w:hint="eastAsia"/>
              </w:rPr>
              <w:t>西南</w:t>
            </w:r>
          </w:p>
        </w:tc>
        <w:tc>
          <w:tcPr>
            <w:tcW w:w="458" w:type="pct"/>
            <w:vAlign w:val="center"/>
          </w:tcPr>
          <w:p>
            <w:pPr>
              <w:pStyle w:val="51"/>
            </w:pPr>
            <w:r>
              <w:rPr>
                <w:rFonts w:hint="eastAsia"/>
              </w:rPr>
              <w:t>2615~2840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0" w:hRule="atLeast"/>
        </w:trPr>
        <w:tc>
          <w:tcPr>
            <w:tcW w:w="1070" w:type="pct"/>
            <w:vAlign w:val="center"/>
          </w:tcPr>
          <w:p>
            <w:pPr>
              <w:pStyle w:val="51"/>
            </w:pPr>
            <w:r>
              <w:rPr>
                <w:rFonts w:hint="eastAsia"/>
              </w:rPr>
              <w:t>高背塘</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39'43.8380"</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21'24.4779"</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 8户24人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355~455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1070" w:type="pct"/>
            <w:vAlign w:val="center"/>
          </w:tcPr>
          <w:p>
            <w:pPr>
              <w:pStyle w:val="51"/>
            </w:pPr>
            <w:r>
              <w:rPr>
                <w:rFonts w:hint="eastAsia"/>
              </w:rPr>
              <w:t>渣里口蒋家</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39'07.5329"</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21'19.3639"</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自然村落，约15户45人</w:t>
            </w:r>
          </w:p>
        </w:tc>
        <w:tc>
          <w:tcPr>
            <w:tcW w:w="380" w:type="pct"/>
            <w:vMerge w:val="continue"/>
            <w:vAlign w:val="center"/>
          </w:tcPr>
          <w:p>
            <w:pPr>
              <w:pStyle w:val="51"/>
            </w:pPr>
          </w:p>
        </w:tc>
        <w:tc>
          <w:tcPr>
            <w:tcW w:w="343" w:type="pct"/>
            <w:vAlign w:val="center"/>
          </w:tcPr>
          <w:p>
            <w:pPr>
              <w:pStyle w:val="51"/>
            </w:pPr>
            <w:r>
              <w:rPr>
                <w:rFonts w:hint="eastAsia"/>
              </w:rPr>
              <w:t>西</w:t>
            </w:r>
          </w:p>
        </w:tc>
        <w:tc>
          <w:tcPr>
            <w:tcW w:w="458" w:type="pct"/>
            <w:vAlign w:val="center"/>
          </w:tcPr>
          <w:p>
            <w:pPr>
              <w:pStyle w:val="51"/>
            </w:pPr>
            <w:r>
              <w:rPr>
                <w:rFonts w:hint="eastAsia"/>
              </w:rPr>
              <w:t>1390~1560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老司塘角</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39'24.6028"</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 xml:space="preserve"> 21'47.1014"</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自然村落，约10户30人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815~1310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新司塘角</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39'14.8491"</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21'41.0656"</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自然村落，9户27人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1370~1480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羊塘角</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39'03.5096"</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21'41.1505"</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自然村落，8户24人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1535~1720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楚江圩中心小学</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39'22.7082"</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22'13.1791"</w:t>
            </w:r>
          </w:p>
        </w:tc>
        <w:tc>
          <w:tcPr>
            <w:tcW w:w="413" w:type="pct"/>
            <w:vAlign w:val="center"/>
          </w:tcPr>
          <w:p>
            <w:pPr>
              <w:pStyle w:val="51"/>
            </w:pPr>
            <w:r>
              <w:rPr>
                <w:rFonts w:hint="eastAsia"/>
              </w:rPr>
              <w:t>学校</w:t>
            </w:r>
          </w:p>
        </w:tc>
        <w:tc>
          <w:tcPr>
            <w:tcW w:w="1099" w:type="pct"/>
            <w:vAlign w:val="center"/>
          </w:tcPr>
          <w:p>
            <w:pPr>
              <w:pStyle w:val="51"/>
            </w:pPr>
            <w:r>
              <w:rPr>
                <w:rFonts w:hint="eastAsia"/>
              </w:rPr>
              <w:t>师生，约200人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1785~1935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庄房</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39'03.8987"</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22'10.7607"</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自然村落，3户9人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2120~2165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下里口</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38'38.0095"</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21'58.2678"</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自然村落，约8户24人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2420~2570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财塘口</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39'57.0016"</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22'05.5966"</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自然村落，6户18人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1315~1360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大对江</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39'39.9714"</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22'22.0992"</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自然村落，约22户66人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1735~2025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楚江圩村</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39'28.2050"</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22'24.0151"</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自然村落，约70户210人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1890~2600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锡壶王家</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39'15.2008"</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22'28.6621"</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自然村落，6户18人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2400~2500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周家屋里</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39'17.4074"</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22'35.1684"</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自然村落，5户15人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2540~2560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周家村</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39'02.7392"</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22'31.3391"</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自然村落，6户18人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2660~2830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花坪井</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39'02.3913"</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22'36.6651"</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自然村落，约16户48人</w:t>
            </w:r>
          </w:p>
        </w:tc>
        <w:tc>
          <w:tcPr>
            <w:tcW w:w="380" w:type="pct"/>
            <w:vMerge w:val="continue"/>
            <w:vAlign w:val="center"/>
          </w:tcPr>
          <w:p>
            <w:pPr>
              <w:pStyle w:val="51"/>
            </w:pPr>
          </w:p>
        </w:tc>
        <w:tc>
          <w:tcPr>
            <w:tcW w:w="343" w:type="pct"/>
            <w:vAlign w:val="center"/>
          </w:tcPr>
          <w:p>
            <w:pPr>
              <w:pStyle w:val="51"/>
            </w:pPr>
            <w:r>
              <w:rPr>
                <w:rFonts w:hint="eastAsia"/>
              </w:rPr>
              <w:t>西北</w:t>
            </w:r>
          </w:p>
        </w:tc>
        <w:tc>
          <w:tcPr>
            <w:tcW w:w="458" w:type="pct"/>
            <w:vAlign w:val="center"/>
          </w:tcPr>
          <w:p>
            <w:pPr>
              <w:pStyle w:val="51"/>
            </w:pPr>
            <w:r>
              <w:rPr>
                <w:rFonts w:hint="eastAsia"/>
              </w:rPr>
              <w:t>2760~2905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4" w:hRule="atLeast"/>
        </w:trPr>
        <w:tc>
          <w:tcPr>
            <w:tcW w:w="1070" w:type="pct"/>
            <w:vAlign w:val="center"/>
          </w:tcPr>
          <w:p>
            <w:pPr>
              <w:pStyle w:val="51"/>
            </w:pPr>
            <w:r>
              <w:rPr>
                <w:rFonts w:hint="eastAsia"/>
              </w:rPr>
              <w:t>中心胡家</w:t>
            </w:r>
          </w:p>
        </w:tc>
        <w:tc>
          <w:tcPr>
            <w:tcW w:w="612" w:type="pct"/>
            <w:tcBorders>
              <w:top w:val="single" w:color="auto" w:sz="4" w:space="0"/>
              <w:left w:val="nil"/>
              <w:bottom w:val="single" w:color="auto" w:sz="4" w:space="0"/>
              <w:right w:val="single" w:color="auto" w:sz="4" w:space="0"/>
            </w:tcBorders>
            <w:vAlign w:val="center"/>
          </w:tcPr>
          <w:p>
            <w:pPr>
              <w:pStyle w:val="51"/>
            </w:pPr>
            <w:r>
              <w:rPr>
                <w:rFonts w:hint="eastAsia"/>
              </w:rPr>
              <w:t>111</w:t>
            </w:r>
            <w:r>
              <w:t>°</w:t>
            </w:r>
            <w:r>
              <w:rPr>
                <w:rFonts w:hint="eastAsia"/>
              </w:rPr>
              <w:t>40'04.1239"</w:t>
            </w:r>
          </w:p>
        </w:tc>
        <w:tc>
          <w:tcPr>
            <w:tcW w:w="625" w:type="pct"/>
            <w:tcBorders>
              <w:top w:val="single" w:color="auto" w:sz="4" w:space="0"/>
              <w:left w:val="single" w:color="auto" w:sz="4" w:space="0"/>
              <w:bottom w:val="single" w:color="auto" w:sz="4" w:space="0"/>
              <w:right w:val="nil"/>
            </w:tcBorders>
            <w:vAlign w:val="center"/>
          </w:tcPr>
          <w:p>
            <w:pPr>
              <w:pStyle w:val="51"/>
            </w:pPr>
            <w:r>
              <w:rPr>
                <w:rFonts w:hint="eastAsia"/>
              </w:rPr>
              <w:t>26</w:t>
            </w:r>
            <w:r>
              <w:t>°</w:t>
            </w:r>
            <w:r>
              <w:rPr>
                <w:rFonts w:hint="eastAsia"/>
              </w:rPr>
              <w:t>22'02.4968"</w:t>
            </w:r>
          </w:p>
        </w:tc>
        <w:tc>
          <w:tcPr>
            <w:tcW w:w="413" w:type="pct"/>
            <w:vAlign w:val="center"/>
          </w:tcPr>
          <w:p>
            <w:pPr>
              <w:pStyle w:val="51"/>
            </w:pPr>
            <w:r>
              <w:rPr>
                <w:rFonts w:hint="eastAsia"/>
              </w:rPr>
              <w:t>居民</w:t>
            </w:r>
          </w:p>
        </w:tc>
        <w:tc>
          <w:tcPr>
            <w:tcW w:w="1099" w:type="pct"/>
            <w:vAlign w:val="center"/>
          </w:tcPr>
          <w:p>
            <w:pPr>
              <w:pStyle w:val="51"/>
            </w:pPr>
            <w:r>
              <w:rPr>
                <w:rFonts w:hint="eastAsia"/>
              </w:rPr>
              <w:t>自然村落，约19户57人</w:t>
            </w:r>
          </w:p>
        </w:tc>
        <w:tc>
          <w:tcPr>
            <w:tcW w:w="380" w:type="pct"/>
            <w:vMerge w:val="continue"/>
            <w:vAlign w:val="center"/>
          </w:tcPr>
          <w:p>
            <w:pPr>
              <w:pStyle w:val="51"/>
            </w:pPr>
          </w:p>
        </w:tc>
        <w:tc>
          <w:tcPr>
            <w:tcW w:w="343" w:type="pct"/>
            <w:vAlign w:val="center"/>
          </w:tcPr>
          <w:p>
            <w:pPr>
              <w:pStyle w:val="51"/>
            </w:pPr>
            <w:r>
              <w:rPr>
                <w:rFonts w:hint="eastAsia"/>
              </w:rPr>
              <w:t>北</w:t>
            </w:r>
          </w:p>
        </w:tc>
        <w:tc>
          <w:tcPr>
            <w:tcW w:w="458" w:type="pct"/>
            <w:vAlign w:val="center"/>
          </w:tcPr>
          <w:p>
            <w:pPr>
              <w:pStyle w:val="51"/>
            </w:pPr>
            <w:r>
              <w:rPr>
                <w:rFonts w:hint="eastAsia"/>
              </w:rPr>
              <w:t>1050~1250</w:t>
            </w:r>
          </w:p>
        </w:tc>
      </w:tr>
      <w:bookmarkEnd w:id="111"/>
    </w:tbl>
    <w:p>
      <w:pPr>
        <w:pStyle w:val="53"/>
      </w:pPr>
    </w:p>
    <w:p>
      <w:pPr>
        <w:pStyle w:val="53"/>
      </w:pPr>
      <w:r>
        <w:t>表</w:t>
      </w:r>
      <w:r>
        <w:rPr>
          <w:snapToGrid w:val="0"/>
        </w:rPr>
        <w:t>2.</w:t>
      </w:r>
      <w:r>
        <w:rPr>
          <w:rFonts w:hint="eastAsia"/>
          <w:snapToGrid w:val="0"/>
        </w:rPr>
        <w:t>7</w:t>
      </w:r>
      <w:r>
        <w:rPr>
          <w:snapToGrid w:val="0"/>
        </w:rPr>
        <w:t>-</w:t>
      </w:r>
      <w:r>
        <w:rPr>
          <w:rFonts w:hint="eastAsia"/>
          <w:snapToGrid w:val="0"/>
        </w:rPr>
        <w:t>2</w:t>
      </w:r>
      <w:r>
        <w:rPr>
          <w:snapToGrid w:val="0"/>
        </w:rPr>
        <w:t xml:space="preserve">   </w:t>
      </w:r>
      <w:r>
        <w:t>评价区内主要声环境敏感目标</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293"/>
        <w:gridCol w:w="720"/>
        <w:gridCol w:w="575"/>
        <w:gridCol w:w="578"/>
        <w:gridCol w:w="1151"/>
        <w:gridCol w:w="865"/>
        <w:gridCol w:w="4609"/>
        <w:gridCol w:w="3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 w:type="pct"/>
            <w:vMerge w:val="restart"/>
            <w:vAlign w:val="center"/>
          </w:tcPr>
          <w:p>
            <w:pPr>
              <w:pStyle w:val="51"/>
            </w:pPr>
            <w:r>
              <w:t>序号</w:t>
            </w:r>
          </w:p>
        </w:tc>
        <w:tc>
          <w:tcPr>
            <w:tcW w:w="456" w:type="pct"/>
            <w:vMerge w:val="restart"/>
            <w:vAlign w:val="center"/>
          </w:tcPr>
          <w:p>
            <w:pPr>
              <w:pStyle w:val="51"/>
            </w:pPr>
            <w:r>
              <w:t>声环境保护目标名称</w:t>
            </w:r>
          </w:p>
        </w:tc>
        <w:tc>
          <w:tcPr>
            <w:tcW w:w="661" w:type="pct"/>
            <w:gridSpan w:val="3"/>
            <w:vAlign w:val="center"/>
          </w:tcPr>
          <w:p>
            <w:pPr>
              <w:pStyle w:val="51"/>
            </w:pPr>
            <w:r>
              <w:t>空间相对位置/m</w:t>
            </w:r>
          </w:p>
        </w:tc>
        <w:tc>
          <w:tcPr>
            <w:tcW w:w="406" w:type="pct"/>
            <w:vMerge w:val="restart"/>
            <w:vAlign w:val="center"/>
          </w:tcPr>
          <w:p>
            <w:pPr>
              <w:pStyle w:val="51"/>
            </w:pPr>
            <w:r>
              <w:t>距厂界最近距离</w:t>
            </w:r>
          </w:p>
        </w:tc>
        <w:tc>
          <w:tcPr>
            <w:tcW w:w="305" w:type="pct"/>
            <w:vMerge w:val="restart"/>
            <w:vAlign w:val="center"/>
          </w:tcPr>
          <w:p>
            <w:pPr>
              <w:pStyle w:val="51"/>
            </w:pPr>
            <w:r>
              <w:t>方位</w:t>
            </w:r>
          </w:p>
        </w:tc>
        <w:tc>
          <w:tcPr>
            <w:tcW w:w="1626" w:type="pct"/>
            <w:vMerge w:val="restart"/>
            <w:vAlign w:val="center"/>
          </w:tcPr>
          <w:p>
            <w:pPr>
              <w:pStyle w:val="51"/>
            </w:pPr>
            <w:r>
              <w:t>执行标准/功能区类别</w:t>
            </w:r>
          </w:p>
        </w:tc>
        <w:tc>
          <w:tcPr>
            <w:tcW w:w="1343" w:type="pct"/>
            <w:vMerge w:val="restart"/>
            <w:vAlign w:val="center"/>
          </w:tcPr>
          <w:p>
            <w:pPr>
              <w:pStyle w:val="51"/>
            </w:pPr>
            <w:r>
              <w:t>声环境保护目标情况说明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0" w:type="auto"/>
            <w:vMerge w:val="continue"/>
            <w:vAlign w:val="center"/>
          </w:tcPr>
          <w:p>
            <w:pPr>
              <w:pStyle w:val="51"/>
            </w:pPr>
          </w:p>
        </w:tc>
        <w:tc>
          <w:tcPr>
            <w:tcW w:w="456" w:type="pct"/>
            <w:vMerge w:val="continue"/>
            <w:vAlign w:val="center"/>
          </w:tcPr>
          <w:p>
            <w:pPr>
              <w:pStyle w:val="51"/>
            </w:pPr>
          </w:p>
        </w:tc>
        <w:tc>
          <w:tcPr>
            <w:tcW w:w="254" w:type="pct"/>
            <w:vAlign w:val="center"/>
          </w:tcPr>
          <w:p>
            <w:pPr>
              <w:pStyle w:val="51"/>
            </w:pPr>
            <w:r>
              <w:t>X</w:t>
            </w:r>
          </w:p>
        </w:tc>
        <w:tc>
          <w:tcPr>
            <w:tcW w:w="203" w:type="pct"/>
            <w:vAlign w:val="center"/>
          </w:tcPr>
          <w:p>
            <w:pPr>
              <w:pStyle w:val="51"/>
            </w:pPr>
            <w:r>
              <w:t>Y</w:t>
            </w:r>
          </w:p>
        </w:tc>
        <w:tc>
          <w:tcPr>
            <w:tcW w:w="204" w:type="pct"/>
            <w:vAlign w:val="center"/>
          </w:tcPr>
          <w:p>
            <w:pPr>
              <w:pStyle w:val="51"/>
            </w:pPr>
            <w:r>
              <w:t>Z</w:t>
            </w:r>
          </w:p>
        </w:tc>
        <w:tc>
          <w:tcPr>
            <w:tcW w:w="406" w:type="pct"/>
            <w:vMerge w:val="continue"/>
            <w:vAlign w:val="center"/>
          </w:tcPr>
          <w:p>
            <w:pPr>
              <w:pStyle w:val="51"/>
            </w:pPr>
          </w:p>
        </w:tc>
        <w:tc>
          <w:tcPr>
            <w:tcW w:w="305" w:type="pct"/>
            <w:vMerge w:val="continue"/>
            <w:vAlign w:val="center"/>
          </w:tcPr>
          <w:p>
            <w:pPr>
              <w:pStyle w:val="51"/>
            </w:pPr>
          </w:p>
        </w:tc>
        <w:tc>
          <w:tcPr>
            <w:tcW w:w="1626" w:type="pct"/>
            <w:vMerge w:val="continue"/>
            <w:vAlign w:val="center"/>
          </w:tcPr>
          <w:p>
            <w:pPr>
              <w:pStyle w:val="51"/>
            </w:pPr>
          </w:p>
        </w:tc>
        <w:tc>
          <w:tcPr>
            <w:tcW w:w="1343"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03" w:type="pct"/>
            <w:vAlign w:val="center"/>
          </w:tcPr>
          <w:p>
            <w:pPr>
              <w:pStyle w:val="51"/>
            </w:pPr>
            <w:r>
              <w:t>1</w:t>
            </w:r>
          </w:p>
        </w:tc>
        <w:tc>
          <w:tcPr>
            <w:tcW w:w="456" w:type="pct"/>
            <w:vAlign w:val="center"/>
          </w:tcPr>
          <w:p>
            <w:pPr>
              <w:pStyle w:val="51"/>
            </w:pPr>
            <w:r>
              <w:rPr>
                <w:rFonts w:hint="eastAsia"/>
              </w:rPr>
              <w:t>对江岭莫家</w:t>
            </w:r>
          </w:p>
        </w:tc>
        <w:tc>
          <w:tcPr>
            <w:tcW w:w="254" w:type="pct"/>
            <w:vAlign w:val="center"/>
          </w:tcPr>
          <w:p>
            <w:pPr>
              <w:pStyle w:val="51"/>
            </w:pPr>
            <w:r>
              <w:rPr>
                <w:rFonts w:hint="eastAsia"/>
              </w:rPr>
              <w:t>110</w:t>
            </w:r>
          </w:p>
        </w:tc>
        <w:tc>
          <w:tcPr>
            <w:tcW w:w="203" w:type="pct"/>
            <w:vAlign w:val="center"/>
          </w:tcPr>
          <w:p>
            <w:pPr>
              <w:pStyle w:val="51"/>
            </w:pPr>
            <w:r>
              <w:rPr>
                <w:rFonts w:hint="eastAsia"/>
              </w:rPr>
              <w:t>272</w:t>
            </w:r>
          </w:p>
        </w:tc>
        <w:tc>
          <w:tcPr>
            <w:tcW w:w="204" w:type="pct"/>
            <w:vAlign w:val="center"/>
          </w:tcPr>
          <w:p>
            <w:pPr>
              <w:pStyle w:val="51"/>
            </w:pPr>
            <w:r>
              <w:rPr>
                <w:rFonts w:hint="eastAsia"/>
              </w:rPr>
              <w:t>-16</w:t>
            </w:r>
          </w:p>
        </w:tc>
        <w:tc>
          <w:tcPr>
            <w:tcW w:w="406" w:type="pct"/>
            <w:vAlign w:val="center"/>
          </w:tcPr>
          <w:p>
            <w:pPr>
              <w:pStyle w:val="51"/>
            </w:pPr>
            <w:r>
              <w:rPr>
                <w:rFonts w:hint="eastAsia"/>
              </w:rPr>
              <w:t>167</w:t>
            </w:r>
            <w:r>
              <w:t>m</w:t>
            </w:r>
          </w:p>
        </w:tc>
        <w:tc>
          <w:tcPr>
            <w:tcW w:w="305" w:type="pct"/>
            <w:vAlign w:val="center"/>
          </w:tcPr>
          <w:p>
            <w:pPr>
              <w:pStyle w:val="51"/>
            </w:pPr>
            <w:r>
              <w:rPr>
                <w:rFonts w:hint="eastAsia"/>
              </w:rPr>
              <w:t>东北</w:t>
            </w:r>
          </w:p>
        </w:tc>
        <w:tc>
          <w:tcPr>
            <w:tcW w:w="1626" w:type="pct"/>
            <w:vAlign w:val="center"/>
          </w:tcPr>
          <w:p>
            <w:pPr>
              <w:pStyle w:val="51"/>
            </w:pPr>
            <w:r>
              <w:t>《声环境质量标准》(GB3096-2008)中的2类</w:t>
            </w:r>
          </w:p>
        </w:tc>
        <w:tc>
          <w:tcPr>
            <w:tcW w:w="1343" w:type="pct"/>
            <w:vAlign w:val="center"/>
          </w:tcPr>
          <w:p>
            <w:pPr>
              <w:pStyle w:val="51"/>
            </w:pPr>
            <w:r>
              <w:rPr>
                <w:rFonts w:hint="eastAsia"/>
                <w:szCs w:val="21"/>
              </w:rPr>
              <w:t>1</w:t>
            </w:r>
            <w:r>
              <w:rPr>
                <w:szCs w:val="21"/>
              </w:rPr>
              <w:t>户，</w:t>
            </w:r>
            <w:r>
              <w:rPr>
                <w:rFonts w:hint="eastAsia"/>
                <w:szCs w:val="21"/>
              </w:rPr>
              <w:t>3</w:t>
            </w:r>
            <w:r>
              <w:rPr>
                <w:szCs w:val="21"/>
              </w:rPr>
              <w:t>人</w:t>
            </w:r>
            <w:r>
              <w:rPr>
                <w:rFonts w:hint="eastAsia"/>
                <w:szCs w:val="21"/>
              </w:rPr>
              <w:t>， 1层砖混房，朝东，周边为林地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000" w:type="pct"/>
            <w:gridSpan w:val="9"/>
            <w:vAlign w:val="center"/>
          </w:tcPr>
          <w:p>
            <w:pPr>
              <w:pStyle w:val="51"/>
              <w:jc w:val="left"/>
              <w:rPr>
                <w:szCs w:val="21"/>
              </w:rPr>
            </w:pPr>
            <w:r>
              <w:rPr>
                <w:rFonts w:hint="eastAsia"/>
                <w:szCs w:val="21"/>
              </w:rPr>
              <w:t>原点坐标为：</w:t>
            </w:r>
            <w:r>
              <w:rPr>
                <w:rFonts w:hint="eastAsia"/>
              </w:rPr>
              <w:t>东经</w:t>
            </w:r>
            <w:r>
              <w:rPr>
                <w:rFonts w:hint="eastAsia"/>
                <w:color w:val="000000"/>
              </w:rPr>
              <w:t>111</w:t>
            </w:r>
            <w:r>
              <w:rPr>
                <w:rFonts w:cs="Times New Roman"/>
                <w:color w:val="000000"/>
              </w:rPr>
              <w:t>°</w:t>
            </w:r>
            <w:r>
              <w:rPr>
                <w:rFonts w:hint="eastAsia"/>
                <w:color w:val="000000"/>
              </w:rPr>
              <w:t>40'05.8240"</w:t>
            </w:r>
            <w:r>
              <w:rPr>
                <w:rFonts w:hint="eastAsia"/>
              </w:rPr>
              <w:t>，北纬</w:t>
            </w:r>
            <w:r>
              <w:rPr>
                <w:rFonts w:hint="eastAsia"/>
                <w:color w:val="000000"/>
              </w:rPr>
              <w:t>26</w:t>
            </w:r>
            <w:r>
              <w:rPr>
                <w:rFonts w:cs="Times New Roman"/>
                <w:color w:val="000000"/>
              </w:rPr>
              <w:t>°</w:t>
            </w:r>
            <w:r>
              <w:rPr>
                <w:rFonts w:hint="eastAsia"/>
                <w:color w:val="000000"/>
              </w:rPr>
              <w:t>21'19.8139"</w:t>
            </w:r>
          </w:p>
        </w:tc>
      </w:tr>
    </w:tbl>
    <w:p>
      <w:pPr>
        <w:pStyle w:val="53"/>
      </w:pPr>
      <w:r>
        <w:t>表</w:t>
      </w:r>
      <w:r>
        <w:rPr>
          <w:snapToGrid w:val="0"/>
        </w:rPr>
        <w:t>2.</w:t>
      </w:r>
      <w:r>
        <w:rPr>
          <w:rFonts w:hint="eastAsia"/>
          <w:snapToGrid w:val="0"/>
        </w:rPr>
        <w:t>7</w:t>
      </w:r>
      <w:r>
        <w:rPr>
          <w:snapToGrid w:val="0"/>
        </w:rPr>
        <w:t>-</w:t>
      </w:r>
      <w:r>
        <w:rPr>
          <w:rFonts w:hint="eastAsia"/>
          <w:snapToGrid w:val="0"/>
        </w:rPr>
        <w:t>3</w:t>
      </w:r>
      <w:r>
        <w:rPr>
          <w:snapToGrid w:val="0"/>
        </w:rPr>
        <w:t xml:space="preserve">    </w:t>
      </w:r>
      <w:r>
        <w:t>评价区内主要地表水、地下水、土壤敏感目标</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78"/>
        <w:gridCol w:w="4487"/>
        <w:gridCol w:w="1418"/>
        <w:gridCol w:w="1417"/>
        <w:gridCol w:w="5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78" w:type="dxa"/>
            <w:vAlign w:val="center"/>
          </w:tcPr>
          <w:p>
            <w:pPr>
              <w:pStyle w:val="51"/>
            </w:pPr>
            <w:r>
              <w:t>环境要素</w:t>
            </w:r>
          </w:p>
        </w:tc>
        <w:tc>
          <w:tcPr>
            <w:tcW w:w="4487" w:type="dxa"/>
            <w:vAlign w:val="center"/>
          </w:tcPr>
          <w:p>
            <w:pPr>
              <w:pStyle w:val="51"/>
            </w:pPr>
            <w:r>
              <w:t>敏感度</w:t>
            </w:r>
          </w:p>
        </w:tc>
        <w:tc>
          <w:tcPr>
            <w:tcW w:w="1418" w:type="dxa"/>
            <w:vAlign w:val="center"/>
          </w:tcPr>
          <w:p>
            <w:pPr>
              <w:pStyle w:val="51"/>
            </w:pPr>
            <w:r>
              <w:t>方位、距离</w:t>
            </w:r>
          </w:p>
        </w:tc>
        <w:tc>
          <w:tcPr>
            <w:tcW w:w="1417" w:type="dxa"/>
            <w:vAlign w:val="center"/>
          </w:tcPr>
          <w:p>
            <w:pPr>
              <w:pStyle w:val="51"/>
            </w:pPr>
            <w:r>
              <w:t>功能与规模</w:t>
            </w:r>
          </w:p>
        </w:tc>
        <w:tc>
          <w:tcPr>
            <w:tcW w:w="5448" w:type="dxa"/>
            <w:vAlign w:val="center"/>
          </w:tcPr>
          <w:p>
            <w:pPr>
              <w:pStyle w:val="51"/>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78" w:type="dxa"/>
            <w:vMerge w:val="restart"/>
            <w:vAlign w:val="center"/>
          </w:tcPr>
          <w:p>
            <w:pPr>
              <w:pStyle w:val="51"/>
            </w:pPr>
            <w:r>
              <w:rPr>
                <w:rFonts w:hint="eastAsia"/>
              </w:rPr>
              <w:t>地表水环境</w:t>
            </w:r>
          </w:p>
        </w:tc>
        <w:tc>
          <w:tcPr>
            <w:tcW w:w="4487" w:type="dxa"/>
            <w:vAlign w:val="center"/>
          </w:tcPr>
          <w:p>
            <w:pPr>
              <w:pStyle w:val="51"/>
            </w:pPr>
            <w:r>
              <w:rPr>
                <w:rFonts w:hint="eastAsia"/>
              </w:rPr>
              <w:t>湘江（曲河水厂取水口上游 1000 米至百花塘水厂取水口下游 100 米的河道水域</w:t>
            </w:r>
          </w:p>
          <w:p>
            <w:pPr>
              <w:pStyle w:val="51"/>
            </w:pPr>
            <w:r>
              <w:rPr>
                <w:rFonts w:hint="eastAsia"/>
              </w:rPr>
              <w:t>（湘江航道除外））</w:t>
            </w:r>
          </w:p>
        </w:tc>
        <w:tc>
          <w:tcPr>
            <w:tcW w:w="1418" w:type="dxa"/>
            <w:vAlign w:val="center"/>
          </w:tcPr>
          <w:p>
            <w:pPr>
              <w:pStyle w:val="51"/>
            </w:pPr>
            <w:r>
              <w:rPr>
                <w:rFonts w:hint="eastAsia"/>
              </w:rPr>
              <w:t>西北，6800m</w:t>
            </w:r>
          </w:p>
        </w:tc>
        <w:tc>
          <w:tcPr>
            <w:tcW w:w="1417" w:type="dxa"/>
            <w:vAlign w:val="center"/>
          </w:tcPr>
          <w:p>
            <w:pPr>
              <w:pStyle w:val="51"/>
            </w:pPr>
            <w:r>
              <w:rPr>
                <w:rFonts w:hint="eastAsia"/>
              </w:rPr>
              <w:t>饮用水源一级保护区</w:t>
            </w:r>
          </w:p>
        </w:tc>
        <w:tc>
          <w:tcPr>
            <w:tcW w:w="5448" w:type="dxa"/>
            <w:vAlign w:val="center"/>
          </w:tcPr>
          <w:p>
            <w:pPr>
              <w:pStyle w:val="51"/>
            </w:pPr>
            <w:r>
              <w:t>《地表水环境质量标准》（GB3838-2002）</w:t>
            </w:r>
            <w:r>
              <w:rPr>
                <w:rFonts w:cs="Times New Roman"/>
              </w:rPr>
              <w:t>Ⅱ</w:t>
            </w:r>
            <w: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78" w:type="dxa"/>
            <w:vMerge w:val="continue"/>
            <w:vAlign w:val="center"/>
          </w:tcPr>
          <w:p>
            <w:pPr>
              <w:pStyle w:val="51"/>
            </w:pPr>
          </w:p>
        </w:tc>
        <w:tc>
          <w:tcPr>
            <w:tcW w:w="4487" w:type="dxa"/>
            <w:vAlign w:val="center"/>
          </w:tcPr>
          <w:p>
            <w:pPr>
              <w:pStyle w:val="51"/>
            </w:pPr>
            <w:r>
              <w:rPr>
                <w:rFonts w:hint="eastAsia"/>
              </w:rPr>
              <w:t>湘江（曲河水厂取水口一级保护区上边界上溯 2000 米，百花塘水厂取水口一级保护区下边界下延 200 米的河道水域（湘江航道除外））</w:t>
            </w:r>
          </w:p>
        </w:tc>
        <w:tc>
          <w:tcPr>
            <w:tcW w:w="1418" w:type="dxa"/>
            <w:vAlign w:val="center"/>
          </w:tcPr>
          <w:p>
            <w:pPr>
              <w:pStyle w:val="51"/>
            </w:pPr>
            <w:r>
              <w:rPr>
                <w:rFonts w:hint="eastAsia"/>
              </w:rPr>
              <w:t>西南，5655m</w:t>
            </w:r>
          </w:p>
        </w:tc>
        <w:tc>
          <w:tcPr>
            <w:tcW w:w="1417" w:type="dxa"/>
            <w:vAlign w:val="center"/>
          </w:tcPr>
          <w:p>
            <w:pPr>
              <w:pStyle w:val="51"/>
            </w:pPr>
            <w:r>
              <w:rPr>
                <w:rFonts w:hint="eastAsia"/>
              </w:rPr>
              <w:t>饮用水源二级保护区</w:t>
            </w:r>
          </w:p>
        </w:tc>
        <w:tc>
          <w:tcPr>
            <w:tcW w:w="5448" w:type="dxa"/>
            <w:vAlign w:val="center"/>
          </w:tcPr>
          <w:p>
            <w:pPr>
              <w:pStyle w:val="51"/>
            </w:pPr>
            <w:r>
              <w:t>《地表水环境质量标准》（GB3838-2002）III类标准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78" w:type="dxa"/>
            <w:vMerge w:val="continue"/>
            <w:vAlign w:val="center"/>
          </w:tcPr>
          <w:p>
            <w:pPr>
              <w:pStyle w:val="51"/>
            </w:pPr>
          </w:p>
        </w:tc>
        <w:tc>
          <w:tcPr>
            <w:tcW w:w="4487" w:type="dxa"/>
            <w:vAlign w:val="center"/>
          </w:tcPr>
          <w:p>
            <w:pPr>
              <w:pStyle w:val="51"/>
            </w:pPr>
            <w:r>
              <w:rPr>
                <w:rFonts w:hint="eastAsia"/>
              </w:rPr>
              <w:t>湘江（油榨码头至曲河水厂取水口</w:t>
            </w:r>
          </w:p>
          <w:p>
            <w:pPr>
              <w:pStyle w:val="51"/>
            </w:pPr>
            <w:r>
              <w:rPr>
                <w:rFonts w:hint="eastAsia"/>
              </w:rPr>
              <w:t>上3000 米）</w:t>
            </w:r>
          </w:p>
        </w:tc>
        <w:tc>
          <w:tcPr>
            <w:tcW w:w="1418" w:type="dxa"/>
            <w:vAlign w:val="center"/>
          </w:tcPr>
          <w:p>
            <w:pPr>
              <w:pStyle w:val="51"/>
            </w:pPr>
            <w:r>
              <w:rPr>
                <w:rFonts w:hint="eastAsia"/>
              </w:rPr>
              <w:t>西，5950m</w:t>
            </w:r>
          </w:p>
        </w:tc>
        <w:tc>
          <w:tcPr>
            <w:tcW w:w="1417" w:type="dxa"/>
            <w:vAlign w:val="center"/>
          </w:tcPr>
          <w:p>
            <w:pPr>
              <w:pStyle w:val="51"/>
            </w:pPr>
            <w:r>
              <w:rPr>
                <w:rFonts w:hint="eastAsia"/>
              </w:rPr>
              <w:t>景观娱乐</w:t>
            </w:r>
          </w:p>
          <w:p>
            <w:pPr>
              <w:pStyle w:val="51"/>
            </w:pPr>
            <w:r>
              <w:rPr>
                <w:rFonts w:hint="eastAsia"/>
              </w:rPr>
              <w:t>用水区</w:t>
            </w:r>
          </w:p>
        </w:tc>
        <w:tc>
          <w:tcPr>
            <w:tcW w:w="5448" w:type="dxa"/>
            <w:vAlign w:val="center"/>
          </w:tcPr>
          <w:p>
            <w:pPr>
              <w:pStyle w:val="51"/>
            </w:pPr>
            <w:r>
              <w:t>《地表水环境质量标准》（GB3838-2002）III类标准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78" w:type="dxa"/>
            <w:vAlign w:val="center"/>
          </w:tcPr>
          <w:p>
            <w:pPr>
              <w:pStyle w:val="51"/>
            </w:pPr>
            <w:r>
              <w:t>地下水环境</w:t>
            </w:r>
          </w:p>
        </w:tc>
        <w:tc>
          <w:tcPr>
            <w:tcW w:w="7322" w:type="dxa"/>
            <w:gridSpan w:val="3"/>
            <w:vAlign w:val="center"/>
          </w:tcPr>
          <w:p>
            <w:pPr>
              <w:pStyle w:val="51"/>
              <w:rPr>
                <w:sz w:val="24"/>
              </w:rPr>
            </w:pPr>
            <w:r>
              <w:rPr>
                <w:rFonts w:hint="eastAsia"/>
              </w:rPr>
              <w:t>保护范围为以项目所在地中心面积</w:t>
            </w:r>
            <w:r>
              <w:rPr>
                <w:rFonts w:cs="Times New Roman"/>
              </w:rPr>
              <w:t>6km</w:t>
            </w:r>
            <w:r>
              <w:rPr>
                <w:rFonts w:cs="Times New Roman"/>
                <w:vertAlign w:val="superscript"/>
              </w:rPr>
              <w:t>2</w:t>
            </w:r>
            <w:r>
              <w:rPr>
                <w:rFonts w:hint="eastAsia" w:cs="Times New Roman"/>
              </w:rPr>
              <w:t>的区域</w:t>
            </w:r>
          </w:p>
        </w:tc>
        <w:tc>
          <w:tcPr>
            <w:tcW w:w="5448" w:type="dxa"/>
            <w:vAlign w:val="center"/>
          </w:tcPr>
          <w:p>
            <w:pPr>
              <w:pStyle w:val="51"/>
            </w:pPr>
            <w:r>
              <w:t>《地下水质量标准》（GB/T 14848-2017）III类</w:t>
            </w:r>
            <w:r>
              <w:rPr>
                <w:rFonts w:hint="eastAsi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78" w:type="dxa"/>
            <w:vAlign w:val="center"/>
          </w:tcPr>
          <w:p>
            <w:pPr>
              <w:pStyle w:val="51"/>
            </w:pPr>
            <w:r>
              <w:t>土壤环境</w:t>
            </w:r>
          </w:p>
        </w:tc>
        <w:tc>
          <w:tcPr>
            <w:tcW w:w="7322" w:type="dxa"/>
            <w:gridSpan w:val="3"/>
            <w:vAlign w:val="center"/>
          </w:tcPr>
          <w:p>
            <w:pPr>
              <w:pStyle w:val="51"/>
            </w:pPr>
            <w:r>
              <w:rPr>
                <w:rFonts w:hint="eastAsia"/>
              </w:rPr>
              <w:t>项目占地区域及厂界外延200</w:t>
            </w:r>
            <w:r>
              <w:t>m范围</w:t>
            </w:r>
          </w:p>
        </w:tc>
        <w:tc>
          <w:tcPr>
            <w:tcW w:w="5448" w:type="dxa"/>
            <w:vAlign w:val="center"/>
          </w:tcPr>
          <w:p>
            <w:pPr>
              <w:pStyle w:val="51"/>
            </w:pPr>
            <w:r>
              <w:rPr>
                <w:rFonts w:hint="eastAsia"/>
              </w:rPr>
              <w:t>《土壤环境质量 农用地土壤污染风险管控标准（试行）》</w:t>
            </w:r>
            <w:r>
              <w:t>（</w:t>
            </w:r>
            <w:r>
              <w:rPr>
                <w:rFonts w:hint="eastAsia"/>
              </w:rPr>
              <w:t>GB15618-2018</w:t>
            </w:r>
            <w:r>
              <w:t>）</w:t>
            </w:r>
            <w:r>
              <w:rPr>
                <w:rFonts w:hint="eastAsia"/>
              </w:rPr>
              <w:t>中农用地土壤污染风险筛选值</w:t>
            </w:r>
          </w:p>
        </w:tc>
      </w:tr>
    </w:tbl>
    <w:p>
      <w:pPr>
        <w:pStyle w:val="49"/>
        <w:ind w:firstLine="480"/>
      </w:pPr>
    </w:p>
    <w:p>
      <w:pPr>
        <w:pStyle w:val="49"/>
        <w:ind w:firstLine="480"/>
        <w:sectPr>
          <w:pgSz w:w="16838" w:h="11906" w:orient="landscape"/>
          <w:pgMar w:top="1800" w:right="1440" w:bottom="1800" w:left="1440" w:header="851" w:footer="992" w:gutter="0"/>
          <w:cols w:space="425" w:num="1"/>
          <w:docGrid w:type="lines" w:linePitch="312" w:charSpace="0"/>
        </w:sectPr>
      </w:pPr>
    </w:p>
    <w:p>
      <w:pPr>
        <w:pStyle w:val="2"/>
        <w:jc w:val="center"/>
        <w:rPr>
          <w:sz w:val="44"/>
          <w:szCs w:val="56"/>
        </w:rPr>
      </w:pPr>
      <w:bookmarkStart w:id="112" w:name="_Toc194481143"/>
      <w:r>
        <w:rPr>
          <w:rFonts w:hint="eastAsia"/>
          <w:sz w:val="44"/>
          <w:szCs w:val="56"/>
        </w:rPr>
        <w:t>第3章 工程分析</w:t>
      </w:r>
      <w:bookmarkEnd w:id="112"/>
    </w:p>
    <w:p>
      <w:pPr>
        <w:pStyle w:val="3"/>
      </w:pPr>
      <w:bookmarkStart w:id="113" w:name="_Toc194481144"/>
      <w:r>
        <w:rPr>
          <w:rFonts w:hint="eastAsia"/>
        </w:rPr>
        <w:t>3</w:t>
      </w:r>
      <w:r>
        <w:t xml:space="preserve">.1 </w:t>
      </w:r>
      <w:r>
        <w:rPr>
          <w:rFonts w:hint="eastAsia"/>
        </w:rPr>
        <w:t>项目概况</w:t>
      </w:r>
      <w:bookmarkEnd w:id="113"/>
    </w:p>
    <w:p>
      <w:pPr>
        <w:pStyle w:val="4"/>
      </w:pPr>
      <w:bookmarkStart w:id="114" w:name="_Toc194481145"/>
      <w:r>
        <w:rPr>
          <w:rFonts w:hint="eastAsia"/>
        </w:rPr>
        <w:t>3</w:t>
      </w:r>
      <w:r>
        <w:t>.</w:t>
      </w:r>
      <w:r>
        <w:rPr>
          <w:rFonts w:hint="eastAsia"/>
        </w:rPr>
        <w:t>1</w:t>
      </w:r>
      <w:r>
        <w:t xml:space="preserve">.1 </w:t>
      </w:r>
      <w:r>
        <w:rPr>
          <w:rFonts w:hint="eastAsia" w:cs="Times New Roman"/>
          <w:color w:val="000000"/>
          <w:szCs w:val="28"/>
        </w:rPr>
        <w:t>项目基本情况</w:t>
      </w:r>
      <w:bookmarkEnd w:id="114"/>
    </w:p>
    <w:p>
      <w:pPr>
        <w:pStyle w:val="49"/>
        <w:ind w:firstLine="480"/>
      </w:pPr>
      <w:r>
        <w:rPr>
          <w:rFonts w:hint="eastAsia"/>
        </w:rPr>
        <w:t>项目名称： 湘五永兴120万羽智能化蛋鸡养殖场项目</w:t>
      </w:r>
    </w:p>
    <w:p>
      <w:pPr>
        <w:pStyle w:val="49"/>
        <w:ind w:firstLine="480"/>
      </w:pPr>
      <w:r>
        <w:rPr>
          <w:rFonts w:hint="eastAsia"/>
        </w:rPr>
        <w:t>建设单位：</w:t>
      </w:r>
      <w:bookmarkStart w:id="115" w:name="_Hlk194490102"/>
      <w:r>
        <w:rPr>
          <w:rFonts w:hint="eastAsia"/>
        </w:rPr>
        <w:t>湖南湘五永兴农业发展有限公司</w:t>
      </w:r>
      <w:bookmarkEnd w:id="115"/>
    </w:p>
    <w:p>
      <w:pPr>
        <w:pStyle w:val="49"/>
        <w:ind w:firstLine="480"/>
      </w:pPr>
      <w:r>
        <w:rPr>
          <w:rFonts w:hint="eastAsia"/>
        </w:rPr>
        <w:t>建设性质：新建</w:t>
      </w:r>
    </w:p>
    <w:p>
      <w:pPr>
        <w:pStyle w:val="49"/>
        <w:ind w:firstLine="480"/>
      </w:pPr>
      <w:r>
        <w:rPr>
          <w:rFonts w:hint="eastAsia"/>
        </w:rPr>
        <w:t>建设地点：永州市冷水滩区岚角山街道飞跃村、高桥头村</w:t>
      </w:r>
    </w:p>
    <w:p>
      <w:pPr>
        <w:pStyle w:val="49"/>
        <w:ind w:firstLine="480"/>
      </w:pPr>
      <w:r>
        <w:rPr>
          <w:rFonts w:hint="eastAsia"/>
        </w:rPr>
        <w:t>劳动定员及工作制度：本项目劳动定员50人，年工作365天，实行1班工作制，每班8小时；夜间不进行喂料等工作。</w:t>
      </w:r>
    </w:p>
    <w:p>
      <w:pPr>
        <w:pStyle w:val="4"/>
      </w:pPr>
      <w:bookmarkStart w:id="116" w:name="_Toc194481146"/>
      <w:r>
        <w:rPr>
          <w:rFonts w:hint="eastAsia"/>
        </w:rPr>
        <w:t>3</w:t>
      </w:r>
      <w:r>
        <w:t>.</w:t>
      </w:r>
      <w:r>
        <w:rPr>
          <w:rFonts w:hint="eastAsia"/>
        </w:rPr>
        <w:t>1</w:t>
      </w:r>
      <w:r>
        <w:t>.</w:t>
      </w:r>
      <w:r>
        <w:rPr>
          <w:rFonts w:hint="eastAsia"/>
        </w:rPr>
        <w:t>2</w:t>
      </w:r>
      <w:r>
        <w:t xml:space="preserve"> </w:t>
      </w:r>
      <w:r>
        <w:rPr>
          <w:rFonts w:hint="eastAsia" w:cs="Times New Roman"/>
          <w:color w:val="000000"/>
          <w:szCs w:val="28"/>
        </w:rPr>
        <w:t>建设内容</w:t>
      </w:r>
      <w:bookmarkEnd w:id="116"/>
    </w:p>
    <w:p>
      <w:pPr>
        <w:pStyle w:val="49"/>
        <w:ind w:firstLine="480"/>
      </w:pPr>
      <w:bookmarkStart w:id="117" w:name="_Hlk172126224"/>
      <w:r>
        <w:rPr>
          <w:rFonts w:hint="eastAsia"/>
        </w:rPr>
        <w:t>本项目占地面积</w:t>
      </w:r>
      <w:r>
        <w:rPr>
          <w:rFonts w:hint="eastAsia" w:cs="Times New Roman"/>
          <w:szCs w:val="28"/>
        </w:rPr>
        <w:t>76953</w:t>
      </w:r>
      <w:r>
        <w:rPr>
          <w:rFonts w:hint="eastAsia"/>
        </w:rPr>
        <w:t>m</w:t>
      </w:r>
      <w:r>
        <w:rPr>
          <w:rFonts w:hint="eastAsia"/>
          <w:vertAlign w:val="superscript"/>
        </w:rPr>
        <w:t>2</w:t>
      </w:r>
      <w:r>
        <w:rPr>
          <w:rFonts w:hint="eastAsia"/>
        </w:rPr>
        <w:t>，总建筑面积约18775m</w:t>
      </w:r>
      <w:r>
        <w:rPr>
          <w:rFonts w:hint="eastAsia"/>
          <w:vertAlign w:val="superscript"/>
        </w:rPr>
        <w:t>2</w:t>
      </w:r>
      <w:r>
        <w:rPr>
          <w:rFonts w:hint="eastAsia"/>
        </w:rPr>
        <w:t>，主要建设内容包括7栋标准化鸡舍及配套的蛋库、料塔、鸡粪风干车间、办公生活区、门卫室、多媒体教室、淋浴区、宿舍、维修房及库房、配电房、冰冻库等。项目建成后，年存栏120万羽蛋鸡，年产鸡蛋4.4亿枚。</w:t>
      </w:r>
      <w:bookmarkEnd w:id="117"/>
      <w:r>
        <w:t>本项目主要建设内容见表</w:t>
      </w:r>
      <w:r>
        <w:rPr>
          <w:rFonts w:hint="eastAsia"/>
        </w:rPr>
        <w:t>3.1-1。</w:t>
      </w:r>
    </w:p>
    <w:p>
      <w:pPr>
        <w:pStyle w:val="53"/>
      </w:pPr>
      <w:r>
        <w:rPr>
          <w:rFonts w:hint="eastAsia"/>
        </w:rPr>
        <w:t>表3.1-1 项目主要建设内容一览表</w:t>
      </w:r>
    </w:p>
    <w:tbl>
      <w:tblPr>
        <w:tblStyle w:val="4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59"/>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类别</w:t>
            </w:r>
          </w:p>
        </w:tc>
        <w:tc>
          <w:tcPr>
            <w:tcW w:w="1559" w:type="dxa"/>
            <w:vAlign w:val="center"/>
          </w:tcPr>
          <w:p>
            <w:pPr>
              <w:pStyle w:val="51"/>
            </w:pPr>
            <w:r>
              <w:rPr>
                <w:rFonts w:hint="eastAsia"/>
              </w:rPr>
              <w:t>项目名称</w:t>
            </w:r>
          </w:p>
        </w:tc>
        <w:tc>
          <w:tcPr>
            <w:tcW w:w="6096" w:type="dxa"/>
            <w:vAlign w:val="center"/>
          </w:tcPr>
          <w:p>
            <w:pPr>
              <w:pStyle w:val="51"/>
            </w:pPr>
            <w:r>
              <w:rPr>
                <w:rFonts w:hint="eastAsia"/>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04" w:type="dxa"/>
            <w:vAlign w:val="center"/>
          </w:tcPr>
          <w:p>
            <w:pPr>
              <w:pStyle w:val="51"/>
            </w:pPr>
            <w:r>
              <w:rPr>
                <w:rFonts w:hint="eastAsia"/>
              </w:rPr>
              <w:t>主体工程</w:t>
            </w:r>
          </w:p>
        </w:tc>
        <w:tc>
          <w:tcPr>
            <w:tcW w:w="1559" w:type="dxa"/>
            <w:vAlign w:val="center"/>
          </w:tcPr>
          <w:p>
            <w:pPr>
              <w:pStyle w:val="51"/>
            </w:pPr>
            <w:r>
              <w:rPr>
                <w:rFonts w:hint="eastAsia"/>
              </w:rPr>
              <w:t>鸡舍</w:t>
            </w:r>
          </w:p>
        </w:tc>
        <w:tc>
          <w:tcPr>
            <w:tcW w:w="6096" w:type="dxa"/>
            <w:vAlign w:val="center"/>
          </w:tcPr>
          <w:p>
            <w:pPr>
              <w:pStyle w:val="51"/>
            </w:pPr>
            <w:r>
              <w:rPr>
                <w:rFonts w:hint="eastAsia"/>
              </w:rPr>
              <w:t>7栋标准化鸡舍，每栋建筑面积1854m</w:t>
            </w:r>
            <w:r>
              <w:rPr>
                <w:rFonts w:hint="eastAsia"/>
                <w:vertAlign w:val="superscript"/>
              </w:rPr>
              <w:t>2</w:t>
            </w:r>
            <w:r>
              <w:rPr>
                <w:rFonts w:hint="eastAsia"/>
              </w:rPr>
              <w:t>（103m*18m），单层钢结构，采用自动喂料、乳头式饮、自动送料、自动集粪、驱槽、螺旋推进、水帘降温及电脑控制等五列六层叠式饲养系统。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pStyle w:val="51"/>
            </w:pPr>
            <w:r>
              <w:rPr>
                <w:rFonts w:hint="eastAsia"/>
              </w:rPr>
              <w:t>辅助工程</w:t>
            </w:r>
          </w:p>
        </w:tc>
        <w:tc>
          <w:tcPr>
            <w:tcW w:w="1559" w:type="dxa"/>
            <w:vAlign w:val="center"/>
          </w:tcPr>
          <w:p>
            <w:pPr>
              <w:pStyle w:val="51"/>
            </w:pPr>
            <w:r>
              <w:rPr>
                <w:rFonts w:hint="eastAsia"/>
              </w:rPr>
              <w:t>蛋库</w:t>
            </w:r>
          </w:p>
        </w:tc>
        <w:tc>
          <w:tcPr>
            <w:tcW w:w="6096" w:type="dxa"/>
            <w:vAlign w:val="center"/>
          </w:tcPr>
          <w:p>
            <w:pPr>
              <w:pStyle w:val="51"/>
            </w:pPr>
            <w:r>
              <w:rPr>
                <w:rFonts w:hint="eastAsia"/>
              </w:rPr>
              <w:t>单层钢结构，建筑面积2100m</w:t>
            </w:r>
            <w:r>
              <w:rPr>
                <w:rFonts w:hint="eastAsia"/>
                <w:vertAlign w:val="superscript"/>
              </w:rPr>
              <w:t>2</w:t>
            </w:r>
            <w:r>
              <w:rPr>
                <w:rFonts w:hint="eastAsia"/>
              </w:rPr>
              <w:t>（60m*35m）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料塔</w:t>
            </w:r>
          </w:p>
        </w:tc>
        <w:tc>
          <w:tcPr>
            <w:tcW w:w="6096" w:type="dxa"/>
            <w:vAlign w:val="center"/>
          </w:tcPr>
          <w:p>
            <w:pPr>
              <w:pStyle w:val="51"/>
            </w:pPr>
            <w:r>
              <w:rPr>
                <w:rFonts w:hint="eastAsia"/>
              </w:rPr>
              <w:t>共14座，每座容积为20</w:t>
            </w:r>
            <w:r>
              <w:t>m</w:t>
            </w:r>
            <w:r>
              <w:rPr>
                <w:vertAlign w:val="superscript"/>
              </w:rPr>
              <w:t>3</w:t>
            </w:r>
            <w:r>
              <w:rPr>
                <w:rFonts w:hint="eastAsia"/>
              </w:rPr>
              <w:t>，位于鸡舍前端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鸡粪风干车间</w:t>
            </w:r>
          </w:p>
        </w:tc>
        <w:tc>
          <w:tcPr>
            <w:tcW w:w="6096" w:type="dxa"/>
            <w:vAlign w:val="center"/>
          </w:tcPr>
          <w:p>
            <w:pPr>
              <w:pStyle w:val="51"/>
            </w:pPr>
            <w:r>
              <w:rPr>
                <w:rFonts w:hint="eastAsia"/>
              </w:rPr>
              <w:t>单层钢结构，建筑面积1400m</w:t>
            </w:r>
            <w:r>
              <w:rPr>
                <w:rFonts w:hint="eastAsia"/>
                <w:vertAlign w:val="superscript"/>
              </w:rPr>
              <w:t>2</w:t>
            </w:r>
            <w:r>
              <w:rPr>
                <w:rFonts w:hint="eastAsia"/>
              </w:rPr>
              <w:t>（70m*20m）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办公生活区</w:t>
            </w:r>
          </w:p>
        </w:tc>
        <w:tc>
          <w:tcPr>
            <w:tcW w:w="6096" w:type="dxa"/>
            <w:vAlign w:val="center"/>
          </w:tcPr>
          <w:p>
            <w:pPr>
              <w:pStyle w:val="51"/>
            </w:pPr>
            <w:r>
              <w:rPr>
                <w:rFonts w:hint="eastAsia"/>
              </w:rPr>
              <w:t>单层砖混结构，建筑面积250m</w:t>
            </w:r>
            <w:r>
              <w:rPr>
                <w:rFonts w:hint="eastAsia"/>
                <w:vertAlign w:val="superscript"/>
              </w:rPr>
              <w:t>2</w:t>
            </w:r>
            <w:r>
              <w:rPr>
                <w:rFonts w:hint="eastAsia"/>
              </w:rPr>
              <w:t>，设接待室、总经理办公室、财务室、会议室、疫苗药品室、危废暂存间、库房、厨房、餐厅等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淋浴区</w:t>
            </w:r>
          </w:p>
        </w:tc>
        <w:tc>
          <w:tcPr>
            <w:tcW w:w="6096" w:type="dxa"/>
            <w:vAlign w:val="center"/>
          </w:tcPr>
          <w:p>
            <w:pPr>
              <w:pStyle w:val="51"/>
            </w:pPr>
            <w:r>
              <w:rPr>
                <w:rFonts w:hint="eastAsia"/>
              </w:rPr>
              <w:t>单层砖混结构，建筑面积230m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门卫室</w:t>
            </w:r>
          </w:p>
        </w:tc>
        <w:tc>
          <w:tcPr>
            <w:tcW w:w="6096" w:type="dxa"/>
            <w:vAlign w:val="center"/>
          </w:tcPr>
          <w:p>
            <w:pPr>
              <w:pStyle w:val="51"/>
            </w:pPr>
            <w:r>
              <w:rPr>
                <w:rFonts w:hint="eastAsia"/>
              </w:rPr>
              <w:t>单层砖混结构，建筑面积40m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多媒体教室</w:t>
            </w:r>
          </w:p>
        </w:tc>
        <w:tc>
          <w:tcPr>
            <w:tcW w:w="6096" w:type="dxa"/>
            <w:vAlign w:val="center"/>
          </w:tcPr>
          <w:p>
            <w:pPr>
              <w:pStyle w:val="51"/>
            </w:pPr>
            <w:r>
              <w:rPr>
                <w:rFonts w:hint="eastAsia"/>
              </w:rPr>
              <w:t>单层砖混结构，建筑面积864m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宿舍</w:t>
            </w:r>
          </w:p>
        </w:tc>
        <w:tc>
          <w:tcPr>
            <w:tcW w:w="6096" w:type="dxa"/>
            <w:vAlign w:val="center"/>
          </w:tcPr>
          <w:p>
            <w:pPr>
              <w:pStyle w:val="51"/>
            </w:pPr>
            <w:r>
              <w:rPr>
                <w:rFonts w:hint="eastAsia"/>
              </w:rPr>
              <w:t>2栋宿舍，每栋建筑面积254m</w:t>
            </w:r>
            <w:r>
              <w:rPr>
                <w:rFonts w:hint="eastAsia"/>
                <w:vertAlign w:val="superscript"/>
              </w:rPr>
              <w:t>2</w:t>
            </w:r>
            <w:r>
              <w:rPr>
                <w:rFonts w:hint="eastAsia"/>
              </w:rPr>
              <w:t>，单层砖混结构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Merge w:val="continue"/>
            <w:vAlign w:val="center"/>
          </w:tcPr>
          <w:p>
            <w:pPr>
              <w:pStyle w:val="51"/>
            </w:pPr>
          </w:p>
        </w:tc>
        <w:tc>
          <w:tcPr>
            <w:tcW w:w="1559" w:type="dxa"/>
            <w:vAlign w:val="center"/>
          </w:tcPr>
          <w:p>
            <w:pPr>
              <w:pStyle w:val="51"/>
            </w:pPr>
            <w:r>
              <w:rPr>
                <w:rFonts w:hint="eastAsia"/>
              </w:rPr>
              <w:t>维修房及库房</w:t>
            </w:r>
          </w:p>
        </w:tc>
        <w:tc>
          <w:tcPr>
            <w:tcW w:w="6096" w:type="dxa"/>
            <w:vAlign w:val="center"/>
          </w:tcPr>
          <w:p>
            <w:pPr>
              <w:pStyle w:val="51"/>
            </w:pPr>
            <w:r>
              <w:rPr>
                <w:rFonts w:hint="eastAsia"/>
              </w:rPr>
              <w:t>单层砖混结构，建筑面积200m</w:t>
            </w:r>
            <w:r>
              <w:rPr>
                <w:rFonts w:hint="eastAsia"/>
                <w:vertAlign w:val="superscript"/>
              </w:rPr>
              <w:t>2</w:t>
            </w:r>
            <w:r>
              <w:rPr>
                <w:rFonts w:hint="eastAsia"/>
              </w:rPr>
              <w:t>，设有一般固废暂存间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Merge w:val="continue"/>
            <w:vAlign w:val="center"/>
          </w:tcPr>
          <w:p>
            <w:pPr>
              <w:pStyle w:val="51"/>
            </w:pPr>
          </w:p>
        </w:tc>
        <w:tc>
          <w:tcPr>
            <w:tcW w:w="1559" w:type="dxa"/>
            <w:vAlign w:val="center"/>
          </w:tcPr>
          <w:p>
            <w:pPr>
              <w:pStyle w:val="51"/>
            </w:pPr>
            <w:r>
              <w:rPr>
                <w:rFonts w:hint="eastAsia"/>
              </w:rPr>
              <w:t>配电房</w:t>
            </w:r>
          </w:p>
        </w:tc>
        <w:tc>
          <w:tcPr>
            <w:tcW w:w="6096" w:type="dxa"/>
            <w:vAlign w:val="center"/>
          </w:tcPr>
          <w:p>
            <w:pPr>
              <w:pStyle w:val="51"/>
            </w:pPr>
            <w:r>
              <w:rPr>
                <w:rFonts w:hint="eastAsia"/>
              </w:rPr>
              <w:t>单层砖混结构，建筑面积200m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车辆消毒池</w:t>
            </w:r>
          </w:p>
        </w:tc>
        <w:tc>
          <w:tcPr>
            <w:tcW w:w="6096" w:type="dxa"/>
            <w:vAlign w:val="center"/>
          </w:tcPr>
          <w:p>
            <w:pPr>
              <w:pStyle w:val="51"/>
            </w:pPr>
            <w:r>
              <w:rPr>
                <w:rFonts w:hint="eastAsia"/>
              </w:rPr>
              <w:t>场区入口处，设置车轮消毒池，占地面积 30</w:t>
            </w:r>
            <w:r>
              <w:t>m</w:t>
            </w:r>
            <w:r>
              <w:rPr>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冰冻库</w:t>
            </w:r>
          </w:p>
        </w:tc>
        <w:tc>
          <w:tcPr>
            <w:tcW w:w="6096" w:type="dxa"/>
            <w:vAlign w:val="center"/>
          </w:tcPr>
          <w:p>
            <w:pPr>
              <w:pStyle w:val="51"/>
            </w:pPr>
            <w:r>
              <w:rPr>
                <w:rFonts w:hint="eastAsia"/>
              </w:rPr>
              <w:t>建筑面积 5</w:t>
            </w:r>
            <w:r>
              <w:t>m</w:t>
            </w:r>
            <w:r>
              <w:rPr>
                <w:vertAlign w:val="superscript"/>
              </w:rPr>
              <w:t>2</w:t>
            </w:r>
            <w:r>
              <w:rPr>
                <w:rFonts w:hint="eastAsia"/>
              </w:rPr>
              <w:t>，冷冻库位于场区南间，用于储存病死鸡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pStyle w:val="51"/>
            </w:pPr>
            <w:r>
              <w:rPr>
                <w:rFonts w:hint="eastAsia"/>
              </w:rPr>
              <w:t>公用工程</w:t>
            </w:r>
          </w:p>
        </w:tc>
        <w:tc>
          <w:tcPr>
            <w:tcW w:w="1559" w:type="dxa"/>
            <w:vAlign w:val="center"/>
          </w:tcPr>
          <w:p>
            <w:pPr>
              <w:pStyle w:val="51"/>
            </w:pPr>
            <w:r>
              <w:rPr>
                <w:rFonts w:hint="eastAsia"/>
              </w:rPr>
              <w:t>供电</w:t>
            </w:r>
          </w:p>
        </w:tc>
        <w:tc>
          <w:tcPr>
            <w:tcW w:w="6096" w:type="dxa"/>
            <w:vAlign w:val="center"/>
          </w:tcPr>
          <w:p>
            <w:pPr>
              <w:pStyle w:val="51"/>
            </w:pPr>
            <w:r>
              <w:rPr>
                <w:rFonts w:hint="eastAsia"/>
              </w:rPr>
              <w:t>市政电网供电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供水</w:t>
            </w:r>
          </w:p>
        </w:tc>
        <w:tc>
          <w:tcPr>
            <w:tcW w:w="6096" w:type="dxa"/>
            <w:vAlign w:val="center"/>
          </w:tcPr>
          <w:p>
            <w:pPr>
              <w:pStyle w:val="51"/>
            </w:pPr>
            <w:r>
              <w:rPr>
                <w:rFonts w:hint="eastAsia"/>
              </w:rPr>
              <w:t>场区地下水井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排水</w:t>
            </w:r>
          </w:p>
        </w:tc>
        <w:tc>
          <w:tcPr>
            <w:tcW w:w="6096" w:type="dxa"/>
            <w:vAlign w:val="center"/>
          </w:tcPr>
          <w:p>
            <w:pPr>
              <w:pStyle w:val="51"/>
            </w:pPr>
            <w:r>
              <w:rPr>
                <w:rFonts w:hint="eastAsia"/>
              </w:rPr>
              <w:t>场区采取雨污分流，雨水经场区雨水管网排至场外雨水沟；鸡舍冲洗废水和生活污水一起进入一体化污水处理设施处理达标后，用于周边林地灌溉，不外排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dxa"/>
            <w:vMerge w:val="continue"/>
            <w:vAlign w:val="center"/>
          </w:tcPr>
          <w:p>
            <w:pPr>
              <w:pStyle w:val="51"/>
            </w:pPr>
          </w:p>
        </w:tc>
        <w:tc>
          <w:tcPr>
            <w:tcW w:w="1559" w:type="dxa"/>
            <w:vAlign w:val="center"/>
          </w:tcPr>
          <w:p>
            <w:pPr>
              <w:pStyle w:val="51"/>
            </w:pPr>
            <w:r>
              <w:rPr>
                <w:rFonts w:hint="eastAsia"/>
              </w:rPr>
              <w:t>通风降温系统</w:t>
            </w:r>
          </w:p>
        </w:tc>
        <w:tc>
          <w:tcPr>
            <w:tcW w:w="6096" w:type="dxa"/>
            <w:vAlign w:val="center"/>
          </w:tcPr>
          <w:p>
            <w:pPr>
              <w:pStyle w:val="51"/>
            </w:pPr>
            <w:r>
              <w:rPr>
                <w:rFonts w:hint="eastAsia"/>
              </w:rPr>
              <w:t>鸡舍采用风机进行通风，均安装水帘降温设备，主要用于夏季降低鸡舍内的温度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dxa"/>
            <w:vMerge w:val="restart"/>
            <w:vAlign w:val="center"/>
          </w:tcPr>
          <w:p>
            <w:pPr>
              <w:pStyle w:val="51"/>
            </w:pPr>
            <w:r>
              <w:rPr>
                <w:rFonts w:hint="eastAsia"/>
              </w:rPr>
              <w:t>环保工程</w:t>
            </w:r>
          </w:p>
        </w:tc>
        <w:tc>
          <w:tcPr>
            <w:tcW w:w="1559" w:type="dxa"/>
            <w:vAlign w:val="center"/>
          </w:tcPr>
          <w:p>
            <w:pPr>
              <w:pStyle w:val="51"/>
            </w:pPr>
            <w:r>
              <w:rPr>
                <w:rFonts w:hint="eastAsia"/>
              </w:rPr>
              <w:t>废水</w:t>
            </w:r>
          </w:p>
        </w:tc>
        <w:tc>
          <w:tcPr>
            <w:tcW w:w="6096" w:type="dxa"/>
            <w:vAlign w:val="center"/>
          </w:tcPr>
          <w:p>
            <w:pPr>
              <w:pStyle w:val="51"/>
              <w:rPr>
                <w:snapToGrid w:val="0"/>
              </w:rPr>
            </w:pPr>
            <w:r>
              <w:rPr>
                <w:rFonts w:hint="eastAsia"/>
              </w:rPr>
              <w:t>鸡舍冲洗废水和生活污水一起进入一体化污水处理设施（处理规模5m</w:t>
            </w:r>
            <w:r>
              <w:rPr>
                <w:rFonts w:hint="eastAsia"/>
                <w:vertAlign w:val="superscript"/>
              </w:rPr>
              <w:t>3</w:t>
            </w:r>
            <w:r>
              <w:rPr>
                <w:rFonts w:hint="eastAsia"/>
              </w:rPr>
              <w:t>/d，采用</w:t>
            </w:r>
            <w:r>
              <w:rPr>
                <w:rFonts w:ascii="宋体" w:hAnsi="宋体"/>
                <w:szCs w:val="21"/>
              </w:rPr>
              <w:t>“</w:t>
            </w:r>
            <w:r>
              <w:rPr>
                <w:rFonts w:hint="eastAsia"/>
                <w:szCs w:val="21"/>
              </w:rPr>
              <w:t>格栅池+调节池+水解酸化池+A/O池+沉淀池+消毒池</w:t>
            </w:r>
            <w:r>
              <w:rPr>
                <w:rFonts w:ascii="宋体" w:hAnsi="宋体"/>
                <w:szCs w:val="21"/>
              </w:rPr>
              <w:t>”</w:t>
            </w:r>
            <w:r>
              <w:rPr>
                <w:rFonts w:hint="eastAsia" w:ascii="宋体" w:hAnsi="宋体"/>
                <w:szCs w:val="21"/>
              </w:rPr>
              <w:t>处理工艺</w:t>
            </w:r>
            <w:r>
              <w:rPr>
                <w:rFonts w:hint="eastAsia"/>
              </w:rPr>
              <w:t>）处理达标后，用于周边林地灌溉，不外排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废气</w:t>
            </w:r>
          </w:p>
        </w:tc>
        <w:tc>
          <w:tcPr>
            <w:tcW w:w="6096" w:type="dxa"/>
            <w:vAlign w:val="center"/>
          </w:tcPr>
          <w:p>
            <w:pPr>
              <w:pStyle w:val="51"/>
              <w:jc w:val="both"/>
            </w:pPr>
            <w:r>
              <w:rPr>
                <w:rFonts w:hint="eastAsia" w:ascii="宋体" w:hAnsi="宋体"/>
              </w:rPr>
              <w:t>鸡舍恶臭、粉尘：</w:t>
            </w:r>
            <w:r>
              <w:rPr>
                <w:rFonts w:hint="eastAsia"/>
              </w:rPr>
              <w:t>在饲料中添加EM菌对蛋鸡进行喂养，同时鸡粪采用干清粪封闭式输送带输送，每天及时清运、加强通风，定期喷洒生物除臭剂，加强绿化；</w:t>
            </w: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r>
              <w:rPr>
                <w:rFonts w:hint="eastAsia" w:ascii="宋体" w:hAnsi="宋体"/>
              </w:rPr>
              <w:t>鸡粪风干车间恶臭：</w:t>
            </w:r>
            <w:r>
              <w:rPr>
                <w:rFonts w:hint="eastAsia"/>
              </w:rPr>
              <w:t>在鸡粪风干车间风道出口设置高压水帘装置，并使用微生物除臭剂溶液作为循环水，每日对车间周边喷洒生物除臭剂。一体化污水处理设施恶臭：厌氧段污水处理设施均密闭，定期喷洒除臭剂，加强绿化。</w:t>
            </w:r>
            <w:r>
              <w:rPr>
                <w:rFonts w:hint="eastAsia" w:ascii="宋体" w:hAnsi="宋体"/>
              </w:rPr>
              <w:t>备用柴油发电机废气：采用低硫柴油，产生的尾气由专用烟道引至屋顶排放；食堂油烟：由油烟机处理后通过专用烟道引至楼顶排放。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固废</w:t>
            </w:r>
          </w:p>
        </w:tc>
        <w:tc>
          <w:tcPr>
            <w:tcW w:w="6096" w:type="dxa"/>
            <w:vAlign w:val="center"/>
          </w:tcPr>
          <w:p>
            <w:pPr>
              <w:pStyle w:val="51"/>
              <w:jc w:val="both"/>
            </w:pPr>
            <w:r>
              <w:rPr>
                <w:rFonts w:hint="eastAsia" w:ascii="宋体" w:hAnsi="宋体"/>
              </w:rPr>
              <w:t>鸡粪、污泥送鸡粪风干车间风干后，转运至湖南恩润生物科技有限公司制造有机肥；病死鸡</w:t>
            </w:r>
            <w:r>
              <w:rPr>
                <w:rFonts w:hint="eastAsia"/>
              </w:rPr>
              <w:t>在冷冻库暂存后定期交由永州恩泉环保科技有限公司无害化处置；废包装材料收集在一般固废暂存间内暂存，再外售综合利用；</w:t>
            </w:r>
            <w:r>
              <w:rPr>
                <w:rFonts w:hint="eastAsia" w:ascii="宋体" w:hAnsi="宋体"/>
              </w:rPr>
              <w:t>医疗垃圾在危废暂存间分类暂存，再定期交由有资质单位处置；生活垃圾收集后由环卫部门统一清运处理。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噪声</w:t>
            </w:r>
          </w:p>
        </w:tc>
        <w:tc>
          <w:tcPr>
            <w:tcW w:w="6096" w:type="dxa"/>
            <w:vAlign w:val="center"/>
          </w:tcPr>
          <w:p>
            <w:pPr>
              <w:pStyle w:val="51"/>
            </w:pPr>
            <w:r>
              <w:rPr>
                <w:rFonts w:hint="eastAsia"/>
              </w:rPr>
              <w:t xml:space="preserve">各类机械、风机、水泵等：选用低噪声设备，落实减振、隔声等措施； </w:t>
            </w:r>
            <w:r>
              <w:rPr>
                <w:rFonts w:hint="eastAsia" w:ascii="宋体" w:hAnsi="宋体"/>
              </w:rPr>
              <w:t>运输机械噪声：减速慢行、禁止鸣笛。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559" w:type="dxa"/>
            <w:vAlign w:val="center"/>
          </w:tcPr>
          <w:p>
            <w:pPr>
              <w:pStyle w:val="51"/>
            </w:pPr>
            <w:r>
              <w:rPr>
                <w:rFonts w:hint="eastAsia"/>
              </w:rPr>
              <w:t>环境风险</w:t>
            </w:r>
          </w:p>
        </w:tc>
        <w:tc>
          <w:tcPr>
            <w:tcW w:w="6096" w:type="dxa"/>
            <w:vAlign w:val="center"/>
          </w:tcPr>
          <w:p>
            <w:pPr>
              <w:pStyle w:val="51"/>
            </w:pPr>
            <w:r>
              <w:rPr>
                <w:rFonts w:hint="eastAsia"/>
              </w:rPr>
              <w:t>设有事故应急池（70m</w:t>
            </w:r>
            <w:r>
              <w:rPr>
                <w:rFonts w:hint="eastAsia"/>
                <w:vertAlign w:val="superscript"/>
              </w:rPr>
              <w:t>3</w:t>
            </w:r>
            <w:r>
              <w:rPr>
                <w:rFonts w:hint="eastAsia"/>
              </w:rPr>
              <w:t>）</w:t>
            </w:r>
          </w:p>
        </w:tc>
      </w:tr>
    </w:tbl>
    <w:p>
      <w:pPr>
        <w:pStyle w:val="4"/>
      </w:pPr>
      <w:bookmarkStart w:id="118" w:name="_Toc194481147"/>
      <w:r>
        <w:rPr>
          <w:rFonts w:hint="eastAsia"/>
        </w:rPr>
        <w:t>3</w:t>
      </w:r>
      <w:r>
        <w:t>.</w:t>
      </w:r>
      <w:r>
        <w:rPr>
          <w:rFonts w:hint="eastAsia"/>
        </w:rPr>
        <w:t>1</w:t>
      </w:r>
      <w:r>
        <w:t>.</w:t>
      </w:r>
      <w:r>
        <w:rPr>
          <w:rFonts w:hint="eastAsia"/>
        </w:rPr>
        <w:t>3</w:t>
      </w:r>
      <w:r>
        <w:t xml:space="preserve"> </w:t>
      </w:r>
      <w:r>
        <w:rPr>
          <w:rFonts w:hint="eastAsia" w:cs="Times New Roman"/>
          <w:color w:val="000000"/>
          <w:szCs w:val="28"/>
        </w:rPr>
        <w:t>产品方案</w:t>
      </w:r>
      <w:bookmarkEnd w:id="118"/>
    </w:p>
    <w:p>
      <w:pPr>
        <w:pStyle w:val="199"/>
        <w:overflowPunct w:val="0"/>
        <w:rPr>
          <w:szCs w:val="22"/>
        </w:rPr>
      </w:pPr>
      <w:r>
        <w:rPr>
          <w:rFonts w:hint="eastAsia"/>
          <w:szCs w:val="22"/>
        </w:rPr>
        <w:t>项目建成后年存栏蛋鸡120万羽，年产优质无害鸡蛋4.4亿枚；项目外购规范化种鸡场的90~120日龄左右育成鸡，饲养430~460日，饲养至550日龄时淘汰，则养鸡场一年淘汰蛋鸡约80万羽，淘汰的蛋鸡直接外售。</w:t>
      </w:r>
    </w:p>
    <w:p>
      <w:pPr>
        <w:pStyle w:val="199"/>
        <w:overflowPunct w:val="0"/>
        <w:rPr>
          <w:szCs w:val="22"/>
        </w:rPr>
      </w:pPr>
      <w:r>
        <w:rPr>
          <w:rFonts w:hint="eastAsia"/>
          <w:szCs w:val="22"/>
        </w:rPr>
        <w:t>项目产品方案详见下表</w:t>
      </w:r>
      <w:r>
        <w:rPr>
          <w:szCs w:val="22"/>
        </w:rPr>
        <w:t>。</w:t>
      </w:r>
    </w:p>
    <w:p>
      <w:pPr>
        <w:pStyle w:val="53"/>
      </w:pPr>
      <w:r>
        <w:rPr>
          <w:rFonts w:hint="eastAsia"/>
        </w:rPr>
        <w:t>表3.1-2  项目产品方案及存栏量</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3"/>
        <w:gridCol w:w="1383"/>
        <w:gridCol w:w="1382"/>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pStyle w:val="51"/>
            </w:pPr>
            <w:r>
              <w:t>序号</w:t>
            </w:r>
          </w:p>
        </w:tc>
        <w:tc>
          <w:tcPr>
            <w:tcW w:w="1383" w:type="dxa"/>
            <w:vAlign w:val="center"/>
          </w:tcPr>
          <w:p>
            <w:pPr>
              <w:pStyle w:val="51"/>
            </w:pPr>
            <w:r>
              <w:t>主副类型</w:t>
            </w:r>
          </w:p>
        </w:tc>
        <w:tc>
          <w:tcPr>
            <w:tcW w:w="1383" w:type="dxa"/>
            <w:vAlign w:val="center"/>
          </w:tcPr>
          <w:p>
            <w:pPr>
              <w:pStyle w:val="51"/>
            </w:pPr>
            <w:r>
              <w:t>产品名称</w:t>
            </w:r>
          </w:p>
        </w:tc>
        <w:tc>
          <w:tcPr>
            <w:tcW w:w="1382" w:type="dxa"/>
            <w:vAlign w:val="center"/>
          </w:tcPr>
          <w:p>
            <w:pPr>
              <w:pStyle w:val="51"/>
            </w:pPr>
            <w:r>
              <w:t>单位</w:t>
            </w:r>
          </w:p>
        </w:tc>
        <w:tc>
          <w:tcPr>
            <w:tcW w:w="1383" w:type="dxa"/>
            <w:vAlign w:val="center"/>
          </w:tcPr>
          <w:p>
            <w:pPr>
              <w:pStyle w:val="51"/>
            </w:pPr>
            <w:r>
              <w:t>数量</w:t>
            </w:r>
          </w:p>
        </w:tc>
        <w:tc>
          <w:tcPr>
            <w:tcW w:w="1383" w:type="dxa"/>
            <w:vAlign w:val="center"/>
          </w:tcPr>
          <w:p>
            <w:pPr>
              <w:pStyle w:val="51"/>
            </w:pPr>
            <w: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pStyle w:val="51"/>
            </w:pPr>
            <w:r>
              <w:rPr>
                <w:rFonts w:hint="eastAsia"/>
              </w:rPr>
              <w:t>1</w:t>
            </w:r>
          </w:p>
        </w:tc>
        <w:tc>
          <w:tcPr>
            <w:tcW w:w="1383" w:type="dxa"/>
            <w:vAlign w:val="center"/>
          </w:tcPr>
          <w:p>
            <w:pPr>
              <w:pStyle w:val="51"/>
            </w:pPr>
            <w:r>
              <w:t>主产品</w:t>
            </w:r>
          </w:p>
        </w:tc>
        <w:tc>
          <w:tcPr>
            <w:tcW w:w="1383" w:type="dxa"/>
            <w:vAlign w:val="center"/>
          </w:tcPr>
          <w:p>
            <w:pPr>
              <w:pStyle w:val="51"/>
            </w:pPr>
            <w:r>
              <w:t>鸡蛋</w:t>
            </w:r>
          </w:p>
        </w:tc>
        <w:tc>
          <w:tcPr>
            <w:tcW w:w="1382" w:type="dxa"/>
            <w:vAlign w:val="center"/>
          </w:tcPr>
          <w:p>
            <w:pPr>
              <w:pStyle w:val="51"/>
            </w:pPr>
            <w:r>
              <w:rPr>
                <w:rFonts w:hint="eastAsia"/>
              </w:rPr>
              <w:t>枚/年</w:t>
            </w:r>
          </w:p>
        </w:tc>
        <w:tc>
          <w:tcPr>
            <w:tcW w:w="1383" w:type="dxa"/>
            <w:vAlign w:val="center"/>
          </w:tcPr>
          <w:p>
            <w:pPr>
              <w:pStyle w:val="51"/>
            </w:pPr>
            <w:r>
              <w:rPr>
                <w:rFonts w:hint="eastAsia"/>
                <w:szCs w:val="22"/>
              </w:rPr>
              <w:t>4.4亿</w:t>
            </w:r>
          </w:p>
        </w:tc>
        <w:tc>
          <w:tcPr>
            <w:tcW w:w="1383" w:type="dxa"/>
            <w:vAlign w:val="center"/>
          </w:tcPr>
          <w:p>
            <w:pPr>
              <w:pStyle w:val="51"/>
            </w:pPr>
            <w:r>
              <w:rPr>
                <w:rFonts w:hint="eastAsia"/>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pStyle w:val="51"/>
            </w:pPr>
            <w:r>
              <w:rPr>
                <w:rFonts w:hint="eastAsia"/>
              </w:rPr>
              <w:t>2</w:t>
            </w:r>
          </w:p>
        </w:tc>
        <w:tc>
          <w:tcPr>
            <w:tcW w:w="1383" w:type="dxa"/>
            <w:vAlign w:val="center"/>
          </w:tcPr>
          <w:p>
            <w:pPr>
              <w:pStyle w:val="51"/>
            </w:pPr>
            <w:r>
              <w:t>副产品</w:t>
            </w:r>
          </w:p>
        </w:tc>
        <w:tc>
          <w:tcPr>
            <w:tcW w:w="1383" w:type="dxa"/>
            <w:vAlign w:val="center"/>
          </w:tcPr>
          <w:p>
            <w:pPr>
              <w:pStyle w:val="51"/>
            </w:pPr>
            <w:r>
              <w:t>淘汰鸡</w:t>
            </w:r>
          </w:p>
        </w:tc>
        <w:tc>
          <w:tcPr>
            <w:tcW w:w="1382" w:type="dxa"/>
            <w:vAlign w:val="center"/>
          </w:tcPr>
          <w:p>
            <w:pPr>
              <w:pStyle w:val="51"/>
            </w:pPr>
            <w:r>
              <w:rPr>
                <w:rFonts w:hint="eastAsia"/>
              </w:rPr>
              <w:t>羽/年</w:t>
            </w:r>
          </w:p>
        </w:tc>
        <w:tc>
          <w:tcPr>
            <w:tcW w:w="1383" w:type="dxa"/>
            <w:vAlign w:val="center"/>
          </w:tcPr>
          <w:p>
            <w:pPr>
              <w:pStyle w:val="51"/>
            </w:pPr>
            <w:r>
              <w:rPr>
                <w:rFonts w:hint="eastAsia"/>
                <w:szCs w:val="22"/>
              </w:rPr>
              <w:t>80万</w:t>
            </w:r>
          </w:p>
        </w:tc>
        <w:tc>
          <w:tcPr>
            <w:tcW w:w="1383" w:type="dxa"/>
            <w:vAlign w:val="center"/>
          </w:tcPr>
          <w:p>
            <w:pPr>
              <w:pStyle w:val="51"/>
            </w:pPr>
            <w:r>
              <w:rPr>
                <w:rFonts w:hint="eastAsia"/>
              </w:rPr>
              <w:t>外售</w:t>
            </w:r>
          </w:p>
        </w:tc>
      </w:tr>
    </w:tbl>
    <w:p>
      <w:pPr>
        <w:pStyle w:val="4"/>
      </w:pPr>
      <w:bookmarkStart w:id="119" w:name="_Toc194481148"/>
      <w:r>
        <w:rPr>
          <w:rFonts w:hint="eastAsia"/>
        </w:rPr>
        <w:t>3</w:t>
      </w:r>
      <w:r>
        <w:t>.</w:t>
      </w:r>
      <w:r>
        <w:rPr>
          <w:rFonts w:hint="eastAsia"/>
        </w:rPr>
        <w:t>1</w:t>
      </w:r>
      <w:r>
        <w:t>.</w:t>
      </w:r>
      <w:r>
        <w:rPr>
          <w:rFonts w:hint="eastAsia"/>
        </w:rPr>
        <w:t>4</w:t>
      </w:r>
      <w:r>
        <w:t xml:space="preserve"> </w:t>
      </w:r>
      <w:r>
        <w:rPr>
          <w:rFonts w:hint="eastAsia" w:cs="Times New Roman"/>
          <w:color w:val="000000"/>
          <w:szCs w:val="28"/>
        </w:rPr>
        <w:t>主要原辅材料</w:t>
      </w:r>
      <w:bookmarkEnd w:id="119"/>
    </w:p>
    <w:p>
      <w:pPr>
        <w:pStyle w:val="49"/>
        <w:overflowPunct w:val="0"/>
        <w:ind w:firstLine="480"/>
      </w:pPr>
      <w:r>
        <w:rPr>
          <w:rFonts w:hint="eastAsia"/>
        </w:rPr>
        <w:t>1、主要原辅材料消耗</w:t>
      </w:r>
    </w:p>
    <w:p>
      <w:pPr>
        <w:pStyle w:val="49"/>
        <w:overflowPunct w:val="0"/>
        <w:ind w:firstLine="480"/>
      </w:pPr>
      <w:r>
        <w:rPr>
          <w:rFonts w:hint="eastAsia"/>
        </w:rPr>
        <w:t>本项目主要原辅材料及能源消耗情况，详见下表所示。</w:t>
      </w:r>
    </w:p>
    <w:p>
      <w:pPr>
        <w:pStyle w:val="53"/>
      </w:pPr>
      <w:r>
        <w:rPr>
          <w:rFonts w:hint="eastAsia"/>
        </w:rPr>
        <w:t>表3.1-3  项目主要原辅料及能源消耗情况一览表</w:t>
      </w:r>
    </w:p>
    <w:tbl>
      <w:tblPr>
        <w:tblStyle w:val="4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2126"/>
        <w:gridCol w:w="1560"/>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704" w:type="dxa"/>
            <w:vAlign w:val="center"/>
          </w:tcPr>
          <w:p>
            <w:pPr>
              <w:pStyle w:val="51"/>
            </w:pPr>
            <w:r>
              <w:rPr>
                <w:rFonts w:hint="eastAsia"/>
              </w:rPr>
              <w:t>序号</w:t>
            </w:r>
          </w:p>
        </w:tc>
        <w:tc>
          <w:tcPr>
            <w:tcW w:w="1134" w:type="dxa"/>
            <w:vAlign w:val="center"/>
          </w:tcPr>
          <w:p>
            <w:pPr>
              <w:pStyle w:val="51"/>
            </w:pPr>
            <w:r>
              <w:rPr>
                <w:rFonts w:hint="eastAsia"/>
              </w:rPr>
              <w:t>类别</w:t>
            </w:r>
          </w:p>
        </w:tc>
        <w:tc>
          <w:tcPr>
            <w:tcW w:w="2126" w:type="dxa"/>
            <w:vAlign w:val="center"/>
          </w:tcPr>
          <w:p>
            <w:pPr>
              <w:pStyle w:val="51"/>
            </w:pPr>
            <w:r>
              <w:rPr>
                <w:rFonts w:hint="eastAsia"/>
              </w:rPr>
              <w:t>原辅材料名称</w:t>
            </w:r>
          </w:p>
        </w:tc>
        <w:tc>
          <w:tcPr>
            <w:tcW w:w="1560" w:type="dxa"/>
            <w:vAlign w:val="center"/>
          </w:tcPr>
          <w:p>
            <w:pPr>
              <w:pStyle w:val="51"/>
            </w:pPr>
            <w:r>
              <w:rPr>
                <w:rFonts w:hint="eastAsia"/>
              </w:rPr>
              <w:t>年用量</w:t>
            </w:r>
          </w:p>
        </w:tc>
        <w:tc>
          <w:tcPr>
            <w:tcW w:w="2976" w:type="dxa"/>
            <w:vAlign w:val="center"/>
          </w:tcPr>
          <w:p>
            <w:pPr>
              <w:pStyle w:val="51"/>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51"/>
            </w:pPr>
            <w:r>
              <w:rPr>
                <w:rFonts w:hint="eastAsia"/>
              </w:rPr>
              <w:t>1</w:t>
            </w:r>
          </w:p>
        </w:tc>
        <w:tc>
          <w:tcPr>
            <w:tcW w:w="1134" w:type="dxa"/>
            <w:vMerge w:val="restart"/>
            <w:vAlign w:val="center"/>
          </w:tcPr>
          <w:p>
            <w:pPr>
              <w:pStyle w:val="51"/>
            </w:pPr>
            <w:r>
              <w:rPr>
                <w:rFonts w:hint="eastAsia"/>
              </w:rPr>
              <w:t>原料</w:t>
            </w:r>
          </w:p>
        </w:tc>
        <w:tc>
          <w:tcPr>
            <w:tcW w:w="2126" w:type="dxa"/>
            <w:vAlign w:val="center"/>
          </w:tcPr>
          <w:p>
            <w:pPr>
              <w:pStyle w:val="51"/>
            </w:pPr>
            <w:r>
              <w:rPr>
                <w:rFonts w:hint="eastAsia"/>
              </w:rPr>
              <w:t>鸡苗</w:t>
            </w:r>
          </w:p>
        </w:tc>
        <w:tc>
          <w:tcPr>
            <w:tcW w:w="1560" w:type="dxa"/>
            <w:vAlign w:val="center"/>
          </w:tcPr>
          <w:p>
            <w:pPr>
              <w:pStyle w:val="51"/>
            </w:pPr>
            <w:r>
              <w:rPr>
                <w:rFonts w:hint="eastAsia"/>
              </w:rPr>
              <w:t>120万羽</w:t>
            </w:r>
          </w:p>
        </w:tc>
        <w:tc>
          <w:tcPr>
            <w:tcW w:w="2976" w:type="dxa"/>
            <w:vAlign w:val="center"/>
          </w:tcPr>
          <w:p>
            <w:pPr>
              <w:pStyle w:val="51"/>
            </w:pPr>
            <w:r>
              <w:rPr>
                <w:rFonts w:hint="eastAsia"/>
              </w:rPr>
              <w:t>外购</w:t>
            </w:r>
            <w:r>
              <w:rPr>
                <w:rFonts w:hint="eastAsia"/>
                <w:szCs w:val="22"/>
              </w:rPr>
              <w:t>90~120日龄左右育成鸡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51"/>
            </w:pPr>
            <w:r>
              <w:rPr>
                <w:rFonts w:hint="eastAsia"/>
              </w:rPr>
              <w:t>2</w:t>
            </w:r>
          </w:p>
        </w:tc>
        <w:tc>
          <w:tcPr>
            <w:tcW w:w="1134" w:type="dxa"/>
            <w:vMerge w:val="continue"/>
            <w:vAlign w:val="center"/>
          </w:tcPr>
          <w:p>
            <w:pPr>
              <w:pStyle w:val="51"/>
            </w:pPr>
          </w:p>
        </w:tc>
        <w:tc>
          <w:tcPr>
            <w:tcW w:w="2126" w:type="dxa"/>
            <w:vAlign w:val="center"/>
          </w:tcPr>
          <w:p>
            <w:pPr>
              <w:pStyle w:val="51"/>
            </w:pPr>
            <w:r>
              <w:rPr>
                <w:rFonts w:hint="eastAsia"/>
              </w:rPr>
              <w:t>饲料</w:t>
            </w:r>
          </w:p>
        </w:tc>
        <w:tc>
          <w:tcPr>
            <w:tcW w:w="1560" w:type="dxa"/>
            <w:vAlign w:val="center"/>
          </w:tcPr>
          <w:p>
            <w:pPr>
              <w:pStyle w:val="51"/>
            </w:pPr>
            <w:r>
              <w:rPr>
                <w:rFonts w:hint="eastAsia"/>
              </w:rPr>
              <w:t>43800t/a</w:t>
            </w:r>
          </w:p>
        </w:tc>
        <w:tc>
          <w:tcPr>
            <w:tcW w:w="2976" w:type="dxa"/>
            <w:vAlign w:val="center"/>
          </w:tcPr>
          <w:p>
            <w:pPr>
              <w:pStyle w:val="51"/>
            </w:pPr>
            <w:r>
              <w:rPr>
                <w:rFonts w:hint="eastAsia"/>
              </w:rPr>
              <w:t>外购，100g/d</w:t>
            </w:r>
            <w:r>
              <w:rPr>
                <w:rFonts w:cs="Times New Roman"/>
              </w:rPr>
              <w:t>·</w:t>
            </w:r>
            <w:r>
              <w:rPr>
                <w:rFonts w:hint="eastAsia"/>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4" w:type="dxa"/>
            <w:vAlign w:val="center"/>
          </w:tcPr>
          <w:p>
            <w:pPr>
              <w:pStyle w:val="51"/>
            </w:pPr>
            <w:r>
              <w:rPr>
                <w:rFonts w:hint="eastAsia"/>
              </w:rPr>
              <w:t>3</w:t>
            </w:r>
          </w:p>
        </w:tc>
        <w:tc>
          <w:tcPr>
            <w:tcW w:w="1134" w:type="dxa"/>
            <w:vAlign w:val="center"/>
          </w:tcPr>
          <w:p>
            <w:pPr>
              <w:pStyle w:val="51"/>
            </w:pPr>
            <w:r>
              <w:rPr>
                <w:rFonts w:hint="eastAsia"/>
              </w:rPr>
              <w:t>消毒剂</w:t>
            </w:r>
          </w:p>
        </w:tc>
        <w:tc>
          <w:tcPr>
            <w:tcW w:w="2126" w:type="dxa"/>
            <w:vAlign w:val="center"/>
          </w:tcPr>
          <w:p>
            <w:pPr>
              <w:pStyle w:val="51"/>
            </w:pPr>
            <w:r>
              <w:rPr>
                <w:rFonts w:hint="eastAsia"/>
              </w:rPr>
              <w:t>聚维酮碘、苯扎溴铵、过硫酸氢钾</w:t>
            </w:r>
          </w:p>
        </w:tc>
        <w:tc>
          <w:tcPr>
            <w:tcW w:w="1560" w:type="dxa"/>
            <w:vAlign w:val="center"/>
          </w:tcPr>
          <w:p>
            <w:pPr>
              <w:pStyle w:val="51"/>
            </w:pPr>
            <w:r>
              <w:rPr>
                <w:rFonts w:hint="eastAsia"/>
              </w:rPr>
              <w:t>2.7t/a</w:t>
            </w:r>
          </w:p>
        </w:tc>
        <w:tc>
          <w:tcPr>
            <w:tcW w:w="2976" w:type="dxa"/>
            <w:vAlign w:val="center"/>
          </w:tcPr>
          <w:p>
            <w:pPr>
              <w:pStyle w:val="51"/>
            </w:pPr>
            <w:r>
              <w:rPr>
                <w:rFonts w:hint="eastAsi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4" w:type="dxa"/>
            <w:vAlign w:val="center"/>
          </w:tcPr>
          <w:p>
            <w:pPr>
              <w:pStyle w:val="51"/>
            </w:pPr>
            <w:r>
              <w:rPr>
                <w:rFonts w:hint="eastAsia"/>
              </w:rPr>
              <w:t>4</w:t>
            </w:r>
          </w:p>
        </w:tc>
        <w:tc>
          <w:tcPr>
            <w:tcW w:w="1134" w:type="dxa"/>
            <w:vAlign w:val="center"/>
          </w:tcPr>
          <w:p>
            <w:pPr>
              <w:pStyle w:val="51"/>
            </w:pPr>
            <w:r>
              <w:rPr>
                <w:rFonts w:hint="eastAsia"/>
              </w:rPr>
              <w:t>动物药品</w:t>
            </w:r>
          </w:p>
        </w:tc>
        <w:tc>
          <w:tcPr>
            <w:tcW w:w="2126" w:type="dxa"/>
            <w:vAlign w:val="center"/>
          </w:tcPr>
          <w:p>
            <w:pPr>
              <w:pStyle w:val="51"/>
            </w:pPr>
            <w:r>
              <w:rPr>
                <w:rFonts w:hint="eastAsia"/>
              </w:rPr>
              <w:t>复方磺胺氯哒嗪钠、盐酸多西环素、硫酸新霉素、双黄链</w:t>
            </w:r>
          </w:p>
        </w:tc>
        <w:tc>
          <w:tcPr>
            <w:tcW w:w="1560" w:type="dxa"/>
            <w:vAlign w:val="center"/>
          </w:tcPr>
          <w:p>
            <w:pPr>
              <w:pStyle w:val="51"/>
            </w:pPr>
            <w:r>
              <w:rPr>
                <w:rFonts w:hint="eastAsia"/>
              </w:rPr>
              <w:t>3.9t/a</w:t>
            </w:r>
          </w:p>
        </w:tc>
        <w:tc>
          <w:tcPr>
            <w:tcW w:w="2976" w:type="dxa"/>
            <w:vAlign w:val="center"/>
          </w:tcPr>
          <w:p>
            <w:pPr>
              <w:pStyle w:val="51"/>
            </w:pPr>
            <w:r>
              <w:rPr>
                <w:rFonts w:hint="eastAsi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51"/>
            </w:pPr>
            <w:r>
              <w:rPr>
                <w:rFonts w:hint="eastAsia"/>
              </w:rPr>
              <w:t>5</w:t>
            </w:r>
          </w:p>
        </w:tc>
        <w:tc>
          <w:tcPr>
            <w:tcW w:w="1134" w:type="dxa"/>
            <w:vMerge w:val="restart"/>
            <w:vAlign w:val="center"/>
          </w:tcPr>
          <w:p>
            <w:pPr>
              <w:pStyle w:val="51"/>
            </w:pPr>
            <w:r>
              <w:rPr>
                <w:rFonts w:hint="eastAsia"/>
              </w:rPr>
              <w:t>能源</w:t>
            </w:r>
          </w:p>
        </w:tc>
        <w:tc>
          <w:tcPr>
            <w:tcW w:w="2126" w:type="dxa"/>
            <w:vAlign w:val="center"/>
          </w:tcPr>
          <w:p>
            <w:pPr>
              <w:pStyle w:val="51"/>
            </w:pPr>
            <w:r>
              <w:rPr>
                <w:rFonts w:hint="eastAsia"/>
              </w:rPr>
              <w:t>水</w:t>
            </w:r>
          </w:p>
        </w:tc>
        <w:tc>
          <w:tcPr>
            <w:tcW w:w="1560" w:type="dxa"/>
            <w:vAlign w:val="center"/>
          </w:tcPr>
          <w:p>
            <w:pPr>
              <w:pStyle w:val="51"/>
            </w:pPr>
            <w:r>
              <w:rPr>
                <w:rFonts w:hint="eastAsia"/>
              </w:rPr>
              <w:t>124499.968t/a</w:t>
            </w:r>
          </w:p>
        </w:tc>
        <w:tc>
          <w:tcPr>
            <w:tcW w:w="2976" w:type="dxa"/>
            <w:vAlign w:val="center"/>
          </w:tcPr>
          <w:p>
            <w:pPr>
              <w:pStyle w:val="51"/>
            </w:pPr>
            <w:r>
              <w:rPr>
                <w:rFonts w:hint="eastAsia"/>
              </w:rPr>
              <w:t>场区地下水井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51"/>
            </w:pPr>
            <w:r>
              <w:rPr>
                <w:rFonts w:hint="eastAsia"/>
              </w:rPr>
              <w:t>6</w:t>
            </w:r>
          </w:p>
        </w:tc>
        <w:tc>
          <w:tcPr>
            <w:tcW w:w="1134" w:type="dxa"/>
            <w:vMerge w:val="continue"/>
            <w:vAlign w:val="center"/>
          </w:tcPr>
          <w:p>
            <w:pPr>
              <w:pStyle w:val="51"/>
            </w:pPr>
          </w:p>
        </w:tc>
        <w:tc>
          <w:tcPr>
            <w:tcW w:w="2126" w:type="dxa"/>
            <w:vAlign w:val="center"/>
          </w:tcPr>
          <w:p>
            <w:pPr>
              <w:pStyle w:val="51"/>
            </w:pPr>
            <w:r>
              <w:rPr>
                <w:rFonts w:hint="eastAsia"/>
              </w:rPr>
              <w:t>柴油</w:t>
            </w:r>
          </w:p>
        </w:tc>
        <w:tc>
          <w:tcPr>
            <w:tcW w:w="1560" w:type="dxa"/>
            <w:vAlign w:val="center"/>
          </w:tcPr>
          <w:p>
            <w:pPr>
              <w:pStyle w:val="51"/>
            </w:pPr>
            <w:r>
              <w:rPr>
                <w:rFonts w:hint="eastAsia"/>
              </w:rPr>
              <w:t>0.2t/a</w:t>
            </w:r>
          </w:p>
        </w:tc>
        <w:tc>
          <w:tcPr>
            <w:tcW w:w="2976"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51"/>
            </w:pPr>
            <w:r>
              <w:rPr>
                <w:rFonts w:hint="eastAsia"/>
              </w:rPr>
              <w:t>7</w:t>
            </w:r>
          </w:p>
        </w:tc>
        <w:tc>
          <w:tcPr>
            <w:tcW w:w="1134" w:type="dxa"/>
            <w:vAlign w:val="center"/>
          </w:tcPr>
          <w:p>
            <w:pPr>
              <w:pStyle w:val="51"/>
            </w:pPr>
            <w:r>
              <w:rPr>
                <w:rFonts w:hint="eastAsia"/>
              </w:rPr>
              <w:t>除臭</w:t>
            </w:r>
          </w:p>
        </w:tc>
        <w:tc>
          <w:tcPr>
            <w:tcW w:w="2126" w:type="dxa"/>
            <w:vAlign w:val="center"/>
          </w:tcPr>
          <w:p>
            <w:pPr>
              <w:pStyle w:val="51"/>
            </w:pPr>
            <w:r>
              <w:rPr>
                <w:rFonts w:hint="eastAsia"/>
              </w:rPr>
              <w:t>微生物除臭剂</w:t>
            </w:r>
          </w:p>
        </w:tc>
        <w:tc>
          <w:tcPr>
            <w:tcW w:w="1560" w:type="dxa"/>
            <w:vAlign w:val="center"/>
          </w:tcPr>
          <w:p>
            <w:pPr>
              <w:pStyle w:val="51"/>
            </w:pPr>
            <w:r>
              <w:rPr>
                <w:rFonts w:hint="eastAsia"/>
              </w:rPr>
              <w:t>3t/a</w:t>
            </w:r>
          </w:p>
        </w:tc>
        <w:tc>
          <w:tcPr>
            <w:tcW w:w="2976" w:type="dxa"/>
            <w:vAlign w:val="center"/>
          </w:tcPr>
          <w:p>
            <w:pPr>
              <w:pStyle w:val="51"/>
            </w:pPr>
            <w:r>
              <w:rPr>
                <w:rFonts w:hint="eastAsi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51"/>
            </w:pPr>
            <w:r>
              <w:rPr>
                <w:rFonts w:hint="eastAsia"/>
              </w:rPr>
              <w:t>8</w:t>
            </w:r>
          </w:p>
        </w:tc>
        <w:tc>
          <w:tcPr>
            <w:tcW w:w="1134" w:type="dxa"/>
            <w:vAlign w:val="center"/>
          </w:tcPr>
          <w:p>
            <w:pPr>
              <w:pStyle w:val="51"/>
            </w:pPr>
            <w:r>
              <w:rPr>
                <w:rFonts w:hint="eastAsia"/>
              </w:rPr>
              <w:t>消毒</w:t>
            </w:r>
          </w:p>
        </w:tc>
        <w:tc>
          <w:tcPr>
            <w:tcW w:w="2126" w:type="dxa"/>
            <w:vAlign w:val="center"/>
          </w:tcPr>
          <w:p>
            <w:pPr>
              <w:pStyle w:val="51"/>
            </w:pPr>
            <w:r>
              <w:rPr>
                <w:rFonts w:hint="eastAsia"/>
              </w:rPr>
              <w:t>次氯酸钠</w:t>
            </w:r>
          </w:p>
        </w:tc>
        <w:tc>
          <w:tcPr>
            <w:tcW w:w="1560" w:type="dxa"/>
            <w:vAlign w:val="center"/>
          </w:tcPr>
          <w:p>
            <w:pPr>
              <w:pStyle w:val="51"/>
            </w:pPr>
            <w:r>
              <w:rPr>
                <w:rFonts w:hint="eastAsia"/>
              </w:rPr>
              <w:t>0.3t/a</w:t>
            </w:r>
          </w:p>
        </w:tc>
        <w:tc>
          <w:tcPr>
            <w:tcW w:w="2976" w:type="dxa"/>
            <w:vAlign w:val="center"/>
          </w:tcPr>
          <w:p>
            <w:pPr>
              <w:pStyle w:val="51"/>
            </w:pPr>
            <w:r>
              <w:rPr>
                <w:rFonts w:hint="eastAsia"/>
              </w:rPr>
              <w:t>外购</w:t>
            </w:r>
          </w:p>
        </w:tc>
      </w:tr>
    </w:tbl>
    <w:p>
      <w:pPr>
        <w:pStyle w:val="49"/>
        <w:ind w:firstLine="480"/>
      </w:pPr>
      <w:r>
        <w:rPr>
          <w:rFonts w:hint="eastAsia"/>
        </w:rPr>
        <w:t>2、主要原辅材料组成说明</w:t>
      </w:r>
    </w:p>
    <w:p>
      <w:pPr>
        <w:pStyle w:val="49"/>
        <w:ind w:firstLine="480"/>
      </w:pPr>
      <w:r>
        <w:rPr>
          <w:rFonts w:hint="eastAsia"/>
        </w:rPr>
        <w:t>聚维酮碘：聚维酮碘（</w:t>
      </w:r>
      <w:r>
        <w:t>Povidone iodine</w:t>
      </w:r>
      <w:r>
        <w:rPr>
          <w:rFonts w:hint="eastAsia"/>
        </w:rPr>
        <w:t xml:space="preserve">）是元素碘和聚合物载体相结合而成的疏松复合物，聚维酮起载体和助溶作用。常温下为黄棕色至棕红色无定形粉末。微臭，易溶于水或乙醇，水溶液呈酸性，不溶于乙醚、氯仿、丙酮、乙烷及四氯化碳。聚维酮碘水溶液无碘酊缺点，着色浅，易洗脱，对黏膜刺激小，不需乙醇脱碘，无腐蚀作用，且毒性低。为广谱的强力杀菌消毒剂，对病毒、细菌、真菌及霉菌孢子都有较强的杀灭作用。本品对皮肤刺激性小，毒性低，作用持久。使用安全、简便。聚维酮碘，一般制成 </w:t>
      </w:r>
      <w:r>
        <w:t>10%</w:t>
      </w:r>
      <w:r>
        <w:rPr>
          <w:rFonts w:hint="eastAsia"/>
        </w:rPr>
        <w:t>的溶液，用作消毒剂。有效杀灭：新城疫，法氏囊，禽流感，支原体，大肠杆菌，沙门氏菌，流感，蓝耳病等。还能杀灭畜禽寄生虫虫卵，并能抑制蚊蝇等昆虫的滋生。</w:t>
      </w:r>
    </w:p>
    <w:p>
      <w:pPr>
        <w:pStyle w:val="49"/>
        <w:ind w:firstLine="480"/>
      </w:pPr>
      <w:r>
        <w:rPr>
          <w:rFonts w:hint="eastAsia"/>
        </w:rPr>
        <w:t>苯扎溴铵：苯扎溴铵是溴化二甲基苄基烃铵的混合物，为黄白色蜡状固体或胶状体。易溶于水或乙醇，有芳香味，味极苦。强力振摇时产生大量泡沫。具有典型阳离子表面活性剂的性质，水溶液搅拌时能产生大量泡沫。性质稳定，耐光，耐热，无挥发性，可长期存放。主要用于皮肤、粘膜、伤口、物品表面和室内环境消毒。</w:t>
      </w:r>
    </w:p>
    <w:p>
      <w:pPr>
        <w:pStyle w:val="49"/>
        <w:ind w:firstLine="480"/>
      </w:pPr>
      <w:r>
        <w:rPr>
          <w:rFonts w:hint="eastAsia"/>
        </w:rPr>
        <w:t xml:space="preserve">过硫酸氢钾：过硫酸氢钾是一种无机酸性氧化剂，又名单过硫酸氢钾复合盐、过一硫酸氢钾三合盐过氧化单硫酸钾盐。粉剂，无腐蚀、爆炸、泄露的风险，无致癌物质产生，不存在二次污染现象，具有氧化能力强，杀菌效率高，不但能杀灭多种病原微生物，还能杀灭原虫和藻类，其氧化活性是氯的 </w:t>
      </w:r>
      <w:r>
        <w:t xml:space="preserve">25 </w:t>
      </w:r>
      <w:r>
        <w:rPr>
          <w:rFonts w:hint="eastAsia"/>
        </w:rPr>
        <w:t>倍，因而单过硫酸氢钾复合粉的杀菌效果明显强于普通氯消毒剂；单过硫酸氢钾复合粉对与医院相关的病原菌微生物包括细菌、病毒、真菌、芽孢等均有杀灭作用。</w:t>
      </w:r>
    </w:p>
    <w:p>
      <w:pPr>
        <w:pStyle w:val="49"/>
        <w:ind w:firstLine="480"/>
      </w:pPr>
      <w:r>
        <w:rPr>
          <w:rFonts w:hint="eastAsia"/>
        </w:rPr>
        <w:t>复方磺胺氯哒嗪钠：复方磺胺氯哒嗪钠是一种谱抗生素，对大多数革兰氏阳性菌和阴性菌都有较强抑制作用。对磺胺药敏感的细菌不能利用周围环境中的叶酸，只能利用对氨基苯甲酸和二氢蝶啶，在细菌二氢叶酸合成酶的作用下合成四氢叶酸，活化性四氢叶酸在嘌呤、胸腺嘧啶核苷的合成中起了重要的传递一碳基团的作用。磺胺药在结构上类似对氨基苯甲酸，可与对氨基苯甲酸竟争细菌体内的二氢叶酸合成酶，妨碍了二氢叶酸的合成和减少四氢叶酸的量，终影响核酸的合成，抑制细菌的生长繁殖。磺胺药的作用可被对氨基苯甲酸及其衍生物（普鲁卡因、丁卡因）所拮抗，此外脓液以及组织分解产物也可提供细菌生长的必需物质，与磺胺药产生拮抗作用。甲氧苄啶属于抗菌增效剂，可以抑制二氢叶酸还原酶的活性。二者合用可产生协同作用，增强抗菌效果。主要用于猪、鸡大肠杆菌、沙门氏菌和巴氏杆菌等感染，如仔猪白痢、仔猪黄痢、猪肺疫、禽霍乱、鸡白痢、鸡大肠杆菌病等。</w:t>
      </w:r>
    </w:p>
    <w:p>
      <w:pPr>
        <w:pStyle w:val="49"/>
        <w:ind w:firstLine="480"/>
      </w:pPr>
      <w:r>
        <w:rPr>
          <w:rFonts w:hint="eastAsia"/>
        </w:rPr>
        <w:t>盐酸多西环素：盐酸多西环素（</w:t>
      </w:r>
      <w:r>
        <w:t>Doxycycline Hydrochloride</w:t>
      </w:r>
      <w:r>
        <w:rPr>
          <w:rFonts w:hint="eastAsia"/>
        </w:rPr>
        <w:t xml:space="preserve">，又名盐酸强力霉素）是一种淡蓝色或黄色结晶性粉末，无臭味苦，有吸湿性，易溶于水和甲醇，微溶于乙醇和丙酮。本品抗菌谱广，对革兰氏阳性球菌和阴性杆菌有效。抗菌作用比四环素约强 </w:t>
      </w:r>
      <w:r>
        <w:t xml:space="preserve">10 </w:t>
      </w:r>
      <w:r>
        <w:rPr>
          <w:rFonts w:hint="eastAsia"/>
        </w:rPr>
        <w:t>倍，对四环素耐药菌仍有效。盐酸多西环素主治鸡、鸭、鹅、鸽、兔等支气管炎、肺炎、气囊炎、慢性呼吸道感染引起的咳嗽、气喘、流鼻涕眼泪，以及摇头甩鼻、张口呼吸、头向上伸、两翅下垂、冠色青紫、饮食减少、口渴多饮、软蛋增多等等症状。</w:t>
      </w:r>
    </w:p>
    <w:p>
      <w:pPr>
        <w:pStyle w:val="49"/>
        <w:ind w:firstLine="480"/>
      </w:pPr>
      <w:r>
        <w:rPr>
          <w:rFonts w:hint="eastAsia"/>
        </w:rPr>
        <w:t>硫酸新霉素：硫酸新霉素的主要成分是头孢曲松钠、硫酸新霉素、黄连素、甲硝唑、粘膜修复因子等，本品为类白色或类黄色粉末。主要治疗鸡的肠毒综合症、坏死性肠炎、溃疡性肠炎，尤其对肠毒综合症、坏死性肠炎引起的鸡精神沉郁，采食量下降、白痢、白色奶样稀粪、黄褐色泡沫状稀粪、红色粘丝状粪、黑色煤焦油状粪、绿色稀粪、夹杂未消化饲料稀粪、水泻、顽固性肠炎等有显著疗效。</w:t>
      </w:r>
    </w:p>
    <w:p>
      <w:pPr>
        <w:pStyle w:val="49"/>
        <w:ind w:firstLine="480"/>
      </w:pPr>
      <w:r>
        <w:rPr>
          <w:rFonts w:hint="eastAsia"/>
        </w:rPr>
        <w:t>双黄连：双黄连口服液由金银花、黄芩、连翘三种中药提取而成，辅料有蔗糖和香精等。金银花性寒味甘，即可清风温热，又可解血中之毒，适用于发热咽痛。黄芩味苦性寒，具有清肠中湿热的作用，适用于心火旺盛，湿热瘟毒。连翘心凉味苦，清心泻火的作用，适用于温病初起头疼发热以及热毒郁结引起的痈疮肿痛。双黄连口服液具有辛凉解表，清热解毒的功能。主要用于外感风热引起的发热，咳嗽，咽痛等。本品为棕红色的澄清液体，味甜，微苦。经研究证实，双黄连口服液具有较广的抗菌谱，有抑菌、解热、抗炎、抗病毒利湿等功效。</w:t>
      </w:r>
    </w:p>
    <w:p>
      <w:pPr>
        <w:pStyle w:val="49"/>
        <w:ind w:firstLine="480"/>
      </w:pPr>
      <w:r>
        <w:rPr>
          <w:rFonts w:hint="eastAsia"/>
        </w:rPr>
        <w:t>微生物除臭菌剂：主要由微生物菌种、酶制剂和营养物质复合而成的生物活性剂。包括多种芽孢杆菌、球菌、酵母菌、放线菌，丝状真菌等多种微生物及蛋白酶、脂肪酶、淀粉酶、纤维素酶等生物酶。有效活菌数高达100亿/g。属于有益菌群，喷洒圈舍内，能够是环境中的有益菌数量远远超过有害菌群数量，抑制有害病菌的生存。对动物没有任何副作用，不会引起动物的不良反应，纯生物制剂。无爆炸危险性，不属易燃危险品；无氧化剂危险性，不属腐蚀品；不属毒害品。</w:t>
      </w:r>
    </w:p>
    <w:p>
      <w:pPr>
        <w:pStyle w:val="82"/>
        <w:ind w:firstLine="480"/>
      </w:pPr>
      <w:bookmarkStart w:id="120" w:name="_Hlk193961674"/>
      <w:r>
        <w:t>次氯酸钠消毒液：次氯酸钠（外文名：Sodium Hypochlorite，别名：漂白水），化学式为NaClO，是一种无机含氯消毒剂。固态次氯酸钠为白色粉末，一般工业品是无色或淡黄色液体，具有刺激气味，易溶于水生成烧碱和次氯酸。主要用于漂白、工业废水处理、造纸、纺织、制药、精细化工、卫生消毒等。</w:t>
      </w:r>
      <w:bookmarkEnd w:id="120"/>
    </w:p>
    <w:p>
      <w:pPr>
        <w:pStyle w:val="4"/>
      </w:pPr>
      <w:bookmarkStart w:id="121" w:name="_Toc194481149"/>
      <w:r>
        <w:rPr>
          <w:rFonts w:hint="eastAsia"/>
        </w:rPr>
        <w:t>3</w:t>
      </w:r>
      <w:r>
        <w:t>.</w:t>
      </w:r>
      <w:r>
        <w:rPr>
          <w:rFonts w:hint="eastAsia"/>
        </w:rPr>
        <w:t>1</w:t>
      </w:r>
      <w:r>
        <w:t>.</w:t>
      </w:r>
      <w:r>
        <w:rPr>
          <w:rFonts w:hint="eastAsia"/>
        </w:rPr>
        <w:t>5</w:t>
      </w:r>
      <w:r>
        <w:t xml:space="preserve"> </w:t>
      </w:r>
      <w:r>
        <w:rPr>
          <w:rFonts w:hint="eastAsia" w:cs="Times New Roman"/>
          <w:color w:val="000000"/>
          <w:szCs w:val="28"/>
        </w:rPr>
        <w:t>主要生产设备</w:t>
      </w:r>
      <w:bookmarkEnd w:id="121"/>
    </w:p>
    <w:p>
      <w:pPr>
        <w:pStyle w:val="49"/>
        <w:ind w:firstLine="480"/>
      </w:pPr>
      <w:r>
        <w:rPr>
          <w:rFonts w:hint="eastAsia"/>
        </w:rPr>
        <w:t>本项目主要生产设备见表3.1-4。</w:t>
      </w:r>
    </w:p>
    <w:p>
      <w:pPr>
        <w:pStyle w:val="53"/>
      </w:pPr>
      <w:r>
        <w:rPr>
          <w:rFonts w:hint="eastAsia"/>
        </w:rPr>
        <w:t>表3.1-4 主要生产设备一览表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260"/>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序号</w:t>
            </w:r>
          </w:p>
        </w:tc>
        <w:tc>
          <w:tcPr>
            <w:tcW w:w="3260" w:type="dxa"/>
            <w:vAlign w:val="center"/>
          </w:tcPr>
          <w:p>
            <w:pPr>
              <w:pStyle w:val="51"/>
            </w:pPr>
            <w:r>
              <w:rPr>
                <w:rFonts w:hint="eastAsia"/>
              </w:rPr>
              <w:t>设备名称</w:t>
            </w:r>
          </w:p>
        </w:tc>
        <w:tc>
          <w:tcPr>
            <w:tcW w:w="4048" w:type="dxa"/>
            <w:vAlign w:val="center"/>
          </w:tcPr>
          <w:p>
            <w:pPr>
              <w:pStyle w:val="51"/>
            </w:pPr>
            <w:r>
              <w:rPr>
                <w:rFonts w:hint="eastAsia"/>
              </w:rPr>
              <w:t>规模型号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（一）</w:t>
            </w:r>
          </w:p>
        </w:tc>
        <w:tc>
          <w:tcPr>
            <w:tcW w:w="7308" w:type="dxa"/>
            <w:gridSpan w:val="2"/>
            <w:vAlign w:val="center"/>
          </w:tcPr>
          <w:p>
            <w:pPr>
              <w:pStyle w:val="51"/>
            </w:pPr>
            <w:r>
              <w:rPr>
                <w:rFonts w:hint="eastAsia"/>
              </w:rPr>
              <w:t>饲养系统（7套）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1</w:t>
            </w:r>
          </w:p>
        </w:tc>
        <w:tc>
          <w:tcPr>
            <w:tcW w:w="3260" w:type="dxa"/>
            <w:vAlign w:val="center"/>
          </w:tcPr>
          <w:p>
            <w:pPr>
              <w:pStyle w:val="51"/>
            </w:pPr>
            <w:r>
              <w:rPr>
                <w:rFonts w:hint="eastAsia"/>
              </w:rPr>
              <w:t>笼架</w:t>
            </w:r>
          </w:p>
        </w:tc>
        <w:tc>
          <w:tcPr>
            <w:tcW w:w="4048" w:type="dxa"/>
            <w:vAlign w:val="center"/>
          </w:tcPr>
          <w:p>
            <w:pPr>
              <w:pStyle w:val="51"/>
              <w:rPr>
                <w:rFonts w:cs="Times New Roman"/>
              </w:rPr>
            </w:pPr>
            <w:r>
              <w:rPr>
                <w:rFonts w:cs="Times New Roman"/>
                <w:color w:val="000000"/>
                <w:szCs w:val="21"/>
              </w:rPr>
              <w:t>5列6层H型层叠</w:t>
            </w:r>
            <w:r>
              <w:rPr>
                <w:rFonts w:hint="eastAsia" w:cs="Times New Roman"/>
                <w:color w:val="000000"/>
                <w:szCs w:val="21"/>
              </w:rPr>
              <w:t>，</w:t>
            </w:r>
            <w:r>
              <w:rPr>
                <w:rFonts w:hint="eastAsia" w:hAnsi="宋体"/>
                <w:color w:val="000000"/>
                <w:sz w:val="22"/>
                <w:szCs w:val="22"/>
              </w:rPr>
              <w:t>铝锌合金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pStyle w:val="51"/>
            </w:pPr>
            <w:r>
              <w:rPr>
                <w:rFonts w:hint="eastAsia"/>
              </w:rPr>
              <w:t>2</w:t>
            </w:r>
          </w:p>
        </w:tc>
        <w:tc>
          <w:tcPr>
            <w:tcW w:w="3260" w:type="dxa"/>
            <w:vAlign w:val="center"/>
          </w:tcPr>
          <w:p>
            <w:pPr>
              <w:pStyle w:val="51"/>
            </w:pPr>
            <w:r>
              <w:rPr>
                <w:rFonts w:hint="eastAsia"/>
              </w:rPr>
              <w:t>方水管</w:t>
            </w:r>
          </w:p>
        </w:tc>
        <w:tc>
          <w:tcPr>
            <w:tcW w:w="4048" w:type="dxa"/>
            <w:vAlign w:val="center"/>
          </w:tcPr>
          <w:p>
            <w:pPr>
              <w:pStyle w:val="51"/>
            </w:pPr>
            <w:r>
              <w:t>22mm×22mm×2.5m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3</w:t>
            </w:r>
          </w:p>
        </w:tc>
        <w:tc>
          <w:tcPr>
            <w:tcW w:w="3260" w:type="dxa"/>
            <w:vAlign w:val="center"/>
          </w:tcPr>
          <w:p>
            <w:pPr>
              <w:pStyle w:val="51"/>
            </w:pPr>
            <w:r>
              <w:rPr>
                <w:rFonts w:hint="eastAsia"/>
              </w:rPr>
              <w:t>乳头</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4</w:t>
            </w:r>
          </w:p>
        </w:tc>
        <w:tc>
          <w:tcPr>
            <w:tcW w:w="3260" w:type="dxa"/>
            <w:vAlign w:val="center"/>
          </w:tcPr>
          <w:p>
            <w:pPr>
              <w:pStyle w:val="51"/>
            </w:pPr>
            <w:r>
              <w:t xml:space="preserve">V </w:t>
            </w:r>
            <w:r>
              <w:rPr>
                <w:rFonts w:hint="eastAsia"/>
              </w:rPr>
              <w:t>型水槽</w:t>
            </w:r>
          </w:p>
        </w:tc>
        <w:tc>
          <w:tcPr>
            <w:tcW w:w="4048" w:type="dxa"/>
            <w:vAlign w:val="center"/>
          </w:tcPr>
          <w:p>
            <w:pPr>
              <w:pStyle w:val="51"/>
            </w:pPr>
            <w:r>
              <w:rPr>
                <w:rFonts w:hint="eastAsia"/>
              </w:rPr>
              <w:t>L=4米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5</w:t>
            </w:r>
          </w:p>
        </w:tc>
        <w:tc>
          <w:tcPr>
            <w:tcW w:w="3260" w:type="dxa"/>
            <w:vAlign w:val="center"/>
          </w:tcPr>
          <w:p>
            <w:pPr>
              <w:pStyle w:val="51"/>
            </w:pPr>
            <w:r>
              <w:rPr>
                <w:rFonts w:hint="eastAsia"/>
              </w:rPr>
              <w:t>前端调压器</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pStyle w:val="51"/>
            </w:pPr>
            <w:r>
              <w:rPr>
                <w:rFonts w:hint="eastAsia"/>
              </w:rPr>
              <w:t>6</w:t>
            </w:r>
          </w:p>
        </w:tc>
        <w:tc>
          <w:tcPr>
            <w:tcW w:w="3260" w:type="dxa"/>
            <w:vAlign w:val="center"/>
          </w:tcPr>
          <w:p>
            <w:pPr>
              <w:pStyle w:val="51"/>
            </w:pPr>
            <w:r>
              <w:rPr>
                <w:rFonts w:hint="eastAsia"/>
              </w:rPr>
              <w:t>终端水位器</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7</w:t>
            </w:r>
          </w:p>
        </w:tc>
        <w:tc>
          <w:tcPr>
            <w:tcW w:w="3260" w:type="dxa"/>
            <w:vAlign w:val="center"/>
          </w:tcPr>
          <w:p>
            <w:pPr>
              <w:pStyle w:val="51"/>
            </w:pPr>
            <w:r>
              <w:rPr>
                <w:rFonts w:hint="eastAsia"/>
              </w:rPr>
              <w:t>前端供水过滤器</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（二）</w:t>
            </w:r>
          </w:p>
        </w:tc>
        <w:tc>
          <w:tcPr>
            <w:tcW w:w="7308" w:type="dxa"/>
            <w:gridSpan w:val="2"/>
            <w:vAlign w:val="center"/>
          </w:tcPr>
          <w:p>
            <w:pPr>
              <w:pStyle w:val="51"/>
            </w:pPr>
            <w:r>
              <w:rPr>
                <w:rFonts w:hint="eastAsia"/>
              </w:rPr>
              <w:t>喂料系统（7套）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1</w:t>
            </w:r>
          </w:p>
        </w:tc>
        <w:tc>
          <w:tcPr>
            <w:tcW w:w="3260" w:type="dxa"/>
            <w:vAlign w:val="center"/>
          </w:tcPr>
          <w:p>
            <w:pPr>
              <w:pStyle w:val="51"/>
            </w:pPr>
            <w:r>
              <w:rPr>
                <w:rFonts w:hint="eastAsia"/>
              </w:rPr>
              <w:t>头尾架及喂料行车</w:t>
            </w:r>
          </w:p>
        </w:tc>
        <w:tc>
          <w:tcPr>
            <w:tcW w:w="4048" w:type="dxa"/>
            <w:vAlign w:val="center"/>
          </w:tcPr>
          <w:p>
            <w:pPr>
              <w:pStyle w:val="51"/>
            </w:pPr>
            <w:r>
              <w:rPr>
                <w:rFonts w:hint="eastAsia"/>
              </w:rPr>
              <w:t>料箱： 镀铝锌合金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pStyle w:val="51"/>
            </w:pPr>
            <w:r>
              <w:rPr>
                <w:rFonts w:hint="eastAsia"/>
              </w:rPr>
              <w:t>2</w:t>
            </w:r>
          </w:p>
        </w:tc>
        <w:tc>
          <w:tcPr>
            <w:tcW w:w="3260" w:type="dxa"/>
            <w:vAlign w:val="center"/>
          </w:tcPr>
          <w:p>
            <w:pPr>
              <w:pStyle w:val="51"/>
            </w:pPr>
            <w:r>
              <w:rPr>
                <w:rFonts w:hint="eastAsia"/>
              </w:rPr>
              <w:t>牵引动力装置</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3</w:t>
            </w:r>
          </w:p>
        </w:tc>
        <w:tc>
          <w:tcPr>
            <w:tcW w:w="3260" w:type="dxa"/>
            <w:vAlign w:val="center"/>
          </w:tcPr>
          <w:p>
            <w:pPr>
              <w:pStyle w:val="51"/>
            </w:pPr>
            <w:r>
              <w:rPr>
                <w:rFonts w:hint="eastAsia"/>
              </w:rPr>
              <w:t>牵引绳</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4</w:t>
            </w:r>
          </w:p>
        </w:tc>
        <w:tc>
          <w:tcPr>
            <w:tcW w:w="3260" w:type="dxa"/>
            <w:vAlign w:val="center"/>
          </w:tcPr>
          <w:p>
            <w:pPr>
              <w:pStyle w:val="51"/>
            </w:pPr>
            <w:r>
              <w:rPr>
                <w:rFonts w:hint="eastAsia"/>
              </w:rPr>
              <w:t>行车轨道</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5</w:t>
            </w:r>
          </w:p>
        </w:tc>
        <w:tc>
          <w:tcPr>
            <w:tcW w:w="3260" w:type="dxa"/>
            <w:vAlign w:val="center"/>
          </w:tcPr>
          <w:p>
            <w:pPr>
              <w:pStyle w:val="51"/>
            </w:pPr>
            <w:r>
              <w:rPr>
                <w:rFonts w:hint="eastAsia"/>
              </w:rPr>
              <w:t>横向输料装置</w:t>
            </w:r>
          </w:p>
        </w:tc>
        <w:tc>
          <w:tcPr>
            <w:tcW w:w="4048" w:type="dxa"/>
            <w:vAlign w:val="center"/>
          </w:tcPr>
          <w:p>
            <w:pPr>
              <w:pStyle w:val="51"/>
            </w:pPr>
            <w:r>
              <w:rPr>
                <w:rFonts w:hint="eastAsia"/>
              </w:rPr>
              <w:t>L=18m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pStyle w:val="51"/>
            </w:pPr>
            <w:r>
              <w:rPr>
                <w:rFonts w:hint="eastAsia"/>
              </w:rPr>
              <w:t>6</w:t>
            </w:r>
          </w:p>
        </w:tc>
        <w:tc>
          <w:tcPr>
            <w:tcW w:w="3260" w:type="dxa"/>
            <w:vAlign w:val="center"/>
          </w:tcPr>
          <w:p>
            <w:pPr>
              <w:pStyle w:val="51"/>
            </w:pPr>
            <w:r>
              <w:rPr>
                <w:rFonts w:hint="eastAsia"/>
              </w:rPr>
              <w:t>料塔</w:t>
            </w:r>
          </w:p>
        </w:tc>
        <w:tc>
          <w:tcPr>
            <w:tcW w:w="4048" w:type="dxa"/>
            <w:vAlign w:val="center"/>
          </w:tcPr>
          <w:p>
            <w:pPr>
              <w:pStyle w:val="51"/>
            </w:pPr>
            <w:r>
              <w:rPr>
                <w:rFonts w:hint="eastAsia"/>
              </w:rPr>
              <w:t>20t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（三）</w:t>
            </w:r>
          </w:p>
        </w:tc>
        <w:tc>
          <w:tcPr>
            <w:tcW w:w="7308" w:type="dxa"/>
            <w:gridSpan w:val="2"/>
            <w:vAlign w:val="center"/>
          </w:tcPr>
          <w:p>
            <w:pPr>
              <w:pStyle w:val="51"/>
            </w:pPr>
            <w:r>
              <w:rPr>
                <w:rFonts w:hint="eastAsia"/>
              </w:rPr>
              <w:t>清粪系统（7套）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1</w:t>
            </w:r>
          </w:p>
        </w:tc>
        <w:tc>
          <w:tcPr>
            <w:tcW w:w="3260" w:type="dxa"/>
            <w:vAlign w:val="center"/>
          </w:tcPr>
          <w:p>
            <w:pPr>
              <w:pStyle w:val="51"/>
            </w:pPr>
            <w:r>
              <w:rPr>
                <w:rFonts w:hint="eastAsia"/>
              </w:rPr>
              <w:t>纵向清粪头尾架及动力传动装置</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2</w:t>
            </w:r>
          </w:p>
        </w:tc>
        <w:tc>
          <w:tcPr>
            <w:tcW w:w="3260" w:type="dxa"/>
            <w:vAlign w:val="center"/>
          </w:tcPr>
          <w:p>
            <w:pPr>
              <w:pStyle w:val="51"/>
            </w:pPr>
            <w:r>
              <w:rPr>
                <w:rFonts w:hint="eastAsia"/>
              </w:rPr>
              <w:t>纵向输粪托架</w:t>
            </w:r>
          </w:p>
        </w:tc>
        <w:tc>
          <w:tcPr>
            <w:tcW w:w="4048" w:type="dxa"/>
            <w:vAlign w:val="center"/>
          </w:tcPr>
          <w:p>
            <w:pPr>
              <w:pStyle w:val="51"/>
            </w:pPr>
            <w:r>
              <w:rPr>
                <w:rFonts w:hint="eastAsia"/>
              </w:rPr>
              <w:t>5层/组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pStyle w:val="51"/>
            </w:pPr>
            <w:r>
              <w:rPr>
                <w:rFonts w:hint="eastAsia"/>
              </w:rPr>
              <w:t>3</w:t>
            </w:r>
          </w:p>
        </w:tc>
        <w:tc>
          <w:tcPr>
            <w:tcW w:w="3260" w:type="dxa"/>
            <w:vAlign w:val="center"/>
          </w:tcPr>
          <w:p>
            <w:pPr>
              <w:pStyle w:val="51"/>
            </w:pPr>
            <w:r>
              <w:rPr>
                <w:rFonts w:hint="eastAsia"/>
              </w:rPr>
              <w:t>纵输粪带</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4</w:t>
            </w:r>
          </w:p>
        </w:tc>
        <w:tc>
          <w:tcPr>
            <w:tcW w:w="3260" w:type="dxa"/>
            <w:vAlign w:val="center"/>
          </w:tcPr>
          <w:p>
            <w:pPr>
              <w:pStyle w:val="51"/>
            </w:pPr>
            <w:r>
              <w:rPr>
                <w:rFonts w:hint="eastAsia"/>
              </w:rPr>
              <w:t>横斜向输粪装置</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（四）</w:t>
            </w:r>
          </w:p>
        </w:tc>
        <w:tc>
          <w:tcPr>
            <w:tcW w:w="7308" w:type="dxa"/>
            <w:gridSpan w:val="2"/>
            <w:vAlign w:val="center"/>
          </w:tcPr>
          <w:p>
            <w:pPr>
              <w:pStyle w:val="51"/>
            </w:pPr>
            <w:r>
              <w:rPr>
                <w:rFonts w:hint="eastAsia"/>
              </w:rPr>
              <w:t>通风系统（7套）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1</w:t>
            </w:r>
          </w:p>
        </w:tc>
        <w:tc>
          <w:tcPr>
            <w:tcW w:w="3260" w:type="dxa"/>
            <w:vAlign w:val="center"/>
          </w:tcPr>
          <w:p>
            <w:pPr>
              <w:pStyle w:val="51"/>
            </w:pPr>
            <w:r>
              <w:rPr>
                <w:rFonts w:hint="eastAsia"/>
              </w:rPr>
              <w:t>湿帘</w:t>
            </w:r>
          </w:p>
        </w:tc>
        <w:tc>
          <w:tcPr>
            <w:tcW w:w="4048" w:type="dxa"/>
            <w:vAlign w:val="center"/>
          </w:tcPr>
          <w:p>
            <w:pPr>
              <w:pStyle w:val="51"/>
            </w:pPr>
            <w:r>
              <w:t>δ=100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pStyle w:val="51"/>
            </w:pPr>
            <w:r>
              <w:rPr>
                <w:rFonts w:hint="eastAsia"/>
              </w:rPr>
              <w:t>2</w:t>
            </w:r>
          </w:p>
        </w:tc>
        <w:tc>
          <w:tcPr>
            <w:tcW w:w="3260" w:type="dxa"/>
            <w:vAlign w:val="center"/>
          </w:tcPr>
          <w:p>
            <w:pPr>
              <w:pStyle w:val="51"/>
            </w:pPr>
            <w:r>
              <w:rPr>
                <w:rFonts w:hint="eastAsia"/>
              </w:rPr>
              <w:t>水循环管及水泵</w:t>
            </w:r>
          </w:p>
        </w:tc>
        <w:tc>
          <w:tcPr>
            <w:tcW w:w="4048" w:type="dxa"/>
            <w:vAlign w:val="center"/>
          </w:tcPr>
          <w:p>
            <w:pPr>
              <w:pStyle w:val="51"/>
            </w:pPr>
            <w:r>
              <w:rPr>
                <w:rFonts w:hint="eastAsia"/>
              </w:rPr>
              <w:t>台式泵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3</w:t>
            </w:r>
          </w:p>
        </w:tc>
        <w:tc>
          <w:tcPr>
            <w:tcW w:w="3260" w:type="dxa"/>
            <w:vAlign w:val="center"/>
          </w:tcPr>
          <w:p>
            <w:pPr>
              <w:pStyle w:val="51"/>
            </w:pPr>
            <w:r>
              <w:rPr>
                <w:rFonts w:hint="eastAsia"/>
              </w:rPr>
              <w:t>风机</w:t>
            </w:r>
          </w:p>
        </w:tc>
        <w:tc>
          <w:tcPr>
            <w:tcW w:w="4048" w:type="dxa"/>
            <w:vAlign w:val="center"/>
          </w:tcPr>
          <w:p>
            <w:pPr>
              <w:pStyle w:val="51"/>
            </w:pPr>
            <w:r>
              <w:rPr>
                <w:rFonts w:hint="eastAsia"/>
              </w:rPr>
              <w:t xml:space="preserve">外径 </w:t>
            </w:r>
            <w:r>
              <w:t>1.4×1.4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4</w:t>
            </w:r>
          </w:p>
        </w:tc>
        <w:tc>
          <w:tcPr>
            <w:tcW w:w="3260" w:type="dxa"/>
            <w:vAlign w:val="center"/>
          </w:tcPr>
          <w:p>
            <w:pPr>
              <w:pStyle w:val="51"/>
            </w:pPr>
            <w:r>
              <w:rPr>
                <w:rFonts w:hint="eastAsia"/>
              </w:rPr>
              <w:t>侧墙通风窗</w:t>
            </w:r>
          </w:p>
        </w:tc>
        <w:tc>
          <w:tcPr>
            <w:tcW w:w="4048" w:type="dxa"/>
            <w:vAlign w:val="center"/>
          </w:tcPr>
          <w:p>
            <w:pPr>
              <w:pStyle w:val="51"/>
            </w:pPr>
            <w:r>
              <w:t>2.5m/</w:t>
            </w:r>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5</w:t>
            </w:r>
          </w:p>
        </w:tc>
        <w:tc>
          <w:tcPr>
            <w:tcW w:w="3260" w:type="dxa"/>
            <w:vAlign w:val="center"/>
          </w:tcPr>
          <w:p>
            <w:pPr>
              <w:pStyle w:val="51"/>
            </w:pPr>
            <w:r>
              <w:rPr>
                <w:rFonts w:hint="eastAsia"/>
              </w:rPr>
              <w:t>动力电机</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pStyle w:val="51"/>
            </w:pPr>
            <w:r>
              <w:rPr>
                <w:rFonts w:hint="eastAsia"/>
              </w:rPr>
              <w:t>6</w:t>
            </w:r>
          </w:p>
        </w:tc>
        <w:tc>
          <w:tcPr>
            <w:tcW w:w="3260" w:type="dxa"/>
            <w:vAlign w:val="center"/>
          </w:tcPr>
          <w:p>
            <w:pPr>
              <w:pStyle w:val="51"/>
            </w:pPr>
            <w:r>
              <w:rPr>
                <w:rFonts w:hint="eastAsia"/>
              </w:rPr>
              <w:t>自动风门</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7</w:t>
            </w:r>
          </w:p>
        </w:tc>
        <w:tc>
          <w:tcPr>
            <w:tcW w:w="3260" w:type="dxa"/>
            <w:vAlign w:val="center"/>
          </w:tcPr>
          <w:p>
            <w:pPr>
              <w:pStyle w:val="51"/>
            </w:pPr>
            <w:r>
              <w:rPr>
                <w:rFonts w:hint="eastAsia"/>
              </w:rPr>
              <w:t>自动风门联动装置</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8</w:t>
            </w:r>
          </w:p>
        </w:tc>
        <w:tc>
          <w:tcPr>
            <w:tcW w:w="3260" w:type="dxa"/>
            <w:vAlign w:val="center"/>
          </w:tcPr>
          <w:p>
            <w:pPr>
              <w:pStyle w:val="51"/>
            </w:pPr>
            <w:r>
              <w:rPr>
                <w:rFonts w:hint="eastAsia"/>
              </w:rPr>
              <w:t>喷雾器</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（五）</w:t>
            </w:r>
          </w:p>
        </w:tc>
        <w:tc>
          <w:tcPr>
            <w:tcW w:w="7308" w:type="dxa"/>
            <w:gridSpan w:val="2"/>
            <w:vAlign w:val="center"/>
          </w:tcPr>
          <w:p>
            <w:pPr>
              <w:pStyle w:val="51"/>
            </w:pPr>
            <w:r>
              <w:rPr>
                <w:rFonts w:hint="eastAsia"/>
              </w:rPr>
              <w:t>其他系统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pStyle w:val="51"/>
            </w:pPr>
            <w:r>
              <w:rPr>
                <w:rFonts w:hint="eastAsia"/>
              </w:rPr>
              <w:t>1</w:t>
            </w:r>
          </w:p>
        </w:tc>
        <w:tc>
          <w:tcPr>
            <w:tcW w:w="3260" w:type="dxa"/>
            <w:vAlign w:val="center"/>
          </w:tcPr>
          <w:p>
            <w:pPr>
              <w:pStyle w:val="51"/>
            </w:pPr>
            <w:r>
              <w:t xml:space="preserve">LED </w:t>
            </w:r>
            <w:r>
              <w:rPr>
                <w:rFonts w:hint="eastAsia"/>
              </w:rPr>
              <w:t>灯、线路、开关、灯头</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2</w:t>
            </w:r>
          </w:p>
        </w:tc>
        <w:tc>
          <w:tcPr>
            <w:tcW w:w="3260" w:type="dxa"/>
            <w:vAlign w:val="center"/>
          </w:tcPr>
          <w:p>
            <w:pPr>
              <w:pStyle w:val="51"/>
            </w:pPr>
            <w:r>
              <w:rPr>
                <w:rFonts w:hint="eastAsia"/>
              </w:rPr>
              <w:t>柴油发电机</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3</w:t>
            </w:r>
          </w:p>
        </w:tc>
        <w:tc>
          <w:tcPr>
            <w:tcW w:w="3260" w:type="dxa"/>
            <w:vAlign w:val="center"/>
          </w:tcPr>
          <w:p>
            <w:pPr>
              <w:pStyle w:val="51"/>
            </w:pPr>
            <w:r>
              <w:rPr>
                <w:rFonts w:hint="eastAsia"/>
              </w:rPr>
              <w:t>病死鸡暂存间冷库（5m</w:t>
            </w:r>
            <w:r>
              <w:rPr>
                <w:rFonts w:hint="eastAsia"/>
                <w:vertAlign w:val="superscript"/>
              </w:rPr>
              <w:t>2</w:t>
            </w:r>
            <w:r>
              <w:rPr>
                <w:rFonts w:hint="eastAsia"/>
              </w:rPr>
              <w:t>）</w:t>
            </w:r>
          </w:p>
        </w:tc>
        <w:tc>
          <w:tcPr>
            <w:tcW w:w="4048"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51"/>
            </w:pPr>
            <w:r>
              <w:rPr>
                <w:rFonts w:hint="eastAsia"/>
              </w:rPr>
              <w:t>4</w:t>
            </w:r>
          </w:p>
        </w:tc>
        <w:tc>
          <w:tcPr>
            <w:tcW w:w="3260" w:type="dxa"/>
            <w:vAlign w:val="center"/>
          </w:tcPr>
          <w:p>
            <w:pPr>
              <w:pStyle w:val="51"/>
            </w:pPr>
            <w:r>
              <w:rPr>
                <w:rFonts w:hint="eastAsia"/>
              </w:rPr>
              <w:t>一体化处理设施</w:t>
            </w:r>
          </w:p>
        </w:tc>
        <w:tc>
          <w:tcPr>
            <w:tcW w:w="4048" w:type="dxa"/>
            <w:vAlign w:val="center"/>
          </w:tcPr>
          <w:p>
            <w:pPr>
              <w:pStyle w:val="51"/>
            </w:pPr>
            <w:r>
              <w:rPr>
                <w:rFonts w:hint="eastAsia"/>
              </w:rPr>
              <w:t>处理规模5m</w:t>
            </w:r>
            <w:r>
              <w:rPr>
                <w:rFonts w:hint="eastAsia"/>
                <w:vertAlign w:val="superscript"/>
              </w:rPr>
              <w:t>3</w:t>
            </w:r>
            <w:r>
              <w:rPr>
                <w:rFonts w:hint="eastAsia"/>
              </w:rPr>
              <w:t>/d</w:t>
            </w:r>
          </w:p>
        </w:tc>
      </w:tr>
    </w:tbl>
    <w:p>
      <w:pPr>
        <w:pStyle w:val="4"/>
      </w:pPr>
      <w:bookmarkStart w:id="122" w:name="_Toc194481150"/>
      <w:r>
        <w:rPr>
          <w:rFonts w:hint="eastAsia"/>
        </w:rPr>
        <w:t>3</w:t>
      </w:r>
      <w:r>
        <w:t>.</w:t>
      </w:r>
      <w:r>
        <w:rPr>
          <w:rFonts w:hint="eastAsia"/>
        </w:rPr>
        <w:t>1</w:t>
      </w:r>
      <w:r>
        <w:t>.</w:t>
      </w:r>
      <w:r>
        <w:rPr>
          <w:rFonts w:hint="eastAsia"/>
        </w:rPr>
        <w:t>6</w:t>
      </w:r>
      <w:r>
        <w:t xml:space="preserve"> </w:t>
      </w:r>
      <w:r>
        <w:rPr>
          <w:rFonts w:hint="eastAsia" w:cs="Times New Roman"/>
          <w:color w:val="000000"/>
          <w:szCs w:val="28"/>
        </w:rPr>
        <w:t>公用及辅助工程</w:t>
      </w:r>
      <w:bookmarkEnd w:id="122"/>
    </w:p>
    <w:p>
      <w:pPr>
        <w:pStyle w:val="49"/>
        <w:ind w:firstLine="480"/>
      </w:pPr>
      <w:r>
        <w:rPr>
          <w:rFonts w:hint="eastAsia"/>
        </w:rPr>
        <w:t>（1）供电</w:t>
      </w:r>
    </w:p>
    <w:p>
      <w:pPr>
        <w:pStyle w:val="49"/>
        <w:ind w:firstLine="480"/>
      </w:pPr>
      <w:r>
        <w:rPr>
          <w:rFonts w:hint="eastAsia"/>
        </w:rPr>
        <w:t>本项目用电由永州市冷水滩区岚角山街道飞跃村、高桥头村电网接入，经变配电室配送至各用电部位，可满足项目用电需要，同时设 1</w:t>
      </w:r>
      <w:r>
        <w:t xml:space="preserve"> </w:t>
      </w:r>
      <w:r>
        <w:rPr>
          <w:rFonts w:hint="eastAsia"/>
        </w:rPr>
        <w:t>台柴油发电机作为备用电源。</w:t>
      </w:r>
    </w:p>
    <w:p>
      <w:pPr>
        <w:pStyle w:val="49"/>
        <w:ind w:firstLine="480"/>
      </w:pPr>
      <w:r>
        <w:rPr>
          <w:rFonts w:hint="eastAsia"/>
        </w:rPr>
        <w:t>（2）供水</w:t>
      </w:r>
    </w:p>
    <w:p>
      <w:pPr>
        <w:pStyle w:val="49"/>
        <w:ind w:firstLine="480"/>
      </w:pPr>
      <w:r>
        <w:rPr>
          <w:rFonts w:hint="eastAsia"/>
        </w:rPr>
        <w:t>项目拟在场地内自建地下水井，项目生产和生活用水均来自该水井。本项目营运期用水主要为鸡饮用水、鸡舍冲洗废水、水帘系统用水、消毒用水、高压水帘用水及职工生活用水。根据工程分析，项目建成后，新鲜水用量约为124499.968m</w:t>
      </w:r>
      <w:r>
        <w:rPr>
          <w:rFonts w:hint="eastAsia"/>
          <w:vertAlign w:val="superscript"/>
        </w:rPr>
        <w:t>3</w:t>
      </w:r>
      <w:r>
        <w:rPr>
          <w:rFonts w:hint="eastAsia"/>
        </w:rPr>
        <w:t>/a（341.096m</w:t>
      </w:r>
      <w:r>
        <w:rPr>
          <w:rFonts w:hint="eastAsia"/>
          <w:vertAlign w:val="superscript"/>
        </w:rPr>
        <w:t>3</w:t>
      </w:r>
      <w:r>
        <w:rPr>
          <w:rFonts w:hint="eastAsia"/>
        </w:rPr>
        <w:t>/d）。</w:t>
      </w:r>
    </w:p>
    <w:p>
      <w:pPr>
        <w:pStyle w:val="49"/>
        <w:ind w:firstLine="480"/>
      </w:pPr>
      <w:r>
        <w:rPr>
          <w:rFonts w:hint="eastAsia"/>
        </w:rPr>
        <w:t>（3）排水</w:t>
      </w:r>
    </w:p>
    <w:p>
      <w:pPr>
        <w:pStyle w:val="49"/>
        <w:ind w:firstLine="480"/>
        <w:rPr>
          <w:szCs w:val="21"/>
        </w:rPr>
      </w:pPr>
      <w:r>
        <w:rPr>
          <w:rFonts w:hint="eastAsia"/>
        </w:rPr>
        <w:t>项目场区建立完善的排水设施，排水系统实施</w:t>
      </w:r>
      <w:r>
        <w:rPr>
          <w:rFonts w:ascii="宋体" w:hAnsi="宋体"/>
        </w:rPr>
        <w:t>“</w:t>
      </w:r>
      <w:r>
        <w:rPr>
          <w:rFonts w:hint="eastAsia"/>
        </w:rPr>
        <w:t>雨污分流</w:t>
      </w:r>
      <w:r>
        <w:rPr>
          <w:rFonts w:ascii="宋体" w:hAnsi="宋体"/>
        </w:rPr>
        <w:t>”</w:t>
      </w:r>
      <w:r>
        <w:rPr>
          <w:rFonts w:hint="eastAsia"/>
        </w:rPr>
        <w:t>制。雨水通过养殖场内各建（构）筑物雨水边沟进行收集，经雨水管道就近外排。污水系统采用暗管铺设，根据场区所在区域地势并结合项目平面布置铺设污水管。</w:t>
      </w:r>
      <w:r>
        <w:rPr>
          <w:rFonts w:hint="eastAsia"/>
          <w:szCs w:val="21"/>
        </w:rPr>
        <w:t>鸡舍冲洗废水和生活污水</w:t>
      </w:r>
      <w:bookmarkStart w:id="123" w:name="_Hlk193961853"/>
      <w:r>
        <w:rPr>
          <w:rFonts w:hint="eastAsia"/>
          <w:szCs w:val="21"/>
        </w:rPr>
        <w:t>一起进入一体化污水处理设施处理达标后，用于场区绿化及周边林地灌溉，不外排。</w:t>
      </w:r>
    </w:p>
    <w:bookmarkEnd w:id="123"/>
    <w:p>
      <w:pPr>
        <w:pStyle w:val="49"/>
        <w:ind w:firstLine="480"/>
      </w:pPr>
      <w:r>
        <w:rPr>
          <w:rFonts w:hint="eastAsia"/>
        </w:rPr>
        <w:t>（4）暖通工程</w:t>
      </w:r>
    </w:p>
    <w:p>
      <w:pPr>
        <w:pStyle w:val="49"/>
        <w:ind w:firstLine="480"/>
      </w:pPr>
      <w:r>
        <w:rPr>
          <w:rFonts w:hint="eastAsia"/>
        </w:rPr>
        <w:t>高温季节对养鸡生产是一种威胁，炎热的夏季雨水多，湿度大，加之气温又高，风少，气压低，这对鸡群大的鸡舍，必然引来温度上升得快，闷热加剧的后果，使多数鸡食欲降低，为了降低鸡舍的温度，项目安装水帘降温设备，主要用于夏季降低鸡舍内的温度，其它季节鸡舍主要通过风机控制鸡舍温度。鸡舍需保持一定的空气流通和湿度，项目采用风机</w:t>
      </w:r>
      <w:r>
        <w:t>+</w:t>
      </w:r>
      <w:r>
        <w:rPr>
          <w:rFonts w:hint="eastAsia"/>
        </w:rPr>
        <w:t>水帘的方式对鸡舍进行通风、加湿。水帘通风系统由低压大流量轴流风机、水循环系统及控制装置组成，风机抽风时，造成室内负压，迫使室外未饱和的空气流经湿帘多孔湿润表面，进而对鸡舍进行通风、加湿。夏季温度较高时，水分蒸发可吸收大量的潜热，可对鸡舍进行降温，保持鸡舍恒温恒湿的状态，达到通风、保湿、降温的效果。</w:t>
      </w:r>
    </w:p>
    <w:p>
      <w:pPr>
        <w:pStyle w:val="4"/>
      </w:pPr>
      <w:bookmarkStart w:id="124" w:name="_Toc194481151"/>
      <w:r>
        <w:rPr>
          <w:rFonts w:hint="eastAsia"/>
        </w:rPr>
        <w:t>3.1.7 储运工程</w:t>
      </w:r>
      <w:bookmarkEnd w:id="124"/>
    </w:p>
    <w:p>
      <w:pPr>
        <w:pStyle w:val="49"/>
        <w:overflowPunct w:val="0"/>
        <w:ind w:firstLine="480"/>
      </w:pPr>
      <w:bookmarkStart w:id="125" w:name="_Hlk193961906"/>
      <w:r>
        <w:t>项目不在场区内生产加工饲料，均购买调配好的饲料</w:t>
      </w:r>
      <w:r>
        <w:rPr>
          <w:rFonts w:hint="eastAsia"/>
        </w:rPr>
        <w:t>，</w:t>
      </w:r>
      <w:bookmarkEnd w:id="125"/>
      <w:r>
        <w:t>运输均使用场外饲料运输车运输饲料，入厂后进入车辆洗消中心消毒后，直接</w:t>
      </w:r>
      <w:bookmarkStart w:id="126" w:name="_Hlk193962071"/>
      <w:r>
        <w:t>输送至每个鸡舍的料塔中。</w:t>
      </w:r>
      <w:bookmarkEnd w:id="126"/>
      <w:r>
        <w:t>饲料输送时整个过程均处在密闭的状态下，不会产生粉尘 。</w:t>
      </w:r>
    </w:p>
    <w:p>
      <w:pPr>
        <w:pStyle w:val="49"/>
        <w:overflowPunct w:val="0"/>
        <w:ind w:firstLine="480"/>
      </w:pPr>
      <w:bookmarkStart w:id="127" w:name="_Hlk193962079"/>
      <w:r>
        <w:t>进场的原材料和出场的淘汰蛋鸡全部采用公路运输的方式。 场区内部走向在设计时将人流、 物流分开， 防止交叉污染， 并严格限制进场的车辆。</w:t>
      </w:r>
    </w:p>
    <w:p>
      <w:pPr>
        <w:pStyle w:val="49"/>
        <w:overflowPunct w:val="0"/>
        <w:ind w:firstLine="480"/>
      </w:pPr>
      <w:r>
        <w:t>项目厂内道路根据所生产产品的特点合理布置，养鸡场与外界有专用道路相连，场内道路分净道和污道，两者应避免交叉和混用，场区饲料运输道路宽度3.5m</w:t>
      </w:r>
      <w:r>
        <w:rPr>
          <w:rFonts w:hint="eastAsia"/>
        </w:rPr>
        <w:t>，</w:t>
      </w:r>
      <w:r>
        <w:t>最小转弯半径为6m</w:t>
      </w:r>
      <w:r>
        <w:rPr>
          <w:rFonts w:hint="eastAsia"/>
        </w:rPr>
        <w:t>；</w:t>
      </w:r>
      <w:r>
        <w:t xml:space="preserve"> 场区人行道宽度2m。 场区道路排布要符合消防要求， 根据地形 尽量减小道路纵坡， 道 路横坡按2%设计； 采用混凝土路面 。</w:t>
      </w:r>
    </w:p>
    <w:bookmarkEnd w:id="127"/>
    <w:p>
      <w:pPr>
        <w:pStyle w:val="4"/>
      </w:pPr>
      <w:bookmarkStart w:id="128" w:name="_Toc194481152"/>
      <w:r>
        <w:rPr>
          <w:rFonts w:hint="eastAsia"/>
        </w:rPr>
        <w:t>3.1.8 劳动定员及工作制度</w:t>
      </w:r>
      <w:bookmarkEnd w:id="128"/>
    </w:p>
    <w:p>
      <w:pPr>
        <w:pStyle w:val="49"/>
        <w:ind w:firstLine="480"/>
      </w:pPr>
      <w:r>
        <w:rPr>
          <w:rFonts w:hint="eastAsia"/>
        </w:rPr>
        <w:t>本项目劳动定员50人，年工作365天，实行1班工作制，每班8小时；夜间不进行喂料等工作。</w:t>
      </w:r>
    </w:p>
    <w:p>
      <w:pPr>
        <w:pStyle w:val="4"/>
      </w:pPr>
      <w:bookmarkStart w:id="129" w:name="_Toc194481153"/>
      <w:r>
        <w:rPr>
          <w:rFonts w:hint="eastAsia"/>
        </w:rPr>
        <w:t>3</w:t>
      </w:r>
      <w:r>
        <w:t>.</w:t>
      </w:r>
      <w:r>
        <w:rPr>
          <w:rFonts w:hint="eastAsia"/>
        </w:rPr>
        <w:t>1</w:t>
      </w:r>
      <w:r>
        <w:t>.</w:t>
      </w:r>
      <w:r>
        <w:rPr>
          <w:rFonts w:hint="eastAsia"/>
        </w:rPr>
        <w:t>9</w:t>
      </w:r>
      <w:r>
        <w:t xml:space="preserve"> </w:t>
      </w:r>
      <w:r>
        <w:rPr>
          <w:rFonts w:hint="eastAsia" w:cs="Times New Roman"/>
          <w:color w:val="000000"/>
          <w:szCs w:val="28"/>
        </w:rPr>
        <w:t>项目总平面布置</w:t>
      </w:r>
      <w:bookmarkEnd w:id="129"/>
    </w:p>
    <w:p>
      <w:pPr>
        <w:pStyle w:val="49"/>
        <w:ind w:firstLine="480"/>
      </w:pPr>
      <w:bookmarkStart w:id="130" w:name="_Hlk193962157"/>
      <w:r>
        <w:rPr>
          <w:rFonts w:hint="eastAsia"/>
        </w:rPr>
        <w:t>本项目位于永州市冷水滩区岚角山街道飞跃村、高桥头村，项目位于山坡上，整个场区地势较高，整个场区主要分为办公生活区、生产区、污水处理区。</w:t>
      </w:r>
    </w:p>
    <w:p>
      <w:pPr>
        <w:pStyle w:val="49"/>
        <w:ind w:firstLine="480"/>
      </w:pPr>
      <w:r>
        <w:rPr>
          <w:rFonts w:hint="eastAsia"/>
        </w:rPr>
        <w:t>（1）办公生活区：</w:t>
      </w:r>
      <w:r>
        <w:t>设在</w:t>
      </w:r>
      <w:r>
        <w:rPr>
          <w:rFonts w:hint="eastAsia"/>
        </w:rPr>
        <w:t>场区西侧，</w:t>
      </w:r>
      <w:r>
        <w:t>鸡舍</w:t>
      </w:r>
      <w:r>
        <w:rPr>
          <w:rFonts w:hint="eastAsia"/>
        </w:rPr>
        <w:t>侧</w:t>
      </w:r>
      <w:r>
        <w:t>风向，并设通道通向场外，在场界、圈舍间用绿化作为隔离林带 。</w:t>
      </w:r>
    </w:p>
    <w:p>
      <w:pPr>
        <w:pStyle w:val="49"/>
        <w:ind w:firstLine="480"/>
      </w:pPr>
      <w:r>
        <w:rPr>
          <w:rFonts w:hint="eastAsia"/>
        </w:rPr>
        <w:t>（2）生产区：设在场区中部，</w:t>
      </w:r>
      <w:r>
        <w:t>根据有利防疫、 便于饲鸡管理和方便转运的原则，实 行全进全出制，按相邻原则依次安排鸡舍。</w:t>
      </w:r>
    </w:p>
    <w:p>
      <w:pPr>
        <w:pStyle w:val="49"/>
        <w:ind w:firstLine="480"/>
      </w:pPr>
      <w:r>
        <w:rPr>
          <w:rFonts w:hint="eastAsia"/>
        </w:rPr>
        <w:t>（3）污水处理区：鸡粪风干车间</w:t>
      </w:r>
      <w:r>
        <w:t>设置在鸡场东</w:t>
      </w:r>
      <w:r>
        <w:rPr>
          <w:rFonts w:hint="eastAsia"/>
        </w:rPr>
        <w:t>南</w:t>
      </w:r>
      <w:r>
        <w:t>侧，远离生活区，与生产区分开设置，采用绿化带隔开；</w:t>
      </w:r>
      <w:r>
        <w:rPr>
          <w:rFonts w:hint="eastAsia"/>
        </w:rPr>
        <w:t>一体化污水处理设施</w:t>
      </w:r>
      <w:r>
        <w:t>设置在鸡场南侧，远离生活区，与生产区分开设置，采用绿化带隔开</w:t>
      </w:r>
      <w:r>
        <w:rPr>
          <w:rFonts w:hint="eastAsia"/>
        </w:rPr>
        <w:t>。</w:t>
      </w:r>
    </w:p>
    <w:bookmarkEnd w:id="130"/>
    <w:p>
      <w:pPr>
        <w:pStyle w:val="49"/>
        <w:ind w:firstLine="480"/>
      </w:pPr>
      <w:bookmarkStart w:id="131" w:name="_Hlk193962343"/>
      <w:r>
        <w:t>根据工艺流程安排，</w:t>
      </w:r>
      <w:r>
        <w:rPr>
          <w:rFonts w:hint="eastAsia"/>
        </w:rPr>
        <w:t>一体化污水处理设施</w:t>
      </w:r>
      <w:r>
        <w:t>紧邻圈舍设置，便于实现</w:t>
      </w:r>
      <w:r>
        <w:rPr>
          <w:rFonts w:ascii="宋体" w:hAnsi="宋体"/>
        </w:rPr>
        <w:t>“</w:t>
      </w:r>
      <w:r>
        <w:t>即产、即清</w:t>
      </w:r>
      <w:r>
        <w:rPr>
          <w:rFonts w:ascii="宋体" w:hAnsi="宋体"/>
        </w:rPr>
        <w:t>”</w:t>
      </w:r>
      <w:r>
        <w:rPr>
          <w:rFonts w:hint="eastAsia"/>
        </w:rPr>
        <w:t>，</w:t>
      </w:r>
      <w:r>
        <w:t>可减少粪污沿途运输造成的水体和土壤污染；项目的鸡粪</w:t>
      </w:r>
      <w:r>
        <w:rPr>
          <w:rFonts w:hint="eastAsia"/>
        </w:rPr>
        <w:t>通过密闭中央集粪带输送至运输车辆中，由运输车辆转运至鸡粪风干车间，风干后转运至有湖南恩润生物科技有限公司制造有机肥，</w:t>
      </w:r>
      <w:r>
        <w:t>从而减少了鸡粪因在厂区内暂存或处理产生的恶臭污染、减少环境风险， 使设备运行稳定、 维修方便、 经济合理。 兽医室位于办公</w:t>
      </w:r>
      <w:r>
        <w:rPr>
          <w:rFonts w:hint="eastAsia"/>
        </w:rPr>
        <w:t>生活</w:t>
      </w:r>
      <w:r>
        <w:t>区，但临近圈舍，便于蛋鸡发生病情时及时就诊，节省时间、人力，减少沿途运输污染；危险废物暂存间靠近兽医室，便于兽药等危险废物的收集、暂存。</w:t>
      </w:r>
    </w:p>
    <w:p>
      <w:pPr>
        <w:pStyle w:val="49"/>
        <w:ind w:firstLine="480"/>
      </w:pPr>
      <w:r>
        <w:t xml:space="preserve">整个厂区布置根据现代养鸡生产工艺流程技术要求， 进行了合理规划布局， 设计足够的车间数、 单元数、 圈栏数， 配备必要的设备设施，实行分批进分批出的生产工艺流程。 圈舍净道和污道分开，减少不必要的交叉，切断疫病的传播途径。 在鸡舍周围、 道路两边和鸡舍之间栽种树木，种植花草， 有利于减少冬季寒风袭击和夏季阳光照射，净 化空气，绿化环境。做到排污固液分流，雨污分离，减少粪污处理量和对周围环境的影响。 </w:t>
      </w:r>
    </w:p>
    <w:p>
      <w:pPr>
        <w:pStyle w:val="49"/>
        <w:ind w:firstLine="480"/>
      </w:pPr>
      <w:r>
        <w:t>根据《畜禽养殖业污染防治技术规范》</w:t>
      </w:r>
      <w:r>
        <w:rPr>
          <w:rFonts w:hint="eastAsia"/>
        </w:rPr>
        <w:t>（</w:t>
      </w:r>
      <w:r>
        <w:t>HJ/T81-2001</w:t>
      </w:r>
      <w:r>
        <w:rPr>
          <w:rFonts w:hint="eastAsia"/>
        </w:rPr>
        <w:t>）</w:t>
      </w:r>
      <w:r>
        <w:t>要求：</w:t>
      </w:r>
      <w:r>
        <w:rPr>
          <w:rFonts w:ascii="宋体" w:hAnsi="宋体"/>
        </w:rPr>
        <w:t>“</w:t>
      </w:r>
      <w:r>
        <w:t>新建、 改建、 扩建的畜禽养殖场应实现生产区、生活管理区的隔离，粪便污水处理设施应设在养殖场的生产区、生活管理区的常年主导风向的下风向或侧风向处</w:t>
      </w:r>
      <w:r>
        <w:rPr>
          <w:rFonts w:ascii="宋体" w:hAnsi="宋体"/>
        </w:rPr>
        <w:t>”</w:t>
      </w:r>
      <w:r>
        <w:t>。本项目区域常年主导风向为</w:t>
      </w:r>
      <w:r>
        <w:rPr>
          <w:rFonts w:hint="eastAsia"/>
        </w:rPr>
        <w:t>东</w:t>
      </w:r>
      <w:r>
        <w:t>北风，养殖区位于项目中间区域，</w:t>
      </w:r>
      <w:r>
        <w:rPr>
          <w:rFonts w:hint="eastAsia"/>
        </w:rPr>
        <w:t>办公生活区</w:t>
      </w:r>
      <w:r>
        <w:t>位于项目西</w:t>
      </w:r>
      <w:r>
        <w:rPr>
          <w:rFonts w:hint="eastAsia"/>
        </w:rPr>
        <w:t>北</w:t>
      </w:r>
      <w:r>
        <w:t>侧，污染防治区位于养殖区和生活区的下风向，生活区和生产区、 污染防治区之间均保持相对独立性， 相互之间有道路连通。</w:t>
      </w:r>
    </w:p>
    <w:p>
      <w:pPr>
        <w:pStyle w:val="49"/>
        <w:ind w:firstLine="480"/>
      </w:pPr>
      <w:r>
        <w:t>总体而言， 项 目区布设功能明确， 互不干扰，在做好相应隔离的防范措施下，内部相互影响较小。本项目场区在布局上充分考虑了生产工艺的需求， 各功能区分布明确，组织协作良好， 同时满足消防、 运输、 卫生等要求 。</w:t>
      </w:r>
    </w:p>
    <w:bookmarkEnd w:id="131"/>
    <w:p>
      <w:pPr>
        <w:pStyle w:val="3"/>
      </w:pPr>
      <w:bookmarkStart w:id="132" w:name="_Toc194481154"/>
      <w:r>
        <w:rPr>
          <w:rFonts w:hint="eastAsia"/>
        </w:rPr>
        <w:t>3</w:t>
      </w:r>
      <w:r>
        <w:t>.</w:t>
      </w:r>
      <w:r>
        <w:rPr>
          <w:rFonts w:hint="eastAsia"/>
        </w:rPr>
        <w:t>2</w:t>
      </w:r>
      <w:r>
        <w:t xml:space="preserve"> </w:t>
      </w:r>
      <w:r>
        <w:rPr>
          <w:rFonts w:hint="eastAsia"/>
        </w:rPr>
        <w:t>工程分析</w:t>
      </w:r>
      <w:bookmarkEnd w:id="132"/>
    </w:p>
    <w:p>
      <w:pPr>
        <w:pStyle w:val="4"/>
      </w:pPr>
      <w:bookmarkStart w:id="133" w:name="_Toc194481155"/>
      <w:r>
        <w:rPr>
          <w:rFonts w:hint="eastAsia"/>
        </w:rPr>
        <w:t>3</w:t>
      </w:r>
      <w:r>
        <w:t>.</w:t>
      </w:r>
      <w:r>
        <w:rPr>
          <w:rFonts w:hint="eastAsia"/>
        </w:rPr>
        <w:t>2</w:t>
      </w:r>
      <w:r>
        <w:t xml:space="preserve">.1 </w:t>
      </w:r>
      <w:r>
        <w:rPr>
          <w:rFonts w:hint="eastAsia"/>
        </w:rPr>
        <w:t>施工期工艺流程及产污环节</w:t>
      </w:r>
      <w:bookmarkEnd w:id="133"/>
    </w:p>
    <w:p>
      <w:pPr>
        <w:pStyle w:val="49"/>
        <w:ind w:firstLine="480"/>
      </w:pPr>
      <w:r>
        <w:rPr>
          <w:rFonts w:hint="eastAsia"/>
        </w:rPr>
        <w:t>施工期项目主要进行土地平整、主体施工、装修工程和设备安装，施工建设过程将产生噪声、扬尘、固体废弃物、施工废水和废气等污染物，其排放量随施工期的内容不同而有所变化。</w:t>
      </w:r>
    </w:p>
    <w:p>
      <w:pPr>
        <w:pStyle w:val="49"/>
        <w:ind w:firstLine="480"/>
      </w:pPr>
      <w:r>
        <w:rPr>
          <w:rFonts w:hint="eastAsia"/>
        </w:rPr>
        <w:t>本项目施工期主要流程及产污环节见下图。</w:t>
      </w:r>
    </w:p>
    <w:p>
      <w:pPr>
        <w:pStyle w:val="49"/>
        <w:ind w:firstLine="0" w:firstLineChars="0"/>
        <w:jc w:val="center"/>
      </w:pPr>
      <w:r>
        <w:object>
          <v:shape id="_x0000_i1025" o:spt="75" type="#_x0000_t75" style="height:150.75pt;width:407.25pt;" o:ole="t" filled="f" o:preferrelative="t" stroked="f" coordsize="21600,21600">
            <v:path/>
            <v:fill on="f" focussize="0,0"/>
            <v:stroke on="f" joinstyle="miter"/>
            <v:imagedata r:id="rId19" o:title=""/>
            <o:lock v:ext="edit" aspectratio="t"/>
            <w10:wrap type="none"/>
            <w10:anchorlock/>
          </v:shape>
          <o:OLEObject Type="Embed" ProgID="Visio.Drawing.15" ShapeID="_x0000_i1025" DrawAspect="Content" ObjectID="_1468075725" r:id="rId18">
            <o:LockedField>false</o:LockedField>
          </o:OLEObject>
        </w:object>
      </w:r>
    </w:p>
    <w:p>
      <w:pPr>
        <w:pStyle w:val="49"/>
        <w:ind w:firstLine="0" w:firstLineChars="0"/>
        <w:jc w:val="center"/>
        <w:rPr>
          <w:b/>
          <w:bCs/>
        </w:rPr>
      </w:pPr>
      <w:r>
        <w:rPr>
          <w:b/>
          <w:bCs/>
        </w:rPr>
        <w:t>图</w:t>
      </w:r>
      <w:r>
        <w:rPr>
          <w:rFonts w:hint="eastAsia"/>
          <w:b/>
          <w:bCs/>
        </w:rPr>
        <w:t>3.2-1 施工期工艺流程及产污环节图</w:t>
      </w:r>
    </w:p>
    <w:p>
      <w:pPr>
        <w:pStyle w:val="49"/>
        <w:ind w:firstLine="480"/>
      </w:pPr>
      <w:r>
        <w:rPr>
          <w:rFonts w:hint="eastAsia"/>
        </w:rPr>
        <w:t xml:space="preserve">施工期污染因素分析如下： </w:t>
      </w:r>
    </w:p>
    <w:p>
      <w:pPr>
        <w:pStyle w:val="49"/>
        <w:ind w:firstLine="480"/>
      </w:pPr>
      <w:r>
        <w:rPr>
          <w:rFonts w:hint="eastAsia"/>
        </w:rPr>
        <w:t>（</w:t>
      </w:r>
      <w:r>
        <w:rPr>
          <w:rFonts w:cs="Times New Roman"/>
        </w:rPr>
        <w:t>1</w:t>
      </w:r>
      <w:r>
        <w:rPr>
          <w:rFonts w:hint="eastAsia"/>
        </w:rPr>
        <w:t xml:space="preserve">）废气：施工区土地平整、汽车运输产生的扬尘、堆场扬尘、燃油机械产生的尾气以及装修废气； </w:t>
      </w:r>
    </w:p>
    <w:p>
      <w:pPr>
        <w:pStyle w:val="49"/>
        <w:ind w:firstLine="480"/>
      </w:pPr>
      <w:r>
        <w:rPr>
          <w:rFonts w:hint="eastAsia"/>
        </w:rPr>
        <w:t>（</w:t>
      </w:r>
      <w:r>
        <w:rPr>
          <w:rFonts w:cs="Times New Roman"/>
        </w:rPr>
        <w:t>2</w:t>
      </w:r>
      <w:r>
        <w:rPr>
          <w:rFonts w:hint="eastAsia"/>
        </w:rPr>
        <w:t xml:space="preserve">）废水：施工机械清洗废水、混凝土养护废水等施工废水和施工人员生 活污水； </w:t>
      </w:r>
    </w:p>
    <w:p>
      <w:pPr>
        <w:pStyle w:val="49"/>
        <w:ind w:firstLine="480"/>
      </w:pPr>
      <w:r>
        <w:rPr>
          <w:rFonts w:hint="eastAsia"/>
        </w:rPr>
        <w:t>（</w:t>
      </w:r>
      <w:r>
        <w:rPr>
          <w:rFonts w:cs="Times New Roman"/>
        </w:rPr>
        <w:t>3</w:t>
      </w:r>
      <w:r>
        <w:rPr>
          <w:rFonts w:hint="eastAsia"/>
        </w:rPr>
        <w:t xml:space="preserve">）噪声：施工机械噪声、施工作业噪声和运输车辆产生的交通噪声； </w:t>
      </w:r>
    </w:p>
    <w:p>
      <w:pPr>
        <w:pStyle w:val="49"/>
        <w:ind w:firstLine="480"/>
      </w:pPr>
      <w:r>
        <w:rPr>
          <w:rFonts w:hint="eastAsia"/>
        </w:rPr>
        <w:t>（</w:t>
      </w:r>
      <w:r>
        <w:rPr>
          <w:rFonts w:cs="Times New Roman"/>
        </w:rPr>
        <w:t>4</w:t>
      </w:r>
      <w:r>
        <w:rPr>
          <w:rFonts w:hint="eastAsia"/>
        </w:rPr>
        <w:t>）固废：开挖土方、建筑垃圾及生活垃圾。</w:t>
      </w:r>
    </w:p>
    <w:p>
      <w:pPr>
        <w:pStyle w:val="49"/>
        <w:ind w:firstLine="480"/>
      </w:pPr>
      <w:r>
        <w:rPr>
          <w:rFonts w:hint="eastAsia"/>
        </w:rPr>
        <w:t>（5）生态：项目占地变化，水土流失等。</w:t>
      </w:r>
    </w:p>
    <w:p>
      <w:pPr>
        <w:pStyle w:val="4"/>
      </w:pPr>
      <w:bookmarkStart w:id="134" w:name="_Toc194481156"/>
      <w:r>
        <w:rPr>
          <w:rFonts w:hint="eastAsia"/>
        </w:rPr>
        <w:t>3</w:t>
      </w:r>
      <w:r>
        <w:t>.</w:t>
      </w:r>
      <w:r>
        <w:rPr>
          <w:rFonts w:hint="eastAsia"/>
        </w:rPr>
        <w:t>2</w:t>
      </w:r>
      <w:r>
        <w:t>.</w:t>
      </w:r>
      <w:r>
        <w:rPr>
          <w:rFonts w:hint="eastAsia"/>
        </w:rPr>
        <w:t>2</w:t>
      </w:r>
      <w:r>
        <w:t xml:space="preserve"> </w:t>
      </w:r>
      <w:r>
        <w:rPr>
          <w:rFonts w:hint="eastAsia"/>
        </w:rPr>
        <w:t>营运期工艺流程及产污环节</w:t>
      </w:r>
      <w:bookmarkEnd w:id="134"/>
    </w:p>
    <w:p>
      <w:pPr>
        <w:pStyle w:val="5"/>
      </w:pPr>
      <w:r>
        <w:rPr>
          <w:rFonts w:hint="eastAsia"/>
        </w:rPr>
        <w:t>3</w:t>
      </w:r>
      <w:r>
        <w:t>.</w:t>
      </w:r>
      <w:r>
        <w:rPr>
          <w:rFonts w:hint="eastAsia"/>
        </w:rPr>
        <w:t>2</w:t>
      </w:r>
      <w:r>
        <w:t>.</w:t>
      </w:r>
      <w:r>
        <w:rPr>
          <w:rFonts w:hint="eastAsia"/>
        </w:rPr>
        <w:t>2.1 养殖工艺</w:t>
      </w:r>
    </w:p>
    <w:p>
      <w:pPr>
        <w:pStyle w:val="49"/>
        <w:ind w:firstLine="480"/>
      </w:pPr>
      <w:r>
        <w:rPr>
          <w:rFonts w:hint="eastAsia"/>
        </w:rPr>
        <w:t xml:space="preserve">本项目鸡舍建筑均采用全封闭式环控鸡舍，外购 </w:t>
      </w:r>
      <w:r>
        <w:t xml:space="preserve">90~120 </w:t>
      </w:r>
      <w:r>
        <w:rPr>
          <w:rFonts w:hint="eastAsia"/>
        </w:rPr>
        <w:t xml:space="preserve">日龄育成鸡进行养殖，在本项目内饲养 </w:t>
      </w:r>
      <w:r>
        <w:t xml:space="preserve">430~460 </w:t>
      </w:r>
      <w:r>
        <w:rPr>
          <w:rFonts w:hint="eastAsia"/>
        </w:rPr>
        <w:t xml:space="preserve">天，饲养至 </w:t>
      </w:r>
      <w:r>
        <w:t xml:space="preserve">550 </w:t>
      </w:r>
      <w:r>
        <w:rPr>
          <w:rFonts w:hint="eastAsia"/>
        </w:rPr>
        <w:t>日龄时淘汰，饲养管理采用层叠式笼养系统、自动光照、自动喂料、自动饮水、自动除粪，风机加湿帘配合进行环境控制、自动集蛋。</w:t>
      </w:r>
    </w:p>
    <w:p>
      <w:pPr>
        <w:pStyle w:val="49"/>
        <w:ind w:firstLine="480"/>
      </w:pPr>
      <w:r>
        <w:rPr>
          <w:rFonts w:hint="eastAsia"/>
        </w:rPr>
        <w:t>本项目养殖工艺流程图及产污环节图如下。</w:t>
      </w:r>
    </w:p>
    <w:p>
      <w:pPr>
        <w:pStyle w:val="49"/>
        <w:ind w:firstLine="0" w:firstLineChars="0"/>
      </w:pPr>
      <w:r>
        <w:object>
          <v:shape id="_x0000_i1026" o:spt="75" type="#_x0000_t75" style="height:285.75pt;width:415.5pt;" o:ole="t" filled="f" o:preferrelative="t" stroked="f" coordsize="21600,21600">
            <v:path/>
            <v:fill on="f" focussize="0,0"/>
            <v:stroke on="f" joinstyle="miter"/>
            <v:imagedata r:id="rId21" o:title=""/>
            <o:lock v:ext="edit" aspectratio="t"/>
            <w10:wrap type="none"/>
            <w10:anchorlock/>
          </v:shape>
          <o:OLEObject Type="Embed" ProgID="Visio.Drawing.15" ShapeID="_x0000_i1026" DrawAspect="Content" ObjectID="_1468075726" r:id="rId20">
            <o:LockedField>false</o:LockedField>
          </o:OLEObject>
        </w:object>
      </w:r>
    </w:p>
    <w:p>
      <w:pPr>
        <w:pStyle w:val="49"/>
        <w:snapToGrid w:val="0"/>
        <w:ind w:firstLine="0" w:firstLineChars="0"/>
        <w:jc w:val="center"/>
        <w:rPr>
          <w:b/>
          <w:bCs/>
        </w:rPr>
      </w:pPr>
      <w:r>
        <w:rPr>
          <w:b/>
          <w:bCs/>
        </w:rPr>
        <w:t>图</w:t>
      </w:r>
      <w:r>
        <w:rPr>
          <w:rFonts w:hint="eastAsia"/>
          <w:b/>
          <w:bCs/>
        </w:rPr>
        <w:t>3.2-2  蛋鸡养殖工艺流程及产污环节图</w:t>
      </w:r>
    </w:p>
    <w:p>
      <w:pPr>
        <w:pStyle w:val="49"/>
        <w:ind w:firstLine="480"/>
      </w:pPr>
      <w:r>
        <w:rPr>
          <w:rFonts w:hint="eastAsia" w:ascii="宋体" w:hAnsi="宋体"/>
        </w:rPr>
        <w:t>工艺流程简述：</w:t>
      </w:r>
    </w:p>
    <w:p>
      <w:pPr>
        <w:pStyle w:val="49"/>
        <w:ind w:firstLine="480"/>
      </w:pPr>
      <w:r>
        <w:rPr>
          <w:rFonts w:hint="eastAsia"/>
        </w:rPr>
        <w:t>（1）优质蛋鸡育成鸡</w:t>
      </w:r>
    </w:p>
    <w:p>
      <w:pPr>
        <w:pStyle w:val="49"/>
        <w:ind w:firstLine="480"/>
        <w:rPr>
          <w:rStyle w:val="50"/>
        </w:rPr>
      </w:pPr>
      <w:r>
        <w:rPr>
          <w:rFonts w:hint="eastAsia"/>
        </w:rPr>
        <w:t>本项目没有孵化工序，直接外购</w:t>
      </w:r>
      <w:r>
        <w:rPr>
          <w:rStyle w:val="50"/>
          <w:rFonts w:hint="eastAsia"/>
        </w:rPr>
        <w:t>90~120天龄的优质蛋鸡育成鸡。</w:t>
      </w:r>
    </w:p>
    <w:p>
      <w:pPr>
        <w:pStyle w:val="49"/>
        <w:ind w:firstLine="480"/>
        <w:rPr>
          <w:rStyle w:val="50"/>
        </w:rPr>
      </w:pPr>
      <w:r>
        <w:rPr>
          <w:rStyle w:val="50"/>
          <w:rFonts w:hint="eastAsia"/>
        </w:rPr>
        <w:t>（2）饲料</w:t>
      </w:r>
    </w:p>
    <w:p>
      <w:pPr>
        <w:pStyle w:val="49"/>
        <w:ind w:firstLine="480"/>
      </w:pPr>
      <w:r>
        <w:rPr>
          <w:rFonts w:hint="eastAsia"/>
        </w:rPr>
        <w:t>项目不涉及饲料加工工序，直接购买已加工好的饲料，通过饲料运输车按时把饲料送到鸡舍外的料塔储存，再送入鸡舍饲养蛋鸡。</w:t>
      </w:r>
    </w:p>
    <w:p>
      <w:pPr>
        <w:pStyle w:val="49"/>
        <w:ind w:firstLine="480"/>
      </w:pPr>
      <w:r>
        <w:rPr>
          <w:rFonts w:hint="eastAsia"/>
        </w:rPr>
        <w:t>（3）蛋鸡养殖</w:t>
      </w:r>
    </w:p>
    <w:p>
      <w:pPr>
        <w:pStyle w:val="49"/>
        <w:ind w:firstLine="480"/>
      </w:pPr>
      <w:r>
        <w:rPr>
          <w:rFonts w:hint="eastAsia"/>
        </w:rPr>
        <w:t xml:space="preserve">饲养方式：外购 </w:t>
      </w:r>
      <w:r>
        <w:t xml:space="preserve">90~120 </w:t>
      </w:r>
      <w:r>
        <w:rPr>
          <w:rFonts w:hint="eastAsia"/>
        </w:rPr>
        <w:t xml:space="preserve">日龄育成鸡进行养殖，在本项目内饲养 </w:t>
      </w:r>
      <w:r>
        <w:t xml:space="preserve">430~460 </w:t>
      </w:r>
      <w:r>
        <w:rPr>
          <w:rFonts w:hint="eastAsia"/>
        </w:rPr>
        <w:t xml:space="preserve">天，饲养至 </w:t>
      </w:r>
      <w:r>
        <w:t xml:space="preserve">550 </w:t>
      </w:r>
      <w:r>
        <w:rPr>
          <w:rFonts w:hint="eastAsia"/>
        </w:rPr>
        <w:t>日龄时淘汰，</w:t>
      </w:r>
      <w:r>
        <w:rPr>
          <w:rStyle w:val="50"/>
          <w:rFonts w:hint="eastAsia"/>
        </w:rPr>
        <w:t>本项目共设7栋鸡舍，蛋鸡按栋分批次购入和淘汰，按栋进行“全进全出”式饲养，即同一栋鸡舍内购入的蛋鸡均为同一日龄，在相同条件下饲养，在同一时间淘汰，同一栋蛋鸡的淘汰在7天内完成。</w:t>
      </w:r>
    </w:p>
    <w:p>
      <w:pPr>
        <w:pStyle w:val="49"/>
        <w:ind w:firstLine="480"/>
      </w:pPr>
      <w:r>
        <w:rPr>
          <w:rFonts w:hint="eastAsia"/>
        </w:rPr>
        <w:t>饲料输送系统：通过饲料运输车按时把饲料送到鸡舍外的料塔储存，然后横向输料装置按设定的时间把料塔中的饲料送到每列笼架的喂料行车料斗中。在最后一个行车料斗装满饲料后，横向输料装置自动停止输料。喂料行车按设定的时间往后运行，运行到每列笼架尾端时，行车自动停下。在运行过程中，行车每层的料斗对应每一条料槽把饲料均匀地落在料槽上，每只鸡都可自由地采食到新鲜的饲料。</w:t>
      </w:r>
    </w:p>
    <w:p>
      <w:pPr>
        <w:pStyle w:val="49"/>
        <w:ind w:firstLine="480"/>
      </w:pPr>
      <w:r>
        <w:rPr>
          <w:rFonts w:hint="eastAsia"/>
        </w:rPr>
        <w:t xml:space="preserve">鸡舍饮水系统：鸡饮水供水水线设置在每层鸡笼顶部的中间，每位笼里设置多个乳头，供鸡笼的鸡只喝水，乳头下面设置一条 </w:t>
      </w:r>
      <w:r>
        <w:t xml:space="preserve">V </w:t>
      </w:r>
      <w:r>
        <w:rPr>
          <w:rFonts w:hint="eastAsia"/>
        </w:rPr>
        <w:t>型接水槽，把鸡只喝水时溅出的水花接下来，然后自然蒸发。这样鸡只溅出的水花不会掉到鸡粪里，使鸡粪更加干燥。</w:t>
      </w:r>
    </w:p>
    <w:p>
      <w:pPr>
        <w:pStyle w:val="49"/>
        <w:ind w:firstLine="480"/>
      </w:pPr>
      <w:r>
        <w:rPr>
          <w:rFonts w:hint="eastAsia"/>
        </w:rPr>
        <w:t>鸡粪清理系统：</w:t>
      </w:r>
      <w:bookmarkStart w:id="135" w:name="_Hlk191922724"/>
      <w:r>
        <w:rPr>
          <w:rFonts w:hint="eastAsia"/>
        </w:rPr>
        <w:t>根据《畜禽养殖业污染防治技术规范》（</w:t>
      </w:r>
      <w:r>
        <w:t>HJ/81-2001</w:t>
      </w:r>
      <w:r>
        <w:rPr>
          <w:rFonts w:hint="eastAsia"/>
        </w:rPr>
        <w:t>）</w:t>
      </w:r>
      <w:r>
        <w:t>4.3</w:t>
      </w:r>
      <w:r>
        <w:rPr>
          <w:rFonts w:ascii="宋体" w:hAnsi="宋体"/>
        </w:rPr>
        <w:t>“</w:t>
      </w:r>
      <w:r>
        <w:rPr>
          <w:rFonts w:hint="eastAsia"/>
        </w:rPr>
        <w:t>新建、改建、扩建的畜禽养殖场应采取干清粪工艺，采取有效措施将粪及时、单独清出，不可与尿、污水混合排出，并将产生粪渣及时运至贮存或处理场所，实现日产日清</w:t>
      </w:r>
      <w:r>
        <w:rPr>
          <w:rFonts w:ascii="宋体" w:hAnsi="宋体"/>
        </w:rPr>
        <w:t>”</w:t>
      </w:r>
      <w:r>
        <w:rPr>
          <w:rFonts w:hint="eastAsia"/>
        </w:rPr>
        <w:t>的规定，项目采用干清粪工艺，平时鸡舍不进行冲洗，只在整栋鸡全部出栏时冲洗一次，大大降低了粪水产生。项目采用传送带式清粪机代替传统的人工清粪，蛋鸡产生的鸡粪落入鸡笼下方的横向清粪带上，每层鸡笼下方均设置一条输粪带，避免上层鸡笼的鸡粪落入下层鸡笼，本项目采用干清粪工艺，鸡舍内每层鸡笼下方均设置有粪带，鸡舍均设置一条集中输粪带。鸡粪依靠重力进入粪带，粪带安装有自动清洁装置，鸡粪经鸡舍内粪带收集后通过不锈钢尼龙刮刀刮至舍外中央集粪带，舍外中央集粪带密闭设置，粪便通过密闭中央集粪带输送至运输车辆中，由运输车辆转运至鸡粪风干车间，风干后转运至湖南恩润生物科技有限公司制造有机肥，日产日清，不在鸡舍暂存。</w:t>
      </w:r>
    </w:p>
    <w:bookmarkEnd w:id="135"/>
    <w:p>
      <w:pPr>
        <w:pStyle w:val="49"/>
        <w:ind w:firstLine="480"/>
      </w:pPr>
      <w:r>
        <w:rPr>
          <w:rFonts w:hint="eastAsia"/>
        </w:rPr>
        <w:t>鸡蛋收集系统：鸡舍内设置一套集蛋系统，包括集蛋带、拨蛋机和集蛋机，鸡舍外设置一条中央输蛋线。鸡蛋经鸡舍内集蛋系统进行收集后，在集蛋带上进行拨蛋实现大小头转向，然后通过集蛋带汇集到舍外中央输蛋线上，中央输蛋线设置防雨保温盖板，最终输送至中央蛋库打包。</w:t>
      </w:r>
    </w:p>
    <w:p>
      <w:pPr>
        <w:pStyle w:val="49"/>
        <w:ind w:firstLine="480"/>
      </w:pPr>
      <w:r>
        <w:rPr>
          <w:rFonts w:hint="eastAsia"/>
        </w:rPr>
        <w:t>（5）鸡舍清理</w:t>
      </w:r>
    </w:p>
    <w:p>
      <w:pPr>
        <w:pStyle w:val="49"/>
        <w:ind w:firstLine="480"/>
      </w:pPr>
      <w:r>
        <w:rPr>
          <w:rFonts w:hint="eastAsia"/>
        </w:rPr>
        <w:t xml:space="preserve">外购 </w:t>
      </w:r>
      <w:r>
        <w:t xml:space="preserve">90~120 </w:t>
      </w:r>
      <w:r>
        <w:rPr>
          <w:rFonts w:hint="eastAsia"/>
        </w:rPr>
        <w:t xml:space="preserve">日龄育成鸡进行养殖，在本项目内饲养 </w:t>
      </w:r>
      <w:r>
        <w:t xml:space="preserve">430~460 </w:t>
      </w:r>
      <w:r>
        <w:rPr>
          <w:rFonts w:hint="eastAsia"/>
        </w:rPr>
        <w:t xml:space="preserve">天，饲养至 </w:t>
      </w:r>
      <w:r>
        <w:t xml:space="preserve">550 </w:t>
      </w:r>
      <w:r>
        <w:rPr>
          <w:rFonts w:hint="eastAsia"/>
        </w:rPr>
        <w:t>日龄时淘汰，完全出栏后，采用高压水冲洗鸡舍，待鸡舍充分干燥后，关好门窗，喷洒消毒液消毒。对于使用过的祠槽和饮水器等，均需要用清水冲洗干净，然后用消毒液进行消毒。清洗时间一般为</w:t>
      </w:r>
      <w:r>
        <w:t>2-3d</w:t>
      </w:r>
      <w:r>
        <w:rPr>
          <w:rFonts w:hint="eastAsia"/>
        </w:rPr>
        <w:t xml:space="preserve">。消毒后空舍 </w:t>
      </w:r>
      <w:r>
        <w:t xml:space="preserve">30 </w:t>
      </w:r>
      <w:r>
        <w:rPr>
          <w:rFonts w:hint="eastAsia"/>
        </w:rPr>
        <w:t>天再重新 接纳新鸡群。</w:t>
      </w:r>
    </w:p>
    <w:p>
      <w:pPr>
        <w:pStyle w:val="49"/>
        <w:ind w:firstLine="480"/>
      </w:pPr>
      <w:r>
        <w:rPr>
          <w:rFonts w:hint="eastAsia"/>
        </w:rPr>
        <w:t>（6）环境消毒</w:t>
      </w:r>
    </w:p>
    <w:p>
      <w:pPr>
        <w:pStyle w:val="49"/>
        <w:ind w:firstLine="480"/>
      </w:pPr>
      <w:r>
        <w:rPr>
          <w:rFonts w:hint="eastAsia"/>
        </w:rPr>
        <w:t>进入养殖场的人员和车辆均需进行消毒。在进入养殖场的车辆通过一个消毒池进行消毒，人员通过消毒间消毒。在进入鸡舍前，人员需进过淋浴并更换消毒的服装。消毒液经常更换。对养殖场的道路、墙壁缝隙等定期清理，并用消毒液进行消毒。</w:t>
      </w:r>
    </w:p>
    <w:p>
      <w:pPr>
        <w:pStyle w:val="49"/>
        <w:ind w:firstLine="480"/>
      </w:pPr>
      <w:r>
        <w:rPr>
          <w:rFonts w:hint="eastAsia"/>
        </w:rPr>
        <w:t>（7）鸡场防疫</w:t>
      </w:r>
    </w:p>
    <w:p>
      <w:pPr>
        <w:pStyle w:val="49"/>
        <w:ind w:firstLine="480"/>
      </w:pPr>
      <w:r>
        <w:rPr>
          <w:rFonts w:hint="eastAsia"/>
        </w:rPr>
        <w:t xml:space="preserve">①做好免疫接种工作 </w:t>
      </w:r>
    </w:p>
    <w:p>
      <w:pPr>
        <w:pStyle w:val="49"/>
        <w:ind w:firstLine="480"/>
      </w:pPr>
      <w:r>
        <w:rPr>
          <w:rFonts w:hint="eastAsia"/>
        </w:rPr>
        <w:t>做好接种免疫工作是规模化养鸡疫病防治的重要措施，只有对鸡群进行正 确、合理的免疫接种，才能保障鸡群不发生疫病，同时还能保证鸡群的后代在一段时间内不发生疫病。</w:t>
      </w:r>
    </w:p>
    <w:p>
      <w:pPr>
        <w:pStyle w:val="49"/>
        <w:ind w:firstLine="480"/>
      </w:pPr>
      <w:r>
        <w:rPr>
          <w:rFonts w:hint="eastAsia"/>
        </w:rPr>
        <w:t xml:space="preserve">②加强对药品的管理 </w:t>
      </w:r>
    </w:p>
    <w:p>
      <w:pPr>
        <w:pStyle w:val="49"/>
        <w:ind w:firstLine="480"/>
      </w:pPr>
      <w:r>
        <w:rPr>
          <w:rFonts w:hint="eastAsia"/>
        </w:rPr>
        <w:t>规模化养鸡场的防疫工作应该在动物卫生防疫部门的指导下完成，同时结合养殖场的实际情况进行免疫。对于疫苗或者兽药的使用，都应该严格按照相关的规定使用，不仅要为鸡群提供安全、有效的防疫，同时还应该保证鸡群的健康和营养。</w:t>
      </w:r>
    </w:p>
    <w:p>
      <w:pPr>
        <w:pStyle w:val="49"/>
        <w:ind w:firstLine="480"/>
      </w:pPr>
      <w:r>
        <w:rPr>
          <w:rFonts w:hint="eastAsia"/>
        </w:rPr>
        <w:t xml:space="preserve">③加强养鸡场的卫生管理 </w:t>
      </w:r>
    </w:p>
    <w:p>
      <w:pPr>
        <w:pStyle w:val="49"/>
        <w:ind w:firstLine="480"/>
      </w:pPr>
      <w:r>
        <w:rPr>
          <w:rFonts w:hint="eastAsia"/>
        </w:rPr>
        <w:t xml:space="preserve">在养鸡场的大门口，应该设立专门的消毒池，进出的车辆必须进过严格的消毒，不能将病原体带入养殖场内。对于进出的人员和杂物同样应该做好病原体的监督管理。饲养人员在进入鸡舍时，应该洗手、消毒，穿工作鞋和工作服。 </w:t>
      </w:r>
    </w:p>
    <w:p>
      <w:pPr>
        <w:pStyle w:val="49"/>
        <w:ind w:firstLine="480"/>
      </w:pPr>
      <w:r>
        <w:rPr>
          <w:rFonts w:hint="eastAsia"/>
        </w:rPr>
        <w:t xml:space="preserve">④做好疫病处置 </w:t>
      </w:r>
    </w:p>
    <w:p>
      <w:pPr>
        <w:pStyle w:val="49"/>
        <w:ind w:firstLine="480"/>
      </w:pPr>
      <w:r>
        <w:rPr>
          <w:rFonts w:hint="eastAsia"/>
        </w:rPr>
        <w:t>做好疫病的处置也是一个重要的防止措施，一些鸡疫病具有传染性，只有及时处置才能有效预防。工作人员每天都要按照一定的程序对鸡群的健康状况进行观察，一旦发现不良鸡应该及时淘汰，发现可能发生疫病的鸡应该及时隔离，果断处理。从而有效避免鸡疫病发生传播。对于没有治疗价值的疫病鸡或者死鸡，应该及时处理，对污染的鸡舍、用具和工具等进行消毒。</w:t>
      </w:r>
    </w:p>
    <w:p>
      <w:pPr>
        <w:pStyle w:val="49"/>
        <w:ind w:firstLine="480"/>
      </w:pPr>
      <w:r>
        <w:rPr>
          <w:rFonts w:hint="eastAsia"/>
        </w:rPr>
        <w:t>（</w:t>
      </w:r>
      <w:r>
        <w:t>9</w:t>
      </w:r>
      <w:r>
        <w:rPr>
          <w:rFonts w:hint="eastAsia"/>
        </w:rPr>
        <w:t xml:space="preserve">）病死鸡处置 </w:t>
      </w:r>
    </w:p>
    <w:p>
      <w:pPr>
        <w:pStyle w:val="49"/>
        <w:ind w:firstLine="480"/>
      </w:pPr>
      <w:r>
        <w:rPr>
          <w:rFonts w:hint="eastAsia"/>
        </w:rPr>
        <w:t>病鸡、死鸡一起必须妥善处置，防止二次污染，并杜绝传播疾病，冰冻暂存后运至无害化处理中心集中处置。</w:t>
      </w:r>
    </w:p>
    <w:p>
      <w:pPr>
        <w:pStyle w:val="5"/>
      </w:pPr>
      <w:r>
        <w:rPr>
          <w:rFonts w:hint="eastAsia"/>
        </w:rPr>
        <w:t>3</w:t>
      </w:r>
      <w:r>
        <w:t>.</w:t>
      </w:r>
      <w:r>
        <w:rPr>
          <w:rFonts w:hint="eastAsia"/>
        </w:rPr>
        <w:t>2</w:t>
      </w:r>
      <w:r>
        <w:t>.</w:t>
      </w:r>
      <w:r>
        <w:rPr>
          <w:rFonts w:hint="eastAsia"/>
        </w:rPr>
        <w:t>2.2 鸡粪风干系统工艺</w:t>
      </w:r>
    </w:p>
    <w:p>
      <w:pPr>
        <w:pStyle w:val="49"/>
        <w:ind w:firstLine="480"/>
      </w:pPr>
      <w:bookmarkStart w:id="136" w:name="_Hlk191922863"/>
      <w:r>
        <w:rPr>
          <w:rFonts w:hint="eastAsia"/>
        </w:rPr>
        <w:t>本项目鸡粪采用干清粪工艺，日产日清，由鸡舍内清粪带及中央集粪带将鸡粪输送至运输车辆内，再由运输汽车转运至风干车间智能化鸡粪风干处理设备的输送带上，由输送带输送进入匀料系统，均匀的平铺到最上层的干燥粪板上，进行均速干燥，同时经由鸡舍尾端风机抽出舍内热空气穿过湿粪层，逐层带走鸡粪中的水分，从而起到风干效果。上层板与下层板之间高差约为0.1m，鸡粪自带水分，且干燥板两侧设有挡板，因此，翻板过程产生的颗粒将会自动落入干燥板内。鸡粪风干处理系统24h内可将湿鸡粪的含水量降至40%，风干后的鸡粪直接输送至密闭转运车间，转运至有湖南恩润生物科技有限公司制造有机肥，不在场区内储存。</w:t>
      </w:r>
    </w:p>
    <w:bookmarkEnd w:id="136"/>
    <w:p>
      <w:pPr>
        <w:pStyle w:val="49"/>
        <w:ind w:firstLine="480"/>
        <w:rPr>
          <w:rFonts w:hint="eastAsia" w:ascii="宋体" w:hAnsi="宋体"/>
        </w:rPr>
      </w:pPr>
      <w:r>
        <w:rPr>
          <w:rFonts w:hint="eastAsia"/>
        </w:rPr>
        <w:t>项目鸡粪风干系统工艺流程图如下所示。</w:t>
      </w:r>
    </w:p>
    <w:p>
      <w:pPr>
        <w:pStyle w:val="49"/>
        <w:ind w:firstLine="0" w:firstLineChars="0"/>
        <w:jc w:val="center"/>
      </w:pPr>
      <w:r>
        <w:object>
          <v:shape id="_x0000_i1027" o:spt="75" type="#_x0000_t75" style="height:130.5pt;width:414.75pt;" o:ole="t" filled="f" o:preferrelative="t" stroked="f" coordsize="21600,21600">
            <v:path/>
            <v:fill on="f" focussize="0,0"/>
            <v:stroke on="f" joinstyle="miter"/>
            <v:imagedata r:id="rId23" o:title=""/>
            <o:lock v:ext="edit" aspectratio="t"/>
            <w10:wrap type="none"/>
            <w10:anchorlock/>
          </v:shape>
          <o:OLEObject Type="Embed" ProgID="Visio.Drawing.15" ShapeID="_x0000_i1027" DrawAspect="Content" ObjectID="_1468075727" r:id="rId22">
            <o:LockedField>false</o:LockedField>
          </o:OLEObject>
        </w:object>
      </w:r>
    </w:p>
    <w:p>
      <w:pPr>
        <w:pStyle w:val="49"/>
        <w:ind w:firstLine="0" w:firstLineChars="0"/>
        <w:jc w:val="center"/>
        <w:rPr>
          <w:b/>
          <w:bCs/>
        </w:rPr>
      </w:pPr>
      <w:r>
        <w:rPr>
          <w:b/>
          <w:bCs/>
        </w:rPr>
        <w:t>图</w:t>
      </w:r>
      <w:r>
        <w:rPr>
          <w:rFonts w:hint="eastAsia"/>
          <w:b/>
          <w:bCs/>
        </w:rPr>
        <w:t>3.2-3  鸡粪风干系统工艺流程及产污环节图</w:t>
      </w:r>
    </w:p>
    <w:p>
      <w:pPr>
        <w:pStyle w:val="49"/>
        <w:ind w:firstLine="480"/>
      </w:pPr>
      <w:r>
        <w:rPr>
          <w:rFonts w:hint="eastAsia" w:ascii="宋体" w:hAnsi="宋体"/>
        </w:rPr>
        <w:t>（</w:t>
      </w:r>
      <w:r>
        <w:rPr>
          <w:rFonts w:cs="Times New Roman"/>
        </w:rPr>
        <w:t>1</w:t>
      </w:r>
      <w:r>
        <w:rPr>
          <w:rFonts w:hint="eastAsia" w:ascii="宋体" w:hAnsi="宋体"/>
        </w:rPr>
        <w:t>）工艺流程简述：</w:t>
      </w:r>
    </w:p>
    <w:p>
      <w:pPr>
        <w:pStyle w:val="49"/>
        <w:ind w:firstLine="480"/>
      </w:pPr>
      <w:bookmarkStart w:id="137" w:name="_Hlk191923247"/>
      <w:r>
        <w:rPr>
          <w:rFonts w:hint="eastAsia"/>
        </w:rPr>
        <w:t>传送带：鸡粪通过密闭式传送带将鸡粪输送至风干区进料口。</w:t>
      </w:r>
    </w:p>
    <w:p>
      <w:pPr>
        <w:pStyle w:val="49"/>
        <w:ind w:firstLine="480"/>
      </w:pPr>
      <w:r>
        <w:rPr>
          <w:rFonts w:hint="eastAsia"/>
        </w:rPr>
        <w:t>进料口：进料口为鸡粪进入的通道，设有挡板，不进料时挡板封闭，减少恶臭气体逸散。</w:t>
      </w:r>
    </w:p>
    <w:p>
      <w:pPr>
        <w:pStyle w:val="49"/>
        <w:ind w:firstLine="480"/>
      </w:pPr>
      <w:r>
        <w:rPr>
          <w:rFonts w:hint="eastAsia"/>
        </w:rPr>
        <w:t>撒料装置：鸡粪经过进料口进入撒料装置，再由自动摆动匀料器将鸡粪均匀的铺撒到粪板上。</w:t>
      </w:r>
    </w:p>
    <w:p>
      <w:pPr>
        <w:pStyle w:val="49"/>
        <w:ind w:firstLine="480"/>
      </w:pPr>
      <w:r>
        <w:rPr>
          <w:rFonts w:hint="eastAsia"/>
        </w:rPr>
        <w:t>进入粪板、翻板、下层粪板：粪板（干燥板）共3层，鸡粪经匀料系统，均匀的平铺到最上层的干燥板上，进京匀速干燥。粪板尾部设有翻板装置，由翻板装置将鸡粪翻面并铺设到下一层粪板上。连续两次翻板后，鸡粪落到最下层粪板上。</w:t>
      </w:r>
    </w:p>
    <w:p>
      <w:pPr>
        <w:pStyle w:val="49"/>
        <w:ind w:firstLine="480"/>
      </w:pPr>
      <w:r>
        <w:rPr>
          <w:rFonts w:hint="eastAsia"/>
        </w:rPr>
        <w:t>斜绞龙：斜绞龙即斜向安装的密闭式螺旋输送机，鸡粪由下层粪板进行斜绞龙，根据鸡粪状态（含水率）选择鸡粪去向。如果鸡粪含水率已经降低至40%，则输送至出料口；如果鸡粪含水率高于40%，则输送至混料口。</w:t>
      </w:r>
    </w:p>
    <w:p>
      <w:pPr>
        <w:pStyle w:val="49"/>
        <w:ind w:firstLine="480"/>
      </w:pPr>
      <w:r>
        <w:rPr>
          <w:rFonts w:hint="eastAsia"/>
        </w:rPr>
        <w:t>混料口：经风干后含水率较高的鸡粪输送进入混料口，将鸡粪混合后再输送进入进料口，并重复上述步骤，直至鸡粪含水率低至40%为止。</w:t>
      </w:r>
    </w:p>
    <w:bookmarkEnd w:id="137"/>
    <w:p>
      <w:pPr>
        <w:pStyle w:val="5"/>
      </w:pPr>
      <w:r>
        <w:rPr>
          <w:rFonts w:hint="eastAsia"/>
        </w:rPr>
        <w:t>3</w:t>
      </w:r>
      <w:r>
        <w:t>.</w:t>
      </w:r>
      <w:r>
        <w:rPr>
          <w:rFonts w:hint="eastAsia"/>
        </w:rPr>
        <w:t>2</w:t>
      </w:r>
      <w:r>
        <w:t>.</w:t>
      </w:r>
      <w:r>
        <w:rPr>
          <w:rFonts w:hint="eastAsia"/>
        </w:rPr>
        <w:t>2.3</w:t>
      </w:r>
      <w:r>
        <w:t xml:space="preserve"> </w:t>
      </w:r>
      <w:r>
        <w:rPr>
          <w:rFonts w:hint="eastAsia"/>
        </w:rPr>
        <w:t>主要产污环节、污染因子及处置去向</w:t>
      </w:r>
    </w:p>
    <w:p>
      <w:pPr>
        <w:pStyle w:val="49"/>
        <w:ind w:firstLine="480"/>
      </w:pPr>
      <w:r>
        <w:rPr>
          <w:rFonts w:hint="eastAsia"/>
        </w:rPr>
        <w:t>本项目主要产污环节、污染因子及处置去向分析见下表。</w:t>
      </w:r>
    </w:p>
    <w:p>
      <w:pPr>
        <w:pStyle w:val="53"/>
      </w:pPr>
      <w:r>
        <w:rPr>
          <w:rFonts w:hint="eastAsia"/>
        </w:rPr>
        <w:t>表3.2-1 主要产污环节、污染因子及处置去向一览表</w:t>
      </w:r>
    </w:p>
    <w:tbl>
      <w:tblPr>
        <w:tblStyle w:val="40"/>
        <w:tblpPr w:leftFromText="180" w:rightFromText="180" w:vertAnchor="text" w:tblpY="1"/>
        <w:tblOverlap w:val="never"/>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358"/>
        <w:gridCol w:w="2273"/>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8" w:type="dxa"/>
            <w:vAlign w:val="center"/>
          </w:tcPr>
          <w:p>
            <w:pPr>
              <w:pStyle w:val="51"/>
            </w:pPr>
            <w:r>
              <w:rPr>
                <w:rFonts w:hint="eastAsia"/>
              </w:rPr>
              <w:t>项目</w:t>
            </w:r>
          </w:p>
        </w:tc>
        <w:tc>
          <w:tcPr>
            <w:tcW w:w="1358" w:type="dxa"/>
            <w:vAlign w:val="center"/>
          </w:tcPr>
          <w:p>
            <w:pPr>
              <w:pStyle w:val="51"/>
            </w:pPr>
            <w:r>
              <w:rPr>
                <w:rFonts w:hint="eastAsia"/>
              </w:rPr>
              <w:t>产污环节</w:t>
            </w:r>
          </w:p>
        </w:tc>
        <w:tc>
          <w:tcPr>
            <w:tcW w:w="2273" w:type="dxa"/>
            <w:vAlign w:val="center"/>
          </w:tcPr>
          <w:p>
            <w:pPr>
              <w:pStyle w:val="51"/>
            </w:pPr>
            <w:r>
              <w:rPr>
                <w:rFonts w:hint="eastAsia"/>
              </w:rPr>
              <w:t>主要污染物</w:t>
            </w:r>
          </w:p>
        </w:tc>
        <w:tc>
          <w:tcPr>
            <w:tcW w:w="4111" w:type="dxa"/>
            <w:vAlign w:val="center"/>
          </w:tcPr>
          <w:p>
            <w:pPr>
              <w:pStyle w:val="51"/>
            </w:pPr>
            <w:r>
              <w:rPr>
                <w:rFonts w:hint="eastAsia"/>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58" w:type="dxa"/>
            <w:vMerge w:val="restart"/>
            <w:vAlign w:val="center"/>
          </w:tcPr>
          <w:p>
            <w:pPr>
              <w:pStyle w:val="51"/>
            </w:pPr>
            <w:r>
              <w:rPr>
                <w:rFonts w:hint="eastAsia"/>
              </w:rPr>
              <w:t>废气</w:t>
            </w:r>
          </w:p>
        </w:tc>
        <w:tc>
          <w:tcPr>
            <w:tcW w:w="1358" w:type="dxa"/>
            <w:vAlign w:val="center"/>
          </w:tcPr>
          <w:p>
            <w:pPr>
              <w:pStyle w:val="51"/>
            </w:pPr>
            <w:r>
              <w:rPr>
                <w:rFonts w:hint="eastAsia"/>
              </w:rPr>
              <w:t>鸡舍</w:t>
            </w:r>
          </w:p>
        </w:tc>
        <w:tc>
          <w:tcPr>
            <w:tcW w:w="2273" w:type="dxa"/>
            <w:vAlign w:val="center"/>
          </w:tcPr>
          <w:p>
            <w:pPr>
              <w:pStyle w:val="51"/>
            </w:pPr>
            <w:r>
              <w:rPr>
                <w:rFonts w:hint="eastAsia"/>
              </w:rPr>
              <w:t>NH</w:t>
            </w:r>
            <w:r>
              <w:rPr>
                <w:rFonts w:hint="eastAsia"/>
                <w:vertAlign w:val="subscript"/>
              </w:rPr>
              <w:t>3</w:t>
            </w:r>
            <w:r>
              <w:rPr>
                <w:rFonts w:hint="eastAsia"/>
              </w:rPr>
              <w:t>、H</w:t>
            </w:r>
            <w:r>
              <w:rPr>
                <w:rFonts w:hint="eastAsia"/>
                <w:vertAlign w:val="subscript"/>
              </w:rPr>
              <w:t>2</w:t>
            </w:r>
            <w:r>
              <w:rPr>
                <w:rFonts w:hint="eastAsia"/>
              </w:rPr>
              <w:t>S、</w:t>
            </w:r>
          </w:p>
          <w:p>
            <w:pPr>
              <w:pStyle w:val="51"/>
            </w:pPr>
            <w:r>
              <w:rPr>
                <w:rFonts w:hint="eastAsia"/>
              </w:rPr>
              <w:t>臭气浓度、颗粒物</w:t>
            </w:r>
          </w:p>
        </w:tc>
        <w:tc>
          <w:tcPr>
            <w:tcW w:w="4111" w:type="dxa"/>
            <w:vAlign w:val="center"/>
          </w:tcPr>
          <w:p>
            <w:pPr>
              <w:pStyle w:val="51"/>
            </w:pPr>
            <w:r>
              <w:rPr>
                <w:rFonts w:hint="eastAsia"/>
              </w:rPr>
              <w:t>在饲料中添加EM菌对蛋鸡进行喂养，同时鸡粪采用干清粪封闭式输送带输送，每天及时清运、加强通风，定期喷洒生物除臭剂，加强绿化；</w:t>
            </w: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58" w:type="dxa"/>
            <w:vMerge w:val="continue"/>
            <w:vAlign w:val="center"/>
          </w:tcPr>
          <w:p>
            <w:pPr>
              <w:pStyle w:val="51"/>
            </w:pPr>
          </w:p>
        </w:tc>
        <w:tc>
          <w:tcPr>
            <w:tcW w:w="1358" w:type="dxa"/>
            <w:vAlign w:val="center"/>
          </w:tcPr>
          <w:p>
            <w:pPr>
              <w:pStyle w:val="51"/>
            </w:pPr>
            <w:r>
              <w:rPr>
                <w:rFonts w:hint="eastAsia"/>
              </w:rPr>
              <w:t>鸡粪风干</w:t>
            </w:r>
          </w:p>
          <w:p>
            <w:pPr>
              <w:pStyle w:val="51"/>
            </w:pPr>
            <w:r>
              <w:rPr>
                <w:rFonts w:hint="eastAsia"/>
              </w:rPr>
              <w:t>车间</w:t>
            </w:r>
          </w:p>
        </w:tc>
        <w:tc>
          <w:tcPr>
            <w:tcW w:w="2273" w:type="dxa"/>
            <w:vAlign w:val="center"/>
          </w:tcPr>
          <w:p>
            <w:pPr>
              <w:pStyle w:val="51"/>
            </w:pPr>
            <w:r>
              <w:rPr>
                <w:rFonts w:hint="eastAsia"/>
              </w:rPr>
              <w:t>NH</w:t>
            </w:r>
            <w:r>
              <w:rPr>
                <w:rFonts w:hint="eastAsia"/>
                <w:vertAlign w:val="subscript"/>
              </w:rPr>
              <w:t>3</w:t>
            </w:r>
            <w:r>
              <w:rPr>
                <w:rFonts w:hint="eastAsia"/>
              </w:rPr>
              <w:t>、H</w:t>
            </w:r>
            <w:r>
              <w:rPr>
                <w:rFonts w:hint="eastAsia"/>
                <w:vertAlign w:val="subscript"/>
              </w:rPr>
              <w:t>2</w:t>
            </w:r>
            <w:r>
              <w:rPr>
                <w:rFonts w:hint="eastAsia"/>
              </w:rPr>
              <w:t>S、</w:t>
            </w:r>
          </w:p>
          <w:p>
            <w:pPr>
              <w:pStyle w:val="51"/>
            </w:pPr>
            <w:r>
              <w:rPr>
                <w:rFonts w:hint="eastAsia"/>
              </w:rPr>
              <w:t>臭气浓度、颗粒物</w:t>
            </w:r>
          </w:p>
        </w:tc>
        <w:tc>
          <w:tcPr>
            <w:tcW w:w="4111" w:type="dxa"/>
            <w:vAlign w:val="center"/>
          </w:tcPr>
          <w:p>
            <w:pPr>
              <w:pStyle w:val="51"/>
            </w:pPr>
            <w:r>
              <w:rPr>
                <w:rFonts w:hint="eastAsia"/>
              </w:rPr>
              <w:t>在鸡粪风干车间风道出口设置高压水帘装置，并使用微生物除臭剂溶液作为循环水，每日对车间周边喷洒生物除臭剂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8" w:type="dxa"/>
            <w:vMerge w:val="continue"/>
            <w:vAlign w:val="center"/>
          </w:tcPr>
          <w:p>
            <w:pPr>
              <w:pStyle w:val="51"/>
            </w:pPr>
          </w:p>
        </w:tc>
        <w:tc>
          <w:tcPr>
            <w:tcW w:w="1358" w:type="dxa"/>
            <w:vAlign w:val="center"/>
          </w:tcPr>
          <w:p>
            <w:pPr>
              <w:pStyle w:val="51"/>
            </w:pPr>
            <w:r>
              <w:rPr>
                <w:rFonts w:hint="eastAsia"/>
              </w:rPr>
              <w:t>一体化污水处理设施</w:t>
            </w:r>
          </w:p>
        </w:tc>
        <w:tc>
          <w:tcPr>
            <w:tcW w:w="2273" w:type="dxa"/>
            <w:vAlign w:val="center"/>
          </w:tcPr>
          <w:p>
            <w:pPr>
              <w:pStyle w:val="51"/>
            </w:pPr>
            <w:r>
              <w:rPr>
                <w:rFonts w:hint="eastAsia"/>
              </w:rPr>
              <w:t>NH</w:t>
            </w:r>
            <w:r>
              <w:rPr>
                <w:rFonts w:hint="eastAsia"/>
                <w:vertAlign w:val="subscript"/>
              </w:rPr>
              <w:t>3</w:t>
            </w:r>
            <w:r>
              <w:rPr>
                <w:rFonts w:hint="eastAsia"/>
              </w:rPr>
              <w:t>、H</w:t>
            </w:r>
            <w:r>
              <w:rPr>
                <w:rFonts w:hint="eastAsia"/>
                <w:vertAlign w:val="subscript"/>
              </w:rPr>
              <w:t>2</w:t>
            </w:r>
            <w:r>
              <w:rPr>
                <w:rFonts w:hint="eastAsia"/>
              </w:rPr>
              <w:t>S、臭气浓度</w:t>
            </w:r>
          </w:p>
        </w:tc>
        <w:tc>
          <w:tcPr>
            <w:tcW w:w="4111" w:type="dxa"/>
            <w:vAlign w:val="center"/>
          </w:tcPr>
          <w:p>
            <w:pPr>
              <w:pStyle w:val="51"/>
            </w:pPr>
            <w:r>
              <w:rPr>
                <w:rFonts w:hint="eastAsia"/>
              </w:rPr>
              <w:t>厌氧段污水处理设施均密闭，定期喷洒除臭剂，加强绿化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continue"/>
            <w:vAlign w:val="center"/>
          </w:tcPr>
          <w:p>
            <w:pPr>
              <w:pStyle w:val="51"/>
            </w:pPr>
          </w:p>
        </w:tc>
        <w:tc>
          <w:tcPr>
            <w:tcW w:w="1358" w:type="dxa"/>
            <w:vAlign w:val="center"/>
          </w:tcPr>
          <w:p>
            <w:pPr>
              <w:pStyle w:val="51"/>
            </w:pPr>
            <w:r>
              <w:rPr>
                <w:rFonts w:hint="eastAsia"/>
              </w:rPr>
              <w:t>食堂</w:t>
            </w:r>
          </w:p>
        </w:tc>
        <w:tc>
          <w:tcPr>
            <w:tcW w:w="2273" w:type="dxa"/>
            <w:vAlign w:val="center"/>
          </w:tcPr>
          <w:p>
            <w:pPr>
              <w:pStyle w:val="51"/>
            </w:pPr>
            <w:r>
              <w:rPr>
                <w:rFonts w:hint="eastAsia"/>
              </w:rPr>
              <w:t>油烟</w:t>
            </w:r>
          </w:p>
        </w:tc>
        <w:tc>
          <w:tcPr>
            <w:tcW w:w="4111" w:type="dxa"/>
            <w:vAlign w:val="center"/>
          </w:tcPr>
          <w:p>
            <w:pPr>
              <w:pStyle w:val="51"/>
            </w:pPr>
            <w:r>
              <w:rPr>
                <w:rFonts w:hint="eastAsia"/>
              </w:rPr>
              <w:t>经油烟净化器处理后引至屋顶排放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758" w:type="dxa"/>
            <w:vMerge w:val="continue"/>
            <w:vAlign w:val="center"/>
          </w:tcPr>
          <w:p>
            <w:pPr>
              <w:pStyle w:val="51"/>
            </w:pPr>
          </w:p>
        </w:tc>
        <w:tc>
          <w:tcPr>
            <w:tcW w:w="1358" w:type="dxa"/>
            <w:vAlign w:val="center"/>
          </w:tcPr>
          <w:p>
            <w:pPr>
              <w:pStyle w:val="51"/>
            </w:pPr>
            <w:r>
              <w:rPr>
                <w:rFonts w:hint="eastAsia"/>
              </w:rPr>
              <w:t>备用柴油发电机</w:t>
            </w:r>
          </w:p>
        </w:tc>
        <w:tc>
          <w:tcPr>
            <w:tcW w:w="2273" w:type="dxa"/>
            <w:vAlign w:val="center"/>
          </w:tcPr>
          <w:p>
            <w:pPr>
              <w:pStyle w:val="51"/>
            </w:pPr>
            <w:r>
              <w:rPr>
                <w:rFonts w:hint="eastAsia"/>
              </w:rPr>
              <w:t>SO</w:t>
            </w:r>
            <w:r>
              <w:rPr>
                <w:rFonts w:hint="eastAsia"/>
                <w:vertAlign w:val="subscript"/>
              </w:rPr>
              <w:t>2</w:t>
            </w:r>
            <w:r>
              <w:rPr>
                <w:rFonts w:hint="eastAsia"/>
              </w:rPr>
              <w:t>、NOx</w:t>
            </w:r>
          </w:p>
        </w:tc>
        <w:tc>
          <w:tcPr>
            <w:tcW w:w="4111" w:type="dxa"/>
            <w:vAlign w:val="center"/>
          </w:tcPr>
          <w:p>
            <w:pPr>
              <w:pStyle w:val="51"/>
            </w:pPr>
            <w:r>
              <w:rPr>
                <w:rFonts w:hint="eastAsia"/>
              </w:rPr>
              <w:t>采用低硫柴油作为燃料，产生的尾气由专用烟道引至屋外排放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rPr>
        <w:tc>
          <w:tcPr>
            <w:tcW w:w="758" w:type="dxa"/>
            <w:vMerge w:val="restart"/>
            <w:vAlign w:val="center"/>
          </w:tcPr>
          <w:p>
            <w:pPr>
              <w:pStyle w:val="51"/>
            </w:pPr>
            <w:r>
              <w:rPr>
                <w:rFonts w:hint="eastAsia"/>
              </w:rPr>
              <w:t>废水</w:t>
            </w:r>
          </w:p>
        </w:tc>
        <w:tc>
          <w:tcPr>
            <w:tcW w:w="1358" w:type="dxa"/>
            <w:vAlign w:val="center"/>
          </w:tcPr>
          <w:p>
            <w:pPr>
              <w:pStyle w:val="51"/>
            </w:pPr>
            <w:r>
              <w:rPr>
                <w:rFonts w:hint="eastAsia"/>
              </w:rPr>
              <w:t>鸡舍冲洗</w:t>
            </w:r>
          </w:p>
          <w:p>
            <w:pPr>
              <w:pStyle w:val="51"/>
            </w:pPr>
            <w:r>
              <w:rPr>
                <w:rFonts w:hint="eastAsia"/>
              </w:rPr>
              <w:t>废水</w:t>
            </w:r>
          </w:p>
        </w:tc>
        <w:tc>
          <w:tcPr>
            <w:tcW w:w="2273" w:type="dxa"/>
            <w:vAlign w:val="center"/>
          </w:tcPr>
          <w:p>
            <w:pPr>
              <w:pStyle w:val="51"/>
            </w:pPr>
            <w:r>
              <w:rPr>
                <w:rFonts w:hint="eastAsia"/>
              </w:rPr>
              <w:t>COD、BOD</w:t>
            </w:r>
            <w:r>
              <w:rPr>
                <w:rFonts w:hint="eastAsia"/>
                <w:vertAlign w:val="subscript"/>
              </w:rPr>
              <w:t>5</w:t>
            </w:r>
            <w:r>
              <w:rPr>
                <w:rFonts w:hint="eastAsia"/>
              </w:rPr>
              <w:t>、</w:t>
            </w:r>
          </w:p>
          <w:p>
            <w:pPr>
              <w:pStyle w:val="51"/>
            </w:pPr>
            <w:r>
              <w:rPr>
                <w:rFonts w:hint="eastAsia"/>
              </w:rPr>
              <w:t>氨氮、SS、TN、TP</w:t>
            </w:r>
          </w:p>
        </w:tc>
        <w:tc>
          <w:tcPr>
            <w:tcW w:w="4111" w:type="dxa"/>
            <w:vMerge w:val="restart"/>
            <w:vAlign w:val="center"/>
          </w:tcPr>
          <w:p>
            <w:pPr>
              <w:pStyle w:val="51"/>
            </w:pPr>
            <w:r>
              <w:rPr>
                <w:rFonts w:hint="eastAsia"/>
              </w:rPr>
              <w:t>一体化污水处理设施处理达标后，用于周边林地灌溉，不外排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rPr>
        <w:tc>
          <w:tcPr>
            <w:tcW w:w="758" w:type="dxa"/>
            <w:vMerge w:val="continue"/>
            <w:vAlign w:val="center"/>
          </w:tcPr>
          <w:p>
            <w:pPr>
              <w:pStyle w:val="51"/>
            </w:pPr>
          </w:p>
        </w:tc>
        <w:tc>
          <w:tcPr>
            <w:tcW w:w="1358" w:type="dxa"/>
            <w:vAlign w:val="center"/>
          </w:tcPr>
          <w:p>
            <w:pPr>
              <w:pStyle w:val="51"/>
            </w:pPr>
            <w:r>
              <w:rPr>
                <w:rFonts w:hint="eastAsia"/>
              </w:rPr>
              <w:t>生活污水</w:t>
            </w:r>
          </w:p>
        </w:tc>
        <w:tc>
          <w:tcPr>
            <w:tcW w:w="2273" w:type="dxa"/>
            <w:vAlign w:val="center"/>
          </w:tcPr>
          <w:p>
            <w:pPr>
              <w:pStyle w:val="51"/>
            </w:pPr>
            <w:r>
              <w:rPr>
                <w:rFonts w:hint="eastAsia"/>
              </w:rPr>
              <w:t>COD、BOD</w:t>
            </w:r>
            <w:r>
              <w:rPr>
                <w:rFonts w:hint="eastAsia"/>
                <w:vertAlign w:val="subscript"/>
              </w:rPr>
              <w:t>5</w:t>
            </w:r>
            <w:r>
              <w:rPr>
                <w:rFonts w:hint="eastAsia"/>
              </w:rPr>
              <w:t>、</w:t>
            </w:r>
          </w:p>
          <w:p>
            <w:pPr>
              <w:pStyle w:val="51"/>
            </w:pPr>
            <w:r>
              <w:rPr>
                <w:rFonts w:hint="eastAsia"/>
              </w:rPr>
              <w:t>氨氮、SS、</w:t>
            </w:r>
          </w:p>
        </w:tc>
        <w:tc>
          <w:tcPr>
            <w:tcW w:w="4111"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restart"/>
            <w:vAlign w:val="center"/>
          </w:tcPr>
          <w:p>
            <w:pPr>
              <w:pStyle w:val="51"/>
            </w:pPr>
            <w:r>
              <w:rPr>
                <w:rFonts w:hint="eastAsia"/>
              </w:rPr>
              <w:t>噪声</w:t>
            </w:r>
          </w:p>
        </w:tc>
        <w:tc>
          <w:tcPr>
            <w:tcW w:w="1358" w:type="dxa"/>
            <w:vAlign w:val="center"/>
          </w:tcPr>
          <w:p>
            <w:pPr>
              <w:pStyle w:val="51"/>
            </w:pPr>
            <w:r>
              <w:rPr>
                <w:rFonts w:hint="eastAsia"/>
              </w:rPr>
              <w:t>鸡舍</w:t>
            </w:r>
          </w:p>
        </w:tc>
        <w:tc>
          <w:tcPr>
            <w:tcW w:w="2273" w:type="dxa"/>
            <w:vAlign w:val="center"/>
          </w:tcPr>
          <w:p>
            <w:pPr>
              <w:pStyle w:val="51"/>
            </w:pPr>
            <w:r>
              <w:rPr>
                <w:rFonts w:hint="eastAsia"/>
              </w:rPr>
              <w:t>鸡叫</w:t>
            </w:r>
          </w:p>
        </w:tc>
        <w:tc>
          <w:tcPr>
            <w:tcW w:w="4111" w:type="dxa"/>
            <w:vAlign w:val="center"/>
          </w:tcPr>
          <w:p>
            <w:pPr>
              <w:pStyle w:val="51"/>
            </w:pPr>
            <w:r>
              <w:rPr>
                <w:rFonts w:hint="eastAsia"/>
              </w:rPr>
              <w:t>喂足饲料和水、避免饥渴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continue"/>
            <w:vAlign w:val="center"/>
          </w:tcPr>
          <w:p>
            <w:pPr>
              <w:pStyle w:val="51"/>
            </w:pPr>
          </w:p>
        </w:tc>
        <w:tc>
          <w:tcPr>
            <w:tcW w:w="1358" w:type="dxa"/>
            <w:vAlign w:val="center"/>
          </w:tcPr>
          <w:p>
            <w:pPr>
              <w:pStyle w:val="51"/>
            </w:pPr>
            <w:r>
              <w:rPr>
                <w:rFonts w:hint="eastAsia"/>
              </w:rPr>
              <w:t>设备</w:t>
            </w:r>
          </w:p>
        </w:tc>
        <w:tc>
          <w:tcPr>
            <w:tcW w:w="2273" w:type="dxa"/>
            <w:vAlign w:val="center"/>
          </w:tcPr>
          <w:p>
            <w:pPr>
              <w:pStyle w:val="51"/>
            </w:pPr>
            <w:r>
              <w:rPr>
                <w:rFonts w:hint="eastAsia"/>
              </w:rPr>
              <w:t>设备噪声</w:t>
            </w:r>
          </w:p>
        </w:tc>
        <w:tc>
          <w:tcPr>
            <w:tcW w:w="4111" w:type="dxa"/>
            <w:vAlign w:val="center"/>
          </w:tcPr>
          <w:p>
            <w:pPr>
              <w:pStyle w:val="51"/>
            </w:pPr>
            <w:r>
              <w:rPr>
                <w:rFonts w:hint="eastAsia"/>
              </w:rPr>
              <w:t>选用低噪声设备，落实减振、隔声等措施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continue"/>
            <w:vAlign w:val="center"/>
          </w:tcPr>
          <w:p>
            <w:pPr>
              <w:pStyle w:val="51"/>
            </w:pPr>
          </w:p>
        </w:tc>
        <w:tc>
          <w:tcPr>
            <w:tcW w:w="1358" w:type="dxa"/>
            <w:vAlign w:val="center"/>
          </w:tcPr>
          <w:p>
            <w:pPr>
              <w:pStyle w:val="51"/>
            </w:pPr>
            <w:r>
              <w:rPr>
                <w:rFonts w:hint="eastAsia"/>
              </w:rPr>
              <w:t>运输机械</w:t>
            </w:r>
          </w:p>
        </w:tc>
        <w:tc>
          <w:tcPr>
            <w:tcW w:w="2273" w:type="dxa"/>
            <w:vAlign w:val="center"/>
          </w:tcPr>
          <w:p>
            <w:pPr>
              <w:pStyle w:val="51"/>
            </w:pPr>
            <w:r>
              <w:rPr>
                <w:rFonts w:hint="eastAsia"/>
              </w:rPr>
              <w:t>交通噪声</w:t>
            </w:r>
          </w:p>
        </w:tc>
        <w:tc>
          <w:tcPr>
            <w:tcW w:w="4111" w:type="dxa"/>
            <w:vAlign w:val="center"/>
          </w:tcPr>
          <w:p>
            <w:pPr>
              <w:pStyle w:val="51"/>
            </w:pPr>
            <w:r>
              <w:rPr>
                <w:rFonts w:hint="eastAsia"/>
              </w:rPr>
              <w:t>减速慢行、禁止鸣笛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restart"/>
            <w:vAlign w:val="center"/>
          </w:tcPr>
          <w:p>
            <w:pPr>
              <w:pStyle w:val="51"/>
            </w:pPr>
            <w:r>
              <w:rPr>
                <w:rFonts w:hint="eastAsia"/>
              </w:rPr>
              <w:t>固体废物</w:t>
            </w:r>
          </w:p>
        </w:tc>
        <w:tc>
          <w:tcPr>
            <w:tcW w:w="1358" w:type="dxa"/>
            <w:vMerge w:val="restart"/>
            <w:vAlign w:val="center"/>
          </w:tcPr>
          <w:p>
            <w:pPr>
              <w:pStyle w:val="51"/>
            </w:pPr>
            <w:r>
              <w:rPr>
                <w:rFonts w:hint="eastAsia"/>
              </w:rPr>
              <w:t>鸡饲养</w:t>
            </w:r>
          </w:p>
        </w:tc>
        <w:tc>
          <w:tcPr>
            <w:tcW w:w="2273" w:type="dxa"/>
            <w:vAlign w:val="center"/>
          </w:tcPr>
          <w:p>
            <w:pPr>
              <w:pStyle w:val="51"/>
            </w:pPr>
            <w:r>
              <w:rPr>
                <w:rFonts w:hint="eastAsia"/>
              </w:rPr>
              <w:t>鸡粪</w:t>
            </w:r>
          </w:p>
        </w:tc>
        <w:tc>
          <w:tcPr>
            <w:tcW w:w="4111" w:type="dxa"/>
            <w:vMerge w:val="restart"/>
            <w:vAlign w:val="center"/>
          </w:tcPr>
          <w:p>
            <w:pPr>
              <w:pStyle w:val="51"/>
            </w:pPr>
            <w:r>
              <w:rPr>
                <w:rFonts w:hint="eastAsia"/>
              </w:rPr>
              <w:t>鸡粪风干车间风干后，转运至有湖南恩润生物科技有限公司制造有机肥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continue"/>
            <w:vAlign w:val="center"/>
          </w:tcPr>
          <w:p>
            <w:pPr>
              <w:pStyle w:val="51"/>
            </w:pPr>
          </w:p>
        </w:tc>
        <w:tc>
          <w:tcPr>
            <w:tcW w:w="1358" w:type="dxa"/>
            <w:vMerge w:val="continue"/>
            <w:vAlign w:val="center"/>
          </w:tcPr>
          <w:p>
            <w:pPr>
              <w:pStyle w:val="51"/>
            </w:pPr>
          </w:p>
        </w:tc>
        <w:tc>
          <w:tcPr>
            <w:tcW w:w="2273" w:type="dxa"/>
            <w:vAlign w:val="center"/>
          </w:tcPr>
          <w:p>
            <w:pPr>
              <w:pStyle w:val="51"/>
            </w:pPr>
            <w:r>
              <w:rPr>
                <w:rFonts w:hint="eastAsia"/>
              </w:rPr>
              <w:t>污泥</w:t>
            </w:r>
          </w:p>
        </w:tc>
        <w:tc>
          <w:tcPr>
            <w:tcW w:w="4111"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continue"/>
            <w:vAlign w:val="center"/>
          </w:tcPr>
          <w:p>
            <w:pPr>
              <w:pStyle w:val="51"/>
            </w:pPr>
          </w:p>
        </w:tc>
        <w:tc>
          <w:tcPr>
            <w:tcW w:w="1358" w:type="dxa"/>
            <w:vMerge w:val="continue"/>
            <w:vAlign w:val="center"/>
          </w:tcPr>
          <w:p>
            <w:pPr>
              <w:pStyle w:val="51"/>
            </w:pPr>
          </w:p>
        </w:tc>
        <w:tc>
          <w:tcPr>
            <w:tcW w:w="2273" w:type="dxa"/>
            <w:vAlign w:val="center"/>
          </w:tcPr>
          <w:p>
            <w:pPr>
              <w:pStyle w:val="51"/>
            </w:pPr>
            <w:r>
              <w:rPr>
                <w:rFonts w:hint="eastAsia"/>
              </w:rPr>
              <w:t>废包装材料</w:t>
            </w:r>
          </w:p>
        </w:tc>
        <w:tc>
          <w:tcPr>
            <w:tcW w:w="4111" w:type="dxa"/>
            <w:vAlign w:val="center"/>
          </w:tcPr>
          <w:p>
            <w:pPr>
              <w:pStyle w:val="51"/>
            </w:pPr>
            <w:r>
              <w:rPr>
                <w:rFonts w:hint="eastAsia"/>
              </w:rPr>
              <w:t>收集至一般固废暂存间内暂存，再外售综合利用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continue"/>
            <w:vAlign w:val="center"/>
          </w:tcPr>
          <w:p>
            <w:pPr>
              <w:pStyle w:val="51"/>
            </w:pPr>
          </w:p>
        </w:tc>
        <w:tc>
          <w:tcPr>
            <w:tcW w:w="1358" w:type="dxa"/>
            <w:vMerge w:val="continue"/>
            <w:vAlign w:val="center"/>
          </w:tcPr>
          <w:p>
            <w:pPr>
              <w:pStyle w:val="51"/>
            </w:pPr>
          </w:p>
        </w:tc>
        <w:tc>
          <w:tcPr>
            <w:tcW w:w="2273" w:type="dxa"/>
            <w:vAlign w:val="center"/>
          </w:tcPr>
          <w:p>
            <w:pPr>
              <w:pStyle w:val="51"/>
            </w:pPr>
            <w:r>
              <w:rPr>
                <w:rFonts w:hint="eastAsia"/>
              </w:rPr>
              <w:t>病死鸡</w:t>
            </w:r>
          </w:p>
        </w:tc>
        <w:tc>
          <w:tcPr>
            <w:tcW w:w="4111" w:type="dxa"/>
            <w:vAlign w:val="center"/>
          </w:tcPr>
          <w:p>
            <w:pPr>
              <w:pStyle w:val="51"/>
            </w:pPr>
            <w:r>
              <w:rPr>
                <w:rFonts w:hint="eastAsia"/>
              </w:rPr>
              <w:t>冷冻库暂存后定期交由永州恩泉环保科技有限公司无害化处置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continue"/>
            <w:vAlign w:val="center"/>
          </w:tcPr>
          <w:p>
            <w:pPr>
              <w:pStyle w:val="51"/>
            </w:pPr>
          </w:p>
        </w:tc>
        <w:tc>
          <w:tcPr>
            <w:tcW w:w="1358" w:type="dxa"/>
            <w:vMerge w:val="continue"/>
            <w:vAlign w:val="center"/>
          </w:tcPr>
          <w:p>
            <w:pPr>
              <w:pStyle w:val="51"/>
            </w:pPr>
          </w:p>
        </w:tc>
        <w:tc>
          <w:tcPr>
            <w:tcW w:w="2273" w:type="dxa"/>
            <w:vAlign w:val="center"/>
          </w:tcPr>
          <w:p>
            <w:pPr>
              <w:pStyle w:val="51"/>
            </w:pPr>
            <w:r>
              <w:rPr>
                <w:rFonts w:hint="eastAsia"/>
              </w:rPr>
              <w:t>医疗垃圾</w:t>
            </w:r>
          </w:p>
        </w:tc>
        <w:tc>
          <w:tcPr>
            <w:tcW w:w="4111" w:type="dxa"/>
            <w:vAlign w:val="center"/>
          </w:tcPr>
          <w:p>
            <w:pPr>
              <w:pStyle w:val="51"/>
            </w:pPr>
            <w:r>
              <w:rPr>
                <w:rFonts w:hint="eastAsia"/>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58" w:type="dxa"/>
            <w:vMerge w:val="continue"/>
            <w:vAlign w:val="center"/>
          </w:tcPr>
          <w:p>
            <w:pPr>
              <w:pStyle w:val="51"/>
            </w:pPr>
          </w:p>
        </w:tc>
        <w:tc>
          <w:tcPr>
            <w:tcW w:w="1358" w:type="dxa"/>
            <w:vAlign w:val="center"/>
          </w:tcPr>
          <w:p>
            <w:pPr>
              <w:pStyle w:val="51"/>
            </w:pPr>
            <w:r>
              <w:rPr>
                <w:rFonts w:hint="eastAsia"/>
              </w:rPr>
              <w:t>办公生活</w:t>
            </w:r>
          </w:p>
        </w:tc>
        <w:tc>
          <w:tcPr>
            <w:tcW w:w="2273" w:type="dxa"/>
            <w:vAlign w:val="center"/>
          </w:tcPr>
          <w:p>
            <w:pPr>
              <w:pStyle w:val="51"/>
            </w:pPr>
            <w:r>
              <w:rPr>
                <w:rFonts w:hint="eastAsia"/>
              </w:rPr>
              <w:t>生活垃圾</w:t>
            </w:r>
          </w:p>
        </w:tc>
        <w:tc>
          <w:tcPr>
            <w:tcW w:w="4111" w:type="dxa"/>
            <w:vAlign w:val="center"/>
          </w:tcPr>
          <w:p>
            <w:pPr>
              <w:pStyle w:val="51"/>
            </w:pPr>
            <w:r>
              <w:rPr>
                <w:rFonts w:hint="eastAsia"/>
              </w:rPr>
              <w:t>环卫部门统一清运处理</w:t>
            </w:r>
          </w:p>
        </w:tc>
      </w:tr>
    </w:tbl>
    <w:p>
      <w:pPr>
        <w:pStyle w:val="5"/>
      </w:pPr>
      <w:r>
        <w:rPr>
          <w:rFonts w:hint="eastAsia"/>
        </w:rPr>
        <w:t>3</w:t>
      </w:r>
      <w:r>
        <w:t>.</w:t>
      </w:r>
      <w:r>
        <w:rPr>
          <w:rFonts w:hint="eastAsia"/>
        </w:rPr>
        <w:t>2</w:t>
      </w:r>
      <w:r>
        <w:t>.</w:t>
      </w:r>
      <w:r>
        <w:rPr>
          <w:rFonts w:hint="eastAsia"/>
        </w:rPr>
        <w:t>2.4</w:t>
      </w:r>
      <w:r>
        <w:t xml:space="preserve"> </w:t>
      </w:r>
      <w:r>
        <w:rPr>
          <w:rFonts w:hint="eastAsia"/>
        </w:rPr>
        <w:t>水平衡</w:t>
      </w:r>
    </w:p>
    <w:p>
      <w:pPr>
        <w:pStyle w:val="49"/>
        <w:ind w:firstLine="480"/>
      </w:pPr>
      <w:r>
        <w:rPr>
          <w:rFonts w:hint="eastAsia"/>
        </w:rPr>
        <w:t>本项目营运期用水主要为鸡饮用水、鸡舍冲洗废水、水帘系统用水、消毒用水、高压水帘用水及职工生活用水。根据建设单提供的资料，项目涉及的鸡笼及运输车辆均不在项目区内冲洗，因此，评价不涉及鸡笼及运输车辆的冲洗废水。</w:t>
      </w:r>
    </w:p>
    <w:p>
      <w:pPr>
        <w:pStyle w:val="49"/>
        <w:ind w:firstLine="480"/>
        <w:rPr>
          <w:rFonts w:hint="eastAsia" w:ascii="宋体" w:hAnsi="宋体"/>
        </w:rPr>
      </w:pPr>
      <w:r>
        <w:rPr>
          <w:rFonts w:hint="eastAsia" w:ascii="宋体" w:hAnsi="宋体"/>
        </w:rPr>
        <w:t>①鸡饮用水</w:t>
      </w:r>
    </w:p>
    <w:p>
      <w:pPr>
        <w:pStyle w:val="49"/>
        <w:ind w:firstLine="480"/>
      </w:pPr>
      <w:r>
        <w:rPr>
          <w:rFonts w:hint="eastAsia"/>
        </w:rPr>
        <w:t xml:space="preserve">类比其他同类型蛋鸡养殖场实际生产经验，蛋鸡饮水标准为 </w:t>
      </w:r>
      <w:r>
        <w:t>0.25L/</w:t>
      </w:r>
      <w:r>
        <w:rPr>
          <w:rFonts w:hint="eastAsia"/>
        </w:rPr>
        <w:t>只</w:t>
      </w:r>
      <w:r>
        <w:t>·</w:t>
      </w:r>
      <w:r>
        <w:rPr>
          <w:rFonts w:hint="eastAsia"/>
        </w:rPr>
        <w:t>天，项目年存栏蛋鸡 120万羽，则饮水量约为300</w:t>
      </w:r>
      <w:r>
        <w:t>m</w:t>
      </w:r>
      <w:r>
        <w:rPr>
          <w:vertAlign w:val="superscript"/>
        </w:rPr>
        <w:t>3</w:t>
      </w:r>
      <w:r>
        <w:t>/</w:t>
      </w:r>
      <w:r>
        <w:rPr>
          <w:rFonts w:hint="eastAsia"/>
        </w:rPr>
        <w:t>d（109500</w:t>
      </w:r>
      <w:r>
        <w:t>m</w:t>
      </w:r>
      <w:r>
        <w:rPr>
          <w:vertAlign w:val="superscript"/>
        </w:rPr>
        <w:t>3</w:t>
      </w:r>
      <w:r>
        <w:t>/</w:t>
      </w:r>
      <w:r>
        <w:rPr>
          <w:rFonts w:hint="eastAsia"/>
        </w:rPr>
        <w:t>a）。项目鸡饮用水部分进入鸡的体内进行新陈代谢，另一部分进入鸡粪中，无废水产生。</w:t>
      </w:r>
    </w:p>
    <w:p>
      <w:pPr>
        <w:pStyle w:val="49"/>
        <w:ind w:firstLine="480"/>
      </w:pPr>
      <w:r>
        <w:rPr>
          <w:rFonts w:ascii="宋体" w:hAnsi="宋体"/>
        </w:rPr>
        <w:t>②</w:t>
      </w:r>
      <w:r>
        <w:rPr>
          <w:rFonts w:hint="eastAsia" w:ascii="宋体" w:hAnsi="宋体"/>
        </w:rPr>
        <w:t>水帘系统用水</w:t>
      </w:r>
    </w:p>
    <w:p>
      <w:pPr>
        <w:pStyle w:val="49"/>
        <w:ind w:firstLine="480"/>
      </w:pPr>
      <w:r>
        <w:rPr>
          <w:rFonts w:hint="eastAsia"/>
        </w:rPr>
        <w:t>每座鸡舍采用一套水帘装置，共7套水帘装置，装置波纹状纤维纸斜槽布幔水膜，室外干热空气被风机抽吸通过水膜，水膜吸收空气中的热量达到降温效果。水帘装置用水水质要求较低，日常用水循环使用不外排，但因装置水膜吸收空气中的热量而蒸发损耗，需补充一定量的新鲜水，每套水帘水循环水量约为5m</w:t>
      </w:r>
      <w:r>
        <w:rPr>
          <w:rFonts w:hint="eastAsia"/>
          <w:vertAlign w:val="superscript"/>
        </w:rPr>
        <w:t>3</w:t>
      </w:r>
      <w:r>
        <w:rPr>
          <w:rFonts w:hint="eastAsia"/>
        </w:rPr>
        <w:t>/h，蒸发损耗量按照循环水量的2%计，则每套水帘补充水量为2.4m</w:t>
      </w:r>
      <w:r>
        <w:rPr>
          <w:rFonts w:hint="eastAsia"/>
          <w:vertAlign w:val="superscript"/>
        </w:rPr>
        <w:t>3</w:t>
      </w:r>
      <w:r>
        <w:rPr>
          <w:rFonts w:hint="eastAsia"/>
        </w:rPr>
        <w:t>/d，本项目 7套水帘装置补充水量为16.8m</w:t>
      </w:r>
      <w:r>
        <w:rPr>
          <w:rFonts w:hint="eastAsia"/>
          <w:vertAlign w:val="superscript"/>
        </w:rPr>
        <w:t>3</w:t>
      </w:r>
      <w:r>
        <w:rPr>
          <w:rFonts w:hint="eastAsia"/>
        </w:rPr>
        <w:t>/d，水帘装置主要用于夏季高温时使用，每年运行90天，则水帘系统用水量为1512m</w:t>
      </w:r>
      <w:r>
        <w:rPr>
          <w:rFonts w:hint="eastAsia"/>
          <w:vertAlign w:val="superscript"/>
        </w:rPr>
        <w:t>3</w:t>
      </w:r>
      <w:r>
        <w:rPr>
          <w:rFonts w:hint="eastAsia"/>
        </w:rPr>
        <w:t>/a。</w:t>
      </w:r>
    </w:p>
    <w:p>
      <w:pPr>
        <w:pStyle w:val="49"/>
        <w:ind w:firstLine="480"/>
      </w:pPr>
      <w:r>
        <w:rPr>
          <w:rFonts w:ascii="宋体" w:hAnsi="宋体"/>
        </w:rPr>
        <w:t>③</w:t>
      </w:r>
      <w:r>
        <w:rPr>
          <w:rFonts w:hint="eastAsia" w:ascii="宋体" w:hAnsi="宋体"/>
        </w:rPr>
        <w:t>高压水帘用水</w:t>
      </w:r>
    </w:p>
    <w:p>
      <w:pPr>
        <w:pStyle w:val="49"/>
        <w:ind w:firstLine="480"/>
      </w:pPr>
      <w:r>
        <w:rPr>
          <w:rFonts w:hint="eastAsia"/>
        </w:rPr>
        <w:t>本项目在鸡粪风干车间风道出口设置高压水帘装置（共8套）用于除去发酵过程产生的恶臭气体，高压水帘装置中循环水为除臭剂溶液，每日补水时配置添加。根据高压水帘装置处理工艺及设备参数，单台高压水帘循环水量约为10m</w:t>
      </w:r>
      <w:r>
        <w:rPr>
          <w:rFonts w:hint="eastAsia"/>
          <w:vertAlign w:val="superscript"/>
        </w:rPr>
        <w:t>3</w:t>
      </w:r>
      <w:r>
        <w:rPr>
          <w:rFonts w:hint="eastAsia"/>
        </w:rPr>
        <w:t>/d，循环损失量按40%计算，则项目高压水帘装置补充水量为32m</w:t>
      </w:r>
      <w:r>
        <w:rPr>
          <w:rFonts w:hint="eastAsia"/>
          <w:vertAlign w:val="superscript"/>
        </w:rPr>
        <w:t>3</w:t>
      </w:r>
      <w:r>
        <w:rPr>
          <w:rFonts w:hint="eastAsia"/>
        </w:rPr>
        <w:t>/d（11680m</w:t>
      </w:r>
      <w:r>
        <w:rPr>
          <w:rFonts w:hint="eastAsia"/>
          <w:vertAlign w:val="superscript"/>
        </w:rPr>
        <w:t>3</w:t>
      </w:r>
      <w:r>
        <w:rPr>
          <w:rFonts w:hint="eastAsia"/>
        </w:rPr>
        <w:t>/a）。</w:t>
      </w:r>
    </w:p>
    <w:p>
      <w:pPr>
        <w:pStyle w:val="49"/>
        <w:ind w:firstLine="480"/>
        <w:rPr>
          <w:rFonts w:hint="eastAsia" w:ascii="宋体" w:hAnsi="宋体"/>
        </w:rPr>
      </w:pPr>
      <w:r>
        <w:rPr>
          <w:rFonts w:ascii="宋体" w:hAnsi="宋体"/>
        </w:rPr>
        <w:t>④</w:t>
      </w:r>
      <w:r>
        <w:rPr>
          <w:rFonts w:hint="eastAsia" w:ascii="宋体" w:hAnsi="宋体"/>
        </w:rPr>
        <w:t>消毒用水</w:t>
      </w:r>
    </w:p>
    <w:p>
      <w:pPr>
        <w:pStyle w:val="49"/>
        <w:ind w:firstLine="480"/>
        <w:rPr>
          <w:rFonts w:cs="Times New Roman"/>
        </w:rPr>
      </w:pPr>
      <w:r>
        <w:rPr>
          <w:rFonts w:hint="eastAsia" w:ascii="宋体" w:hAnsi="宋体"/>
        </w:rPr>
        <w:t>本项目采用喷雾状消毒器对鸡舍进行喷洒消毒水，采用喷雾消毒方式可节省消毒水使用量。项目鸡舍消毒剂年消耗量约为</w:t>
      </w:r>
      <w:r>
        <w:rPr>
          <w:rFonts w:hint="eastAsia" w:cs="Times New Roman"/>
        </w:rPr>
        <w:t>2.7</w:t>
      </w:r>
      <w:r>
        <w:rPr>
          <w:rFonts w:cs="Times New Roman"/>
        </w:rPr>
        <w:t>t/a</w:t>
      </w:r>
      <w:r>
        <w:rPr>
          <w:rFonts w:hint="eastAsia" w:cs="Times New Roman"/>
        </w:rPr>
        <w:t>，以1:500的稀释比例稀释，则需要加入水的量为3850m</w:t>
      </w:r>
      <w:r>
        <w:rPr>
          <w:rFonts w:hint="eastAsia" w:cs="Times New Roman"/>
          <w:vertAlign w:val="superscript"/>
        </w:rPr>
        <w:t>3</w:t>
      </w:r>
      <w:r>
        <w:rPr>
          <w:rFonts w:hint="eastAsia" w:cs="Times New Roman"/>
        </w:rPr>
        <w:t>/a（10.548m</w:t>
      </w:r>
      <w:r>
        <w:rPr>
          <w:rFonts w:hint="eastAsia" w:cs="Times New Roman"/>
          <w:vertAlign w:val="superscript"/>
        </w:rPr>
        <w:t>3</w:t>
      </w:r>
      <w:r>
        <w:rPr>
          <w:rFonts w:hint="eastAsia" w:cs="Times New Roman"/>
        </w:rPr>
        <w:t>/d），消毒水在鸡舍内蒸发挥发，无废水排放。</w:t>
      </w:r>
      <w:r>
        <w:rPr>
          <w:rFonts w:hint="eastAsia" w:ascii="宋体" w:hAnsi="宋体"/>
        </w:rPr>
        <w:t>进入养殖场的人员和车辆需进行冲洗消毒，消毒用水中添加消毒剂，消毒用水循环使用，不外排，消毒过程中部分水量蒸发或经车辆带出损耗。根据建设单位单位提供的资料，消毒水池为</w:t>
      </w:r>
      <w:r>
        <w:rPr>
          <w:rFonts w:cs="Times New Roman"/>
        </w:rPr>
        <w:t>1.2m</w:t>
      </w:r>
      <w:r>
        <w:rPr>
          <w:rFonts w:cs="Times New Roman"/>
          <w:vertAlign w:val="superscript"/>
        </w:rPr>
        <w:t>3</w:t>
      </w:r>
      <w:r>
        <w:rPr>
          <w:rFonts w:hint="eastAsia" w:ascii="宋体" w:hAnsi="宋体"/>
        </w:rPr>
        <w:t>，每天蒸发量约为</w:t>
      </w:r>
      <w:r>
        <w:rPr>
          <w:rFonts w:cs="Times New Roman"/>
        </w:rPr>
        <w:t>20%</w:t>
      </w:r>
      <w:r>
        <w:rPr>
          <w:rFonts w:hint="eastAsia" w:cs="Times New Roman"/>
        </w:rPr>
        <w:t>，车辆消毒用水量为0.24m</w:t>
      </w:r>
      <w:r>
        <w:rPr>
          <w:rFonts w:hint="eastAsia" w:cs="Times New Roman"/>
          <w:vertAlign w:val="superscript"/>
        </w:rPr>
        <w:t>3</w:t>
      </w:r>
      <w:r>
        <w:rPr>
          <w:rFonts w:hint="eastAsia" w:cs="Times New Roman"/>
        </w:rPr>
        <w:t>/d，则项目车辆消毒用水量为87.6m</w:t>
      </w:r>
      <w:r>
        <w:rPr>
          <w:rFonts w:hint="eastAsia" w:cs="Times New Roman"/>
          <w:vertAlign w:val="superscript"/>
        </w:rPr>
        <w:t>3</w:t>
      </w:r>
      <w:r>
        <w:rPr>
          <w:rFonts w:hint="eastAsia" w:cs="Times New Roman"/>
        </w:rPr>
        <w:t>/a。综上，消毒用水量为132.6m</w:t>
      </w:r>
      <w:r>
        <w:rPr>
          <w:rFonts w:hint="eastAsia" w:cs="Times New Roman"/>
          <w:vertAlign w:val="superscript"/>
        </w:rPr>
        <w:t>3</w:t>
      </w:r>
      <w:r>
        <w:rPr>
          <w:rFonts w:hint="eastAsia" w:cs="Times New Roman"/>
        </w:rPr>
        <w:t>/a。</w:t>
      </w:r>
    </w:p>
    <w:p>
      <w:pPr>
        <w:pStyle w:val="49"/>
        <w:ind w:firstLine="480"/>
      </w:pPr>
      <w:r>
        <w:rPr>
          <w:rFonts w:hint="eastAsia" w:ascii="宋体" w:hAnsi="宋体"/>
        </w:rPr>
        <w:t>⑤</w:t>
      </w:r>
      <w:r>
        <w:rPr>
          <w:rFonts w:hint="eastAsia"/>
        </w:rPr>
        <w:t>鸡舍冲洗用水</w:t>
      </w:r>
    </w:p>
    <w:p>
      <w:pPr>
        <w:pStyle w:val="49"/>
        <w:ind w:firstLine="480"/>
      </w:pPr>
      <w:r>
        <w:rPr>
          <w:rFonts w:hint="eastAsia"/>
        </w:rPr>
        <w:t xml:space="preserve">项目采用干清粪工艺，清粪过程中无用水环节。项目外购育成蛋鸡进行养殖，蛋鸡产蛋到淘汰，整个周期约 </w:t>
      </w:r>
      <w:r>
        <w:t xml:space="preserve">430 </w:t>
      </w:r>
      <w:r>
        <w:rPr>
          <w:rFonts w:hint="eastAsia"/>
        </w:rPr>
        <w:t>天。根据养鸡场实际生产情况，鸡舍在饲养期间不对鸡舍进行冲洗，每次更换批次时才需要对鸡舍进行清洗，因此项目一年内对蛋鸡舍冲洗一次，每次冲洗会持续</w:t>
      </w:r>
      <w:r>
        <w:t>3d</w:t>
      </w:r>
      <w:r>
        <w:rPr>
          <w:rFonts w:hint="eastAsia"/>
        </w:rPr>
        <w:t>，用水量按0.6m</w:t>
      </w:r>
      <w:r>
        <w:rPr>
          <w:rFonts w:hint="eastAsia"/>
          <w:vertAlign w:val="superscript"/>
        </w:rPr>
        <w:t>3</w:t>
      </w:r>
      <w:r>
        <w:rPr>
          <w:rFonts w:hint="eastAsia"/>
        </w:rPr>
        <w:t>/100m</w:t>
      </w:r>
      <w:r>
        <w:rPr>
          <w:rFonts w:hint="eastAsia"/>
          <w:vertAlign w:val="superscript"/>
        </w:rPr>
        <w:t>2</w:t>
      </w:r>
      <w:r>
        <w:rPr>
          <w:rFonts w:hint="eastAsia"/>
        </w:rPr>
        <w:t>计算，项目鸡舍面积共12978m</w:t>
      </w:r>
      <w:r>
        <w:rPr>
          <w:rFonts w:hint="eastAsia"/>
          <w:vertAlign w:val="superscript"/>
        </w:rPr>
        <w:t>2</w:t>
      </w:r>
      <w:r>
        <w:rPr>
          <w:rFonts w:hint="eastAsia"/>
        </w:rPr>
        <w:t>，则鸡舍冲洗用水量为77.868m</w:t>
      </w:r>
      <w:r>
        <w:rPr>
          <w:rFonts w:hint="eastAsia"/>
          <w:vertAlign w:val="superscript"/>
        </w:rPr>
        <w:t>3</w:t>
      </w:r>
      <w:r>
        <w:rPr>
          <w:rFonts w:hint="eastAsia"/>
        </w:rPr>
        <w:t xml:space="preserve">/a，产污系数按 </w:t>
      </w:r>
      <w:r>
        <w:t xml:space="preserve">0.8 </w:t>
      </w:r>
      <w:r>
        <w:rPr>
          <w:rFonts w:hint="eastAsia"/>
        </w:rPr>
        <w:t>计，则鸡舍冲洗水污水量为62.294</w:t>
      </w:r>
      <w:r>
        <w:t>m</w:t>
      </w:r>
      <w:r>
        <w:rPr>
          <w:vertAlign w:val="superscript"/>
        </w:rPr>
        <w:t>3</w:t>
      </w:r>
      <w:r>
        <w:t>/a</w:t>
      </w:r>
      <w:r>
        <w:rPr>
          <w:rFonts w:hint="eastAsia"/>
        </w:rPr>
        <w:t xml:space="preserve">。鸡舍冲洗废水经一体化污水处理设施处理达标后，用于周边林地灌溉，不外排。 </w:t>
      </w:r>
    </w:p>
    <w:p>
      <w:pPr>
        <w:pStyle w:val="49"/>
        <w:ind w:firstLine="480"/>
        <w:rPr>
          <w:rFonts w:hint="eastAsia" w:ascii="宋体" w:hAnsi="宋体"/>
        </w:rPr>
      </w:pPr>
      <w:r>
        <w:rPr>
          <w:rFonts w:ascii="宋体" w:hAnsi="宋体"/>
        </w:rPr>
        <w:t>⑥</w:t>
      </w:r>
      <w:r>
        <w:rPr>
          <w:rFonts w:hint="eastAsia" w:ascii="宋体" w:hAnsi="宋体"/>
        </w:rPr>
        <w:t>职工生活用水</w:t>
      </w:r>
    </w:p>
    <w:p>
      <w:pPr>
        <w:pStyle w:val="49"/>
        <w:ind w:firstLine="480"/>
      </w:pPr>
      <w:bookmarkStart w:id="138" w:name="_Hlk191544235"/>
      <w:r>
        <w:rPr>
          <w:rFonts w:hint="eastAsia"/>
        </w:rPr>
        <w:t>本项目劳动定员50人，均在场内食宿，用水定额参照湖南省地方标准《湖南省用水定额》（</w:t>
      </w:r>
      <w:r>
        <w:t>DB43/T388-2020</w:t>
      </w:r>
      <w:r>
        <w:rPr>
          <w:rFonts w:hint="eastAsia"/>
        </w:rPr>
        <w:t>），按90L/人</w:t>
      </w:r>
      <w:r>
        <w:rPr>
          <w:rFonts w:cs="Times New Roman"/>
        </w:rPr>
        <w:t>·</w:t>
      </w:r>
      <w:r>
        <w:rPr>
          <w:rFonts w:hint="eastAsia"/>
        </w:rPr>
        <w:t>d计，年工作365天，则项目职工生活用水量为4.5m</w:t>
      </w:r>
      <w:r>
        <w:rPr>
          <w:rFonts w:hint="eastAsia"/>
          <w:vertAlign w:val="superscript"/>
        </w:rPr>
        <w:t>3</w:t>
      </w:r>
      <w:r>
        <w:rPr>
          <w:rFonts w:hint="eastAsia"/>
        </w:rPr>
        <w:t>/d（1642.5m</w:t>
      </w:r>
      <w:r>
        <w:rPr>
          <w:rFonts w:hint="eastAsia"/>
          <w:vertAlign w:val="superscript"/>
        </w:rPr>
        <w:t>3</w:t>
      </w:r>
      <w:r>
        <w:rPr>
          <w:rFonts w:hint="eastAsia"/>
        </w:rPr>
        <w:t>/a），生活污水产生系数按照0.8计算，则生活污水产生量为3.6m</w:t>
      </w:r>
      <w:r>
        <w:rPr>
          <w:rFonts w:hint="eastAsia"/>
          <w:vertAlign w:val="superscript"/>
        </w:rPr>
        <w:t>3</w:t>
      </w:r>
      <w:r>
        <w:rPr>
          <w:rFonts w:hint="eastAsia"/>
        </w:rPr>
        <w:t>/d（1314m</w:t>
      </w:r>
      <w:r>
        <w:rPr>
          <w:rFonts w:hint="eastAsia"/>
          <w:vertAlign w:val="superscript"/>
        </w:rPr>
        <w:t>3</w:t>
      </w:r>
      <w:r>
        <w:rPr>
          <w:rFonts w:hint="eastAsia"/>
        </w:rPr>
        <w:t>/a）</w:t>
      </w:r>
      <w:bookmarkEnd w:id="138"/>
      <w:r>
        <w:rPr>
          <w:rFonts w:hint="eastAsia"/>
        </w:rPr>
        <w:t xml:space="preserve">，生活污水经一体化污水处理设施处理达标后，用于周边林地灌溉，不外排。 </w:t>
      </w:r>
    </w:p>
    <w:p>
      <w:pPr>
        <w:pStyle w:val="49"/>
        <w:ind w:firstLine="480"/>
      </w:pPr>
      <w:r>
        <w:rPr>
          <w:rFonts w:hint="eastAsia"/>
        </w:rPr>
        <w:t>本项目全厂用水情况详见表3.2-4。</w:t>
      </w:r>
    </w:p>
    <w:p>
      <w:pPr>
        <w:pStyle w:val="53"/>
      </w:pPr>
      <w:r>
        <w:rPr>
          <w:rFonts w:hint="eastAsia"/>
        </w:rPr>
        <w:t>表3.2-4 全厂用水情况一览表 （m</w:t>
      </w:r>
      <w:r>
        <w:rPr>
          <w:rFonts w:hint="eastAsia"/>
          <w:vertAlign w:val="superscript"/>
        </w:rPr>
        <w:t>3</w:t>
      </w:r>
      <w:r>
        <w:rPr>
          <w:rFonts w:hint="eastAsia"/>
        </w:rPr>
        <w:t>/a）</w:t>
      </w:r>
    </w:p>
    <w:tbl>
      <w:tblPr>
        <w:tblStyle w:val="40"/>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503"/>
        <w:gridCol w:w="851"/>
        <w:gridCol w:w="1214"/>
        <w:gridCol w:w="1397"/>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pStyle w:val="51"/>
            </w:pPr>
            <w:r>
              <w:rPr>
                <w:rFonts w:hint="eastAsia"/>
              </w:rPr>
              <w:t>序号</w:t>
            </w:r>
          </w:p>
        </w:tc>
        <w:tc>
          <w:tcPr>
            <w:tcW w:w="1556" w:type="dxa"/>
            <w:vAlign w:val="center"/>
          </w:tcPr>
          <w:p>
            <w:pPr>
              <w:pStyle w:val="51"/>
            </w:pPr>
            <w:r>
              <w:rPr>
                <w:rFonts w:hint="eastAsia"/>
              </w:rPr>
              <w:t>用水工序</w:t>
            </w:r>
          </w:p>
        </w:tc>
        <w:tc>
          <w:tcPr>
            <w:tcW w:w="851" w:type="dxa"/>
            <w:vAlign w:val="center"/>
          </w:tcPr>
          <w:p>
            <w:pPr>
              <w:pStyle w:val="51"/>
            </w:pPr>
            <w:r>
              <w:rPr>
                <w:rFonts w:hint="eastAsia"/>
              </w:rPr>
              <w:t>用水量</w:t>
            </w:r>
          </w:p>
        </w:tc>
        <w:tc>
          <w:tcPr>
            <w:tcW w:w="1004" w:type="dxa"/>
            <w:vAlign w:val="center"/>
          </w:tcPr>
          <w:p>
            <w:pPr>
              <w:pStyle w:val="51"/>
            </w:pPr>
            <w:r>
              <w:rPr>
                <w:rFonts w:hint="eastAsia"/>
              </w:rPr>
              <w:t>损耗量</w:t>
            </w:r>
          </w:p>
        </w:tc>
        <w:tc>
          <w:tcPr>
            <w:tcW w:w="1417" w:type="dxa"/>
            <w:vAlign w:val="center"/>
          </w:tcPr>
          <w:p>
            <w:pPr>
              <w:pStyle w:val="51"/>
            </w:pPr>
            <w:r>
              <w:rPr>
                <w:rFonts w:hint="eastAsia"/>
              </w:rPr>
              <w:t>废水产生量</w:t>
            </w:r>
          </w:p>
        </w:tc>
        <w:tc>
          <w:tcPr>
            <w:tcW w:w="3253" w:type="dxa"/>
            <w:vAlign w:val="center"/>
          </w:tcPr>
          <w:p>
            <w:pPr>
              <w:pStyle w:val="51"/>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pStyle w:val="51"/>
            </w:pPr>
            <w:r>
              <w:rPr>
                <w:rFonts w:hint="eastAsia"/>
              </w:rPr>
              <w:t>1</w:t>
            </w:r>
          </w:p>
        </w:tc>
        <w:tc>
          <w:tcPr>
            <w:tcW w:w="1556" w:type="dxa"/>
            <w:vAlign w:val="center"/>
          </w:tcPr>
          <w:p>
            <w:pPr>
              <w:pStyle w:val="51"/>
            </w:pPr>
            <w:r>
              <w:rPr>
                <w:rFonts w:hint="eastAsia"/>
              </w:rPr>
              <w:t>鸡饮用水</w:t>
            </w:r>
          </w:p>
        </w:tc>
        <w:tc>
          <w:tcPr>
            <w:tcW w:w="851" w:type="dxa"/>
            <w:vAlign w:val="center"/>
          </w:tcPr>
          <w:p>
            <w:pPr>
              <w:pStyle w:val="51"/>
            </w:pPr>
            <w:r>
              <w:rPr>
                <w:rFonts w:hint="eastAsia"/>
              </w:rPr>
              <w:t>109500</w:t>
            </w:r>
          </w:p>
        </w:tc>
        <w:tc>
          <w:tcPr>
            <w:tcW w:w="1004" w:type="dxa"/>
            <w:vAlign w:val="center"/>
          </w:tcPr>
          <w:p>
            <w:pPr>
              <w:pStyle w:val="51"/>
            </w:pPr>
            <w:r>
              <w:rPr>
                <w:rFonts w:hint="eastAsia"/>
              </w:rPr>
              <w:t>109500</w:t>
            </w:r>
          </w:p>
        </w:tc>
        <w:tc>
          <w:tcPr>
            <w:tcW w:w="1417" w:type="dxa"/>
            <w:vAlign w:val="center"/>
          </w:tcPr>
          <w:p>
            <w:pPr>
              <w:pStyle w:val="51"/>
            </w:pPr>
            <w:r>
              <w:rPr>
                <w:rFonts w:hint="eastAsia"/>
              </w:rPr>
              <w:t>0</w:t>
            </w:r>
          </w:p>
        </w:tc>
        <w:tc>
          <w:tcPr>
            <w:tcW w:w="3253" w:type="dxa"/>
            <w:vAlign w:val="center"/>
          </w:tcPr>
          <w:p>
            <w:pPr>
              <w:pStyle w:val="51"/>
            </w:pPr>
            <w:r>
              <w:rPr>
                <w:rFonts w:hint="eastAsia"/>
              </w:rPr>
              <w:t>自身吸收，部分随鸡粪排除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pStyle w:val="51"/>
            </w:pPr>
            <w:r>
              <w:rPr>
                <w:rFonts w:hint="eastAsia"/>
              </w:rPr>
              <w:t>2</w:t>
            </w:r>
          </w:p>
        </w:tc>
        <w:tc>
          <w:tcPr>
            <w:tcW w:w="1556" w:type="dxa"/>
            <w:vAlign w:val="center"/>
          </w:tcPr>
          <w:p>
            <w:pPr>
              <w:pStyle w:val="51"/>
            </w:pPr>
            <w:r>
              <w:rPr>
                <w:rFonts w:hint="eastAsia" w:ascii="宋体" w:hAnsi="宋体"/>
              </w:rPr>
              <w:t>水帘系统用水</w:t>
            </w:r>
          </w:p>
        </w:tc>
        <w:tc>
          <w:tcPr>
            <w:tcW w:w="851" w:type="dxa"/>
            <w:vAlign w:val="center"/>
          </w:tcPr>
          <w:p>
            <w:pPr>
              <w:pStyle w:val="51"/>
            </w:pPr>
            <w:r>
              <w:rPr>
                <w:rFonts w:hint="eastAsia"/>
              </w:rPr>
              <w:t>1512</w:t>
            </w:r>
          </w:p>
        </w:tc>
        <w:tc>
          <w:tcPr>
            <w:tcW w:w="1004" w:type="dxa"/>
            <w:vAlign w:val="center"/>
          </w:tcPr>
          <w:p>
            <w:pPr>
              <w:pStyle w:val="51"/>
            </w:pPr>
            <w:r>
              <w:rPr>
                <w:rFonts w:hint="eastAsia"/>
              </w:rPr>
              <w:t>1512</w:t>
            </w:r>
          </w:p>
        </w:tc>
        <w:tc>
          <w:tcPr>
            <w:tcW w:w="1417" w:type="dxa"/>
            <w:vAlign w:val="center"/>
          </w:tcPr>
          <w:p>
            <w:pPr>
              <w:pStyle w:val="51"/>
            </w:pPr>
            <w:r>
              <w:rPr>
                <w:rFonts w:hint="eastAsia"/>
              </w:rPr>
              <w:t>0</w:t>
            </w:r>
          </w:p>
        </w:tc>
        <w:tc>
          <w:tcPr>
            <w:tcW w:w="3253" w:type="dxa"/>
            <w:vAlign w:val="center"/>
          </w:tcPr>
          <w:p>
            <w:pPr>
              <w:pStyle w:val="51"/>
            </w:pPr>
            <w:r>
              <w:rPr>
                <w:rFonts w:hint="eastAsia"/>
              </w:rPr>
              <w:t>蒸发损耗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3" w:type="dxa"/>
            <w:vAlign w:val="center"/>
          </w:tcPr>
          <w:p>
            <w:pPr>
              <w:pStyle w:val="51"/>
            </w:pPr>
            <w:r>
              <w:rPr>
                <w:rFonts w:hint="eastAsia"/>
              </w:rPr>
              <w:t>3</w:t>
            </w:r>
          </w:p>
        </w:tc>
        <w:tc>
          <w:tcPr>
            <w:tcW w:w="1556" w:type="dxa"/>
            <w:vAlign w:val="center"/>
          </w:tcPr>
          <w:p>
            <w:pPr>
              <w:pStyle w:val="51"/>
            </w:pPr>
            <w:r>
              <w:rPr>
                <w:rFonts w:hint="eastAsia"/>
              </w:rPr>
              <w:t>高压水帘用水</w:t>
            </w:r>
          </w:p>
        </w:tc>
        <w:tc>
          <w:tcPr>
            <w:tcW w:w="851" w:type="dxa"/>
            <w:vAlign w:val="center"/>
          </w:tcPr>
          <w:p>
            <w:pPr>
              <w:pStyle w:val="51"/>
            </w:pPr>
            <w:r>
              <w:rPr>
                <w:rFonts w:hint="eastAsia"/>
              </w:rPr>
              <w:t>11680</w:t>
            </w:r>
          </w:p>
        </w:tc>
        <w:tc>
          <w:tcPr>
            <w:tcW w:w="1004" w:type="dxa"/>
            <w:vAlign w:val="center"/>
          </w:tcPr>
          <w:p>
            <w:pPr>
              <w:pStyle w:val="51"/>
            </w:pPr>
            <w:r>
              <w:rPr>
                <w:rFonts w:hint="eastAsia"/>
              </w:rPr>
              <w:t>11680</w:t>
            </w:r>
          </w:p>
        </w:tc>
        <w:tc>
          <w:tcPr>
            <w:tcW w:w="1417" w:type="dxa"/>
            <w:vAlign w:val="center"/>
          </w:tcPr>
          <w:p>
            <w:pPr>
              <w:pStyle w:val="51"/>
            </w:pPr>
            <w:r>
              <w:rPr>
                <w:rFonts w:hint="eastAsia"/>
              </w:rPr>
              <w:t>0</w:t>
            </w:r>
          </w:p>
        </w:tc>
        <w:tc>
          <w:tcPr>
            <w:tcW w:w="3253" w:type="dxa"/>
            <w:vAlign w:val="center"/>
          </w:tcPr>
          <w:p>
            <w:pPr>
              <w:pStyle w:val="51"/>
            </w:pPr>
            <w:r>
              <w:rPr>
                <w:rFonts w:hint="eastAsia"/>
              </w:rPr>
              <w:t>蒸发损耗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pStyle w:val="51"/>
            </w:pPr>
            <w:r>
              <w:rPr>
                <w:rFonts w:hint="eastAsia"/>
              </w:rPr>
              <w:t>4</w:t>
            </w:r>
          </w:p>
        </w:tc>
        <w:tc>
          <w:tcPr>
            <w:tcW w:w="1556" w:type="dxa"/>
            <w:vAlign w:val="center"/>
          </w:tcPr>
          <w:p>
            <w:pPr>
              <w:pStyle w:val="51"/>
            </w:pPr>
            <w:r>
              <w:rPr>
                <w:rFonts w:hint="eastAsia"/>
              </w:rPr>
              <w:t>消毒用水</w:t>
            </w:r>
          </w:p>
        </w:tc>
        <w:tc>
          <w:tcPr>
            <w:tcW w:w="851" w:type="dxa"/>
            <w:vAlign w:val="center"/>
          </w:tcPr>
          <w:p>
            <w:pPr>
              <w:pStyle w:val="51"/>
            </w:pPr>
            <w:r>
              <w:rPr>
                <w:rFonts w:hint="eastAsia"/>
              </w:rPr>
              <w:t>87.6</w:t>
            </w:r>
          </w:p>
        </w:tc>
        <w:tc>
          <w:tcPr>
            <w:tcW w:w="1004" w:type="dxa"/>
            <w:vAlign w:val="center"/>
          </w:tcPr>
          <w:p>
            <w:pPr>
              <w:pStyle w:val="51"/>
            </w:pPr>
            <w:r>
              <w:rPr>
                <w:rFonts w:hint="eastAsia"/>
              </w:rPr>
              <w:t>87.6</w:t>
            </w:r>
          </w:p>
        </w:tc>
        <w:tc>
          <w:tcPr>
            <w:tcW w:w="1417" w:type="dxa"/>
            <w:vAlign w:val="center"/>
          </w:tcPr>
          <w:p>
            <w:pPr>
              <w:pStyle w:val="51"/>
            </w:pPr>
            <w:r>
              <w:rPr>
                <w:rFonts w:hint="eastAsia"/>
              </w:rPr>
              <w:t>0</w:t>
            </w:r>
          </w:p>
        </w:tc>
        <w:tc>
          <w:tcPr>
            <w:tcW w:w="3253" w:type="dxa"/>
            <w:vAlign w:val="center"/>
          </w:tcPr>
          <w:p>
            <w:pPr>
              <w:pStyle w:val="51"/>
            </w:pPr>
            <w:r>
              <w:rPr>
                <w:rFonts w:hint="eastAsia"/>
              </w:rPr>
              <w:t>蒸发、车辆带出损耗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pStyle w:val="51"/>
            </w:pPr>
            <w:r>
              <w:rPr>
                <w:rFonts w:hint="eastAsia"/>
              </w:rPr>
              <w:t>5</w:t>
            </w:r>
          </w:p>
        </w:tc>
        <w:tc>
          <w:tcPr>
            <w:tcW w:w="1556" w:type="dxa"/>
            <w:vAlign w:val="center"/>
          </w:tcPr>
          <w:p>
            <w:pPr>
              <w:pStyle w:val="51"/>
            </w:pPr>
            <w:r>
              <w:rPr>
                <w:rFonts w:hint="eastAsia"/>
              </w:rPr>
              <w:t>鸡舍冲洗用水</w:t>
            </w:r>
          </w:p>
        </w:tc>
        <w:tc>
          <w:tcPr>
            <w:tcW w:w="851" w:type="dxa"/>
            <w:vAlign w:val="center"/>
          </w:tcPr>
          <w:p>
            <w:pPr>
              <w:pStyle w:val="51"/>
            </w:pPr>
            <w:r>
              <w:rPr>
                <w:rFonts w:hint="eastAsia"/>
              </w:rPr>
              <w:t>77.868</w:t>
            </w:r>
          </w:p>
        </w:tc>
        <w:tc>
          <w:tcPr>
            <w:tcW w:w="1004" w:type="dxa"/>
            <w:vAlign w:val="center"/>
          </w:tcPr>
          <w:p>
            <w:pPr>
              <w:pStyle w:val="51"/>
            </w:pPr>
            <w:r>
              <w:rPr>
                <w:rFonts w:hint="eastAsia"/>
              </w:rPr>
              <w:t>15.574</w:t>
            </w:r>
          </w:p>
        </w:tc>
        <w:tc>
          <w:tcPr>
            <w:tcW w:w="1417" w:type="dxa"/>
            <w:vAlign w:val="center"/>
          </w:tcPr>
          <w:p>
            <w:pPr>
              <w:pStyle w:val="51"/>
            </w:pPr>
            <w:r>
              <w:rPr>
                <w:rFonts w:hint="eastAsia"/>
              </w:rPr>
              <w:t>62.294</w:t>
            </w:r>
          </w:p>
        </w:tc>
        <w:tc>
          <w:tcPr>
            <w:tcW w:w="3253" w:type="dxa"/>
            <w:vAlign w:val="center"/>
          </w:tcPr>
          <w:p>
            <w:pPr>
              <w:pStyle w:val="51"/>
            </w:pPr>
            <w:r>
              <w:rPr>
                <w:rFonts w:hint="eastAsia"/>
              </w:rPr>
              <w:t>排水量以用水量的80%计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pStyle w:val="51"/>
            </w:pPr>
            <w:r>
              <w:rPr>
                <w:rFonts w:hint="eastAsia"/>
              </w:rPr>
              <w:t>6</w:t>
            </w:r>
          </w:p>
        </w:tc>
        <w:tc>
          <w:tcPr>
            <w:tcW w:w="1556" w:type="dxa"/>
            <w:vAlign w:val="center"/>
          </w:tcPr>
          <w:p>
            <w:pPr>
              <w:pStyle w:val="51"/>
              <w:rPr>
                <w:rFonts w:hint="eastAsia" w:ascii="宋体" w:hAnsi="宋体"/>
              </w:rPr>
            </w:pPr>
            <w:r>
              <w:rPr>
                <w:rFonts w:hint="eastAsia" w:ascii="宋体" w:hAnsi="宋体"/>
              </w:rPr>
              <w:t>职工生活用水</w:t>
            </w:r>
          </w:p>
        </w:tc>
        <w:tc>
          <w:tcPr>
            <w:tcW w:w="851" w:type="dxa"/>
            <w:vAlign w:val="center"/>
          </w:tcPr>
          <w:p>
            <w:pPr>
              <w:pStyle w:val="51"/>
            </w:pPr>
            <w:r>
              <w:rPr>
                <w:rFonts w:hint="eastAsia"/>
              </w:rPr>
              <w:t>1642.5</w:t>
            </w:r>
          </w:p>
        </w:tc>
        <w:tc>
          <w:tcPr>
            <w:tcW w:w="1004" w:type="dxa"/>
            <w:vAlign w:val="center"/>
          </w:tcPr>
          <w:p>
            <w:pPr>
              <w:pStyle w:val="51"/>
            </w:pPr>
            <w:r>
              <w:rPr>
                <w:rFonts w:hint="eastAsia"/>
              </w:rPr>
              <w:t>328.5</w:t>
            </w:r>
          </w:p>
        </w:tc>
        <w:tc>
          <w:tcPr>
            <w:tcW w:w="1417" w:type="dxa"/>
            <w:vAlign w:val="center"/>
          </w:tcPr>
          <w:p>
            <w:pPr>
              <w:pStyle w:val="51"/>
            </w:pPr>
            <w:r>
              <w:rPr>
                <w:rFonts w:hint="eastAsia"/>
              </w:rPr>
              <w:t>1314</w:t>
            </w:r>
          </w:p>
        </w:tc>
        <w:tc>
          <w:tcPr>
            <w:tcW w:w="3253" w:type="dxa"/>
            <w:vAlign w:val="center"/>
          </w:tcPr>
          <w:p>
            <w:pPr>
              <w:pStyle w:val="51"/>
            </w:pPr>
            <w:r>
              <w:rPr>
                <w:rFonts w:hint="eastAsia"/>
              </w:rPr>
              <w:t>排水量以用水量的80%计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59" w:type="dxa"/>
            <w:gridSpan w:val="2"/>
            <w:vAlign w:val="center"/>
          </w:tcPr>
          <w:p>
            <w:pPr>
              <w:pStyle w:val="51"/>
              <w:rPr>
                <w:rFonts w:hint="eastAsia" w:ascii="宋体" w:hAnsi="宋体"/>
              </w:rPr>
            </w:pPr>
            <w:r>
              <w:rPr>
                <w:rFonts w:hint="eastAsia" w:ascii="宋体" w:hAnsi="宋体"/>
              </w:rPr>
              <w:t>合计</w:t>
            </w:r>
          </w:p>
        </w:tc>
        <w:tc>
          <w:tcPr>
            <w:tcW w:w="851" w:type="dxa"/>
            <w:vAlign w:val="center"/>
          </w:tcPr>
          <w:p>
            <w:pPr>
              <w:pStyle w:val="51"/>
            </w:pPr>
          </w:p>
        </w:tc>
        <w:tc>
          <w:tcPr>
            <w:tcW w:w="1004" w:type="dxa"/>
            <w:vAlign w:val="center"/>
          </w:tcPr>
          <w:p>
            <w:pPr>
              <w:pStyle w:val="51"/>
            </w:pPr>
            <w:r>
              <w:rPr>
                <w:rFonts w:hint="eastAsia"/>
              </w:rPr>
              <w:t>124499.968</w:t>
            </w:r>
          </w:p>
        </w:tc>
        <w:tc>
          <w:tcPr>
            <w:tcW w:w="1417" w:type="dxa"/>
            <w:vAlign w:val="center"/>
          </w:tcPr>
          <w:p>
            <w:pPr>
              <w:pStyle w:val="51"/>
            </w:pPr>
            <w:r>
              <w:rPr>
                <w:rFonts w:hint="eastAsia"/>
              </w:rPr>
              <w:t>1376.294</w:t>
            </w:r>
          </w:p>
        </w:tc>
        <w:tc>
          <w:tcPr>
            <w:tcW w:w="3253" w:type="dxa"/>
            <w:vAlign w:val="center"/>
          </w:tcPr>
          <w:p>
            <w:pPr>
              <w:pStyle w:val="51"/>
            </w:pPr>
          </w:p>
        </w:tc>
      </w:tr>
    </w:tbl>
    <w:p>
      <w:pPr>
        <w:pStyle w:val="49"/>
        <w:ind w:firstLine="480"/>
      </w:pPr>
      <w:r>
        <w:rPr>
          <w:rFonts w:hint="eastAsia"/>
        </w:rPr>
        <w:t>本项目水平衡图见图3.2-4。</w:t>
      </w:r>
    </w:p>
    <w:p>
      <w:pPr>
        <w:pStyle w:val="49"/>
        <w:ind w:firstLine="0" w:firstLineChars="0"/>
      </w:pPr>
      <w:r>
        <w:object>
          <v:shape id="_x0000_i1028" o:spt="75" type="#_x0000_t75" style="height:300pt;width:414pt;" o:ole="t" filled="f" o:preferrelative="t" stroked="f" coordsize="21600,21600">
            <v:path/>
            <v:fill on="f" focussize="0,0"/>
            <v:stroke on="f" joinstyle="miter"/>
            <v:imagedata r:id="rId25" o:title=""/>
            <o:lock v:ext="edit" aspectratio="t"/>
            <w10:wrap type="none"/>
            <w10:anchorlock/>
          </v:shape>
          <o:OLEObject Type="Embed" ProgID="Visio.Drawing.15" ShapeID="_x0000_i1028" DrawAspect="Content" ObjectID="_1468075728" r:id="rId24">
            <o:LockedField>false</o:LockedField>
          </o:OLEObject>
        </w:object>
      </w:r>
    </w:p>
    <w:p>
      <w:pPr>
        <w:pStyle w:val="49"/>
        <w:ind w:firstLine="0" w:firstLineChars="0"/>
        <w:jc w:val="center"/>
        <w:rPr>
          <w:b/>
          <w:bCs/>
        </w:rPr>
      </w:pPr>
      <w:r>
        <w:rPr>
          <w:b/>
          <w:bCs/>
        </w:rPr>
        <w:t>图</w:t>
      </w:r>
      <w:r>
        <w:rPr>
          <w:rFonts w:hint="eastAsia"/>
          <w:b/>
          <w:bCs/>
        </w:rPr>
        <w:t>3.2-4  项目水平衡图（单位：m</w:t>
      </w:r>
      <w:r>
        <w:rPr>
          <w:rFonts w:hint="eastAsia"/>
          <w:b/>
          <w:bCs/>
          <w:vertAlign w:val="superscript"/>
        </w:rPr>
        <w:t>3</w:t>
      </w:r>
      <w:r>
        <w:rPr>
          <w:rFonts w:hint="eastAsia"/>
          <w:b/>
          <w:bCs/>
        </w:rPr>
        <w:t>/a）</w:t>
      </w:r>
    </w:p>
    <w:p>
      <w:pPr>
        <w:pStyle w:val="3"/>
      </w:pPr>
      <w:bookmarkStart w:id="139" w:name="_Toc194481157"/>
      <w:r>
        <w:rPr>
          <w:rFonts w:hint="eastAsia"/>
        </w:rPr>
        <w:t>3</w:t>
      </w:r>
      <w:r>
        <w:t>.</w:t>
      </w:r>
      <w:r>
        <w:rPr>
          <w:rFonts w:hint="eastAsia"/>
        </w:rPr>
        <w:t>3</w:t>
      </w:r>
      <w:r>
        <w:t xml:space="preserve"> </w:t>
      </w:r>
      <w:r>
        <w:rPr>
          <w:rFonts w:hint="eastAsia"/>
        </w:rPr>
        <w:t>污染源分析</w:t>
      </w:r>
      <w:bookmarkEnd w:id="139"/>
    </w:p>
    <w:p>
      <w:pPr>
        <w:pStyle w:val="4"/>
      </w:pPr>
      <w:bookmarkStart w:id="140" w:name="_Toc194481158"/>
      <w:r>
        <w:rPr>
          <w:rFonts w:hint="eastAsia"/>
        </w:rPr>
        <w:t>3</w:t>
      </w:r>
      <w:r>
        <w:t>.</w:t>
      </w:r>
      <w:r>
        <w:rPr>
          <w:rFonts w:hint="eastAsia"/>
        </w:rPr>
        <w:t>3</w:t>
      </w:r>
      <w:r>
        <w:t xml:space="preserve">.1 </w:t>
      </w:r>
      <w:r>
        <w:rPr>
          <w:rFonts w:hint="eastAsia"/>
        </w:rPr>
        <w:t>施工期污染源分析</w:t>
      </w:r>
      <w:bookmarkEnd w:id="140"/>
    </w:p>
    <w:p>
      <w:pPr>
        <w:pStyle w:val="5"/>
      </w:pPr>
      <w:r>
        <w:rPr>
          <w:rFonts w:hint="eastAsia"/>
        </w:rPr>
        <w:t>3</w:t>
      </w:r>
      <w:r>
        <w:t>.</w:t>
      </w:r>
      <w:r>
        <w:rPr>
          <w:rFonts w:hint="eastAsia"/>
        </w:rPr>
        <w:t>3</w:t>
      </w:r>
      <w:r>
        <w:t>.</w:t>
      </w:r>
      <w:r>
        <w:rPr>
          <w:rFonts w:hint="eastAsia"/>
        </w:rPr>
        <w:t>1.1 施工期废气污染源分析</w:t>
      </w:r>
    </w:p>
    <w:p>
      <w:pPr>
        <w:pStyle w:val="49"/>
        <w:ind w:firstLine="480"/>
      </w:pPr>
      <w:r>
        <w:rPr>
          <w:rFonts w:hint="eastAsia"/>
        </w:rPr>
        <w:t>1、施工扬尘</w:t>
      </w:r>
    </w:p>
    <w:p>
      <w:pPr>
        <w:pStyle w:val="49"/>
        <w:ind w:firstLine="480"/>
      </w:pPr>
      <w:r>
        <w:rPr>
          <w:rFonts w:hint="eastAsia"/>
        </w:rPr>
        <w:t>施工扬尘是工程施工时产生的主要污染物，扬尘排放方式主要为无组织间歇性排放，主要来源于：施工场区装卸过程产生的扬尘；建材的堆放、装卸过程产生的扬尘；运输车辆行驶造成的道路扬尘。</w:t>
      </w:r>
    </w:p>
    <w:p>
      <w:pPr>
        <w:pStyle w:val="49"/>
        <w:ind w:firstLine="480"/>
      </w:pPr>
      <w:r>
        <w:rPr>
          <w:rFonts w:hint="eastAsia" w:ascii="宋体" w:hAnsi="宋体"/>
        </w:rPr>
        <w:t>①施工场区扬尘</w:t>
      </w:r>
    </w:p>
    <w:p>
      <w:pPr>
        <w:pStyle w:val="49"/>
        <w:ind w:firstLine="480"/>
      </w:pPr>
      <w:r>
        <w:rPr>
          <w:rFonts w:hint="eastAsia"/>
        </w:rPr>
        <w:t>施工场区扬尘的主要来源是露天堆场和裸露场地的风力扬尘。由于施工需要，一些建筑材料方需临时堆放，在气候干燥及有的情况下，会产生扬尘，其扬尘量可按堆场起尘的经验公式计算：</w:t>
      </w:r>
    </w:p>
    <w:p>
      <w:pPr>
        <w:pStyle w:val="49"/>
        <w:ind w:firstLine="0" w:firstLineChars="0"/>
        <w:jc w:val="center"/>
        <w:rPr>
          <w:vertAlign w:val="superscript"/>
        </w:rPr>
      </w:pPr>
      <w:r>
        <w:rPr>
          <w:rFonts w:hint="eastAsia"/>
          <w:i/>
          <w:iCs/>
        </w:rPr>
        <w:t>Q</w:t>
      </w:r>
      <w:r>
        <w:rPr>
          <w:rFonts w:hint="eastAsia"/>
        </w:rPr>
        <w:t>=2.1</w:t>
      </w:r>
      <w:r>
        <w:rPr>
          <w:rFonts w:hint="eastAsia" w:cs="Times New Roman"/>
        </w:rPr>
        <w:t>(</w:t>
      </w:r>
      <w:r>
        <w:rPr>
          <w:rFonts w:hint="eastAsia"/>
          <w:i/>
          <w:iCs/>
        </w:rPr>
        <w:t>V</w:t>
      </w:r>
      <w:r>
        <w:rPr>
          <w:rFonts w:hint="eastAsia"/>
          <w:vertAlign w:val="subscript"/>
        </w:rPr>
        <w:t>50</w:t>
      </w:r>
      <w:r>
        <w:rPr>
          <w:rFonts w:hint="eastAsia"/>
        </w:rPr>
        <w:t>-</w:t>
      </w:r>
      <w:r>
        <w:rPr>
          <w:rFonts w:hint="eastAsia"/>
          <w:i/>
          <w:iCs/>
        </w:rPr>
        <w:t>V</w:t>
      </w:r>
      <w:r>
        <w:rPr>
          <w:rFonts w:hint="eastAsia"/>
          <w:vertAlign w:val="subscript"/>
        </w:rPr>
        <w:t>0</w:t>
      </w:r>
      <w:r>
        <w:rPr>
          <w:rFonts w:hint="eastAsia"/>
        </w:rPr>
        <w:t>)</w:t>
      </w:r>
      <w:r>
        <w:rPr>
          <w:rFonts w:hint="eastAsia"/>
          <w:vertAlign w:val="superscript"/>
        </w:rPr>
        <w:t>3</w:t>
      </w:r>
      <w:r>
        <w:rPr>
          <w:rFonts w:hint="eastAsia"/>
        </w:rPr>
        <w:t>e</w:t>
      </w:r>
      <w:r>
        <w:rPr>
          <w:rFonts w:hint="eastAsia"/>
          <w:vertAlign w:val="superscript"/>
        </w:rPr>
        <w:t>-1.023w</w:t>
      </w:r>
    </w:p>
    <w:p>
      <w:pPr>
        <w:pStyle w:val="49"/>
        <w:ind w:firstLine="480"/>
      </w:pPr>
      <w:r>
        <w:rPr>
          <w:rFonts w:hint="eastAsia"/>
        </w:rPr>
        <w:t>式中：</w:t>
      </w:r>
      <w:r>
        <w:rPr>
          <w:rFonts w:hint="eastAsia"/>
          <w:i/>
          <w:iCs/>
        </w:rPr>
        <w:t>Q</w:t>
      </w:r>
      <w:r>
        <w:rPr>
          <w:rFonts w:hint="eastAsia" w:ascii="宋体" w:hAnsi="宋体"/>
        </w:rPr>
        <w:t>—起尘量，</w:t>
      </w:r>
      <w:r>
        <w:rPr>
          <w:rFonts w:hint="eastAsia"/>
        </w:rPr>
        <w:t>kg/</w:t>
      </w:r>
      <w:r>
        <w:t>t</w:t>
      </w:r>
      <w:r>
        <w:rPr>
          <w:rFonts w:cs="Times New Roman"/>
        </w:rPr>
        <w:t>·</w:t>
      </w:r>
      <w:r>
        <w:rPr>
          <w:rFonts w:hint="eastAsia"/>
        </w:rPr>
        <w:t>a；</w:t>
      </w:r>
    </w:p>
    <w:p>
      <w:pPr>
        <w:pStyle w:val="49"/>
        <w:ind w:firstLine="480"/>
      </w:pPr>
      <w:r>
        <w:rPr>
          <w:rFonts w:hint="eastAsia"/>
        </w:rPr>
        <w:t xml:space="preserve">            </w:t>
      </w:r>
      <w:r>
        <w:rPr>
          <w:rFonts w:hint="eastAsia"/>
          <w:i/>
          <w:iCs/>
        </w:rPr>
        <w:t>V</w:t>
      </w:r>
      <w:r>
        <w:rPr>
          <w:rFonts w:hint="eastAsia"/>
          <w:vertAlign w:val="subscript"/>
        </w:rPr>
        <w:t>50</w:t>
      </w:r>
      <w:r>
        <w:rPr>
          <w:rFonts w:hint="eastAsia" w:ascii="宋体" w:hAnsi="宋体"/>
        </w:rPr>
        <w:t>—距地面</w:t>
      </w:r>
      <w:r>
        <w:rPr>
          <w:rFonts w:hint="eastAsia"/>
        </w:rPr>
        <w:t>50</w:t>
      </w:r>
      <w:r>
        <w:t>m</w:t>
      </w:r>
      <w:r>
        <w:rPr>
          <w:rFonts w:hint="eastAsia"/>
        </w:rPr>
        <w:t>风速，m/s；</w:t>
      </w:r>
    </w:p>
    <w:p>
      <w:pPr>
        <w:pStyle w:val="49"/>
        <w:ind w:firstLine="480"/>
      </w:pPr>
      <w:r>
        <w:rPr>
          <w:rFonts w:hint="eastAsia"/>
        </w:rPr>
        <w:t xml:space="preserve">            </w:t>
      </w:r>
      <w:r>
        <w:rPr>
          <w:rFonts w:hint="eastAsia"/>
          <w:i/>
          <w:iCs/>
        </w:rPr>
        <w:t>V</w:t>
      </w:r>
      <w:r>
        <w:rPr>
          <w:rFonts w:hint="eastAsia"/>
          <w:vertAlign w:val="subscript"/>
        </w:rPr>
        <w:t>0</w:t>
      </w:r>
      <w:r>
        <w:rPr>
          <w:rFonts w:hint="eastAsia" w:ascii="宋体" w:hAnsi="宋体"/>
        </w:rPr>
        <w:t>—起尘风速，</w:t>
      </w:r>
      <w:r>
        <w:rPr>
          <w:rFonts w:hint="eastAsia"/>
        </w:rPr>
        <w:t>m/s；</w:t>
      </w:r>
    </w:p>
    <w:p>
      <w:pPr>
        <w:pStyle w:val="49"/>
        <w:ind w:firstLine="480"/>
      </w:pPr>
      <w:r>
        <w:rPr>
          <w:rFonts w:hint="eastAsia"/>
        </w:rPr>
        <w:t xml:space="preserve">            </w:t>
      </w:r>
      <w:r>
        <w:rPr>
          <w:rFonts w:hint="eastAsia"/>
          <w:i/>
          <w:iCs/>
        </w:rPr>
        <w:t>w</w:t>
      </w:r>
      <w:r>
        <w:rPr>
          <w:rFonts w:hint="eastAsia" w:ascii="宋体" w:hAnsi="宋体"/>
        </w:rPr>
        <w:t>—尘粒的含水率，</w:t>
      </w:r>
      <w:r>
        <w:rPr>
          <w:rFonts w:hint="eastAsia"/>
        </w:rPr>
        <w:t>%。</w:t>
      </w:r>
    </w:p>
    <w:p>
      <w:pPr>
        <w:pStyle w:val="49"/>
        <w:ind w:firstLine="480"/>
      </w:pPr>
      <w:r>
        <w:rPr>
          <w:rFonts w:hint="eastAsia"/>
        </w:rPr>
        <w:t>起尘风速与粒径和含水率有关，因此减小露天堆场和保证一定的含水率及减少裸露地面是减少风力起尘的有效手段。不同粒径的沉降速度见下表。</w:t>
      </w:r>
    </w:p>
    <w:p>
      <w:pPr>
        <w:pStyle w:val="53"/>
      </w:pPr>
      <w:r>
        <w:rPr>
          <w:rFonts w:hint="eastAsia"/>
        </w:rPr>
        <w:t>表3.3-1 不同粒径尘粒的沉降速度一览表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959"/>
        <w:gridCol w:w="959"/>
        <w:gridCol w:w="959"/>
        <w:gridCol w:w="959"/>
        <w:gridCol w:w="959"/>
        <w:gridCol w:w="9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51"/>
            </w:pPr>
            <w:r>
              <w:rPr>
                <w:rFonts w:hint="eastAsia"/>
              </w:rPr>
              <w:t>粉尘粒径</w:t>
            </w:r>
            <w:r>
              <w:rPr>
                <w:rFonts w:cs="Times New Roman"/>
                <w:color w:val="000000"/>
                <w:szCs w:val="21"/>
              </w:rPr>
              <w:t>(μm)</w:t>
            </w:r>
          </w:p>
        </w:tc>
        <w:tc>
          <w:tcPr>
            <w:tcW w:w="959" w:type="dxa"/>
            <w:vAlign w:val="center"/>
          </w:tcPr>
          <w:p>
            <w:pPr>
              <w:pStyle w:val="51"/>
            </w:pPr>
            <w:r>
              <w:rPr>
                <w:rFonts w:hint="eastAsia"/>
              </w:rPr>
              <w:t>10</w:t>
            </w:r>
          </w:p>
        </w:tc>
        <w:tc>
          <w:tcPr>
            <w:tcW w:w="959" w:type="dxa"/>
            <w:vAlign w:val="center"/>
          </w:tcPr>
          <w:p>
            <w:pPr>
              <w:pStyle w:val="51"/>
            </w:pPr>
            <w:r>
              <w:rPr>
                <w:rFonts w:hint="eastAsia"/>
              </w:rPr>
              <w:t>20</w:t>
            </w:r>
          </w:p>
        </w:tc>
        <w:tc>
          <w:tcPr>
            <w:tcW w:w="959" w:type="dxa"/>
            <w:vAlign w:val="center"/>
          </w:tcPr>
          <w:p>
            <w:pPr>
              <w:pStyle w:val="51"/>
            </w:pPr>
            <w:r>
              <w:rPr>
                <w:rFonts w:hint="eastAsia"/>
              </w:rPr>
              <w:t>30</w:t>
            </w:r>
          </w:p>
        </w:tc>
        <w:tc>
          <w:tcPr>
            <w:tcW w:w="959" w:type="dxa"/>
            <w:vAlign w:val="center"/>
          </w:tcPr>
          <w:p>
            <w:pPr>
              <w:pStyle w:val="51"/>
            </w:pPr>
            <w:r>
              <w:rPr>
                <w:rFonts w:hint="eastAsia"/>
              </w:rPr>
              <w:t>40</w:t>
            </w:r>
          </w:p>
        </w:tc>
        <w:tc>
          <w:tcPr>
            <w:tcW w:w="959" w:type="dxa"/>
            <w:vAlign w:val="center"/>
          </w:tcPr>
          <w:p>
            <w:pPr>
              <w:pStyle w:val="51"/>
            </w:pPr>
            <w:r>
              <w:rPr>
                <w:rFonts w:hint="eastAsia"/>
              </w:rPr>
              <w:t>50</w:t>
            </w:r>
          </w:p>
        </w:tc>
        <w:tc>
          <w:tcPr>
            <w:tcW w:w="959" w:type="dxa"/>
            <w:vAlign w:val="center"/>
          </w:tcPr>
          <w:p>
            <w:pPr>
              <w:pStyle w:val="51"/>
            </w:pPr>
            <w:r>
              <w:rPr>
                <w:rFonts w:hint="eastAsia"/>
              </w:rPr>
              <w:t>60</w:t>
            </w:r>
          </w:p>
        </w:tc>
        <w:tc>
          <w:tcPr>
            <w:tcW w:w="959" w:type="dxa"/>
            <w:vAlign w:val="center"/>
          </w:tcPr>
          <w:p>
            <w:pPr>
              <w:pStyle w:val="51"/>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51"/>
            </w:pPr>
            <w:r>
              <w:rPr>
                <w:rFonts w:hint="eastAsia"/>
                <w:color w:val="000000"/>
                <w:szCs w:val="21"/>
              </w:rPr>
              <w:t>沉降速度</w:t>
            </w:r>
            <w:r>
              <w:rPr>
                <w:rFonts w:cs="Times New Roman"/>
                <w:color w:val="000000"/>
                <w:szCs w:val="21"/>
              </w:rPr>
              <w:t>(m/s)</w:t>
            </w:r>
          </w:p>
        </w:tc>
        <w:tc>
          <w:tcPr>
            <w:tcW w:w="959" w:type="dxa"/>
            <w:vAlign w:val="center"/>
          </w:tcPr>
          <w:p>
            <w:pPr>
              <w:pStyle w:val="51"/>
            </w:pPr>
            <w:r>
              <w:rPr>
                <w:rFonts w:hint="eastAsia"/>
              </w:rPr>
              <w:t>0.003</w:t>
            </w:r>
          </w:p>
        </w:tc>
        <w:tc>
          <w:tcPr>
            <w:tcW w:w="959" w:type="dxa"/>
            <w:vAlign w:val="center"/>
          </w:tcPr>
          <w:p>
            <w:pPr>
              <w:pStyle w:val="51"/>
            </w:pPr>
            <w:r>
              <w:rPr>
                <w:rFonts w:hint="eastAsia"/>
              </w:rPr>
              <w:t>0.012</w:t>
            </w:r>
          </w:p>
        </w:tc>
        <w:tc>
          <w:tcPr>
            <w:tcW w:w="959" w:type="dxa"/>
            <w:vAlign w:val="center"/>
          </w:tcPr>
          <w:p>
            <w:pPr>
              <w:pStyle w:val="51"/>
            </w:pPr>
            <w:r>
              <w:rPr>
                <w:rFonts w:hint="eastAsia"/>
              </w:rPr>
              <w:t>0.027</w:t>
            </w:r>
          </w:p>
        </w:tc>
        <w:tc>
          <w:tcPr>
            <w:tcW w:w="959" w:type="dxa"/>
            <w:vAlign w:val="center"/>
          </w:tcPr>
          <w:p>
            <w:pPr>
              <w:pStyle w:val="51"/>
            </w:pPr>
            <w:r>
              <w:rPr>
                <w:rFonts w:hint="eastAsia"/>
              </w:rPr>
              <w:t>0.048</w:t>
            </w:r>
          </w:p>
        </w:tc>
        <w:tc>
          <w:tcPr>
            <w:tcW w:w="959" w:type="dxa"/>
            <w:vAlign w:val="center"/>
          </w:tcPr>
          <w:p>
            <w:pPr>
              <w:pStyle w:val="51"/>
            </w:pPr>
            <w:r>
              <w:rPr>
                <w:rFonts w:hint="eastAsia"/>
              </w:rPr>
              <w:t>0.075</w:t>
            </w:r>
          </w:p>
        </w:tc>
        <w:tc>
          <w:tcPr>
            <w:tcW w:w="959" w:type="dxa"/>
            <w:vAlign w:val="center"/>
          </w:tcPr>
          <w:p>
            <w:pPr>
              <w:pStyle w:val="51"/>
            </w:pPr>
            <w:r>
              <w:rPr>
                <w:rFonts w:hint="eastAsia"/>
              </w:rPr>
              <w:t>0.108</w:t>
            </w:r>
          </w:p>
        </w:tc>
        <w:tc>
          <w:tcPr>
            <w:tcW w:w="959" w:type="dxa"/>
            <w:vAlign w:val="center"/>
          </w:tcPr>
          <w:p>
            <w:pPr>
              <w:pStyle w:val="51"/>
            </w:pPr>
            <w:r>
              <w:rPr>
                <w:rFonts w:hint="eastAsia"/>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51"/>
            </w:pPr>
            <w:r>
              <w:rPr>
                <w:rFonts w:hint="eastAsia"/>
                <w:color w:val="000000"/>
                <w:szCs w:val="21"/>
              </w:rPr>
              <w:t>粉尘粒径</w:t>
            </w:r>
            <w:r>
              <w:rPr>
                <w:rFonts w:cs="Times New Roman"/>
                <w:color w:val="000000"/>
                <w:szCs w:val="21"/>
              </w:rPr>
              <w:t>(μm)</w:t>
            </w:r>
          </w:p>
        </w:tc>
        <w:tc>
          <w:tcPr>
            <w:tcW w:w="959" w:type="dxa"/>
            <w:vAlign w:val="center"/>
          </w:tcPr>
          <w:p>
            <w:pPr>
              <w:pStyle w:val="51"/>
            </w:pPr>
            <w:r>
              <w:rPr>
                <w:rFonts w:hint="eastAsia"/>
              </w:rPr>
              <w:t>80</w:t>
            </w:r>
          </w:p>
        </w:tc>
        <w:tc>
          <w:tcPr>
            <w:tcW w:w="959" w:type="dxa"/>
            <w:vAlign w:val="center"/>
          </w:tcPr>
          <w:p>
            <w:pPr>
              <w:pStyle w:val="51"/>
            </w:pPr>
            <w:r>
              <w:rPr>
                <w:rFonts w:hint="eastAsia"/>
              </w:rPr>
              <w:t>90</w:t>
            </w:r>
          </w:p>
        </w:tc>
        <w:tc>
          <w:tcPr>
            <w:tcW w:w="959" w:type="dxa"/>
            <w:vAlign w:val="center"/>
          </w:tcPr>
          <w:p>
            <w:pPr>
              <w:pStyle w:val="51"/>
            </w:pPr>
            <w:r>
              <w:rPr>
                <w:rFonts w:hint="eastAsia"/>
              </w:rPr>
              <w:t>100</w:t>
            </w:r>
          </w:p>
        </w:tc>
        <w:tc>
          <w:tcPr>
            <w:tcW w:w="959" w:type="dxa"/>
            <w:vAlign w:val="center"/>
          </w:tcPr>
          <w:p>
            <w:pPr>
              <w:pStyle w:val="51"/>
            </w:pPr>
            <w:r>
              <w:rPr>
                <w:rFonts w:hint="eastAsia"/>
              </w:rPr>
              <w:t>150</w:t>
            </w:r>
          </w:p>
        </w:tc>
        <w:tc>
          <w:tcPr>
            <w:tcW w:w="959" w:type="dxa"/>
            <w:vAlign w:val="center"/>
          </w:tcPr>
          <w:p>
            <w:pPr>
              <w:pStyle w:val="51"/>
            </w:pPr>
            <w:r>
              <w:rPr>
                <w:rFonts w:hint="eastAsia"/>
              </w:rPr>
              <w:t>200</w:t>
            </w:r>
          </w:p>
        </w:tc>
        <w:tc>
          <w:tcPr>
            <w:tcW w:w="959" w:type="dxa"/>
            <w:vAlign w:val="center"/>
          </w:tcPr>
          <w:p>
            <w:pPr>
              <w:pStyle w:val="51"/>
            </w:pPr>
            <w:r>
              <w:rPr>
                <w:rFonts w:hint="eastAsia"/>
              </w:rPr>
              <w:t>250</w:t>
            </w:r>
          </w:p>
        </w:tc>
        <w:tc>
          <w:tcPr>
            <w:tcW w:w="959" w:type="dxa"/>
            <w:vAlign w:val="center"/>
          </w:tcPr>
          <w:p>
            <w:pPr>
              <w:pStyle w:val="51"/>
            </w:pPr>
            <w:r>
              <w:rPr>
                <w:rFonts w:hint="eastAsia"/>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vAlign w:val="center"/>
          </w:tcPr>
          <w:p>
            <w:pPr>
              <w:pStyle w:val="51"/>
            </w:pPr>
            <w:r>
              <w:rPr>
                <w:rFonts w:hint="eastAsia"/>
                <w:color w:val="000000"/>
                <w:szCs w:val="21"/>
              </w:rPr>
              <w:t>沉降速度</w:t>
            </w:r>
            <w:r>
              <w:rPr>
                <w:rFonts w:cs="Times New Roman"/>
                <w:color w:val="000000"/>
                <w:szCs w:val="21"/>
              </w:rPr>
              <w:t>(m/s)</w:t>
            </w:r>
          </w:p>
        </w:tc>
        <w:tc>
          <w:tcPr>
            <w:tcW w:w="959" w:type="dxa"/>
            <w:vAlign w:val="center"/>
          </w:tcPr>
          <w:p>
            <w:pPr>
              <w:pStyle w:val="51"/>
            </w:pPr>
            <w:r>
              <w:rPr>
                <w:rFonts w:hint="eastAsia"/>
              </w:rPr>
              <w:t>0.158</w:t>
            </w:r>
          </w:p>
        </w:tc>
        <w:tc>
          <w:tcPr>
            <w:tcW w:w="959" w:type="dxa"/>
            <w:vAlign w:val="center"/>
          </w:tcPr>
          <w:p>
            <w:pPr>
              <w:pStyle w:val="51"/>
            </w:pPr>
            <w:r>
              <w:rPr>
                <w:rFonts w:hint="eastAsia"/>
              </w:rPr>
              <w:t>0.170</w:t>
            </w:r>
          </w:p>
        </w:tc>
        <w:tc>
          <w:tcPr>
            <w:tcW w:w="959" w:type="dxa"/>
            <w:vAlign w:val="center"/>
          </w:tcPr>
          <w:p>
            <w:pPr>
              <w:pStyle w:val="51"/>
            </w:pPr>
            <w:r>
              <w:rPr>
                <w:rFonts w:hint="eastAsia"/>
              </w:rPr>
              <w:t>0.182</w:t>
            </w:r>
          </w:p>
        </w:tc>
        <w:tc>
          <w:tcPr>
            <w:tcW w:w="959" w:type="dxa"/>
            <w:vAlign w:val="center"/>
          </w:tcPr>
          <w:p>
            <w:pPr>
              <w:pStyle w:val="51"/>
            </w:pPr>
            <w:r>
              <w:rPr>
                <w:rFonts w:hint="eastAsia"/>
              </w:rPr>
              <w:t>0.239</w:t>
            </w:r>
          </w:p>
        </w:tc>
        <w:tc>
          <w:tcPr>
            <w:tcW w:w="959" w:type="dxa"/>
            <w:vAlign w:val="center"/>
          </w:tcPr>
          <w:p>
            <w:pPr>
              <w:pStyle w:val="51"/>
            </w:pPr>
            <w:r>
              <w:rPr>
                <w:rFonts w:hint="eastAsia"/>
              </w:rPr>
              <w:t>0.804</w:t>
            </w:r>
          </w:p>
        </w:tc>
        <w:tc>
          <w:tcPr>
            <w:tcW w:w="959" w:type="dxa"/>
            <w:vAlign w:val="center"/>
          </w:tcPr>
          <w:p>
            <w:pPr>
              <w:pStyle w:val="51"/>
            </w:pPr>
            <w:r>
              <w:rPr>
                <w:rFonts w:hint="eastAsia"/>
              </w:rPr>
              <w:t>1.005</w:t>
            </w:r>
          </w:p>
        </w:tc>
        <w:tc>
          <w:tcPr>
            <w:tcW w:w="959" w:type="dxa"/>
            <w:vAlign w:val="center"/>
          </w:tcPr>
          <w:p>
            <w:pPr>
              <w:pStyle w:val="51"/>
            </w:pPr>
            <w:r>
              <w:rPr>
                <w:rFonts w:hint="eastAsia"/>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51"/>
            </w:pPr>
            <w:r>
              <w:rPr>
                <w:rFonts w:hint="eastAsia"/>
                <w:color w:val="000000"/>
                <w:szCs w:val="21"/>
              </w:rPr>
              <w:t>粉尘粒径</w:t>
            </w:r>
            <w:r>
              <w:rPr>
                <w:rFonts w:cs="Times New Roman"/>
                <w:color w:val="000000"/>
                <w:szCs w:val="21"/>
              </w:rPr>
              <w:t>(μm)</w:t>
            </w:r>
          </w:p>
        </w:tc>
        <w:tc>
          <w:tcPr>
            <w:tcW w:w="959" w:type="dxa"/>
            <w:vAlign w:val="center"/>
          </w:tcPr>
          <w:p>
            <w:pPr>
              <w:pStyle w:val="51"/>
            </w:pPr>
            <w:r>
              <w:rPr>
                <w:rFonts w:hint="eastAsia"/>
              </w:rPr>
              <w:t>450</w:t>
            </w:r>
          </w:p>
        </w:tc>
        <w:tc>
          <w:tcPr>
            <w:tcW w:w="959" w:type="dxa"/>
            <w:vAlign w:val="center"/>
          </w:tcPr>
          <w:p>
            <w:pPr>
              <w:pStyle w:val="51"/>
            </w:pPr>
            <w:r>
              <w:rPr>
                <w:rFonts w:hint="eastAsia"/>
              </w:rPr>
              <w:t>550</w:t>
            </w:r>
          </w:p>
        </w:tc>
        <w:tc>
          <w:tcPr>
            <w:tcW w:w="959" w:type="dxa"/>
            <w:vAlign w:val="center"/>
          </w:tcPr>
          <w:p>
            <w:pPr>
              <w:pStyle w:val="51"/>
            </w:pPr>
            <w:r>
              <w:rPr>
                <w:rFonts w:hint="eastAsia"/>
              </w:rPr>
              <w:t>650</w:t>
            </w:r>
          </w:p>
        </w:tc>
        <w:tc>
          <w:tcPr>
            <w:tcW w:w="959" w:type="dxa"/>
            <w:vAlign w:val="center"/>
          </w:tcPr>
          <w:p>
            <w:pPr>
              <w:pStyle w:val="51"/>
            </w:pPr>
            <w:r>
              <w:rPr>
                <w:rFonts w:hint="eastAsia"/>
              </w:rPr>
              <w:t>750</w:t>
            </w:r>
          </w:p>
        </w:tc>
        <w:tc>
          <w:tcPr>
            <w:tcW w:w="959" w:type="dxa"/>
            <w:vAlign w:val="center"/>
          </w:tcPr>
          <w:p>
            <w:pPr>
              <w:pStyle w:val="51"/>
            </w:pPr>
            <w:r>
              <w:rPr>
                <w:rFonts w:hint="eastAsia"/>
              </w:rPr>
              <w:t>850</w:t>
            </w:r>
          </w:p>
        </w:tc>
        <w:tc>
          <w:tcPr>
            <w:tcW w:w="959" w:type="dxa"/>
            <w:vAlign w:val="center"/>
          </w:tcPr>
          <w:p>
            <w:pPr>
              <w:pStyle w:val="51"/>
            </w:pPr>
            <w:r>
              <w:rPr>
                <w:rFonts w:hint="eastAsia"/>
              </w:rPr>
              <w:t>950</w:t>
            </w:r>
          </w:p>
        </w:tc>
        <w:tc>
          <w:tcPr>
            <w:tcW w:w="959" w:type="dxa"/>
            <w:vAlign w:val="center"/>
          </w:tcPr>
          <w:p>
            <w:pPr>
              <w:pStyle w:val="51"/>
            </w:pPr>
            <w:r>
              <w:rPr>
                <w:rFonts w:hint="eastAsia"/>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51"/>
            </w:pPr>
            <w:r>
              <w:rPr>
                <w:rFonts w:hint="eastAsia"/>
                <w:color w:val="000000"/>
                <w:szCs w:val="21"/>
              </w:rPr>
              <w:t>沉降速度</w:t>
            </w:r>
            <w:r>
              <w:rPr>
                <w:rFonts w:cs="Times New Roman"/>
                <w:color w:val="000000"/>
                <w:szCs w:val="21"/>
              </w:rPr>
              <w:t>(m/s)</w:t>
            </w:r>
          </w:p>
        </w:tc>
        <w:tc>
          <w:tcPr>
            <w:tcW w:w="959" w:type="dxa"/>
            <w:vAlign w:val="center"/>
          </w:tcPr>
          <w:p>
            <w:pPr>
              <w:pStyle w:val="51"/>
            </w:pPr>
            <w:r>
              <w:rPr>
                <w:rFonts w:hint="eastAsia"/>
              </w:rPr>
              <w:t>2.211</w:t>
            </w:r>
          </w:p>
        </w:tc>
        <w:tc>
          <w:tcPr>
            <w:tcW w:w="959" w:type="dxa"/>
            <w:vAlign w:val="center"/>
          </w:tcPr>
          <w:p>
            <w:pPr>
              <w:pStyle w:val="51"/>
            </w:pPr>
            <w:r>
              <w:rPr>
                <w:rFonts w:hint="eastAsia"/>
              </w:rPr>
              <w:t>2.614</w:t>
            </w:r>
          </w:p>
        </w:tc>
        <w:tc>
          <w:tcPr>
            <w:tcW w:w="959" w:type="dxa"/>
            <w:vAlign w:val="center"/>
          </w:tcPr>
          <w:p>
            <w:pPr>
              <w:pStyle w:val="51"/>
            </w:pPr>
            <w:r>
              <w:rPr>
                <w:rFonts w:hint="eastAsia"/>
              </w:rPr>
              <w:t>3.016</w:t>
            </w:r>
          </w:p>
        </w:tc>
        <w:tc>
          <w:tcPr>
            <w:tcW w:w="959" w:type="dxa"/>
            <w:vAlign w:val="center"/>
          </w:tcPr>
          <w:p>
            <w:pPr>
              <w:pStyle w:val="51"/>
            </w:pPr>
            <w:r>
              <w:rPr>
                <w:rFonts w:hint="eastAsia"/>
              </w:rPr>
              <w:t>3.418</w:t>
            </w:r>
          </w:p>
        </w:tc>
        <w:tc>
          <w:tcPr>
            <w:tcW w:w="959" w:type="dxa"/>
            <w:vAlign w:val="center"/>
          </w:tcPr>
          <w:p>
            <w:pPr>
              <w:pStyle w:val="51"/>
            </w:pPr>
            <w:r>
              <w:rPr>
                <w:rFonts w:hint="eastAsia"/>
              </w:rPr>
              <w:t>3.820</w:t>
            </w:r>
          </w:p>
        </w:tc>
        <w:tc>
          <w:tcPr>
            <w:tcW w:w="959" w:type="dxa"/>
            <w:vAlign w:val="center"/>
          </w:tcPr>
          <w:p>
            <w:pPr>
              <w:pStyle w:val="51"/>
            </w:pPr>
            <w:r>
              <w:rPr>
                <w:rFonts w:hint="eastAsia"/>
              </w:rPr>
              <w:t>4.222</w:t>
            </w:r>
          </w:p>
        </w:tc>
        <w:tc>
          <w:tcPr>
            <w:tcW w:w="959" w:type="dxa"/>
            <w:vAlign w:val="center"/>
          </w:tcPr>
          <w:p>
            <w:pPr>
              <w:pStyle w:val="51"/>
            </w:pPr>
            <w:r>
              <w:rPr>
                <w:rFonts w:hint="eastAsia"/>
              </w:rPr>
              <w:t>4.624</w:t>
            </w:r>
          </w:p>
        </w:tc>
      </w:tr>
    </w:tbl>
    <w:p>
      <w:pPr>
        <w:pStyle w:val="49"/>
        <w:ind w:firstLine="480"/>
      </w:pPr>
      <w:r>
        <w:rPr>
          <w:rFonts w:hint="eastAsia"/>
        </w:rPr>
        <w:t xml:space="preserve">从上表中可知，粉尘的沉降速度随着粒径的增大而迅速增大，当粒径大于 </w:t>
      </w:r>
      <w:r>
        <w:rPr>
          <w:rFonts w:cs="Times New Roman"/>
        </w:rPr>
        <w:t>250μm</w:t>
      </w:r>
      <w:r>
        <w:rPr>
          <w:rFonts w:hint="eastAsia"/>
        </w:rPr>
        <w:t>时，主要影响范围在扬尘产生点下风向近距离范围内，而对外环境影响较大的是一些粒径微小的粉尘。</w:t>
      </w:r>
    </w:p>
    <w:p>
      <w:pPr>
        <w:pStyle w:val="49"/>
        <w:ind w:firstLine="480"/>
      </w:pPr>
      <w:r>
        <w:rPr>
          <w:rFonts w:hint="eastAsia" w:ascii="宋体" w:hAnsi="宋体"/>
        </w:rPr>
        <w:t>②</w:t>
      </w:r>
      <w:r>
        <w:rPr>
          <w:rFonts w:hint="eastAsia"/>
        </w:rPr>
        <w:t>车辆行驶扬尘</w:t>
      </w:r>
    </w:p>
    <w:p>
      <w:pPr>
        <w:pStyle w:val="49"/>
        <w:ind w:firstLine="480"/>
      </w:pPr>
      <w:r>
        <w:rPr>
          <w:rFonts w:hint="eastAsia"/>
        </w:rPr>
        <w:t xml:space="preserve">根据有关文献资料介绍，施工过程中，车辆行驶产生的扬尘占总扬尘的 </w:t>
      </w:r>
      <w:r>
        <w:rPr>
          <w:rFonts w:cs="Times New Roman"/>
        </w:rPr>
        <w:t xml:space="preserve">60% </w:t>
      </w:r>
      <w:r>
        <w:rPr>
          <w:rFonts w:hint="eastAsia"/>
        </w:rPr>
        <w:t>以上。车辆行驶产生的扬尘，在完全干燥的情况下，可按以下经验公式计算：</w:t>
      </w:r>
    </w:p>
    <w:p>
      <w:pPr>
        <w:pStyle w:val="49"/>
        <w:ind w:firstLine="0" w:firstLineChars="0"/>
        <w:jc w:val="center"/>
      </w:pPr>
      <w:r>
        <w:rPr>
          <w:rFonts w:hint="eastAsia"/>
        </w:rPr>
        <w:drawing>
          <wp:inline distT="0" distB="0" distL="0" distR="0">
            <wp:extent cx="2261870" cy="647700"/>
            <wp:effectExtent l="0" t="0" r="5080" b="0"/>
            <wp:docPr id="37509083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5090831" name="图片 2"/>
                    <pic:cNvPicPr>
                      <a:picLocks noChangeAspect="true"/>
                    </pic:cNvPicPr>
                  </pic:nvPicPr>
                  <pic:blipFill>
                    <a:blip r:embed="rId26">
                      <a:extLst>
                        <a:ext uri="{28A0092B-C50C-407E-A947-70E740481C1C}">
                          <a14:useLocalDpi xmlns:a14="http://schemas.microsoft.com/office/drawing/2010/main" val="false"/>
                        </a:ext>
                      </a:extLst>
                    </a:blip>
                    <a:stretch>
                      <a:fillRect/>
                    </a:stretch>
                  </pic:blipFill>
                  <pic:spPr>
                    <a:xfrm>
                      <a:off x="0" y="0"/>
                      <a:ext cx="2272918" cy="650793"/>
                    </a:xfrm>
                    <a:prstGeom prst="rect">
                      <a:avLst/>
                    </a:prstGeom>
                  </pic:spPr>
                </pic:pic>
              </a:graphicData>
            </a:graphic>
          </wp:inline>
        </w:drawing>
      </w:r>
    </w:p>
    <w:p>
      <w:pPr>
        <w:pStyle w:val="49"/>
        <w:ind w:firstLine="480"/>
      </w:pPr>
      <w:r>
        <w:rPr>
          <w:rFonts w:hint="eastAsia"/>
        </w:rPr>
        <w:t>式中：</w:t>
      </w:r>
      <w:r>
        <w:rPr>
          <w:rFonts w:cs="Times New Roman"/>
          <w:i/>
          <w:iCs/>
        </w:rPr>
        <w:t>Q</w:t>
      </w:r>
      <w:r>
        <w:rPr>
          <w:rFonts w:cs="Times New Roman"/>
        </w:rPr>
        <w:t>—</w:t>
      </w:r>
      <w:r>
        <w:rPr>
          <w:rFonts w:hint="eastAsia"/>
        </w:rPr>
        <w:t xml:space="preserve">汽车行驶的扬尘量， </w:t>
      </w:r>
      <w:r>
        <w:rPr>
          <w:rFonts w:cs="Times New Roman"/>
        </w:rPr>
        <w:t>kg/km ·</w:t>
      </w:r>
      <w:r>
        <w:rPr>
          <w:rFonts w:hint="eastAsia"/>
        </w:rPr>
        <w:t xml:space="preserve">辆； </w:t>
      </w:r>
    </w:p>
    <w:p>
      <w:pPr>
        <w:pStyle w:val="49"/>
        <w:ind w:firstLine="1200" w:firstLineChars="500"/>
      </w:pPr>
      <w:r>
        <w:rPr>
          <w:rFonts w:cs="Times New Roman"/>
          <w:i/>
          <w:iCs/>
        </w:rPr>
        <w:t>v</w:t>
      </w:r>
      <w:r>
        <w:rPr>
          <w:rFonts w:cs="Times New Roman"/>
        </w:rPr>
        <w:t>—</w:t>
      </w:r>
      <w:r>
        <w:rPr>
          <w:rFonts w:hint="eastAsia"/>
        </w:rPr>
        <w:t xml:space="preserve">汽车速度， </w:t>
      </w:r>
      <w:r>
        <w:rPr>
          <w:rFonts w:cs="Times New Roman"/>
        </w:rPr>
        <w:t>km/h</w:t>
      </w:r>
      <w:r>
        <w:rPr>
          <w:rFonts w:hint="eastAsia"/>
        </w:rPr>
        <w:t xml:space="preserve">； </w:t>
      </w:r>
    </w:p>
    <w:p>
      <w:pPr>
        <w:pStyle w:val="49"/>
        <w:ind w:firstLine="1200" w:firstLineChars="500"/>
      </w:pPr>
      <w:r>
        <w:rPr>
          <w:rFonts w:cs="Times New Roman"/>
          <w:i/>
          <w:iCs/>
        </w:rPr>
        <w:t>w</w:t>
      </w:r>
      <w:r>
        <w:rPr>
          <w:rFonts w:cs="Times New Roman"/>
        </w:rPr>
        <w:t>—</w:t>
      </w:r>
      <w:r>
        <w:rPr>
          <w:rFonts w:hint="eastAsia"/>
        </w:rPr>
        <w:t>汽车载重量，</w:t>
      </w:r>
      <w:r>
        <w:rPr>
          <w:rFonts w:cs="Times New Roman"/>
        </w:rPr>
        <w:t>t</w:t>
      </w:r>
      <w:r>
        <w:rPr>
          <w:rFonts w:hint="eastAsia"/>
        </w:rPr>
        <w:t xml:space="preserve">； </w:t>
      </w:r>
    </w:p>
    <w:p>
      <w:pPr>
        <w:pStyle w:val="49"/>
        <w:ind w:firstLine="1200" w:firstLineChars="500"/>
      </w:pPr>
      <w:r>
        <w:rPr>
          <w:rFonts w:cs="Times New Roman"/>
          <w:i/>
          <w:iCs/>
        </w:rPr>
        <w:t>p</w:t>
      </w:r>
      <w:r>
        <w:rPr>
          <w:rFonts w:cs="Times New Roman"/>
        </w:rPr>
        <w:t>—</w:t>
      </w:r>
      <w:r>
        <w:rPr>
          <w:rFonts w:hint="eastAsia"/>
        </w:rPr>
        <w:t>道路表面粉尘量，</w:t>
      </w:r>
      <w:r>
        <w:rPr>
          <w:rFonts w:cs="Times New Roman"/>
        </w:rPr>
        <w:t>kg/m</w:t>
      </w:r>
      <w:r>
        <w:rPr>
          <w:vertAlign w:val="superscript"/>
        </w:rPr>
        <w:t>2</w:t>
      </w:r>
      <w:r>
        <w:rPr>
          <w:rFonts w:hint="eastAsia"/>
        </w:rPr>
        <w:t>。</w:t>
      </w:r>
    </w:p>
    <w:p>
      <w:pPr>
        <w:pStyle w:val="49"/>
        <w:ind w:firstLine="480"/>
      </w:pPr>
      <w:r>
        <w:rPr>
          <w:rFonts w:hint="eastAsia"/>
        </w:rPr>
        <w:t xml:space="preserve">表 </w:t>
      </w:r>
      <w:r>
        <w:rPr>
          <w:rFonts w:cs="Times New Roman"/>
        </w:rPr>
        <w:t>3.2-</w:t>
      </w:r>
      <w:r>
        <w:rPr>
          <w:rFonts w:hint="eastAsia" w:cs="Times New Roman"/>
        </w:rPr>
        <w:t>2</w:t>
      </w:r>
      <w:r>
        <w:rPr>
          <w:rFonts w:cs="Times New Roman"/>
        </w:rPr>
        <w:t xml:space="preserve"> </w:t>
      </w:r>
      <w:r>
        <w:rPr>
          <w:rFonts w:hint="eastAsia"/>
        </w:rPr>
        <w:t xml:space="preserve">为一辆 </w:t>
      </w:r>
      <w:r>
        <w:rPr>
          <w:rFonts w:cs="Times New Roman"/>
        </w:rPr>
        <w:t xml:space="preserve">10t </w:t>
      </w:r>
      <w:r>
        <w:rPr>
          <w:rFonts w:hint="eastAsia"/>
        </w:rPr>
        <w:t xml:space="preserve">卡车通过一段长为 </w:t>
      </w:r>
      <w:r>
        <w:rPr>
          <w:rFonts w:cs="Times New Roman"/>
        </w:rPr>
        <w:t xml:space="preserve">1km </w:t>
      </w:r>
      <w:r>
        <w:rPr>
          <w:rFonts w:hint="eastAsia"/>
        </w:rPr>
        <w:t>的路面时，不同路面清洁程度，不同行驶速度情况下的扬尘量。</w:t>
      </w:r>
    </w:p>
    <w:p>
      <w:pPr>
        <w:pStyle w:val="53"/>
      </w:pPr>
      <w:r>
        <w:rPr>
          <w:rFonts w:hint="eastAsia"/>
        </w:rPr>
        <w:t>表3.3-2 在不同车速和地面清洁程度下一辆10t的汽车扬尘量  单位：kg/km</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30" w:type="dxa"/>
            <w:tcBorders>
              <w:tl2br w:val="single" w:color="auto" w:sz="4" w:space="0"/>
            </w:tcBorders>
            <w:vAlign w:val="center"/>
          </w:tcPr>
          <w:p>
            <w:pPr>
              <w:pStyle w:val="51"/>
            </w:pPr>
            <w:r>
              <w:rPr>
                <w:rFonts w:hint="eastAsia"/>
              </w:rPr>
              <w:t xml:space="preserve">                    </w:t>
            </w:r>
            <w:r>
              <w:t>P</w:t>
            </w:r>
            <w:r>
              <w:rPr>
                <w:rFonts w:hint="eastAsia"/>
              </w:rPr>
              <w:t>(kg/m</w:t>
            </w:r>
            <w:r>
              <w:rPr>
                <w:rFonts w:hint="eastAsia"/>
                <w:vertAlign w:val="superscript"/>
              </w:rPr>
              <w:t>2</w:t>
            </w:r>
            <w:r>
              <w:rPr>
                <w:rFonts w:hint="eastAsia"/>
              </w:rPr>
              <w:t>)</w:t>
            </w:r>
          </w:p>
          <w:p>
            <w:pPr>
              <w:pStyle w:val="51"/>
              <w:jc w:val="both"/>
            </w:pPr>
            <w:r>
              <w:rPr>
                <w:rFonts w:hint="eastAsia"/>
              </w:rPr>
              <w:t>车速(km/h)</w:t>
            </w:r>
          </w:p>
        </w:tc>
        <w:tc>
          <w:tcPr>
            <w:tcW w:w="1065" w:type="dxa"/>
            <w:vAlign w:val="center"/>
          </w:tcPr>
          <w:p>
            <w:pPr>
              <w:pStyle w:val="51"/>
            </w:pPr>
            <w:r>
              <w:rPr>
                <w:rFonts w:hint="eastAsia"/>
              </w:rPr>
              <w:t>0.1</w:t>
            </w:r>
          </w:p>
        </w:tc>
        <w:tc>
          <w:tcPr>
            <w:tcW w:w="1065" w:type="dxa"/>
            <w:vAlign w:val="center"/>
          </w:tcPr>
          <w:p>
            <w:pPr>
              <w:pStyle w:val="51"/>
            </w:pPr>
            <w:r>
              <w:rPr>
                <w:rFonts w:hint="eastAsia"/>
              </w:rPr>
              <w:t>0.2</w:t>
            </w:r>
          </w:p>
        </w:tc>
        <w:tc>
          <w:tcPr>
            <w:tcW w:w="1065" w:type="dxa"/>
            <w:vAlign w:val="center"/>
          </w:tcPr>
          <w:p>
            <w:pPr>
              <w:pStyle w:val="51"/>
            </w:pPr>
            <w:r>
              <w:rPr>
                <w:rFonts w:hint="eastAsia"/>
              </w:rPr>
              <w:t>0.3</w:t>
            </w:r>
          </w:p>
        </w:tc>
        <w:tc>
          <w:tcPr>
            <w:tcW w:w="1065" w:type="dxa"/>
            <w:vAlign w:val="center"/>
          </w:tcPr>
          <w:p>
            <w:pPr>
              <w:pStyle w:val="51"/>
            </w:pPr>
            <w:r>
              <w:rPr>
                <w:rFonts w:hint="eastAsia"/>
              </w:rPr>
              <w:t>0.4</w:t>
            </w:r>
          </w:p>
        </w:tc>
        <w:tc>
          <w:tcPr>
            <w:tcW w:w="1066" w:type="dxa"/>
            <w:vAlign w:val="center"/>
          </w:tcPr>
          <w:p>
            <w:pPr>
              <w:pStyle w:val="51"/>
            </w:pPr>
            <w:r>
              <w:rPr>
                <w:rFonts w:hint="eastAsia"/>
              </w:rPr>
              <w:t>0.5</w:t>
            </w:r>
          </w:p>
        </w:tc>
        <w:tc>
          <w:tcPr>
            <w:tcW w:w="1066" w:type="dxa"/>
            <w:vAlign w:val="center"/>
          </w:tcPr>
          <w:p>
            <w:pPr>
              <w:pStyle w:val="51"/>
            </w:pPr>
            <w:r>
              <w:rPr>
                <w:rFonts w:hint="eastAsia"/>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51"/>
            </w:pPr>
            <w:r>
              <w:rPr>
                <w:rFonts w:hint="eastAsia"/>
              </w:rPr>
              <w:t>5</w:t>
            </w:r>
          </w:p>
        </w:tc>
        <w:tc>
          <w:tcPr>
            <w:tcW w:w="1065" w:type="dxa"/>
            <w:vAlign w:val="center"/>
          </w:tcPr>
          <w:p>
            <w:pPr>
              <w:pStyle w:val="51"/>
            </w:pPr>
            <w:r>
              <w:rPr>
                <w:rFonts w:hint="eastAsia"/>
              </w:rPr>
              <w:t>0.051</w:t>
            </w:r>
          </w:p>
        </w:tc>
        <w:tc>
          <w:tcPr>
            <w:tcW w:w="1065" w:type="dxa"/>
            <w:vAlign w:val="center"/>
          </w:tcPr>
          <w:p>
            <w:pPr>
              <w:pStyle w:val="51"/>
            </w:pPr>
            <w:r>
              <w:rPr>
                <w:rFonts w:hint="eastAsia"/>
              </w:rPr>
              <w:t>0.086</w:t>
            </w:r>
          </w:p>
        </w:tc>
        <w:tc>
          <w:tcPr>
            <w:tcW w:w="1065" w:type="dxa"/>
            <w:vAlign w:val="center"/>
          </w:tcPr>
          <w:p>
            <w:pPr>
              <w:pStyle w:val="51"/>
            </w:pPr>
            <w:r>
              <w:rPr>
                <w:rFonts w:hint="eastAsia"/>
              </w:rPr>
              <w:t>0.116</w:t>
            </w:r>
          </w:p>
        </w:tc>
        <w:tc>
          <w:tcPr>
            <w:tcW w:w="1065" w:type="dxa"/>
            <w:vAlign w:val="center"/>
          </w:tcPr>
          <w:p>
            <w:pPr>
              <w:pStyle w:val="51"/>
            </w:pPr>
            <w:r>
              <w:rPr>
                <w:rFonts w:hint="eastAsia"/>
              </w:rPr>
              <w:t>0.144</w:t>
            </w:r>
          </w:p>
        </w:tc>
        <w:tc>
          <w:tcPr>
            <w:tcW w:w="1066" w:type="dxa"/>
            <w:vAlign w:val="center"/>
          </w:tcPr>
          <w:p>
            <w:pPr>
              <w:pStyle w:val="51"/>
            </w:pPr>
            <w:r>
              <w:rPr>
                <w:rFonts w:hint="eastAsia"/>
              </w:rPr>
              <w:t>0.171</w:t>
            </w:r>
          </w:p>
        </w:tc>
        <w:tc>
          <w:tcPr>
            <w:tcW w:w="1066" w:type="dxa"/>
            <w:vAlign w:val="center"/>
          </w:tcPr>
          <w:p>
            <w:pPr>
              <w:pStyle w:val="51"/>
            </w:pPr>
            <w:r>
              <w:rPr>
                <w:rFonts w:hint="eastAsia"/>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51"/>
            </w:pPr>
            <w:r>
              <w:rPr>
                <w:rFonts w:hint="eastAsia"/>
              </w:rPr>
              <w:t>10</w:t>
            </w:r>
          </w:p>
        </w:tc>
        <w:tc>
          <w:tcPr>
            <w:tcW w:w="1065" w:type="dxa"/>
            <w:vAlign w:val="center"/>
          </w:tcPr>
          <w:p>
            <w:pPr>
              <w:pStyle w:val="51"/>
            </w:pPr>
            <w:r>
              <w:rPr>
                <w:rFonts w:hint="eastAsia"/>
              </w:rPr>
              <w:t>0.102</w:t>
            </w:r>
          </w:p>
        </w:tc>
        <w:tc>
          <w:tcPr>
            <w:tcW w:w="1065" w:type="dxa"/>
            <w:vAlign w:val="center"/>
          </w:tcPr>
          <w:p>
            <w:pPr>
              <w:pStyle w:val="51"/>
            </w:pPr>
            <w:r>
              <w:rPr>
                <w:rFonts w:hint="eastAsia"/>
              </w:rPr>
              <w:t>0.171</w:t>
            </w:r>
          </w:p>
        </w:tc>
        <w:tc>
          <w:tcPr>
            <w:tcW w:w="1065" w:type="dxa"/>
            <w:vAlign w:val="center"/>
          </w:tcPr>
          <w:p>
            <w:pPr>
              <w:pStyle w:val="51"/>
            </w:pPr>
            <w:r>
              <w:rPr>
                <w:rFonts w:hint="eastAsia"/>
              </w:rPr>
              <w:t>0.232</w:t>
            </w:r>
          </w:p>
        </w:tc>
        <w:tc>
          <w:tcPr>
            <w:tcW w:w="1065" w:type="dxa"/>
            <w:vAlign w:val="center"/>
          </w:tcPr>
          <w:p>
            <w:pPr>
              <w:pStyle w:val="51"/>
            </w:pPr>
            <w:r>
              <w:rPr>
                <w:rFonts w:hint="eastAsia"/>
              </w:rPr>
              <w:t>0.289</w:t>
            </w:r>
          </w:p>
        </w:tc>
        <w:tc>
          <w:tcPr>
            <w:tcW w:w="1066" w:type="dxa"/>
            <w:vAlign w:val="center"/>
          </w:tcPr>
          <w:p>
            <w:pPr>
              <w:pStyle w:val="51"/>
            </w:pPr>
            <w:r>
              <w:rPr>
                <w:rFonts w:hint="eastAsia"/>
              </w:rPr>
              <w:t>0.341</w:t>
            </w:r>
          </w:p>
        </w:tc>
        <w:tc>
          <w:tcPr>
            <w:tcW w:w="1066" w:type="dxa"/>
            <w:vAlign w:val="center"/>
          </w:tcPr>
          <w:p>
            <w:pPr>
              <w:pStyle w:val="51"/>
            </w:pPr>
            <w:r>
              <w:rPr>
                <w:rFonts w:hint="eastAsia"/>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51"/>
            </w:pPr>
            <w:r>
              <w:rPr>
                <w:rFonts w:hint="eastAsia"/>
              </w:rPr>
              <w:t>15</w:t>
            </w:r>
          </w:p>
        </w:tc>
        <w:tc>
          <w:tcPr>
            <w:tcW w:w="1065" w:type="dxa"/>
            <w:vAlign w:val="center"/>
          </w:tcPr>
          <w:p>
            <w:pPr>
              <w:pStyle w:val="51"/>
            </w:pPr>
            <w:r>
              <w:rPr>
                <w:rFonts w:hint="eastAsia"/>
              </w:rPr>
              <w:t>0.153</w:t>
            </w:r>
          </w:p>
        </w:tc>
        <w:tc>
          <w:tcPr>
            <w:tcW w:w="1065" w:type="dxa"/>
            <w:vAlign w:val="center"/>
          </w:tcPr>
          <w:p>
            <w:pPr>
              <w:pStyle w:val="51"/>
            </w:pPr>
            <w:r>
              <w:rPr>
                <w:rFonts w:hint="eastAsia"/>
              </w:rPr>
              <w:t>0.257</w:t>
            </w:r>
          </w:p>
        </w:tc>
        <w:tc>
          <w:tcPr>
            <w:tcW w:w="1065" w:type="dxa"/>
            <w:vAlign w:val="center"/>
          </w:tcPr>
          <w:p>
            <w:pPr>
              <w:pStyle w:val="51"/>
            </w:pPr>
            <w:r>
              <w:rPr>
                <w:rFonts w:hint="eastAsia"/>
              </w:rPr>
              <w:t>0.349</w:t>
            </w:r>
          </w:p>
        </w:tc>
        <w:tc>
          <w:tcPr>
            <w:tcW w:w="1065" w:type="dxa"/>
            <w:vAlign w:val="center"/>
          </w:tcPr>
          <w:p>
            <w:pPr>
              <w:pStyle w:val="51"/>
            </w:pPr>
            <w:r>
              <w:rPr>
                <w:rFonts w:hint="eastAsia"/>
              </w:rPr>
              <w:t>0.433</w:t>
            </w:r>
          </w:p>
        </w:tc>
        <w:tc>
          <w:tcPr>
            <w:tcW w:w="1066" w:type="dxa"/>
            <w:vAlign w:val="center"/>
          </w:tcPr>
          <w:p>
            <w:pPr>
              <w:pStyle w:val="51"/>
            </w:pPr>
            <w:r>
              <w:rPr>
                <w:rFonts w:hint="eastAsia"/>
              </w:rPr>
              <w:t>0.512</w:t>
            </w:r>
          </w:p>
        </w:tc>
        <w:tc>
          <w:tcPr>
            <w:tcW w:w="1066" w:type="dxa"/>
            <w:vAlign w:val="center"/>
          </w:tcPr>
          <w:p>
            <w:pPr>
              <w:pStyle w:val="51"/>
            </w:pPr>
            <w:r>
              <w:rPr>
                <w:rFonts w:hint="eastAsia"/>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51"/>
            </w:pPr>
            <w:r>
              <w:rPr>
                <w:rFonts w:hint="eastAsia"/>
              </w:rPr>
              <w:t>20</w:t>
            </w:r>
          </w:p>
        </w:tc>
        <w:tc>
          <w:tcPr>
            <w:tcW w:w="1065" w:type="dxa"/>
            <w:vAlign w:val="center"/>
          </w:tcPr>
          <w:p>
            <w:pPr>
              <w:pStyle w:val="51"/>
            </w:pPr>
            <w:r>
              <w:rPr>
                <w:rFonts w:hint="eastAsia"/>
              </w:rPr>
              <w:t>0.255</w:t>
            </w:r>
          </w:p>
        </w:tc>
        <w:tc>
          <w:tcPr>
            <w:tcW w:w="1065" w:type="dxa"/>
            <w:vAlign w:val="center"/>
          </w:tcPr>
          <w:p>
            <w:pPr>
              <w:pStyle w:val="51"/>
            </w:pPr>
            <w:r>
              <w:rPr>
                <w:rFonts w:hint="eastAsia"/>
              </w:rPr>
              <w:t>0.429</w:t>
            </w:r>
          </w:p>
        </w:tc>
        <w:tc>
          <w:tcPr>
            <w:tcW w:w="1065" w:type="dxa"/>
            <w:vAlign w:val="center"/>
          </w:tcPr>
          <w:p>
            <w:pPr>
              <w:pStyle w:val="51"/>
            </w:pPr>
            <w:r>
              <w:rPr>
                <w:rFonts w:hint="eastAsia"/>
              </w:rPr>
              <w:t>0.582</w:t>
            </w:r>
          </w:p>
        </w:tc>
        <w:tc>
          <w:tcPr>
            <w:tcW w:w="1065" w:type="dxa"/>
            <w:vAlign w:val="center"/>
          </w:tcPr>
          <w:p>
            <w:pPr>
              <w:pStyle w:val="51"/>
            </w:pPr>
            <w:r>
              <w:rPr>
                <w:rFonts w:hint="eastAsia"/>
              </w:rPr>
              <w:t>0.722</w:t>
            </w:r>
          </w:p>
        </w:tc>
        <w:tc>
          <w:tcPr>
            <w:tcW w:w="1066" w:type="dxa"/>
            <w:vAlign w:val="center"/>
          </w:tcPr>
          <w:p>
            <w:pPr>
              <w:pStyle w:val="51"/>
            </w:pPr>
            <w:r>
              <w:rPr>
                <w:rFonts w:hint="eastAsia"/>
              </w:rPr>
              <w:t>0.853</w:t>
            </w:r>
          </w:p>
        </w:tc>
        <w:tc>
          <w:tcPr>
            <w:tcW w:w="1066" w:type="dxa"/>
            <w:vAlign w:val="center"/>
          </w:tcPr>
          <w:p>
            <w:pPr>
              <w:pStyle w:val="51"/>
            </w:pPr>
            <w:r>
              <w:rPr>
                <w:rFonts w:hint="eastAsia"/>
              </w:rPr>
              <w:t>1.435</w:t>
            </w:r>
          </w:p>
        </w:tc>
      </w:tr>
    </w:tbl>
    <w:p>
      <w:pPr>
        <w:pStyle w:val="49"/>
        <w:ind w:firstLine="480"/>
      </w:pPr>
      <w:r>
        <w:rPr>
          <w:rFonts w:hint="eastAsia"/>
        </w:rPr>
        <w:t>从上表可见，在同样的路面条件下，车速越快，扬尘量越大；在同样的车速情况下，路面粉尘越大，扬尘量越大。</w:t>
      </w:r>
    </w:p>
    <w:p>
      <w:pPr>
        <w:pStyle w:val="49"/>
        <w:ind w:firstLine="480"/>
        <w:rPr>
          <w:color w:val="000000"/>
        </w:rPr>
      </w:pPr>
      <w:r>
        <w:rPr>
          <w:rFonts w:hint="eastAsia"/>
        </w:rPr>
        <w:t>2、</w:t>
      </w:r>
      <w:r>
        <w:rPr>
          <w:rFonts w:hint="eastAsia"/>
          <w:color w:val="000000"/>
        </w:rPr>
        <w:t>施工机械燃油废气</w:t>
      </w:r>
    </w:p>
    <w:p>
      <w:pPr>
        <w:pStyle w:val="49"/>
        <w:ind w:firstLine="480"/>
      </w:pPr>
      <w:r>
        <w:rPr>
          <w:rFonts w:hint="eastAsia"/>
        </w:rPr>
        <w:t xml:space="preserve">施工过程用到的施工机械主要有施工车辆，它们以柴油为燃料，都会产生一定量废气，包括 </w:t>
      </w:r>
      <w:r>
        <w:rPr>
          <w:rFonts w:cs="Times New Roman"/>
        </w:rPr>
        <w:t>CO</w:t>
      </w:r>
      <w:r>
        <w:rPr>
          <w:rFonts w:hint="eastAsia"/>
        </w:rPr>
        <w:t>、</w:t>
      </w:r>
      <w:r>
        <w:rPr>
          <w:rFonts w:cs="Times New Roman"/>
        </w:rPr>
        <w:t>THC</w:t>
      </w:r>
      <w:r>
        <w:rPr>
          <w:rFonts w:hint="eastAsia"/>
        </w:rPr>
        <w:t>、</w:t>
      </w:r>
      <w:r>
        <w:rPr>
          <w:rFonts w:cs="Times New Roman"/>
        </w:rPr>
        <w:t>NO</w:t>
      </w:r>
      <w:r>
        <w:rPr>
          <w:rFonts w:cs="Times New Roman"/>
          <w:sz w:val="16"/>
          <w:szCs w:val="16"/>
        </w:rPr>
        <w:t>X</w:t>
      </w:r>
      <w:r>
        <w:rPr>
          <w:rFonts w:hint="eastAsia"/>
        </w:rPr>
        <w:t>等。</w:t>
      </w:r>
    </w:p>
    <w:p>
      <w:pPr>
        <w:pStyle w:val="49"/>
        <w:ind w:firstLine="480"/>
      </w:pPr>
      <w:r>
        <w:rPr>
          <w:rFonts w:hint="eastAsia"/>
        </w:rPr>
        <w:t>3、装修废气</w:t>
      </w:r>
    </w:p>
    <w:p>
      <w:pPr>
        <w:pStyle w:val="49"/>
        <w:ind w:firstLine="480"/>
      </w:pPr>
      <w:r>
        <w:rPr>
          <w:rFonts w:hint="eastAsia"/>
        </w:rPr>
        <w:t>项目室内装修阶段对环境产生污染的材料主要是人造板、饰面人造板以及油漆等有机溶剂（主要有溶剂型涂料、溶剂型胶粘剂， 水性阻燃剂、防水剂、防腐剂、防虫剂等）。该废气的排放属无组织排放，其主要污染因子为二甲苯和甲苯，此外还有极少量的汽油、丁醇和丙醇等。</w:t>
      </w:r>
    </w:p>
    <w:p>
      <w:pPr>
        <w:pStyle w:val="5"/>
      </w:pPr>
      <w:r>
        <w:rPr>
          <w:rFonts w:hint="eastAsia"/>
        </w:rPr>
        <w:t>3</w:t>
      </w:r>
      <w:r>
        <w:t>.</w:t>
      </w:r>
      <w:r>
        <w:rPr>
          <w:rFonts w:hint="eastAsia"/>
        </w:rPr>
        <w:t>3</w:t>
      </w:r>
      <w:r>
        <w:t>.</w:t>
      </w:r>
      <w:r>
        <w:rPr>
          <w:rFonts w:hint="eastAsia"/>
        </w:rPr>
        <w:t>1.2 施工期废水污染源分析</w:t>
      </w:r>
    </w:p>
    <w:p>
      <w:pPr>
        <w:pStyle w:val="49"/>
        <w:ind w:firstLine="480"/>
      </w:pPr>
      <w:r>
        <w:rPr>
          <w:rFonts w:hint="eastAsia"/>
        </w:rPr>
        <w:t xml:space="preserve">施工过程产生的废水包括施工人员产生的生活污水和施工生产废水。 </w:t>
      </w:r>
    </w:p>
    <w:p>
      <w:pPr>
        <w:pStyle w:val="49"/>
        <w:ind w:firstLine="480"/>
      </w:pPr>
      <w:r>
        <w:rPr>
          <w:rFonts w:hint="eastAsia"/>
        </w:rPr>
        <w:t xml:space="preserve">施工生产废水：主要为机械清洗废水、混凝土养护废水和暴雨的地表径流等，废水主要污染物为 </w:t>
      </w:r>
      <w:r>
        <w:rPr>
          <w:rFonts w:cs="Times New Roman"/>
        </w:rPr>
        <w:t xml:space="preserve">SS </w:t>
      </w:r>
      <w:r>
        <w:rPr>
          <w:rFonts w:hint="eastAsia"/>
        </w:rPr>
        <w:t>和石油类，项目在施工场地较低处设置隔油沉淀池，施工废水经处理后主要回用场地洒水降尘、车辆冲洗等，不外排。</w:t>
      </w:r>
    </w:p>
    <w:p>
      <w:pPr>
        <w:pStyle w:val="49"/>
        <w:ind w:firstLine="480"/>
      </w:pPr>
      <w:r>
        <w:t>生活污水：</w:t>
      </w:r>
      <w:r>
        <w:rPr>
          <w:rFonts w:hint="eastAsia"/>
        </w:rPr>
        <w:t>项目施工高峰期施工人数可达50人左右，施工人员用水量按80L/人</w:t>
      </w:r>
      <w:r>
        <w:t>·d</w:t>
      </w:r>
      <w:r>
        <w:rPr>
          <w:rFonts w:hint="eastAsia"/>
        </w:rPr>
        <w:t>计，生活污水产生系数按照0.8计，则施工期间生活污水量为 3.2m</w:t>
      </w:r>
      <w:r>
        <w:rPr>
          <w:rFonts w:hint="eastAsia"/>
          <w:vertAlign w:val="superscript"/>
        </w:rPr>
        <w:t>3</w:t>
      </w:r>
      <w:r>
        <w:rPr>
          <w:rFonts w:hint="eastAsia"/>
        </w:rPr>
        <w:t xml:space="preserve">/d。生活污水中污染物排放浓度通过类比分析确定，生活污水污染物源强见表 </w:t>
      </w:r>
      <w:r>
        <w:rPr>
          <w:rFonts w:cs="Times New Roman"/>
        </w:rPr>
        <w:t>3.</w:t>
      </w:r>
      <w:r>
        <w:rPr>
          <w:rFonts w:hint="eastAsia" w:cs="Times New Roman"/>
        </w:rPr>
        <w:t>3</w:t>
      </w:r>
      <w:r>
        <w:rPr>
          <w:rFonts w:cs="Times New Roman"/>
        </w:rPr>
        <w:t>-</w:t>
      </w:r>
      <w:r>
        <w:rPr>
          <w:rFonts w:hint="eastAsia" w:cs="Times New Roman"/>
        </w:rPr>
        <w:t>3</w:t>
      </w:r>
      <w:r>
        <w:rPr>
          <w:rFonts w:hint="eastAsia"/>
        </w:rPr>
        <w:t>。</w:t>
      </w:r>
    </w:p>
    <w:p>
      <w:pPr>
        <w:pStyle w:val="53"/>
      </w:pPr>
      <w:r>
        <w:rPr>
          <w:rFonts w:hint="eastAsia"/>
        </w:rPr>
        <w:t>表3.3-3  施工生活污水水质及污染源源强情况表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7"/>
        <w:gridCol w:w="1230"/>
        <w:gridCol w:w="1234"/>
        <w:gridCol w:w="1227"/>
        <w:gridCol w:w="1231"/>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vAlign w:val="center"/>
          </w:tcPr>
          <w:p>
            <w:pPr>
              <w:pStyle w:val="51"/>
            </w:pPr>
            <w:r>
              <w:rPr>
                <w:rFonts w:hint="eastAsia"/>
              </w:rPr>
              <w:t>项目</w:t>
            </w:r>
          </w:p>
        </w:tc>
        <w:tc>
          <w:tcPr>
            <w:tcW w:w="1230" w:type="dxa"/>
            <w:vAlign w:val="center"/>
          </w:tcPr>
          <w:p>
            <w:pPr>
              <w:pStyle w:val="51"/>
            </w:pPr>
            <w:r>
              <w:rPr>
                <w:rFonts w:hint="eastAsia"/>
              </w:rPr>
              <w:t>COD</w:t>
            </w:r>
          </w:p>
        </w:tc>
        <w:tc>
          <w:tcPr>
            <w:tcW w:w="1234" w:type="dxa"/>
            <w:vAlign w:val="center"/>
          </w:tcPr>
          <w:p>
            <w:pPr>
              <w:pStyle w:val="51"/>
            </w:pPr>
            <w:r>
              <w:rPr>
                <w:rFonts w:hint="eastAsia"/>
              </w:rPr>
              <w:t>BOD</w:t>
            </w:r>
            <w:r>
              <w:rPr>
                <w:rFonts w:hint="eastAsia"/>
                <w:vertAlign w:val="subscript"/>
              </w:rPr>
              <w:t>5</w:t>
            </w:r>
          </w:p>
        </w:tc>
        <w:tc>
          <w:tcPr>
            <w:tcW w:w="1227" w:type="dxa"/>
            <w:vAlign w:val="center"/>
          </w:tcPr>
          <w:p>
            <w:pPr>
              <w:pStyle w:val="51"/>
            </w:pPr>
            <w:r>
              <w:rPr>
                <w:rFonts w:hint="eastAsia"/>
              </w:rPr>
              <w:t>SS</w:t>
            </w:r>
          </w:p>
        </w:tc>
        <w:tc>
          <w:tcPr>
            <w:tcW w:w="1231" w:type="dxa"/>
            <w:vAlign w:val="center"/>
          </w:tcPr>
          <w:p>
            <w:pPr>
              <w:pStyle w:val="51"/>
            </w:pPr>
            <w:r>
              <w:rPr>
                <w:rFonts w:cs="Times New Roman"/>
                <w:color w:val="000000"/>
                <w:szCs w:val="21"/>
              </w:rPr>
              <w:t>NH</w:t>
            </w:r>
            <w:r>
              <w:rPr>
                <w:rFonts w:cs="Times New Roman"/>
                <w:color w:val="000000"/>
                <w:sz w:val="13"/>
                <w:szCs w:val="13"/>
              </w:rPr>
              <w:t>3</w:t>
            </w:r>
            <w:r>
              <w:rPr>
                <w:rFonts w:cs="Times New Roman"/>
                <w:color w:val="000000"/>
                <w:szCs w:val="21"/>
              </w:rPr>
              <w:t>-N</w:t>
            </w:r>
          </w:p>
        </w:tc>
        <w:tc>
          <w:tcPr>
            <w:tcW w:w="1227" w:type="dxa"/>
            <w:vAlign w:val="center"/>
          </w:tcPr>
          <w:p>
            <w:pPr>
              <w:pStyle w:val="51"/>
            </w:pPr>
            <w:r>
              <w:rPr>
                <w:rFonts w:hint="eastAsia"/>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vAlign w:val="center"/>
          </w:tcPr>
          <w:p>
            <w:pPr>
              <w:pStyle w:val="51"/>
            </w:pPr>
            <w:r>
              <w:rPr>
                <w:rFonts w:hint="eastAsia"/>
              </w:rPr>
              <w:t>生活污水水质(mg/L)</w:t>
            </w:r>
          </w:p>
        </w:tc>
        <w:tc>
          <w:tcPr>
            <w:tcW w:w="1230" w:type="dxa"/>
            <w:vAlign w:val="center"/>
          </w:tcPr>
          <w:p>
            <w:pPr>
              <w:pStyle w:val="51"/>
            </w:pPr>
            <w:r>
              <w:rPr>
                <w:rFonts w:hint="eastAsia"/>
              </w:rPr>
              <w:t>400</w:t>
            </w:r>
          </w:p>
        </w:tc>
        <w:tc>
          <w:tcPr>
            <w:tcW w:w="1234" w:type="dxa"/>
            <w:vAlign w:val="center"/>
          </w:tcPr>
          <w:p>
            <w:pPr>
              <w:pStyle w:val="51"/>
            </w:pPr>
            <w:r>
              <w:rPr>
                <w:rFonts w:hint="eastAsia"/>
              </w:rPr>
              <w:t>200</w:t>
            </w:r>
          </w:p>
        </w:tc>
        <w:tc>
          <w:tcPr>
            <w:tcW w:w="1227" w:type="dxa"/>
            <w:vAlign w:val="center"/>
          </w:tcPr>
          <w:p>
            <w:pPr>
              <w:pStyle w:val="51"/>
            </w:pPr>
            <w:r>
              <w:rPr>
                <w:rFonts w:hint="eastAsia"/>
              </w:rPr>
              <w:t>200</w:t>
            </w:r>
          </w:p>
        </w:tc>
        <w:tc>
          <w:tcPr>
            <w:tcW w:w="1231" w:type="dxa"/>
            <w:vAlign w:val="center"/>
          </w:tcPr>
          <w:p>
            <w:pPr>
              <w:pStyle w:val="51"/>
            </w:pPr>
            <w:r>
              <w:rPr>
                <w:rFonts w:hint="eastAsia"/>
              </w:rPr>
              <w:t>35</w:t>
            </w:r>
          </w:p>
        </w:tc>
        <w:tc>
          <w:tcPr>
            <w:tcW w:w="1227" w:type="dxa"/>
            <w:vAlign w:val="center"/>
          </w:tcPr>
          <w:p>
            <w:pPr>
              <w:pStyle w:val="51"/>
            </w:pPr>
            <w:r>
              <w:rPr>
                <w:rFonts w:hint="eastAsi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vAlign w:val="center"/>
          </w:tcPr>
          <w:p>
            <w:pPr>
              <w:pStyle w:val="51"/>
            </w:pPr>
            <w:r>
              <w:rPr>
                <w:rFonts w:hint="eastAsia"/>
              </w:rPr>
              <w:t>污染源强(kg/d)</w:t>
            </w:r>
          </w:p>
        </w:tc>
        <w:tc>
          <w:tcPr>
            <w:tcW w:w="1230" w:type="dxa"/>
            <w:vAlign w:val="center"/>
          </w:tcPr>
          <w:p>
            <w:pPr>
              <w:pStyle w:val="51"/>
            </w:pPr>
            <w:r>
              <w:rPr>
                <w:rFonts w:hint="eastAsia"/>
              </w:rPr>
              <w:t>1.28</w:t>
            </w:r>
          </w:p>
        </w:tc>
        <w:tc>
          <w:tcPr>
            <w:tcW w:w="1234" w:type="dxa"/>
            <w:vAlign w:val="center"/>
          </w:tcPr>
          <w:p>
            <w:pPr>
              <w:pStyle w:val="51"/>
            </w:pPr>
            <w:r>
              <w:rPr>
                <w:rFonts w:hint="eastAsia"/>
              </w:rPr>
              <w:t>0.64</w:t>
            </w:r>
          </w:p>
        </w:tc>
        <w:tc>
          <w:tcPr>
            <w:tcW w:w="1227" w:type="dxa"/>
            <w:vAlign w:val="center"/>
          </w:tcPr>
          <w:p>
            <w:pPr>
              <w:pStyle w:val="51"/>
            </w:pPr>
            <w:r>
              <w:rPr>
                <w:rFonts w:hint="eastAsia"/>
              </w:rPr>
              <w:t>0.64</w:t>
            </w:r>
          </w:p>
        </w:tc>
        <w:tc>
          <w:tcPr>
            <w:tcW w:w="1231" w:type="dxa"/>
            <w:vAlign w:val="center"/>
          </w:tcPr>
          <w:p>
            <w:pPr>
              <w:pStyle w:val="51"/>
            </w:pPr>
            <w:r>
              <w:rPr>
                <w:rFonts w:hint="eastAsia"/>
              </w:rPr>
              <w:t>0.11</w:t>
            </w:r>
          </w:p>
        </w:tc>
        <w:tc>
          <w:tcPr>
            <w:tcW w:w="1227" w:type="dxa"/>
            <w:vAlign w:val="center"/>
          </w:tcPr>
          <w:p>
            <w:pPr>
              <w:pStyle w:val="51"/>
            </w:pPr>
            <w:r>
              <w:rPr>
                <w:rFonts w:hint="eastAsia"/>
              </w:rPr>
              <w:t>0.11</w:t>
            </w:r>
          </w:p>
        </w:tc>
      </w:tr>
    </w:tbl>
    <w:p>
      <w:pPr>
        <w:pStyle w:val="49"/>
        <w:ind w:firstLine="480"/>
      </w:pPr>
      <w:bookmarkStart w:id="141" w:name="_Hlk193877053"/>
      <w:r>
        <w:rPr>
          <w:rFonts w:hint="eastAsia"/>
        </w:rPr>
        <w:t>生活污水依托周边居民现有处理设施，经处理后用于农作物灌溉，不外排</w:t>
      </w:r>
      <w:bookmarkEnd w:id="141"/>
      <w:r>
        <w:rPr>
          <w:rFonts w:hint="eastAsia"/>
        </w:rPr>
        <w:t>。</w:t>
      </w:r>
    </w:p>
    <w:p>
      <w:pPr>
        <w:pStyle w:val="5"/>
      </w:pPr>
      <w:r>
        <w:rPr>
          <w:rFonts w:hint="eastAsia"/>
        </w:rPr>
        <w:t>3</w:t>
      </w:r>
      <w:r>
        <w:t>.</w:t>
      </w:r>
      <w:r>
        <w:rPr>
          <w:rFonts w:hint="eastAsia"/>
        </w:rPr>
        <w:t>3</w:t>
      </w:r>
      <w:r>
        <w:t>.</w:t>
      </w:r>
      <w:r>
        <w:rPr>
          <w:rFonts w:hint="eastAsia"/>
        </w:rPr>
        <w:t>1.3 施工期噪声污染源分析</w:t>
      </w:r>
    </w:p>
    <w:p>
      <w:pPr>
        <w:pStyle w:val="49"/>
        <w:ind w:firstLine="480"/>
      </w:pPr>
      <w:r>
        <w:rPr>
          <w:rFonts w:hint="eastAsia"/>
        </w:rPr>
        <w:t>在施工阶段，随着工程的进度和施工工序的更替，将会采用不同的施工机械和施工方法。下表列出了不同施工阶段各类施工机械在距离噪声源</w:t>
      </w:r>
      <w:r>
        <w:rPr>
          <w:rFonts w:cs="Times New Roman"/>
        </w:rPr>
        <w:t>5m</w:t>
      </w:r>
      <w:r>
        <w:rPr>
          <w:rFonts w:hint="eastAsia"/>
        </w:rPr>
        <w:t>的声级。</w:t>
      </w:r>
    </w:p>
    <w:p>
      <w:pPr>
        <w:pStyle w:val="53"/>
      </w:pPr>
      <w:r>
        <w:rPr>
          <w:rFonts w:hint="eastAsia"/>
        </w:rPr>
        <w:t>表3.3-4  各类施工机械的噪声升级预估值一览表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806"/>
        <w:gridCol w:w="245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pStyle w:val="51"/>
            </w:pPr>
            <w:r>
              <w:rPr>
                <w:rFonts w:hint="eastAsia"/>
              </w:rPr>
              <w:t>施工阶段</w:t>
            </w:r>
          </w:p>
        </w:tc>
        <w:tc>
          <w:tcPr>
            <w:tcW w:w="1806" w:type="dxa"/>
            <w:vAlign w:val="center"/>
          </w:tcPr>
          <w:p>
            <w:pPr>
              <w:pStyle w:val="51"/>
            </w:pPr>
            <w:r>
              <w:rPr>
                <w:rFonts w:hint="eastAsia"/>
              </w:rPr>
              <w:t>声源</w:t>
            </w:r>
          </w:p>
        </w:tc>
        <w:tc>
          <w:tcPr>
            <w:tcW w:w="2455" w:type="dxa"/>
            <w:vAlign w:val="center"/>
          </w:tcPr>
          <w:p>
            <w:pPr>
              <w:pStyle w:val="51"/>
            </w:pPr>
            <w:r>
              <w:rPr>
                <w:rFonts w:hint="eastAsia"/>
              </w:rPr>
              <w:t>测点距离施工机械距离</w:t>
            </w:r>
          </w:p>
        </w:tc>
        <w:tc>
          <w:tcPr>
            <w:tcW w:w="2131" w:type="dxa"/>
            <w:vAlign w:val="center"/>
          </w:tcPr>
          <w:p>
            <w:pPr>
              <w:pStyle w:val="51"/>
            </w:pPr>
            <w:r>
              <w:rPr>
                <w:rFonts w:hint="eastAsia"/>
              </w:rPr>
              <w:t>最大声级/dB(A)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pStyle w:val="51"/>
            </w:pPr>
            <w:r>
              <w:rPr>
                <w:rFonts w:hint="eastAsia"/>
                <w:color w:val="000000"/>
                <w:szCs w:val="21"/>
              </w:rPr>
              <w:t>结构阶段</w:t>
            </w:r>
          </w:p>
        </w:tc>
        <w:tc>
          <w:tcPr>
            <w:tcW w:w="1806" w:type="dxa"/>
            <w:vAlign w:val="center"/>
          </w:tcPr>
          <w:p>
            <w:pPr>
              <w:pStyle w:val="51"/>
            </w:pPr>
            <w:r>
              <w:rPr>
                <w:rFonts w:hint="eastAsia"/>
                <w:color w:val="000000"/>
                <w:szCs w:val="21"/>
              </w:rPr>
              <w:t>混泥土输送泵</w:t>
            </w:r>
          </w:p>
        </w:tc>
        <w:tc>
          <w:tcPr>
            <w:tcW w:w="2455" w:type="dxa"/>
          </w:tcPr>
          <w:p>
            <w:pPr>
              <w:pStyle w:val="51"/>
            </w:pPr>
            <w:r>
              <w:rPr>
                <w:rFonts w:hint="eastAsia"/>
              </w:rPr>
              <w:t>5m</w:t>
            </w:r>
          </w:p>
        </w:tc>
        <w:tc>
          <w:tcPr>
            <w:tcW w:w="2131" w:type="dxa"/>
            <w:vAlign w:val="center"/>
          </w:tcPr>
          <w:p>
            <w:pPr>
              <w:pStyle w:val="51"/>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振捣机</w:t>
            </w:r>
          </w:p>
        </w:tc>
        <w:tc>
          <w:tcPr>
            <w:tcW w:w="2455" w:type="dxa"/>
          </w:tcPr>
          <w:p>
            <w:pPr>
              <w:pStyle w:val="51"/>
            </w:pPr>
            <w:r>
              <w:rPr>
                <w:rFonts w:hint="eastAsia"/>
              </w:rPr>
              <w:t>5m</w:t>
            </w:r>
          </w:p>
        </w:tc>
        <w:tc>
          <w:tcPr>
            <w:tcW w:w="2131" w:type="dxa"/>
            <w:vAlign w:val="center"/>
          </w:tcPr>
          <w:p>
            <w:pPr>
              <w:pStyle w:val="51"/>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电锯</w:t>
            </w:r>
          </w:p>
        </w:tc>
        <w:tc>
          <w:tcPr>
            <w:tcW w:w="2455" w:type="dxa"/>
          </w:tcPr>
          <w:p>
            <w:pPr>
              <w:pStyle w:val="51"/>
            </w:pPr>
            <w:r>
              <w:rPr>
                <w:rFonts w:hint="eastAsia"/>
              </w:rPr>
              <w:t>5m</w:t>
            </w:r>
          </w:p>
        </w:tc>
        <w:tc>
          <w:tcPr>
            <w:tcW w:w="2131" w:type="dxa"/>
            <w:vAlign w:val="center"/>
          </w:tcPr>
          <w:p>
            <w:pPr>
              <w:pStyle w:val="51"/>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升降机</w:t>
            </w:r>
          </w:p>
        </w:tc>
        <w:tc>
          <w:tcPr>
            <w:tcW w:w="2455" w:type="dxa"/>
          </w:tcPr>
          <w:p>
            <w:pPr>
              <w:pStyle w:val="51"/>
            </w:pPr>
            <w:r>
              <w:rPr>
                <w:rFonts w:hint="eastAsia"/>
              </w:rPr>
              <w:t>5m</w:t>
            </w:r>
          </w:p>
        </w:tc>
        <w:tc>
          <w:tcPr>
            <w:tcW w:w="2131" w:type="dxa"/>
            <w:vAlign w:val="center"/>
          </w:tcPr>
          <w:p>
            <w:pPr>
              <w:pStyle w:val="51"/>
            </w:pPr>
            <w:r>
              <w:rPr>
                <w:rFonts w:hint="eastAsia"/>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混泥土输送车</w:t>
            </w:r>
          </w:p>
        </w:tc>
        <w:tc>
          <w:tcPr>
            <w:tcW w:w="2455" w:type="dxa"/>
          </w:tcPr>
          <w:p>
            <w:pPr>
              <w:pStyle w:val="51"/>
            </w:pPr>
            <w:r>
              <w:rPr>
                <w:rFonts w:hint="eastAsia"/>
              </w:rPr>
              <w:t>5m</w:t>
            </w:r>
          </w:p>
        </w:tc>
        <w:tc>
          <w:tcPr>
            <w:tcW w:w="2131" w:type="dxa"/>
            <w:vAlign w:val="center"/>
          </w:tcPr>
          <w:p>
            <w:pPr>
              <w:pStyle w:val="51"/>
            </w:pPr>
            <w:r>
              <w:rPr>
                <w:rFonts w:hint="eastAsia"/>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pStyle w:val="51"/>
              <w:rPr>
                <w:rFonts w:hint="eastAsia" w:ascii="宋体" w:hAnsi="宋体"/>
                <w:sz w:val="24"/>
                <w14:ligatures w14:val="none"/>
              </w:rPr>
            </w:pPr>
            <w:r>
              <w:rPr>
                <w:rFonts w:hint="eastAsia"/>
                <w:color w:val="000000"/>
                <w:szCs w:val="21"/>
              </w:rPr>
              <w:t>装修、安装阶段</w:t>
            </w:r>
          </w:p>
        </w:tc>
        <w:tc>
          <w:tcPr>
            <w:tcW w:w="1806" w:type="dxa"/>
            <w:vAlign w:val="center"/>
          </w:tcPr>
          <w:p>
            <w:pPr>
              <w:pStyle w:val="51"/>
            </w:pPr>
            <w:r>
              <w:rPr>
                <w:rFonts w:hint="eastAsia"/>
                <w:color w:val="000000"/>
                <w:szCs w:val="21"/>
              </w:rPr>
              <w:t>电钻</w:t>
            </w:r>
          </w:p>
        </w:tc>
        <w:tc>
          <w:tcPr>
            <w:tcW w:w="2455" w:type="dxa"/>
          </w:tcPr>
          <w:p>
            <w:pPr>
              <w:pStyle w:val="51"/>
            </w:pPr>
            <w:r>
              <w:rPr>
                <w:rFonts w:hint="eastAsia"/>
              </w:rPr>
              <w:t>5m</w:t>
            </w:r>
          </w:p>
        </w:tc>
        <w:tc>
          <w:tcPr>
            <w:tcW w:w="2131" w:type="dxa"/>
            <w:vAlign w:val="center"/>
          </w:tcPr>
          <w:p>
            <w:pPr>
              <w:pStyle w:val="51"/>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电锤</w:t>
            </w:r>
          </w:p>
        </w:tc>
        <w:tc>
          <w:tcPr>
            <w:tcW w:w="2455" w:type="dxa"/>
          </w:tcPr>
          <w:p>
            <w:pPr>
              <w:pStyle w:val="51"/>
            </w:pPr>
            <w:r>
              <w:rPr>
                <w:rFonts w:hint="eastAsia"/>
              </w:rPr>
              <w:t>5m</w:t>
            </w:r>
          </w:p>
        </w:tc>
        <w:tc>
          <w:tcPr>
            <w:tcW w:w="2131" w:type="dxa"/>
            <w:vAlign w:val="center"/>
          </w:tcPr>
          <w:p>
            <w:pPr>
              <w:pStyle w:val="51"/>
            </w:pPr>
            <w:r>
              <w:rPr>
                <w:rFonts w:hint="eastAsia"/>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电焊</w:t>
            </w:r>
          </w:p>
        </w:tc>
        <w:tc>
          <w:tcPr>
            <w:tcW w:w="2455" w:type="dxa"/>
          </w:tcPr>
          <w:p>
            <w:pPr>
              <w:pStyle w:val="51"/>
            </w:pPr>
            <w:r>
              <w:rPr>
                <w:rFonts w:hint="eastAsia"/>
              </w:rPr>
              <w:t>5m</w:t>
            </w:r>
          </w:p>
        </w:tc>
        <w:tc>
          <w:tcPr>
            <w:tcW w:w="2131" w:type="dxa"/>
            <w:vAlign w:val="center"/>
          </w:tcPr>
          <w:p>
            <w:pPr>
              <w:pStyle w:val="51"/>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吊管机</w:t>
            </w:r>
          </w:p>
        </w:tc>
        <w:tc>
          <w:tcPr>
            <w:tcW w:w="2455" w:type="dxa"/>
          </w:tcPr>
          <w:p>
            <w:pPr>
              <w:pStyle w:val="51"/>
            </w:pPr>
            <w:r>
              <w:rPr>
                <w:rFonts w:hint="eastAsia"/>
              </w:rPr>
              <w:t>5m</w:t>
            </w:r>
          </w:p>
        </w:tc>
        <w:tc>
          <w:tcPr>
            <w:tcW w:w="2131" w:type="dxa"/>
            <w:vAlign w:val="center"/>
          </w:tcPr>
          <w:p>
            <w:pPr>
              <w:pStyle w:val="51"/>
            </w:pPr>
            <w:r>
              <w:rPr>
                <w:rFonts w:hint="eastAsia"/>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多功能木工刨</w:t>
            </w:r>
          </w:p>
        </w:tc>
        <w:tc>
          <w:tcPr>
            <w:tcW w:w="2455" w:type="dxa"/>
          </w:tcPr>
          <w:p>
            <w:pPr>
              <w:pStyle w:val="51"/>
            </w:pPr>
            <w:r>
              <w:rPr>
                <w:rFonts w:hint="eastAsia"/>
              </w:rPr>
              <w:t>5m</w:t>
            </w:r>
          </w:p>
        </w:tc>
        <w:tc>
          <w:tcPr>
            <w:tcW w:w="2131" w:type="dxa"/>
            <w:vAlign w:val="center"/>
          </w:tcPr>
          <w:p>
            <w:pPr>
              <w:pStyle w:val="51"/>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Merge w:val="continue"/>
            <w:vAlign w:val="center"/>
          </w:tcPr>
          <w:p>
            <w:pPr>
              <w:pStyle w:val="51"/>
            </w:pPr>
          </w:p>
        </w:tc>
        <w:tc>
          <w:tcPr>
            <w:tcW w:w="1806" w:type="dxa"/>
            <w:vAlign w:val="center"/>
          </w:tcPr>
          <w:p>
            <w:pPr>
              <w:pStyle w:val="51"/>
            </w:pPr>
            <w:r>
              <w:rPr>
                <w:rFonts w:hint="eastAsia"/>
                <w:color w:val="000000"/>
                <w:szCs w:val="21"/>
              </w:rPr>
              <w:t>角向磨光机</w:t>
            </w:r>
          </w:p>
        </w:tc>
        <w:tc>
          <w:tcPr>
            <w:tcW w:w="2455" w:type="dxa"/>
          </w:tcPr>
          <w:p>
            <w:pPr>
              <w:pStyle w:val="51"/>
            </w:pPr>
            <w:r>
              <w:rPr>
                <w:rFonts w:hint="eastAsia"/>
              </w:rPr>
              <w:t>5m</w:t>
            </w:r>
          </w:p>
        </w:tc>
        <w:tc>
          <w:tcPr>
            <w:tcW w:w="2131" w:type="dxa"/>
            <w:vAlign w:val="center"/>
          </w:tcPr>
          <w:p>
            <w:pPr>
              <w:pStyle w:val="51"/>
            </w:pPr>
            <w:r>
              <w:rPr>
                <w:rFonts w:hint="eastAsia"/>
              </w:rPr>
              <w:t>90</w:t>
            </w:r>
          </w:p>
        </w:tc>
      </w:tr>
    </w:tbl>
    <w:p>
      <w:pPr>
        <w:pStyle w:val="49"/>
        <w:ind w:firstLine="480"/>
      </w:pPr>
      <w:r>
        <w:rPr>
          <w:rFonts w:hint="eastAsia"/>
        </w:rPr>
        <w:t>从上表可以看出，各类机械施工的噪声级均比较大，加之人为噪声及其他施工噪声将对周围环境造成显著的影响。</w:t>
      </w:r>
    </w:p>
    <w:p>
      <w:pPr>
        <w:pStyle w:val="5"/>
      </w:pPr>
      <w:r>
        <w:rPr>
          <w:rFonts w:hint="eastAsia"/>
        </w:rPr>
        <w:t>3</w:t>
      </w:r>
      <w:r>
        <w:t>.</w:t>
      </w:r>
      <w:r>
        <w:rPr>
          <w:rFonts w:hint="eastAsia"/>
        </w:rPr>
        <w:t>3</w:t>
      </w:r>
      <w:r>
        <w:t>.</w:t>
      </w:r>
      <w:r>
        <w:rPr>
          <w:rFonts w:hint="eastAsia"/>
        </w:rPr>
        <w:t>1.4 施工期固体废物</w:t>
      </w:r>
    </w:p>
    <w:p>
      <w:pPr>
        <w:pStyle w:val="49"/>
        <w:ind w:firstLine="480"/>
      </w:pPr>
      <w:r>
        <w:rPr>
          <w:rFonts w:hint="eastAsia"/>
        </w:rPr>
        <w:t>施工期的固体废物主要包括施工产生的土方石、建筑垃圾、施工人员的生活垃圾。</w:t>
      </w:r>
    </w:p>
    <w:p>
      <w:pPr>
        <w:pStyle w:val="49"/>
        <w:ind w:firstLine="480"/>
      </w:pPr>
      <w:r>
        <w:rPr>
          <w:rFonts w:hint="eastAsia"/>
        </w:rPr>
        <w:t>1、土方石</w:t>
      </w:r>
    </w:p>
    <w:p>
      <w:pPr>
        <w:pStyle w:val="49"/>
        <w:ind w:firstLine="480"/>
        <w:rPr>
          <w:rFonts w:cs="Times New Roman"/>
        </w:rPr>
      </w:pPr>
      <w:r>
        <w:rPr>
          <w:rFonts w:hint="eastAsia" w:cs="Times New Roman"/>
        </w:rPr>
        <w:t>项目建设在山体上，各养殖厂房和配套建筑物之间存在一定高差，项目采取因地制宜、局部平整的方式进行平整。本项目土石方开挖方量相对不大，根据施工、运输条件，填筑方尽量利用开挖的土石方。根据项目区的地形地势、沟渠、道路、构筑物等布局确定土地平整地块及平整面积，土石方采取就近调配、内部消纳原则，无需另行设置取土、弃土场；项目开挖剥离表土临时堆放于场区内，并篷布覆盖，作为场区绿化、道路边坡养护用土。本项目施工场地土石方经场内平衡后，挖填方平衡，弃方量为零。</w:t>
      </w:r>
    </w:p>
    <w:p>
      <w:pPr>
        <w:pStyle w:val="49"/>
        <w:ind w:firstLine="480"/>
      </w:pPr>
      <w:r>
        <w:rPr>
          <w:rFonts w:hint="eastAsia"/>
        </w:rPr>
        <w:t>2、建筑垃圾</w:t>
      </w:r>
    </w:p>
    <w:p>
      <w:pPr>
        <w:pStyle w:val="49"/>
        <w:ind w:firstLine="480"/>
        <w:rPr>
          <w:color w:val="000000"/>
        </w:rPr>
      </w:pPr>
      <w:r>
        <w:rPr>
          <w:rFonts w:hint="eastAsia"/>
        </w:rPr>
        <w:t>建筑垃圾主要包括施工中水泥、木材、包装材料等废物。项目建筑面积为 18775</w:t>
      </w:r>
      <w:r>
        <w:rPr>
          <w:rFonts w:cs="Times New Roman"/>
        </w:rPr>
        <w:t>m</w:t>
      </w:r>
      <w:r>
        <w:rPr>
          <w:vertAlign w:val="superscript"/>
        </w:rPr>
        <w:t>2</w:t>
      </w:r>
      <w:r>
        <w:rPr>
          <w:rFonts w:hint="eastAsia"/>
        </w:rPr>
        <w:t>， 建筑垃圾产生量按</w:t>
      </w:r>
      <w:r>
        <w:rPr>
          <w:rFonts w:cs="Times New Roman"/>
        </w:rPr>
        <w:t>0.03t/m</w:t>
      </w:r>
      <w:r>
        <w:rPr>
          <w:vertAlign w:val="superscript"/>
        </w:rPr>
        <w:t>2</w:t>
      </w:r>
      <w:r>
        <w:rPr>
          <w:rFonts w:hint="eastAsia"/>
        </w:rPr>
        <w:t>计算，则施工建筑垃圾产生量约为</w:t>
      </w:r>
      <w:r>
        <w:rPr>
          <w:rFonts w:hint="eastAsia" w:cs="Times New Roman"/>
        </w:rPr>
        <w:t>563.25</w:t>
      </w:r>
      <w:r>
        <w:rPr>
          <w:rFonts w:cs="Times New Roman"/>
        </w:rPr>
        <w:t>t</w:t>
      </w:r>
      <w:r>
        <w:rPr>
          <w:rFonts w:hint="eastAsia"/>
        </w:rPr>
        <w:t>。其中钢筋、木材等建筑垃圾直接外卖回收利用，不能回收利用的按</w:t>
      </w:r>
      <w:r>
        <w:rPr>
          <w:rFonts w:hint="eastAsia"/>
          <w:color w:val="000000"/>
        </w:rPr>
        <w:t>要求运至指定场所统一处置。</w:t>
      </w:r>
    </w:p>
    <w:p>
      <w:pPr>
        <w:pStyle w:val="49"/>
        <w:ind w:firstLine="480"/>
      </w:pPr>
      <w:r>
        <w:rPr>
          <w:rFonts w:hint="eastAsia"/>
          <w:color w:val="000000"/>
        </w:rPr>
        <w:t>4、生活垃圾</w:t>
      </w:r>
    </w:p>
    <w:p>
      <w:pPr>
        <w:pStyle w:val="49"/>
        <w:ind w:firstLine="480"/>
      </w:pPr>
      <w:r>
        <w:rPr>
          <w:rFonts w:hint="eastAsia"/>
        </w:rPr>
        <w:t xml:space="preserve">施工人员产生的生活垃圾伴随整个施工期的全过程，其成分是有机物较多。 </w:t>
      </w:r>
    </w:p>
    <w:p>
      <w:pPr>
        <w:pStyle w:val="49"/>
        <w:ind w:firstLine="0" w:firstLineChars="0"/>
      </w:pPr>
      <w:r>
        <w:rPr>
          <w:rFonts w:hint="eastAsia"/>
        </w:rPr>
        <w:t xml:space="preserve">本项目施工期高峰人数约 </w:t>
      </w:r>
      <w:r>
        <w:t xml:space="preserve">50 </w:t>
      </w:r>
      <w:r>
        <w:rPr>
          <w:rFonts w:hint="eastAsia"/>
        </w:rPr>
        <w:t xml:space="preserve">人，人均生活垃圾产生量按 </w:t>
      </w:r>
      <w:r>
        <w:t xml:space="preserve">0.5kg/人·d </w:t>
      </w:r>
      <w:r>
        <w:rPr>
          <w:rFonts w:hint="eastAsia"/>
        </w:rPr>
        <w:t>计算，施工期垃圾日均产生量为2</w:t>
      </w:r>
      <w:r>
        <w:t>5kg/d</w:t>
      </w:r>
      <w:r>
        <w:rPr>
          <w:rFonts w:hint="eastAsia"/>
        </w:rPr>
        <w:t>。生活垃圾统一收集后，委托环卫部门统一清运处置。</w:t>
      </w:r>
    </w:p>
    <w:p>
      <w:pPr>
        <w:pStyle w:val="5"/>
      </w:pPr>
      <w:r>
        <w:rPr>
          <w:rFonts w:hint="eastAsia"/>
        </w:rPr>
        <w:t>3</w:t>
      </w:r>
      <w:r>
        <w:t>.</w:t>
      </w:r>
      <w:r>
        <w:rPr>
          <w:rFonts w:hint="eastAsia"/>
        </w:rPr>
        <w:t>3</w:t>
      </w:r>
      <w:r>
        <w:t>.</w:t>
      </w:r>
      <w:r>
        <w:rPr>
          <w:rFonts w:hint="eastAsia"/>
        </w:rPr>
        <w:t>1.5 施工期生态破坏和水土流失</w:t>
      </w:r>
    </w:p>
    <w:p>
      <w:pPr>
        <w:pStyle w:val="49"/>
        <w:ind w:firstLine="480"/>
      </w:pPr>
      <w:r>
        <w:rPr>
          <w:rFonts w:hint="eastAsia"/>
        </w:rPr>
        <w:t xml:space="preserve">工程施工期对生态环境的影响主要表现在三个方面，一是拟建工程开始施工后，所占用土地范围内的各种植被将被破坏；二是由于工程活动均会对原有地面进行填筑和开挖，加上植被遭到破坏，裸露的土地经雨水冲刷，易造成水土流失；三是伴随着施工期占地和植被的破坏，影响到与植被密切相关的动物、微生物。由于施工期时间比较短，且所在区域内无珍稀、濒危保护动植物，自然野生动物 种类和数量极少，因此对动植物的影响较小。 </w:t>
      </w:r>
    </w:p>
    <w:p>
      <w:pPr>
        <w:pStyle w:val="49"/>
        <w:ind w:firstLine="480"/>
      </w:pPr>
      <w:r>
        <w:rPr>
          <w:rFonts w:hint="eastAsia"/>
        </w:rPr>
        <w:t xml:space="preserve">项目建设过程中，将破坏土地构型，植被破坏，雨水侵蚀致使土壤流失， 土层变薄，土壤发生层次缺失，导致表土裸露，局部蓄水固土的功能将丧失，从而导致水土流失。 </w:t>
      </w:r>
    </w:p>
    <w:p>
      <w:pPr>
        <w:pStyle w:val="49"/>
        <w:ind w:firstLine="480"/>
      </w:pPr>
      <w:r>
        <w:rPr>
          <w:rFonts w:hint="eastAsia"/>
        </w:rPr>
        <w:t>水土流失是指土壤在降水侵蚀力作用下的分散、迁移和沉积的过程。影响水土流失的因素较多，主要包括降雨、土壤、植被、地形地貌以及工程施工等因素。就本项目而言，影响施工期水土流失的主要因素是降雨和工程施工。</w:t>
      </w:r>
    </w:p>
    <w:p>
      <w:pPr>
        <w:pStyle w:val="49"/>
        <w:ind w:firstLine="480"/>
      </w:pPr>
      <w:r>
        <w:rPr>
          <w:rFonts w:hint="eastAsia"/>
        </w:rPr>
        <w:t xml:space="preserve">1、降雨因素 </w:t>
      </w:r>
    </w:p>
    <w:p>
      <w:pPr>
        <w:pStyle w:val="49"/>
        <w:ind w:firstLine="480"/>
      </w:pPr>
      <w:r>
        <w:rPr>
          <w:rFonts w:hint="eastAsia"/>
        </w:rPr>
        <w:t>降雨是发生水土流失的最直接最重要的自然因素。降雨对裸露地表的影响表现在两个方面：一是雨滴对裸露地表的直接冲溅作用，二是雨水汇集形成地表径流的冲刷作用。这种作用在暴雨时表现得更为集中和剧烈，往往引起较大强度的水土流失。永州市冷水滩区雨季充沛，雨季集中在</w:t>
      </w:r>
      <w:r>
        <w:t>4-6</w:t>
      </w:r>
      <w:r>
        <w:rPr>
          <w:rFonts w:hint="eastAsia"/>
        </w:rPr>
        <w:t>月份，降雨量大、暴雨日多（即降雨强度大）是造成水土流失的最直接的作用因素。因此，本项目的施工（尤其是在雨季）不可避免地会面临水土流失问题。</w:t>
      </w:r>
    </w:p>
    <w:p>
      <w:pPr>
        <w:pStyle w:val="49"/>
        <w:ind w:firstLine="480"/>
      </w:pPr>
      <w:r>
        <w:rPr>
          <w:rFonts w:hint="eastAsia"/>
        </w:rPr>
        <w:t>2、工程因素</w:t>
      </w:r>
    </w:p>
    <w:p>
      <w:pPr>
        <w:pStyle w:val="49"/>
        <w:ind w:firstLine="480"/>
      </w:pPr>
      <w:r>
        <w:rPr>
          <w:rFonts w:hint="eastAsia"/>
        </w:rPr>
        <w:t>工程因素主要指人类的各项开发建设活动，它通过影响引起水土流失的各项自然因素而起作用，是促进水土流失加剧的重要因素。区域开发建设改变区域地形地貌、破坏植被、改变土壤的理化性质，从而加剧水土流失的发生。就本建设项目而言，在正常的降雨条件下，工程施工是导致水土流失发生、发展并加剧的根源。据估算，经扰动的土壤其侵蚀模数比未经扰动的土壤约可加大</w:t>
      </w:r>
      <w:r>
        <w:t>10</w:t>
      </w:r>
      <w:r>
        <w:rPr>
          <w:rFonts w:hint="eastAsia"/>
        </w:rPr>
        <w:t>倍。若施工期不采取水土保持措施，造成的水土流失将非常严重，因此，施工期为本项目水土流失防治重点阶段。</w:t>
      </w:r>
    </w:p>
    <w:p>
      <w:pPr>
        <w:pStyle w:val="49"/>
        <w:ind w:firstLine="480"/>
      </w:pPr>
      <w:r>
        <w:rPr>
          <w:rFonts w:hint="eastAsia"/>
        </w:rPr>
        <w:t>施工期在未采取任何水土保持的情况下，按以下公式计算：</w:t>
      </w:r>
    </w:p>
    <w:p>
      <w:pPr>
        <w:pStyle w:val="49"/>
        <w:ind w:firstLine="0" w:firstLineChars="0"/>
        <w:jc w:val="center"/>
      </w:pPr>
      <w:r>
        <w:rPr>
          <w:rFonts w:hint="eastAsia"/>
          <w:i/>
          <w:iCs/>
        </w:rPr>
        <w:t>Wsi</w:t>
      </w:r>
      <w:r>
        <w:rPr>
          <w:rFonts w:hint="eastAsia"/>
        </w:rPr>
        <w:t>=</w:t>
      </w:r>
      <w:r>
        <w:rPr>
          <w:rFonts w:hint="eastAsia"/>
          <w:i/>
          <w:iCs/>
        </w:rPr>
        <w:t>Fi</w:t>
      </w:r>
      <w:r>
        <w:rPr>
          <w:rFonts w:cs="Times New Roman"/>
        </w:rPr>
        <w:t>×</w:t>
      </w:r>
      <w:r>
        <w:rPr>
          <w:rFonts w:hint="eastAsia"/>
        </w:rPr>
        <w:t>(</w:t>
      </w:r>
      <w:r>
        <w:rPr>
          <w:rFonts w:hint="eastAsia"/>
          <w:i/>
          <w:iCs/>
        </w:rPr>
        <w:t>Msi-Mo</w:t>
      </w:r>
      <w:r>
        <w:rPr>
          <w:rFonts w:hint="eastAsia"/>
        </w:rPr>
        <w:t>)</w:t>
      </w:r>
      <w:r>
        <w:rPr>
          <w:rFonts w:cs="Times New Roman"/>
        </w:rPr>
        <w:t>×</w:t>
      </w:r>
      <w:r>
        <w:rPr>
          <w:rFonts w:hint="eastAsia"/>
          <w:i/>
          <w:iCs/>
        </w:rPr>
        <w:t>Ti</w:t>
      </w:r>
    </w:p>
    <w:p>
      <w:pPr>
        <w:pStyle w:val="49"/>
        <w:ind w:firstLine="480"/>
      </w:pPr>
      <w:r>
        <w:rPr>
          <w:rFonts w:hint="eastAsia"/>
        </w:rPr>
        <w:t>式中：</w:t>
      </w:r>
      <w:r>
        <w:rPr>
          <w:rFonts w:hint="eastAsia"/>
          <w:i/>
          <w:iCs/>
        </w:rPr>
        <w:t>Wsi</w:t>
      </w:r>
      <w:r>
        <w:t>—</w:t>
      </w:r>
      <w:r>
        <w:rPr>
          <w:rFonts w:hint="eastAsia"/>
        </w:rPr>
        <w:t>土壤侵蚀量，</w:t>
      </w:r>
      <w:r>
        <w:t>t</w:t>
      </w:r>
      <w:r>
        <w:rPr>
          <w:rFonts w:hint="eastAsia"/>
        </w:rPr>
        <w:t>；</w:t>
      </w:r>
    </w:p>
    <w:p>
      <w:pPr>
        <w:pStyle w:val="49"/>
        <w:ind w:firstLine="480"/>
      </w:pPr>
      <w:r>
        <w:rPr>
          <w:rFonts w:hint="eastAsia"/>
        </w:rPr>
        <w:t xml:space="preserve">            </w:t>
      </w:r>
      <w:r>
        <w:rPr>
          <w:rFonts w:hint="eastAsia"/>
          <w:i/>
          <w:iCs/>
        </w:rPr>
        <w:t>Fi</w:t>
      </w:r>
      <w:r>
        <w:t>—</w:t>
      </w:r>
      <w:r>
        <w:rPr>
          <w:rFonts w:hint="eastAsia"/>
        </w:rPr>
        <w:t>破坏地水土保持面积，hm</w:t>
      </w:r>
      <w:r>
        <w:rPr>
          <w:rFonts w:hint="eastAsia"/>
          <w:vertAlign w:val="superscript"/>
        </w:rPr>
        <w:t>2</w:t>
      </w:r>
      <w:r>
        <w:rPr>
          <w:rFonts w:hint="eastAsia"/>
        </w:rPr>
        <w:t>；本项目占地面积约为</w:t>
      </w:r>
      <w:r>
        <w:rPr>
          <w:rFonts w:hint="eastAsia" w:cs="Times New Roman"/>
          <w:szCs w:val="28"/>
        </w:rPr>
        <w:t>76953</w:t>
      </w:r>
      <w:r>
        <w:t>m</w:t>
      </w:r>
      <w:r>
        <w:rPr>
          <w:vertAlign w:val="superscript"/>
        </w:rPr>
        <w:t>2</w:t>
      </w:r>
      <w:r>
        <w:rPr>
          <w:rFonts w:hint="eastAsia"/>
        </w:rPr>
        <w:t>，因此取值8hm</w:t>
      </w:r>
      <w:r>
        <w:rPr>
          <w:rFonts w:hint="eastAsia"/>
          <w:vertAlign w:val="superscript"/>
        </w:rPr>
        <w:t>2</w:t>
      </w:r>
      <w:r>
        <w:rPr>
          <w:rFonts w:hint="eastAsia"/>
        </w:rPr>
        <w:t>。</w:t>
      </w:r>
    </w:p>
    <w:p>
      <w:pPr>
        <w:pStyle w:val="49"/>
        <w:ind w:firstLine="1200" w:firstLineChars="500"/>
      </w:pPr>
      <w:r>
        <w:rPr>
          <w:i/>
          <w:iCs/>
        </w:rPr>
        <w:t>Mo</w:t>
      </w:r>
      <w:r>
        <w:t>—</w:t>
      </w:r>
      <w:r>
        <w:rPr>
          <w:rFonts w:hint="eastAsia"/>
        </w:rPr>
        <w:t xml:space="preserve">破坏前的土壤侵蚀模数，本项目破坏土壤基本为林地，所在地 土壤侵蚀模数可取 </w:t>
      </w:r>
      <w:r>
        <w:t>25t/hm</w:t>
      </w:r>
      <w:r>
        <w:rPr>
          <w:vertAlign w:val="superscript"/>
        </w:rPr>
        <w:t>2</w:t>
      </w:r>
      <w:r>
        <w:t>·a</w:t>
      </w:r>
      <w:r>
        <w:rPr>
          <w:rFonts w:hint="eastAsia"/>
        </w:rPr>
        <w:t>；</w:t>
      </w:r>
    </w:p>
    <w:p>
      <w:pPr>
        <w:pStyle w:val="49"/>
        <w:ind w:firstLine="1200" w:firstLineChars="500"/>
      </w:pPr>
      <w:r>
        <w:rPr>
          <w:i/>
          <w:iCs/>
        </w:rPr>
        <w:t>M</w:t>
      </w:r>
      <w:r>
        <w:rPr>
          <w:rFonts w:hint="eastAsia"/>
          <w:i/>
          <w:iCs/>
        </w:rPr>
        <w:t>si</w:t>
      </w:r>
      <w:r>
        <w:t>—</w:t>
      </w:r>
      <w:r>
        <w:rPr>
          <w:rFonts w:hint="eastAsia"/>
        </w:rPr>
        <w:t>扰动（破坏后）的侵蚀模数，可取</w:t>
      </w:r>
      <w:r>
        <w:t>100</w:t>
      </w:r>
      <w:r>
        <w:rPr>
          <w:rFonts w:hint="eastAsia" w:cs="Times New Roman"/>
        </w:rPr>
        <w:t>~</w:t>
      </w:r>
      <w:r>
        <w:t>150t/hm</w:t>
      </w:r>
      <w:r>
        <w:rPr>
          <w:vertAlign w:val="superscript"/>
        </w:rPr>
        <w:t>2</w:t>
      </w:r>
      <w:r>
        <w:t>·a</w:t>
      </w:r>
      <w:r>
        <w:rPr>
          <w:rFonts w:hint="eastAsia"/>
        </w:rPr>
        <w:t>，本工程取</w:t>
      </w:r>
      <w:r>
        <w:t>125t/hm</w:t>
      </w:r>
      <w:r>
        <w:rPr>
          <w:vertAlign w:val="superscript"/>
        </w:rPr>
        <w:t>2</w:t>
      </w:r>
      <w:r>
        <w:t>·a</w:t>
      </w:r>
      <w:r>
        <w:rPr>
          <w:rFonts w:hint="eastAsia"/>
        </w:rPr>
        <w:t>；</w:t>
      </w:r>
    </w:p>
    <w:p>
      <w:pPr>
        <w:pStyle w:val="49"/>
        <w:ind w:firstLine="1200" w:firstLineChars="500"/>
      </w:pPr>
      <w:r>
        <w:rPr>
          <w:i/>
          <w:iCs/>
        </w:rPr>
        <w:t>Ti</w:t>
      </w:r>
      <w:r>
        <w:t>—</w:t>
      </w:r>
      <w:r>
        <w:rPr>
          <w:rFonts w:hint="eastAsia"/>
        </w:rPr>
        <w:t>预测时段，主要预测施工期，</w:t>
      </w:r>
      <w:r>
        <w:t>0.5a</w:t>
      </w:r>
      <w:r>
        <w:rPr>
          <w:rFonts w:hint="eastAsia"/>
        </w:rPr>
        <w:t>。</w:t>
      </w:r>
    </w:p>
    <w:p>
      <w:pPr>
        <w:pStyle w:val="49"/>
        <w:ind w:firstLine="480"/>
      </w:pPr>
      <w:r>
        <w:rPr>
          <w:rFonts w:hint="eastAsia"/>
        </w:rPr>
        <w:t>根据以上公式计算，本项目水土流失量约400</w:t>
      </w:r>
      <w:r>
        <w:t>t</w:t>
      </w:r>
      <w:r>
        <w:rPr>
          <w:rFonts w:hint="eastAsia"/>
        </w:rPr>
        <w:t>。</w:t>
      </w:r>
    </w:p>
    <w:p>
      <w:pPr>
        <w:pStyle w:val="4"/>
      </w:pPr>
      <w:bookmarkStart w:id="142" w:name="_Toc194481159"/>
      <w:r>
        <w:rPr>
          <w:rFonts w:hint="eastAsia"/>
        </w:rPr>
        <w:t>3</w:t>
      </w:r>
      <w:r>
        <w:t>.</w:t>
      </w:r>
      <w:r>
        <w:rPr>
          <w:rFonts w:hint="eastAsia"/>
        </w:rPr>
        <w:t>3</w:t>
      </w:r>
      <w:r>
        <w:t>.</w:t>
      </w:r>
      <w:r>
        <w:rPr>
          <w:rFonts w:hint="eastAsia"/>
        </w:rPr>
        <w:t>2 营运期污染源分析</w:t>
      </w:r>
      <w:bookmarkEnd w:id="142"/>
    </w:p>
    <w:p>
      <w:pPr>
        <w:pStyle w:val="5"/>
      </w:pPr>
      <w:r>
        <w:rPr>
          <w:rFonts w:hint="eastAsia"/>
        </w:rPr>
        <w:t>3</w:t>
      </w:r>
      <w:r>
        <w:t>.</w:t>
      </w:r>
      <w:r>
        <w:rPr>
          <w:rFonts w:hint="eastAsia"/>
        </w:rPr>
        <w:t>3</w:t>
      </w:r>
      <w:r>
        <w:t>.</w:t>
      </w:r>
      <w:r>
        <w:rPr>
          <w:rFonts w:hint="eastAsia"/>
        </w:rPr>
        <w:t>2.1 营运期废气污染源分析</w:t>
      </w:r>
    </w:p>
    <w:p>
      <w:pPr>
        <w:pStyle w:val="49"/>
        <w:ind w:firstLine="480"/>
      </w:pPr>
      <w:r>
        <w:rPr>
          <w:rFonts w:hint="eastAsia"/>
        </w:rPr>
        <w:t>本项目营运期产生的废气主要为恶臭气体（鸡舍、鸡粪风干车间、一体化污水处理设施）、鸡舍及鸡粪风干车间颗粒物、备用发电机废气、食堂油烟。</w:t>
      </w:r>
    </w:p>
    <w:p>
      <w:pPr>
        <w:pStyle w:val="49"/>
        <w:ind w:firstLine="480"/>
      </w:pPr>
      <w:r>
        <w:rPr>
          <w:rFonts w:hint="eastAsia"/>
        </w:rPr>
        <w:t>1、恶臭气体</w:t>
      </w:r>
    </w:p>
    <w:p>
      <w:pPr>
        <w:pStyle w:val="49"/>
        <w:ind w:firstLine="480"/>
      </w:pPr>
      <w:r>
        <w:rPr>
          <w:rFonts w:hint="eastAsia"/>
        </w:rPr>
        <w:t>恶臭是多组分低浓度的混合气体，其成分可达几十到几百种，恶臭污染主要是通过影响人们的嗅觉来影响环境。由于个人的生理、心理条件、年龄、性别、职业、习惯等因素的不同，对恶臭的敏感程度、厌恶程度和可耐受程度也不同。恶臭的影响也与污染源的性质、大气状况和距污染源的方位及距离有关。</w:t>
      </w:r>
    </w:p>
    <w:p>
      <w:pPr>
        <w:pStyle w:val="49"/>
        <w:ind w:firstLine="480"/>
      </w:pPr>
      <w:r>
        <w:rPr>
          <w:rFonts w:hint="eastAsia"/>
        </w:rPr>
        <w:t>恶臭本身不一定具有毒性，但会使人产生不快感，长期遭受恶臭污染，会影响居民的生活，降低工作效率，严重时会使人恶心、呕吐，甚至会诱发某些疾病。</w:t>
      </w:r>
    </w:p>
    <w:p>
      <w:pPr>
        <w:pStyle w:val="49"/>
        <w:ind w:firstLine="480"/>
      </w:pPr>
      <w:r>
        <w:rPr>
          <w:rFonts w:hint="eastAsia"/>
        </w:rPr>
        <w:t xml:space="preserve">目前，已鉴定出在鸡粪中有 </w:t>
      </w:r>
      <w:r>
        <w:t xml:space="preserve">220 </w:t>
      </w:r>
      <w:r>
        <w:rPr>
          <w:rFonts w:hint="eastAsia"/>
        </w:rPr>
        <w:t>种恶臭成分，这些物质都是生化反应的中间产物或终端产物，其中包括了多种挥发性有机酸、醇类物质、醛类物质、不流动气体、酯类物质、胺类物质、硫化物、硫醇以及含氮杂环类物质。在粪尿中还发现</w:t>
      </w:r>
      <w:r>
        <w:t>80</w:t>
      </w:r>
      <w:r>
        <w:rPr>
          <w:rFonts w:hint="eastAsia"/>
        </w:rPr>
        <w:t xml:space="preserve">多种含氮化合物，其中有 </w:t>
      </w:r>
      <w:r>
        <w:t xml:space="preserve">10 </w:t>
      </w:r>
      <w:r>
        <w:rPr>
          <w:rFonts w:hint="eastAsia"/>
        </w:rPr>
        <w:t>种与恶臭味有关。其中对环境危害较大的是氨气和硫化氢。</w:t>
      </w:r>
    </w:p>
    <w:p>
      <w:pPr>
        <w:pStyle w:val="49"/>
        <w:ind w:firstLine="480"/>
      </w:pPr>
      <w:r>
        <w:rPr>
          <w:rFonts w:hint="eastAsia"/>
        </w:rPr>
        <w:t>（1）鸡舍恶臭</w:t>
      </w:r>
    </w:p>
    <w:p>
      <w:pPr>
        <w:pStyle w:val="49"/>
        <w:ind w:firstLine="480"/>
      </w:pPr>
      <w:r>
        <w:rPr>
          <w:rFonts w:hint="eastAsia"/>
        </w:rPr>
        <w:t>本项目臭气主要来源于鸡粪堆积。一般是臭味强度夏季大于冬季，这主要是夏季温度高，易于细菌生长繁殖，也容易出现粪污腐化现象，鸡粪腐化时臭气产生量、排放量均较大；冬季基本上不出现上述现象。</w:t>
      </w:r>
    </w:p>
    <w:p>
      <w:pPr>
        <w:pStyle w:val="49"/>
        <w:ind w:firstLine="480"/>
      </w:pPr>
      <w:r>
        <w:rPr>
          <w:rFonts w:hint="eastAsia"/>
        </w:rPr>
        <w:t>根据《排污许可证申请与核发技术规范 畜禽养殖行业（</w:t>
      </w:r>
      <w:r>
        <w:t>HJ 1029</w:t>
      </w:r>
      <w:r>
        <w:rPr>
          <w:rFonts w:hint="eastAsia"/>
        </w:rPr>
        <w:t>-</w:t>
      </w:r>
      <w:r>
        <w:t>2019</w:t>
      </w:r>
      <w:r>
        <w:rPr>
          <w:rFonts w:hint="eastAsia"/>
        </w:rPr>
        <w:t xml:space="preserve">）》 表 </w:t>
      </w:r>
      <w:r>
        <w:t xml:space="preserve">9 </w:t>
      </w:r>
      <w:r>
        <w:rPr>
          <w:rFonts w:hint="eastAsia"/>
        </w:rPr>
        <w:t>中各类畜禽污染物产生量可知，本项目蛋鸡青年鸡养殖污染物产生量详见下表。</w:t>
      </w:r>
    </w:p>
    <w:p>
      <w:pPr>
        <w:pStyle w:val="53"/>
      </w:pPr>
      <w:r>
        <w:rPr>
          <w:rFonts w:hint="eastAsia"/>
        </w:rPr>
        <w:t>表3.3-5  蛋鸡养殖污染物产生量</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3827"/>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Merge w:val="restart"/>
            <w:vAlign w:val="center"/>
          </w:tcPr>
          <w:p>
            <w:pPr>
              <w:pStyle w:val="51"/>
            </w:pPr>
            <w:r>
              <w:rPr>
                <w:rFonts w:hint="eastAsia"/>
              </w:rPr>
              <w:t>种类</w:t>
            </w:r>
          </w:p>
        </w:tc>
        <w:tc>
          <w:tcPr>
            <w:tcW w:w="3827" w:type="dxa"/>
            <w:vAlign w:val="center"/>
          </w:tcPr>
          <w:p>
            <w:pPr>
              <w:pStyle w:val="51"/>
            </w:pPr>
            <w:r>
              <w:rPr>
                <w:rFonts w:hint="eastAsia"/>
              </w:rPr>
              <w:t>粪便中污染物含量（</w:t>
            </w:r>
            <w:r>
              <w:t xml:space="preserve">g/d </w:t>
            </w:r>
            <w:r>
              <w:rPr>
                <w:rFonts w:cs="Times New Roman"/>
              </w:rPr>
              <w:t>·</w:t>
            </w:r>
            <w:r>
              <w:rPr>
                <w:rFonts w:hint="eastAsia"/>
              </w:rPr>
              <w:t>只）</w:t>
            </w:r>
          </w:p>
        </w:tc>
        <w:tc>
          <w:tcPr>
            <w:tcW w:w="1922" w:type="dxa"/>
            <w:vMerge w:val="restart"/>
            <w:vAlign w:val="center"/>
          </w:tcPr>
          <w:p>
            <w:pPr>
              <w:pStyle w:val="51"/>
            </w:pPr>
            <w:r>
              <w:rPr>
                <w:rFonts w:hint="eastAsia"/>
              </w:rPr>
              <w:t>清粪工艺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Merge w:val="continue"/>
            <w:vAlign w:val="center"/>
          </w:tcPr>
          <w:p>
            <w:pPr>
              <w:pStyle w:val="51"/>
            </w:pPr>
          </w:p>
        </w:tc>
        <w:tc>
          <w:tcPr>
            <w:tcW w:w="3827" w:type="dxa"/>
            <w:vAlign w:val="center"/>
          </w:tcPr>
          <w:p>
            <w:pPr>
              <w:pStyle w:val="51"/>
            </w:pPr>
            <w:r>
              <w:rPr>
                <w:rFonts w:hint="eastAsia"/>
              </w:rPr>
              <w:t>总氮</w:t>
            </w:r>
          </w:p>
        </w:tc>
        <w:tc>
          <w:tcPr>
            <w:tcW w:w="192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pStyle w:val="51"/>
            </w:pPr>
            <w:r>
              <w:rPr>
                <w:rFonts w:hint="eastAsia"/>
              </w:rPr>
              <w:t>蛋鸡</w:t>
            </w:r>
          </w:p>
        </w:tc>
        <w:tc>
          <w:tcPr>
            <w:tcW w:w="3827" w:type="dxa"/>
            <w:vAlign w:val="center"/>
          </w:tcPr>
          <w:p>
            <w:pPr>
              <w:pStyle w:val="51"/>
            </w:pPr>
            <w:r>
              <w:rPr>
                <w:rFonts w:hint="eastAsia"/>
              </w:rPr>
              <w:t>1.2</w:t>
            </w:r>
          </w:p>
        </w:tc>
        <w:tc>
          <w:tcPr>
            <w:tcW w:w="1922" w:type="dxa"/>
            <w:vAlign w:val="center"/>
          </w:tcPr>
          <w:p>
            <w:pPr>
              <w:pStyle w:val="51"/>
            </w:pPr>
            <w:r>
              <w:rPr>
                <w:rFonts w:hint="eastAsia"/>
              </w:rPr>
              <w:t>干清粪</w:t>
            </w:r>
          </w:p>
        </w:tc>
      </w:tr>
    </w:tbl>
    <w:p>
      <w:pPr>
        <w:pStyle w:val="49"/>
        <w:ind w:firstLine="480"/>
      </w:pPr>
      <w:r>
        <w:rPr>
          <w:rFonts w:hint="eastAsia"/>
        </w:rPr>
        <w:t>根据《畜禽场环境评价》（刘成国主编，中国标准出版社）和《农业污染源产排污系数手册》（</w:t>
      </w:r>
      <w:r>
        <w:t xml:space="preserve">2009 </w:t>
      </w:r>
      <w:r>
        <w:rPr>
          <w:rFonts w:hint="eastAsia"/>
        </w:rPr>
        <w:t xml:space="preserve">年 </w:t>
      </w:r>
      <w:r>
        <w:t xml:space="preserve">2 </w:t>
      </w:r>
      <w:r>
        <w:rPr>
          <w:rFonts w:hint="eastAsia"/>
        </w:rPr>
        <w:t xml:space="preserve">月，中国农业科学院农业环境与可持续发展研究所和环境保护部南京环境科学研究所）中相关介绍，氮挥发量约占总氮量的 </w:t>
      </w:r>
      <w:r>
        <w:t>1</w:t>
      </w:r>
      <w:r>
        <w:rPr>
          <w:rFonts w:hint="eastAsia"/>
        </w:rPr>
        <w:t>0</w:t>
      </w:r>
      <w:r>
        <w:t>%</w:t>
      </w:r>
      <w:r>
        <w:rPr>
          <w:rFonts w:hint="eastAsia"/>
        </w:rPr>
        <w:t xml:space="preserve">，其中氨氮含量占氮挥发量的 </w:t>
      </w:r>
      <w:r>
        <w:t>25%</w:t>
      </w:r>
      <w:r>
        <w:rPr>
          <w:rFonts w:hint="eastAsia"/>
        </w:rPr>
        <w:t>。根据《畜禽场环境评价》（刘成国、史光华主编，中国标准出版社），鸡粪中硫化氢的产生量为氨氮的10%。由此核算，</w:t>
      </w:r>
      <w:bookmarkStart w:id="143" w:name="_Hlk193877939"/>
      <w:r>
        <w:rPr>
          <w:rFonts w:hint="eastAsia"/>
        </w:rPr>
        <w:t>运营期本项目鸡粪恶臭污染物的产生情况详见下表。</w:t>
      </w:r>
      <w:bookmarkEnd w:id="143"/>
    </w:p>
    <w:p>
      <w:pPr>
        <w:pStyle w:val="53"/>
      </w:pPr>
      <w:r>
        <w:rPr>
          <w:rFonts w:hint="eastAsia"/>
        </w:rPr>
        <w:t xml:space="preserve">表3.3-6  </w:t>
      </w:r>
      <w:bookmarkStart w:id="144" w:name="_Hlk193878258"/>
      <w:bookmarkStart w:id="145" w:name="_Hlk193878292"/>
      <w:r>
        <w:rPr>
          <w:rFonts w:hint="eastAsia"/>
        </w:rPr>
        <w:t>鸡粪恶臭污染物产生情况一览表</w:t>
      </w:r>
      <w:bookmarkEnd w:id="144"/>
    </w:p>
    <w:bookmarkEnd w:id="145"/>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560"/>
        <w:gridCol w:w="1275"/>
        <w:gridCol w:w="1276"/>
        <w:gridCol w:w="1559"/>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29" w:type="dxa"/>
            <w:vAlign w:val="center"/>
          </w:tcPr>
          <w:p>
            <w:pPr>
              <w:pStyle w:val="51"/>
            </w:pPr>
            <w:r>
              <w:rPr>
                <w:rFonts w:hint="eastAsia"/>
              </w:rPr>
              <w:t>存栏规模</w:t>
            </w:r>
          </w:p>
          <w:p>
            <w:pPr>
              <w:pStyle w:val="51"/>
            </w:pPr>
            <w:r>
              <w:rPr>
                <w:rFonts w:hint="eastAsia"/>
              </w:rPr>
              <w:t>（万羽）</w:t>
            </w:r>
          </w:p>
        </w:tc>
        <w:tc>
          <w:tcPr>
            <w:tcW w:w="1560" w:type="dxa"/>
            <w:vAlign w:val="center"/>
          </w:tcPr>
          <w:p>
            <w:pPr>
              <w:pStyle w:val="51"/>
            </w:pPr>
            <w:r>
              <w:rPr>
                <w:rFonts w:hint="eastAsia"/>
              </w:rPr>
              <w:t>总氮产生系数</w:t>
            </w:r>
          </w:p>
          <w:p>
            <w:pPr>
              <w:pStyle w:val="51"/>
            </w:pPr>
            <w:r>
              <w:rPr>
                <w:rFonts w:hint="eastAsia"/>
              </w:rPr>
              <w:t>（</w:t>
            </w:r>
            <w:r>
              <w:t xml:space="preserve">g/d </w:t>
            </w:r>
            <w:r>
              <w:rPr>
                <w:rFonts w:hint="eastAsia"/>
              </w:rPr>
              <w:t>头</w:t>
            </w:r>
            <w:r>
              <w:t>/</w:t>
            </w:r>
            <w:r>
              <w:rPr>
                <w:rFonts w:hint="eastAsia"/>
              </w:rPr>
              <w:t>只）</w:t>
            </w:r>
          </w:p>
        </w:tc>
        <w:tc>
          <w:tcPr>
            <w:tcW w:w="1275" w:type="dxa"/>
            <w:vAlign w:val="center"/>
          </w:tcPr>
          <w:p>
            <w:pPr>
              <w:pStyle w:val="51"/>
            </w:pPr>
            <w:r>
              <w:rPr>
                <w:rFonts w:hint="eastAsia"/>
              </w:rPr>
              <w:t>总氮产生量</w:t>
            </w:r>
          </w:p>
          <w:p>
            <w:pPr>
              <w:pStyle w:val="51"/>
            </w:pPr>
            <w:r>
              <w:rPr>
                <w:rFonts w:hint="eastAsia"/>
              </w:rPr>
              <w:t>（t/a）</w:t>
            </w:r>
          </w:p>
        </w:tc>
        <w:tc>
          <w:tcPr>
            <w:tcW w:w="1276" w:type="dxa"/>
            <w:vAlign w:val="center"/>
          </w:tcPr>
          <w:p>
            <w:pPr>
              <w:pStyle w:val="51"/>
            </w:pPr>
            <w:r>
              <w:rPr>
                <w:rFonts w:hint="eastAsia"/>
              </w:rPr>
              <w:t>氮的挥发量</w:t>
            </w:r>
          </w:p>
          <w:p>
            <w:pPr>
              <w:pStyle w:val="51"/>
            </w:pPr>
            <w:r>
              <w:rPr>
                <w:rFonts w:hint="eastAsia"/>
              </w:rPr>
              <w:t>（t/a）</w:t>
            </w:r>
          </w:p>
        </w:tc>
        <w:tc>
          <w:tcPr>
            <w:tcW w:w="1559" w:type="dxa"/>
            <w:vAlign w:val="center"/>
          </w:tcPr>
          <w:p>
            <w:pPr>
              <w:pStyle w:val="51"/>
            </w:pPr>
            <w:r>
              <w:rPr>
                <w:rFonts w:hint="eastAsia"/>
              </w:rPr>
              <w:t>折合成NH</w:t>
            </w:r>
            <w:r>
              <w:rPr>
                <w:rFonts w:hint="eastAsia"/>
                <w:vertAlign w:val="subscript"/>
              </w:rPr>
              <w:t>3</w:t>
            </w:r>
          </w:p>
          <w:p>
            <w:pPr>
              <w:pStyle w:val="51"/>
            </w:pPr>
            <w:r>
              <w:rPr>
                <w:rFonts w:hint="eastAsia"/>
              </w:rPr>
              <w:t>（t/a）</w:t>
            </w:r>
          </w:p>
        </w:tc>
        <w:tc>
          <w:tcPr>
            <w:tcW w:w="1497" w:type="dxa"/>
            <w:vAlign w:val="center"/>
          </w:tcPr>
          <w:p>
            <w:pPr>
              <w:pStyle w:val="51"/>
            </w:pPr>
            <w:r>
              <w:rPr>
                <w:rFonts w:hint="eastAsia"/>
              </w:rPr>
              <w:t>折合成H</w:t>
            </w:r>
            <w:r>
              <w:rPr>
                <w:rFonts w:hint="eastAsia"/>
                <w:vertAlign w:val="subscript"/>
              </w:rPr>
              <w:t>2</w:t>
            </w:r>
            <w:r>
              <w:rPr>
                <w:rFonts w:hint="eastAsia"/>
              </w:rPr>
              <w:t>S</w:t>
            </w:r>
          </w:p>
          <w:p>
            <w:pPr>
              <w:pStyle w:val="51"/>
            </w:pPr>
            <w:r>
              <w:rPr>
                <w:rFonts w:hint="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51"/>
            </w:pPr>
            <w:r>
              <w:rPr>
                <w:rFonts w:hint="eastAsia"/>
              </w:rPr>
              <w:t>120</w:t>
            </w:r>
          </w:p>
        </w:tc>
        <w:tc>
          <w:tcPr>
            <w:tcW w:w="1560" w:type="dxa"/>
            <w:vAlign w:val="center"/>
          </w:tcPr>
          <w:p>
            <w:pPr>
              <w:pStyle w:val="51"/>
            </w:pPr>
            <w:r>
              <w:rPr>
                <w:rFonts w:hint="eastAsia"/>
              </w:rPr>
              <w:t>1.2</w:t>
            </w:r>
          </w:p>
        </w:tc>
        <w:tc>
          <w:tcPr>
            <w:tcW w:w="1275" w:type="dxa"/>
            <w:vAlign w:val="center"/>
          </w:tcPr>
          <w:p>
            <w:pPr>
              <w:pStyle w:val="51"/>
            </w:pPr>
            <w:r>
              <w:rPr>
                <w:rFonts w:hint="eastAsia"/>
              </w:rPr>
              <w:t>525.6</w:t>
            </w:r>
          </w:p>
        </w:tc>
        <w:tc>
          <w:tcPr>
            <w:tcW w:w="1276" w:type="dxa"/>
            <w:vAlign w:val="center"/>
          </w:tcPr>
          <w:p>
            <w:pPr>
              <w:pStyle w:val="51"/>
            </w:pPr>
            <w:r>
              <w:rPr>
                <w:rFonts w:hint="eastAsia"/>
              </w:rPr>
              <w:t>52.56</w:t>
            </w:r>
          </w:p>
        </w:tc>
        <w:tc>
          <w:tcPr>
            <w:tcW w:w="1559" w:type="dxa"/>
            <w:vAlign w:val="center"/>
          </w:tcPr>
          <w:p>
            <w:pPr>
              <w:pStyle w:val="51"/>
            </w:pPr>
            <w:r>
              <w:rPr>
                <w:rFonts w:hint="eastAsia"/>
              </w:rPr>
              <w:t>13.14</w:t>
            </w:r>
          </w:p>
        </w:tc>
        <w:tc>
          <w:tcPr>
            <w:tcW w:w="1497" w:type="dxa"/>
            <w:vAlign w:val="center"/>
          </w:tcPr>
          <w:p>
            <w:pPr>
              <w:pStyle w:val="51"/>
            </w:pPr>
            <w:r>
              <w:rPr>
                <w:rFonts w:hint="eastAsia"/>
              </w:rPr>
              <w:t>1.314</w:t>
            </w:r>
          </w:p>
        </w:tc>
      </w:tr>
    </w:tbl>
    <w:p>
      <w:pPr>
        <w:pStyle w:val="49"/>
        <w:ind w:firstLine="480"/>
      </w:pPr>
      <w:bookmarkStart w:id="146" w:name="_Hlk191925532"/>
      <w:r>
        <w:rPr>
          <w:rFonts w:hint="eastAsia"/>
        </w:rPr>
        <w:t>根据《畜禽场环境评价》（刘成国主编，中国标准出版社）相关数据鸡粪中氨态氮转化为氨气释放主要集中在一次发酵阶段完成，即主要在新鲜鸡粪便产生后的</w:t>
      </w:r>
      <w:r>
        <w:t>15d</w:t>
      </w:r>
      <w:r>
        <w:rPr>
          <w:rFonts w:hint="eastAsia"/>
        </w:rPr>
        <w:t>内转化。本项目采用干清粪工艺，每天及时对鸡舍内的鸡粪进行清粪，每层鸡笼下面均设置一条纵向清粪带，每层鸡群的鸡粪零散地落在清粪带上，在粪便清理时，由横向刮板将鸡粪刮至位于鸡舍尾端的主输送带，输送设施防晒、防雨、防渗设计，鸡舍内的鸡粪均通过传送皮带输送到鸡舍外，再通过密封的转运车辆运输至鸡粪风干车间风干后，转运至有湖南恩润生物科技有限公司制造有机肥。</w:t>
      </w:r>
      <w:r>
        <w:rPr>
          <w:rFonts w:hint="eastAsia" w:cs="Times New Roman"/>
          <w:bCs/>
          <w:szCs w:val="28"/>
        </w:rPr>
        <w:t>故本项目鸡粪在鸡舍内的积累和堆存时间相对较短，本次评价</w:t>
      </w:r>
      <w:r>
        <w:rPr>
          <w:rFonts w:hint="eastAsia"/>
        </w:rPr>
        <w:t>鸡舍恶臭气体产生量按转化1d计，取表3.3-6恶臭气体产生总量的1/15。则项目营运期鸡舍恶臭污染物产生情况详见下表。</w:t>
      </w:r>
    </w:p>
    <w:p>
      <w:pPr>
        <w:pStyle w:val="53"/>
      </w:pPr>
      <w:r>
        <w:rPr>
          <w:rFonts w:hint="eastAsia"/>
        </w:rPr>
        <w:t>表3.3-7  鸡舍恶臭污染物产生情况一览表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pPr>
              <w:pStyle w:val="51"/>
            </w:pPr>
            <w:r>
              <w:rPr>
                <w:rFonts w:hint="eastAsia"/>
              </w:rPr>
              <w:t>污染物</w:t>
            </w:r>
          </w:p>
        </w:tc>
        <w:tc>
          <w:tcPr>
            <w:tcW w:w="4148" w:type="dxa"/>
            <w:vAlign w:val="center"/>
          </w:tcPr>
          <w:p>
            <w:pPr>
              <w:pStyle w:val="51"/>
            </w:pPr>
            <w:r>
              <w:rPr>
                <w:rFonts w:hint="eastAsia"/>
              </w:rPr>
              <w:t>污染源（t/a）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pPr>
              <w:pStyle w:val="51"/>
            </w:pPr>
            <w:r>
              <w:t>NH</w:t>
            </w:r>
            <w:r>
              <w:rPr>
                <w:vertAlign w:val="subscript"/>
              </w:rPr>
              <w:t>3</w:t>
            </w:r>
          </w:p>
        </w:tc>
        <w:tc>
          <w:tcPr>
            <w:tcW w:w="4148" w:type="dxa"/>
            <w:vAlign w:val="center"/>
          </w:tcPr>
          <w:p>
            <w:pPr>
              <w:pStyle w:val="51"/>
            </w:pPr>
            <w:r>
              <w:rPr>
                <w:rFonts w:hint="eastAsia"/>
              </w:rPr>
              <w:t>0.876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pPr>
              <w:pStyle w:val="51"/>
            </w:pPr>
            <w:r>
              <w:t>H</w:t>
            </w:r>
            <w:r>
              <w:rPr>
                <w:vertAlign w:val="subscript"/>
              </w:rPr>
              <w:t>2</w:t>
            </w:r>
            <w:r>
              <w:t>S</w:t>
            </w:r>
          </w:p>
        </w:tc>
        <w:tc>
          <w:tcPr>
            <w:tcW w:w="4148" w:type="dxa"/>
            <w:vAlign w:val="center"/>
          </w:tcPr>
          <w:p>
            <w:pPr>
              <w:pStyle w:val="51"/>
            </w:pPr>
            <w:r>
              <w:rPr>
                <w:rFonts w:hint="eastAsia"/>
              </w:rPr>
              <w:t>0.0876</w:t>
            </w:r>
          </w:p>
        </w:tc>
      </w:tr>
    </w:tbl>
    <w:p>
      <w:pPr>
        <w:pStyle w:val="49"/>
        <w:ind w:firstLine="480"/>
      </w:pPr>
      <w:r>
        <w:rPr>
          <w:rFonts w:hint="eastAsia"/>
        </w:rPr>
        <w:t>根据《家畜环境卫生学》（安立龙，高等教育出版社）：在日粮添加EM菌剂能在源头上控制恶臭气体的产生，有效地降解氨、硫化氢等恶臭气体，通过实验可得，添加EM菌对氨的平均降解率为75.5%，对硫化氢的降解率为81.5%。根据《自然科学》现代化农业，2011年第6期（总第383期）“微生物除臭剂研究进展”（赵晓锋，隋文志），经国家环境分析测试中心和陕西环境监测中心测试，生物除臭剂对氨的降解率为92.6%，对硫化氢的降解率为89%”，通过喷洒生物除臭剂，可有效减少臭气排放量。</w:t>
      </w:r>
    </w:p>
    <w:p>
      <w:pPr>
        <w:pStyle w:val="49"/>
        <w:ind w:firstLine="480"/>
      </w:pPr>
      <w:r>
        <w:rPr>
          <w:rFonts w:hint="eastAsia"/>
        </w:rPr>
        <w:t>本项目鸡粪日产日清，鸡舍内采用轴流风机通风，蛋鸡舍夏季时拟每日均在水帘中添加生物除臭剂除臭，其他季节定期对鸡舍喷洒生物除臭剂，喷洒频次为每日喷洒</w:t>
      </w:r>
      <w:r>
        <w:t>1</w:t>
      </w:r>
      <w:r>
        <w:rPr>
          <w:rFonts w:hint="eastAsia"/>
        </w:rPr>
        <w:t>次。同时加强厂区绿化。采取以上措施后，</w:t>
      </w:r>
      <w:r>
        <w:t>NH</w:t>
      </w:r>
      <w:r>
        <w:rPr>
          <w:vertAlign w:val="subscript"/>
        </w:rPr>
        <w:t>3</w:t>
      </w:r>
      <w:r>
        <w:rPr>
          <w:rFonts w:hint="eastAsia"/>
        </w:rPr>
        <w:t>、</w:t>
      </w:r>
      <w:r>
        <w:t>H</w:t>
      </w:r>
      <w:r>
        <w:rPr>
          <w:vertAlign w:val="subscript"/>
        </w:rPr>
        <w:t>2</w:t>
      </w:r>
      <w:r>
        <w:t>S</w:t>
      </w:r>
      <w:r>
        <w:rPr>
          <w:rFonts w:hint="eastAsia"/>
        </w:rPr>
        <w:t>去除效率分别为98.2</w:t>
      </w:r>
      <w:r>
        <w:t>%</w:t>
      </w:r>
      <w:r>
        <w:rPr>
          <w:rFonts w:hint="eastAsia"/>
        </w:rPr>
        <w:t>、98%。本项目营运期鸡舍恶臭污染物的产排情况如下表所示。</w:t>
      </w:r>
    </w:p>
    <w:p>
      <w:pPr>
        <w:pStyle w:val="53"/>
      </w:pPr>
      <w:r>
        <w:rPr>
          <w:rFonts w:hint="eastAsia"/>
        </w:rPr>
        <w:t>表3.3-8  鸡舍恶臭污染物产排情况一览表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992"/>
        <w:gridCol w:w="3471"/>
        <w:gridCol w:w="1149"/>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污染物</w:t>
            </w:r>
          </w:p>
        </w:tc>
        <w:tc>
          <w:tcPr>
            <w:tcW w:w="1134" w:type="dxa"/>
            <w:vAlign w:val="center"/>
          </w:tcPr>
          <w:p>
            <w:pPr>
              <w:pStyle w:val="51"/>
            </w:pPr>
            <w:r>
              <w:rPr>
                <w:rFonts w:hint="eastAsia"/>
              </w:rPr>
              <w:t>产生速率</w:t>
            </w:r>
          </w:p>
          <w:p>
            <w:pPr>
              <w:pStyle w:val="51"/>
            </w:pPr>
            <w:r>
              <w:rPr>
                <w:rFonts w:hint="eastAsia"/>
              </w:rPr>
              <w:t>（kg/h）</w:t>
            </w:r>
          </w:p>
        </w:tc>
        <w:tc>
          <w:tcPr>
            <w:tcW w:w="992" w:type="dxa"/>
            <w:vAlign w:val="center"/>
          </w:tcPr>
          <w:p>
            <w:pPr>
              <w:pStyle w:val="51"/>
            </w:pPr>
            <w:r>
              <w:rPr>
                <w:rFonts w:hint="eastAsia"/>
              </w:rPr>
              <w:t>产生量</w:t>
            </w:r>
          </w:p>
          <w:p>
            <w:pPr>
              <w:pStyle w:val="51"/>
            </w:pPr>
            <w:r>
              <w:rPr>
                <w:rFonts w:hint="eastAsia"/>
              </w:rPr>
              <w:t>（t/a）</w:t>
            </w:r>
          </w:p>
        </w:tc>
        <w:tc>
          <w:tcPr>
            <w:tcW w:w="3471" w:type="dxa"/>
            <w:vAlign w:val="center"/>
          </w:tcPr>
          <w:p>
            <w:pPr>
              <w:pStyle w:val="51"/>
            </w:pPr>
            <w:r>
              <w:rPr>
                <w:rFonts w:hint="eastAsia"/>
              </w:rPr>
              <w:t>治理措施及效率</w:t>
            </w:r>
          </w:p>
        </w:tc>
        <w:tc>
          <w:tcPr>
            <w:tcW w:w="1149" w:type="dxa"/>
            <w:vAlign w:val="center"/>
          </w:tcPr>
          <w:p>
            <w:pPr>
              <w:pStyle w:val="51"/>
            </w:pPr>
            <w:r>
              <w:rPr>
                <w:rFonts w:hint="eastAsia"/>
              </w:rPr>
              <w:t>排放速率</w:t>
            </w:r>
          </w:p>
          <w:p>
            <w:pPr>
              <w:pStyle w:val="51"/>
            </w:pPr>
            <w:r>
              <w:rPr>
                <w:rFonts w:hint="eastAsia"/>
              </w:rPr>
              <w:t>（kg/h）</w:t>
            </w:r>
          </w:p>
        </w:tc>
        <w:tc>
          <w:tcPr>
            <w:tcW w:w="846" w:type="dxa"/>
            <w:vAlign w:val="center"/>
          </w:tcPr>
          <w:p>
            <w:pPr>
              <w:pStyle w:val="51"/>
            </w:pPr>
            <w:r>
              <w:rPr>
                <w:rFonts w:hint="eastAsia"/>
              </w:rPr>
              <w:t>排放量</w:t>
            </w:r>
          </w:p>
          <w:p>
            <w:pPr>
              <w:pStyle w:val="51"/>
            </w:pPr>
            <w:r>
              <w:rPr>
                <w:rFonts w:hint="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04" w:type="dxa"/>
            <w:vAlign w:val="center"/>
          </w:tcPr>
          <w:p>
            <w:pPr>
              <w:pStyle w:val="51"/>
            </w:pPr>
            <w:r>
              <w:t>NH</w:t>
            </w:r>
            <w:r>
              <w:rPr>
                <w:vertAlign w:val="subscript"/>
              </w:rPr>
              <w:t>3</w:t>
            </w:r>
          </w:p>
        </w:tc>
        <w:tc>
          <w:tcPr>
            <w:tcW w:w="1134" w:type="dxa"/>
            <w:vAlign w:val="center"/>
          </w:tcPr>
          <w:p>
            <w:pPr>
              <w:pStyle w:val="51"/>
            </w:pPr>
            <w:r>
              <w:rPr>
                <w:rFonts w:hint="eastAsia"/>
              </w:rPr>
              <w:t>0.1</w:t>
            </w:r>
          </w:p>
        </w:tc>
        <w:tc>
          <w:tcPr>
            <w:tcW w:w="992" w:type="dxa"/>
            <w:vAlign w:val="center"/>
          </w:tcPr>
          <w:p>
            <w:pPr>
              <w:pStyle w:val="51"/>
            </w:pPr>
            <w:r>
              <w:rPr>
                <w:rFonts w:hint="eastAsia"/>
              </w:rPr>
              <w:t>0.876</w:t>
            </w:r>
          </w:p>
        </w:tc>
        <w:tc>
          <w:tcPr>
            <w:tcW w:w="3471" w:type="dxa"/>
            <w:vMerge w:val="restart"/>
            <w:vAlign w:val="center"/>
          </w:tcPr>
          <w:p>
            <w:pPr>
              <w:pStyle w:val="51"/>
            </w:pPr>
            <w:r>
              <w:rPr>
                <w:rFonts w:hint="eastAsia"/>
              </w:rPr>
              <w:t>在饲料中添加EM菌对蛋鸡进行喂养，同时鸡粪采用干清粪封闭式输送带输送，每天及时清运、加强通风，定期喷洒生物除臭剂，加强绿化，</w:t>
            </w:r>
            <w:r>
              <w:t>NH</w:t>
            </w:r>
            <w:r>
              <w:rPr>
                <w:vertAlign w:val="subscript"/>
              </w:rPr>
              <w:t>3</w:t>
            </w:r>
            <w:r>
              <w:rPr>
                <w:rFonts w:hint="eastAsia"/>
              </w:rPr>
              <w:t>和</w:t>
            </w:r>
            <w:r>
              <w:t>H</w:t>
            </w:r>
            <w:r>
              <w:rPr>
                <w:vertAlign w:val="subscript"/>
              </w:rPr>
              <w:t>2</w:t>
            </w:r>
            <w:r>
              <w:t>S</w:t>
            </w:r>
            <w:r>
              <w:rPr>
                <w:rFonts w:hint="eastAsia"/>
              </w:rPr>
              <w:t>去除效率分别为98.2%、98%</w:t>
            </w:r>
          </w:p>
        </w:tc>
        <w:tc>
          <w:tcPr>
            <w:tcW w:w="1149" w:type="dxa"/>
            <w:vAlign w:val="center"/>
          </w:tcPr>
          <w:p>
            <w:pPr>
              <w:pStyle w:val="51"/>
            </w:pPr>
            <w:r>
              <w:rPr>
                <w:rFonts w:hint="eastAsia"/>
              </w:rPr>
              <w:t>0.0018</w:t>
            </w:r>
          </w:p>
        </w:tc>
        <w:tc>
          <w:tcPr>
            <w:tcW w:w="846" w:type="dxa"/>
            <w:vAlign w:val="center"/>
          </w:tcPr>
          <w:p>
            <w:pPr>
              <w:pStyle w:val="51"/>
            </w:pPr>
            <w:r>
              <w:rPr>
                <w:rFonts w:hint="eastAsia"/>
              </w:rPr>
              <w:t>0.0158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t>H</w:t>
            </w:r>
            <w:r>
              <w:rPr>
                <w:vertAlign w:val="subscript"/>
              </w:rPr>
              <w:t>2</w:t>
            </w:r>
            <w:r>
              <w:t>S</w:t>
            </w:r>
          </w:p>
        </w:tc>
        <w:tc>
          <w:tcPr>
            <w:tcW w:w="1134" w:type="dxa"/>
            <w:vAlign w:val="center"/>
          </w:tcPr>
          <w:p>
            <w:pPr>
              <w:pStyle w:val="51"/>
            </w:pPr>
            <w:r>
              <w:rPr>
                <w:rFonts w:hint="eastAsia"/>
              </w:rPr>
              <w:t>0.01</w:t>
            </w:r>
          </w:p>
        </w:tc>
        <w:tc>
          <w:tcPr>
            <w:tcW w:w="992" w:type="dxa"/>
            <w:vAlign w:val="center"/>
          </w:tcPr>
          <w:p>
            <w:pPr>
              <w:pStyle w:val="51"/>
            </w:pPr>
            <w:r>
              <w:rPr>
                <w:rFonts w:hint="eastAsia"/>
              </w:rPr>
              <w:t>0.0876</w:t>
            </w:r>
          </w:p>
        </w:tc>
        <w:tc>
          <w:tcPr>
            <w:tcW w:w="3471" w:type="dxa"/>
            <w:vMerge w:val="continue"/>
            <w:vAlign w:val="center"/>
          </w:tcPr>
          <w:p>
            <w:pPr>
              <w:pStyle w:val="51"/>
            </w:pPr>
          </w:p>
        </w:tc>
        <w:tc>
          <w:tcPr>
            <w:tcW w:w="1149" w:type="dxa"/>
            <w:vAlign w:val="center"/>
          </w:tcPr>
          <w:p>
            <w:pPr>
              <w:pStyle w:val="51"/>
            </w:pPr>
            <w:r>
              <w:rPr>
                <w:rFonts w:hint="eastAsia"/>
              </w:rPr>
              <w:t>0.0002</w:t>
            </w:r>
          </w:p>
        </w:tc>
        <w:tc>
          <w:tcPr>
            <w:tcW w:w="846" w:type="dxa"/>
            <w:vAlign w:val="center"/>
          </w:tcPr>
          <w:p>
            <w:pPr>
              <w:pStyle w:val="51"/>
            </w:pPr>
            <w:r>
              <w:rPr>
                <w:rFonts w:hint="eastAsia"/>
              </w:rPr>
              <w:t>0.0018</w:t>
            </w:r>
          </w:p>
        </w:tc>
      </w:tr>
      <w:bookmarkEnd w:id="146"/>
    </w:tbl>
    <w:p>
      <w:pPr>
        <w:pStyle w:val="49"/>
        <w:ind w:firstLine="480"/>
      </w:pPr>
      <w:r>
        <w:rPr>
          <w:rFonts w:hint="eastAsia"/>
        </w:rPr>
        <w:t>（2）鸡粪风干车间恶臭</w:t>
      </w:r>
    </w:p>
    <w:p>
      <w:pPr>
        <w:pStyle w:val="49"/>
        <w:ind w:firstLine="480"/>
      </w:pPr>
      <w:r>
        <w:rPr>
          <w:rFonts w:hint="eastAsia"/>
        </w:rPr>
        <w:t>根据《畜禽场环境评价》（刘成国主编，中国标准出版社）相关数据鸡粪中氨态氮转化为氨气释放主要集中在一次发酵阶段完成，即主要在新鲜鸡粪便产生后的</w:t>
      </w:r>
      <w:r>
        <w:t>15d</w:t>
      </w:r>
      <w:r>
        <w:rPr>
          <w:rFonts w:hint="eastAsia"/>
        </w:rPr>
        <w:t>内转化。本项目将鸡舍鸡粪收集后通过密封的转运车辆运输至鸡粪风干车间，通过鸡舍内抽出的热气将新鲜鸡粪干燥，鸡粪风干处理系统24h内可将湿鸡粪的含水量降至40%，风干后的鸡粪直接输送至密闭转运车辆，转运至有湖南恩润生物科技有限公司制造有机肥，不在场区内储存。本评价鸡粪风干车间恶臭气体产生量按转化1d计，取表3.3-6恶臭气体产生总量的1/15。则项目营运期鸡粪风干车间恶臭污染物产生情况详见下表。</w:t>
      </w:r>
    </w:p>
    <w:p>
      <w:pPr>
        <w:pStyle w:val="53"/>
      </w:pPr>
      <w:r>
        <w:rPr>
          <w:rFonts w:hint="eastAsia"/>
        </w:rPr>
        <w:t>表3.3-9  鸡粪风干车间恶臭污染物产生情况一览表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pPr>
              <w:pStyle w:val="51"/>
            </w:pPr>
            <w:r>
              <w:rPr>
                <w:rFonts w:hint="eastAsia"/>
              </w:rPr>
              <w:t>污染物</w:t>
            </w:r>
          </w:p>
        </w:tc>
        <w:tc>
          <w:tcPr>
            <w:tcW w:w="4148" w:type="dxa"/>
            <w:vAlign w:val="center"/>
          </w:tcPr>
          <w:p>
            <w:pPr>
              <w:pStyle w:val="51"/>
            </w:pPr>
            <w:r>
              <w:rPr>
                <w:rFonts w:hint="eastAsia"/>
              </w:rPr>
              <w:t>污染源（t/a）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pPr>
              <w:pStyle w:val="51"/>
            </w:pPr>
            <w:r>
              <w:t>NH</w:t>
            </w:r>
            <w:r>
              <w:rPr>
                <w:vertAlign w:val="subscript"/>
              </w:rPr>
              <w:t>3</w:t>
            </w:r>
          </w:p>
        </w:tc>
        <w:tc>
          <w:tcPr>
            <w:tcW w:w="4148" w:type="dxa"/>
            <w:vAlign w:val="center"/>
          </w:tcPr>
          <w:p>
            <w:pPr>
              <w:pStyle w:val="51"/>
            </w:pPr>
            <w:r>
              <w:rPr>
                <w:rFonts w:hint="eastAsia"/>
              </w:rPr>
              <w:t>0.876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center"/>
          </w:tcPr>
          <w:p>
            <w:pPr>
              <w:pStyle w:val="51"/>
            </w:pPr>
            <w:r>
              <w:t>H</w:t>
            </w:r>
            <w:r>
              <w:rPr>
                <w:vertAlign w:val="subscript"/>
              </w:rPr>
              <w:t>2</w:t>
            </w:r>
            <w:r>
              <w:t>S</w:t>
            </w:r>
          </w:p>
        </w:tc>
        <w:tc>
          <w:tcPr>
            <w:tcW w:w="4148" w:type="dxa"/>
            <w:vAlign w:val="center"/>
          </w:tcPr>
          <w:p>
            <w:pPr>
              <w:pStyle w:val="51"/>
            </w:pPr>
            <w:r>
              <w:rPr>
                <w:rFonts w:hint="eastAsia"/>
              </w:rPr>
              <w:t>0.0876</w:t>
            </w:r>
          </w:p>
        </w:tc>
      </w:tr>
    </w:tbl>
    <w:p>
      <w:pPr>
        <w:pStyle w:val="49"/>
        <w:ind w:firstLine="480"/>
      </w:pPr>
      <w:r>
        <w:rPr>
          <w:rFonts w:hint="eastAsia"/>
        </w:rPr>
        <w:t>本项目在鸡粪风干车间风道出口设置高压水帘装置，并使用微生物除臭剂溶液作为循环水，用于处理鸡粪风干车间恶臭气体。同时每日对鸡粪风干车间喷洒除臭剂。根据《自然科学》现代化农业，2011年第6期（总第383期）“微生物除臭剂研究进展”（赵晓锋，隋文志），经国家环境分析测试中心和陕西环境监测中心测试，生物除臭剂对氨的降解率为92.6%，对硫化氢的降解率为89%”。</w:t>
      </w:r>
    </w:p>
    <w:p>
      <w:pPr>
        <w:pStyle w:val="49"/>
        <w:ind w:firstLine="480"/>
      </w:pPr>
      <w:r>
        <w:rPr>
          <w:rFonts w:hint="eastAsia"/>
        </w:rPr>
        <w:t>本项目营运期鸡粪风干车间恶臭污染物的产排情况如下表所示。</w:t>
      </w:r>
    </w:p>
    <w:p>
      <w:pPr>
        <w:pStyle w:val="53"/>
      </w:pPr>
      <w:r>
        <w:rPr>
          <w:rFonts w:hint="eastAsia"/>
        </w:rPr>
        <w:t>表3.3-10  鸡粪风干车间恶臭污染物产排情况一览表</w:t>
      </w:r>
    </w:p>
    <w:tbl>
      <w:tblPr>
        <w:tblStyle w:val="4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133"/>
        <w:gridCol w:w="991"/>
        <w:gridCol w:w="3388"/>
        <w:gridCol w:w="11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pStyle w:val="51"/>
            </w:pPr>
            <w:r>
              <w:rPr>
                <w:rFonts w:hint="eastAsia"/>
              </w:rPr>
              <w:t>污染物</w:t>
            </w:r>
          </w:p>
        </w:tc>
        <w:tc>
          <w:tcPr>
            <w:tcW w:w="1133" w:type="dxa"/>
            <w:vAlign w:val="center"/>
          </w:tcPr>
          <w:p>
            <w:pPr>
              <w:pStyle w:val="51"/>
            </w:pPr>
            <w:r>
              <w:rPr>
                <w:rFonts w:hint="eastAsia"/>
              </w:rPr>
              <w:t>产生速率</w:t>
            </w:r>
          </w:p>
          <w:p>
            <w:pPr>
              <w:pStyle w:val="51"/>
            </w:pPr>
            <w:r>
              <w:rPr>
                <w:rFonts w:hint="eastAsia"/>
              </w:rPr>
              <w:t>（kg/h）</w:t>
            </w:r>
          </w:p>
        </w:tc>
        <w:tc>
          <w:tcPr>
            <w:tcW w:w="991" w:type="dxa"/>
            <w:vAlign w:val="center"/>
          </w:tcPr>
          <w:p>
            <w:pPr>
              <w:pStyle w:val="51"/>
            </w:pPr>
            <w:r>
              <w:rPr>
                <w:rFonts w:hint="eastAsia"/>
              </w:rPr>
              <w:t>产生量</w:t>
            </w:r>
          </w:p>
          <w:p>
            <w:pPr>
              <w:pStyle w:val="51"/>
            </w:pPr>
            <w:r>
              <w:rPr>
                <w:rFonts w:hint="eastAsia"/>
              </w:rPr>
              <w:t>（t/a）</w:t>
            </w:r>
          </w:p>
        </w:tc>
        <w:tc>
          <w:tcPr>
            <w:tcW w:w="3388" w:type="dxa"/>
            <w:vAlign w:val="center"/>
          </w:tcPr>
          <w:p>
            <w:pPr>
              <w:pStyle w:val="51"/>
            </w:pPr>
            <w:r>
              <w:rPr>
                <w:rFonts w:hint="eastAsia"/>
              </w:rPr>
              <w:t>治理措施及效率</w:t>
            </w:r>
          </w:p>
        </w:tc>
        <w:tc>
          <w:tcPr>
            <w:tcW w:w="1151" w:type="dxa"/>
            <w:vAlign w:val="center"/>
          </w:tcPr>
          <w:p>
            <w:pPr>
              <w:pStyle w:val="51"/>
            </w:pPr>
            <w:r>
              <w:rPr>
                <w:rFonts w:hint="eastAsia"/>
              </w:rPr>
              <w:t>排放速率</w:t>
            </w:r>
          </w:p>
          <w:p>
            <w:pPr>
              <w:pStyle w:val="51"/>
            </w:pPr>
            <w:r>
              <w:rPr>
                <w:rFonts w:hint="eastAsia"/>
              </w:rPr>
              <w:t>（kg/h）</w:t>
            </w:r>
          </w:p>
        </w:tc>
        <w:tc>
          <w:tcPr>
            <w:tcW w:w="992" w:type="dxa"/>
            <w:vAlign w:val="center"/>
          </w:tcPr>
          <w:p>
            <w:pPr>
              <w:pStyle w:val="51"/>
            </w:pPr>
            <w:r>
              <w:rPr>
                <w:rFonts w:hint="eastAsia"/>
              </w:rPr>
              <w:t>排放量</w:t>
            </w:r>
          </w:p>
          <w:p>
            <w:pPr>
              <w:pStyle w:val="51"/>
            </w:pPr>
            <w:r>
              <w:rPr>
                <w:rFonts w:hint="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45" w:type="dxa"/>
            <w:vAlign w:val="center"/>
          </w:tcPr>
          <w:p>
            <w:pPr>
              <w:pStyle w:val="51"/>
            </w:pPr>
            <w:r>
              <w:t>NH</w:t>
            </w:r>
            <w:r>
              <w:rPr>
                <w:vertAlign w:val="subscript"/>
              </w:rPr>
              <w:t>3</w:t>
            </w:r>
          </w:p>
        </w:tc>
        <w:tc>
          <w:tcPr>
            <w:tcW w:w="1133" w:type="dxa"/>
            <w:vAlign w:val="center"/>
          </w:tcPr>
          <w:p>
            <w:pPr>
              <w:pStyle w:val="51"/>
            </w:pPr>
            <w:r>
              <w:rPr>
                <w:rFonts w:hint="eastAsia"/>
              </w:rPr>
              <w:t>0.1</w:t>
            </w:r>
          </w:p>
        </w:tc>
        <w:tc>
          <w:tcPr>
            <w:tcW w:w="991" w:type="dxa"/>
            <w:vAlign w:val="center"/>
          </w:tcPr>
          <w:p>
            <w:pPr>
              <w:pStyle w:val="51"/>
            </w:pPr>
            <w:r>
              <w:rPr>
                <w:rFonts w:hint="eastAsia"/>
              </w:rPr>
              <w:t>0.876</w:t>
            </w:r>
          </w:p>
        </w:tc>
        <w:tc>
          <w:tcPr>
            <w:tcW w:w="3388" w:type="dxa"/>
            <w:vMerge w:val="restart"/>
            <w:vAlign w:val="center"/>
          </w:tcPr>
          <w:p>
            <w:pPr>
              <w:pStyle w:val="51"/>
            </w:pPr>
            <w:r>
              <w:rPr>
                <w:rFonts w:hint="eastAsia"/>
              </w:rPr>
              <w:t>在鸡粪风干车间风道出口设置高压水帘装置，并使用微生物除臭剂溶液作为循环水，每日对车间周边喷洒生物除臭剂，</w:t>
            </w:r>
            <w:r>
              <w:t>NH</w:t>
            </w:r>
            <w:r>
              <w:rPr>
                <w:vertAlign w:val="subscript"/>
              </w:rPr>
              <w:t>3</w:t>
            </w:r>
            <w:r>
              <w:rPr>
                <w:rFonts w:hint="eastAsia"/>
              </w:rPr>
              <w:t>和</w:t>
            </w:r>
            <w:r>
              <w:t>H</w:t>
            </w:r>
            <w:r>
              <w:rPr>
                <w:vertAlign w:val="subscript"/>
              </w:rPr>
              <w:t>2</w:t>
            </w:r>
            <w:r>
              <w:t>S</w:t>
            </w:r>
            <w:r>
              <w:rPr>
                <w:rFonts w:hint="eastAsia"/>
              </w:rPr>
              <w:t>的去处效率分别为92.6%和89%</w:t>
            </w:r>
          </w:p>
        </w:tc>
        <w:tc>
          <w:tcPr>
            <w:tcW w:w="1151" w:type="dxa"/>
            <w:vAlign w:val="center"/>
          </w:tcPr>
          <w:p>
            <w:pPr>
              <w:pStyle w:val="51"/>
            </w:pPr>
            <w:r>
              <w:rPr>
                <w:rFonts w:hint="eastAsia"/>
              </w:rPr>
              <w:t>0.0074</w:t>
            </w:r>
          </w:p>
        </w:tc>
        <w:tc>
          <w:tcPr>
            <w:tcW w:w="992" w:type="dxa"/>
            <w:vAlign w:val="center"/>
          </w:tcPr>
          <w:p>
            <w:pPr>
              <w:pStyle w:val="51"/>
            </w:pPr>
            <w:r>
              <w:rPr>
                <w:rFonts w:hint="eastAsia"/>
              </w:rPr>
              <w:t>0.0648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pStyle w:val="51"/>
            </w:pPr>
            <w:r>
              <w:t>H</w:t>
            </w:r>
            <w:r>
              <w:rPr>
                <w:vertAlign w:val="subscript"/>
              </w:rPr>
              <w:t>2</w:t>
            </w:r>
            <w:r>
              <w:t>S</w:t>
            </w:r>
          </w:p>
        </w:tc>
        <w:tc>
          <w:tcPr>
            <w:tcW w:w="1133" w:type="dxa"/>
            <w:vAlign w:val="center"/>
          </w:tcPr>
          <w:p>
            <w:pPr>
              <w:pStyle w:val="51"/>
            </w:pPr>
            <w:r>
              <w:rPr>
                <w:rFonts w:hint="eastAsia"/>
              </w:rPr>
              <w:t>0.01</w:t>
            </w:r>
          </w:p>
        </w:tc>
        <w:tc>
          <w:tcPr>
            <w:tcW w:w="991" w:type="dxa"/>
            <w:vAlign w:val="center"/>
          </w:tcPr>
          <w:p>
            <w:pPr>
              <w:pStyle w:val="51"/>
            </w:pPr>
            <w:r>
              <w:rPr>
                <w:rFonts w:hint="eastAsia"/>
              </w:rPr>
              <w:t>0.0876</w:t>
            </w:r>
          </w:p>
        </w:tc>
        <w:tc>
          <w:tcPr>
            <w:tcW w:w="3388" w:type="dxa"/>
            <w:vMerge w:val="continue"/>
            <w:vAlign w:val="center"/>
          </w:tcPr>
          <w:p>
            <w:pPr>
              <w:pStyle w:val="51"/>
            </w:pPr>
          </w:p>
        </w:tc>
        <w:tc>
          <w:tcPr>
            <w:tcW w:w="1151" w:type="dxa"/>
            <w:vAlign w:val="center"/>
          </w:tcPr>
          <w:p>
            <w:pPr>
              <w:pStyle w:val="51"/>
            </w:pPr>
            <w:r>
              <w:rPr>
                <w:rFonts w:hint="eastAsia"/>
              </w:rPr>
              <w:t>0.0011</w:t>
            </w:r>
          </w:p>
        </w:tc>
        <w:tc>
          <w:tcPr>
            <w:tcW w:w="992" w:type="dxa"/>
            <w:vAlign w:val="center"/>
          </w:tcPr>
          <w:p>
            <w:pPr>
              <w:pStyle w:val="51"/>
            </w:pPr>
            <w:r>
              <w:rPr>
                <w:rFonts w:hint="eastAsia"/>
              </w:rPr>
              <w:t>0.0096</w:t>
            </w:r>
          </w:p>
        </w:tc>
      </w:tr>
    </w:tbl>
    <w:p>
      <w:pPr>
        <w:pStyle w:val="49"/>
        <w:ind w:firstLine="480"/>
        <w:rPr>
          <w:color w:val="000000"/>
        </w:rPr>
      </w:pPr>
      <w:r>
        <w:rPr>
          <w:rFonts w:hint="eastAsia"/>
          <w:color w:val="000000"/>
        </w:rPr>
        <w:t>（3）一体化污水处理设施恶臭</w:t>
      </w:r>
    </w:p>
    <w:p>
      <w:pPr>
        <w:pStyle w:val="49"/>
        <w:ind w:firstLine="480"/>
      </w:pPr>
      <w:r>
        <w:rPr>
          <w:rFonts w:hint="eastAsia"/>
          <w:color w:val="000000"/>
        </w:rPr>
        <w:t>本项目废水主要为鸡舍冲洗废水和生活污水，一起进入一体化污水处理设施处理达标后，用于周边林地灌溉，不外排。</w:t>
      </w:r>
      <w:bookmarkStart w:id="147" w:name="_Hlk193879563"/>
      <w:r>
        <w:rPr>
          <w:rFonts w:hint="eastAsia"/>
          <w:color w:val="000000"/>
        </w:rPr>
        <w:t>一体化污水处理设施处理工艺为“</w:t>
      </w:r>
      <w:r>
        <w:rPr>
          <w:rFonts w:hint="eastAsia"/>
        </w:rPr>
        <w:t>格栅池+调节池+水解酸化池+A/O池+沉淀池+消毒池</w:t>
      </w:r>
      <w:r>
        <w:rPr>
          <w:rFonts w:hint="eastAsia"/>
          <w:color w:val="000000"/>
        </w:rPr>
        <w:t>”，其恶臭主要来源于</w:t>
      </w:r>
      <w:r>
        <w:rPr>
          <w:rFonts w:hint="eastAsia"/>
        </w:rPr>
        <w:t>水解酸化池、</w:t>
      </w:r>
      <w:r>
        <w:t xml:space="preserve">A/O </w:t>
      </w:r>
      <w:r>
        <w:rPr>
          <w:rFonts w:hint="eastAsia"/>
        </w:rPr>
        <w:t xml:space="preserve">组合池。本评价参考美国 </w:t>
      </w:r>
      <w:r>
        <w:t xml:space="preserve">EPA </w:t>
      </w:r>
      <w:r>
        <w:rPr>
          <w:rFonts w:hint="eastAsia"/>
        </w:rPr>
        <w:t xml:space="preserve">对城市污水处理厂恶臭污染物产生情况的研究，每处理 </w:t>
      </w:r>
      <w:r>
        <w:t>1gBOD</w:t>
      </w:r>
      <w:r>
        <w:rPr>
          <w:vertAlign w:val="subscript"/>
        </w:rPr>
        <w:t>5</w:t>
      </w:r>
      <w:r>
        <w:rPr>
          <w:rFonts w:hint="eastAsia"/>
        </w:rPr>
        <w:t xml:space="preserve">产生 </w:t>
      </w:r>
      <w:r>
        <w:t>0.0031gNH</w:t>
      </w:r>
      <w:r>
        <w:rPr>
          <w:vertAlign w:val="subscript"/>
        </w:rPr>
        <w:t>3</w:t>
      </w:r>
      <w:r>
        <w:rPr>
          <w:rFonts w:hint="eastAsia"/>
        </w:rPr>
        <w:t xml:space="preserve">和 </w:t>
      </w:r>
      <w:r>
        <w:t>0.00012gH</w:t>
      </w:r>
      <w:r>
        <w:rPr>
          <w:vertAlign w:val="subscript"/>
        </w:rPr>
        <w:t>2</w:t>
      </w:r>
      <w:r>
        <w:t>S</w:t>
      </w:r>
      <w:r>
        <w:rPr>
          <w:rFonts w:hint="eastAsia"/>
        </w:rPr>
        <w:t>。本项目一体化污水处理设施</w:t>
      </w:r>
      <w:r>
        <w:t>BOD</w:t>
      </w:r>
      <w:r>
        <w:rPr>
          <w:vertAlign w:val="subscript"/>
        </w:rPr>
        <w:t>5</w:t>
      </w:r>
      <w:r>
        <w:t xml:space="preserve"> </w:t>
      </w:r>
      <w:r>
        <w:rPr>
          <w:rFonts w:hint="eastAsia"/>
        </w:rPr>
        <w:t>处理量为</w:t>
      </w:r>
      <w:r>
        <w:rPr>
          <w:rFonts w:hint="eastAsia" w:eastAsia="等线" w:cs="Times New Roman"/>
          <w:color w:val="000000"/>
        </w:rPr>
        <w:t>0.2375</w:t>
      </w:r>
      <w:r>
        <w:t>t/a</w:t>
      </w:r>
      <w:r>
        <w:rPr>
          <w:rFonts w:hint="eastAsia"/>
        </w:rPr>
        <w:t xml:space="preserve">，根据《排污证申请与核发计算规范畜禽养殖业》中表 </w:t>
      </w:r>
      <w:r>
        <w:t xml:space="preserve">6 </w:t>
      </w:r>
      <w:r>
        <w:rPr>
          <w:rFonts w:hint="eastAsia"/>
        </w:rPr>
        <w:t>恶臭污染防治可行技术及控制要求，本项目采取厌氧段污水处理设施均密闭和加强绿化减少恶臭的排放量，根据同类型企业类比调查，采取以上措施除臭效率按</w:t>
      </w:r>
      <w:r>
        <w:t>50%</w:t>
      </w:r>
      <w:r>
        <w:rPr>
          <w:rFonts w:hint="eastAsia"/>
        </w:rPr>
        <w:t>计，项目一体化污水处理设施恶臭气体产生及排放情况如下表所示。</w:t>
      </w:r>
    </w:p>
    <w:bookmarkEnd w:id="147"/>
    <w:p>
      <w:pPr>
        <w:pStyle w:val="53"/>
      </w:pPr>
      <w:r>
        <w:rPr>
          <w:rFonts w:hint="eastAsia"/>
        </w:rPr>
        <w:t>表3.3-10  一体化污水处理设施恶臭污染物产排情况一览表</w:t>
      </w:r>
    </w:p>
    <w:tbl>
      <w:tblPr>
        <w:tblStyle w:val="40"/>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1129"/>
        <w:gridCol w:w="3833"/>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pStyle w:val="51"/>
            </w:pPr>
            <w:r>
              <w:rPr>
                <w:rFonts w:hint="eastAsia"/>
              </w:rPr>
              <w:t>污染物</w:t>
            </w:r>
          </w:p>
        </w:tc>
        <w:tc>
          <w:tcPr>
            <w:tcW w:w="1134" w:type="dxa"/>
            <w:vAlign w:val="center"/>
          </w:tcPr>
          <w:p>
            <w:pPr>
              <w:pStyle w:val="51"/>
            </w:pPr>
            <w:r>
              <w:rPr>
                <w:rFonts w:hint="eastAsia"/>
              </w:rPr>
              <w:t>产生速率</w:t>
            </w:r>
          </w:p>
          <w:p>
            <w:pPr>
              <w:pStyle w:val="51"/>
            </w:pPr>
            <w:r>
              <w:rPr>
                <w:rFonts w:hint="eastAsia"/>
              </w:rPr>
              <w:t>（kg/h）</w:t>
            </w:r>
          </w:p>
        </w:tc>
        <w:tc>
          <w:tcPr>
            <w:tcW w:w="1129" w:type="dxa"/>
            <w:vAlign w:val="center"/>
          </w:tcPr>
          <w:p>
            <w:pPr>
              <w:pStyle w:val="51"/>
            </w:pPr>
            <w:r>
              <w:rPr>
                <w:rFonts w:hint="eastAsia"/>
              </w:rPr>
              <w:t>产生量</w:t>
            </w:r>
          </w:p>
          <w:p>
            <w:pPr>
              <w:pStyle w:val="51"/>
            </w:pPr>
            <w:r>
              <w:rPr>
                <w:rFonts w:hint="eastAsia"/>
              </w:rPr>
              <w:t>（t/a）</w:t>
            </w:r>
          </w:p>
        </w:tc>
        <w:tc>
          <w:tcPr>
            <w:tcW w:w="3833" w:type="dxa"/>
            <w:vAlign w:val="center"/>
          </w:tcPr>
          <w:p>
            <w:pPr>
              <w:pStyle w:val="51"/>
            </w:pPr>
            <w:r>
              <w:rPr>
                <w:rFonts w:hint="eastAsia"/>
              </w:rPr>
              <w:t>治理效率</w:t>
            </w:r>
          </w:p>
        </w:tc>
        <w:tc>
          <w:tcPr>
            <w:tcW w:w="1275" w:type="dxa"/>
            <w:vAlign w:val="center"/>
          </w:tcPr>
          <w:p>
            <w:pPr>
              <w:pStyle w:val="51"/>
            </w:pPr>
            <w:r>
              <w:rPr>
                <w:rFonts w:hint="eastAsia"/>
              </w:rPr>
              <w:t>排放速率</w:t>
            </w:r>
          </w:p>
          <w:p>
            <w:pPr>
              <w:pStyle w:val="51"/>
            </w:pPr>
            <w:r>
              <w:rPr>
                <w:rFonts w:hint="eastAsia"/>
              </w:rPr>
              <w:t>（kg/h）</w:t>
            </w:r>
          </w:p>
        </w:tc>
        <w:tc>
          <w:tcPr>
            <w:tcW w:w="1134" w:type="dxa"/>
            <w:vAlign w:val="center"/>
          </w:tcPr>
          <w:p>
            <w:pPr>
              <w:pStyle w:val="51"/>
            </w:pPr>
            <w:r>
              <w:rPr>
                <w:rFonts w:hint="eastAsia"/>
              </w:rPr>
              <w:t>排放量</w:t>
            </w:r>
          </w:p>
          <w:p>
            <w:pPr>
              <w:pStyle w:val="51"/>
            </w:pPr>
            <w:r>
              <w:rPr>
                <w:rFonts w:hint="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pStyle w:val="51"/>
            </w:pPr>
            <w:r>
              <w:t>NH</w:t>
            </w:r>
            <w:r>
              <w:rPr>
                <w:vertAlign w:val="subscript"/>
              </w:rPr>
              <w:t>3</w:t>
            </w:r>
          </w:p>
        </w:tc>
        <w:tc>
          <w:tcPr>
            <w:tcW w:w="1134" w:type="dxa"/>
            <w:vAlign w:val="center"/>
          </w:tcPr>
          <w:p>
            <w:pPr>
              <w:pStyle w:val="51"/>
            </w:pPr>
            <w:r>
              <w:rPr>
                <w:rFonts w:hint="eastAsia"/>
              </w:rPr>
              <w:t>8.4</w:t>
            </w:r>
            <w:r>
              <w:rPr>
                <w:rFonts w:cs="Times New Roman"/>
              </w:rPr>
              <w:t>×</w:t>
            </w:r>
            <w:r>
              <w:rPr>
                <w:rFonts w:hint="eastAsia"/>
              </w:rPr>
              <w:t>10</w:t>
            </w:r>
            <w:r>
              <w:rPr>
                <w:rFonts w:hint="eastAsia"/>
                <w:vertAlign w:val="superscript"/>
              </w:rPr>
              <w:t>-5</w:t>
            </w:r>
          </w:p>
        </w:tc>
        <w:tc>
          <w:tcPr>
            <w:tcW w:w="1129" w:type="dxa"/>
            <w:vAlign w:val="center"/>
          </w:tcPr>
          <w:p>
            <w:pPr>
              <w:pStyle w:val="51"/>
            </w:pPr>
            <w:r>
              <w:rPr>
                <w:rFonts w:hint="eastAsia"/>
              </w:rPr>
              <w:t>7.36</w:t>
            </w:r>
            <w:r>
              <w:rPr>
                <w:rFonts w:cs="Times New Roman"/>
              </w:rPr>
              <w:t>×</w:t>
            </w:r>
            <w:r>
              <w:rPr>
                <w:rFonts w:hint="eastAsia"/>
              </w:rPr>
              <w:t>10</w:t>
            </w:r>
            <w:r>
              <w:rPr>
                <w:rFonts w:hint="eastAsia"/>
                <w:vertAlign w:val="superscript"/>
              </w:rPr>
              <w:t>-4</w:t>
            </w:r>
          </w:p>
        </w:tc>
        <w:tc>
          <w:tcPr>
            <w:tcW w:w="3833" w:type="dxa"/>
            <w:vMerge w:val="restart"/>
            <w:vAlign w:val="center"/>
          </w:tcPr>
          <w:p>
            <w:pPr>
              <w:pStyle w:val="51"/>
            </w:pPr>
            <w:r>
              <w:rPr>
                <w:rFonts w:hint="eastAsia"/>
              </w:rPr>
              <w:t>厌氧段污水处理设施均密闭，定期期喷洒除臭剂，加强绿化，去除效率为50</w:t>
            </w:r>
            <w:r>
              <w:t>%</w:t>
            </w:r>
          </w:p>
        </w:tc>
        <w:tc>
          <w:tcPr>
            <w:tcW w:w="1275" w:type="dxa"/>
            <w:vAlign w:val="center"/>
          </w:tcPr>
          <w:p>
            <w:pPr>
              <w:pStyle w:val="51"/>
            </w:pPr>
            <w:r>
              <w:rPr>
                <w:rFonts w:hint="eastAsia"/>
              </w:rPr>
              <w:t>4.2</w:t>
            </w:r>
            <w:r>
              <w:rPr>
                <w:rFonts w:cs="Times New Roman"/>
              </w:rPr>
              <w:t>×</w:t>
            </w:r>
            <w:r>
              <w:rPr>
                <w:rFonts w:hint="eastAsia"/>
              </w:rPr>
              <w:t>10</w:t>
            </w:r>
            <w:r>
              <w:rPr>
                <w:rFonts w:hint="eastAsia"/>
                <w:vertAlign w:val="superscript"/>
              </w:rPr>
              <w:t>-5</w:t>
            </w:r>
          </w:p>
        </w:tc>
        <w:tc>
          <w:tcPr>
            <w:tcW w:w="1134" w:type="dxa"/>
            <w:vAlign w:val="center"/>
          </w:tcPr>
          <w:p>
            <w:pPr>
              <w:pStyle w:val="51"/>
            </w:pPr>
            <w:r>
              <w:rPr>
                <w:rFonts w:hint="eastAsia"/>
              </w:rPr>
              <w:t>3.68</w:t>
            </w:r>
            <w:r>
              <w:rPr>
                <w:rFonts w:cs="Times New Roman"/>
              </w:rPr>
              <w:t>×</w:t>
            </w:r>
            <w:r>
              <w:rPr>
                <w:rFonts w:hint="eastAsia"/>
              </w:rPr>
              <w:t>10</w:t>
            </w:r>
            <w:r>
              <w:rPr>
                <w:rFonts w:hint="eastAsia"/>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pStyle w:val="51"/>
            </w:pPr>
            <w:r>
              <w:t>H</w:t>
            </w:r>
            <w:r>
              <w:rPr>
                <w:vertAlign w:val="subscript"/>
              </w:rPr>
              <w:t>2</w:t>
            </w:r>
            <w:r>
              <w:t>S</w:t>
            </w:r>
          </w:p>
        </w:tc>
        <w:tc>
          <w:tcPr>
            <w:tcW w:w="1134" w:type="dxa"/>
            <w:vAlign w:val="center"/>
          </w:tcPr>
          <w:p>
            <w:pPr>
              <w:pStyle w:val="51"/>
            </w:pPr>
            <w:r>
              <w:rPr>
                <w:rFonts w:hint="eastAsia"/>
              </w:rPr>
              <w:t>3.25</w:t>
            </w:r>
            <w:r>
              <w:rPr>
                <w:rFonts w:cs="Times New Roman"/>
              </w:rPr>
              <w:t>×</w:t>
            </w:r>
            <w:r>
              <w:rPr>
                <w:rFonts w:hint="eastAsia"/>
              </w:rPr>
              <w:t>10</w:t>
            </w:r>
            <w:r>
              <w:rPr>
                <w:rFonts w:hint="eastAsia"/>
                <w:vertAlign w:val="superscript"/>
              </w:rPr>
              <w:t>-6</w:t>
            </w:r>
          </w:p>
        </w:tc>
        <w:tc>
          <w:tcPr>
            <w:tcW w:w="1129" w:type="dxa"/>
            <w:vAlign w:val="center"/>
          </w:tcPr>
          <w:p>
            <w:pPr>
              <w:pStyle w:val="51"/>
            </w:pPr>
            <w:r>
              <w:rPr>
                <w:rFonts w:hint="eastAsia"/>
              </w:rPr>
              <w:t>2.85</w:t>
            </w:r>
            <w:r>
              <w:rPr>
                <w:rFonts w:cs="Times New Roman"/>
              </w:rPr>
              <w:t>×</w:t>
            </w:r>
            <w:r>
              <w:rPr>
                <w:rFonts w:hint="eastAsia"/>
              </w:rPr>
              <w:t>10</w:t>
            </w:r>
            <w:r>
              <w:rPr>
                <w:rFonts w:hint="eastAsia"/>
                <w:vertAlign w:val="superscript"/>
              </w:rPr>
              <w:t>-5</w:t>
            </w:r>
          </w:p>
        </w:tc>
        <w:tc>
          <w:tcPr>
            <w:tcW w:w="3833" w:type="dxa"/>
            <w:vMerge w:val="continue"/>
            <w:vAlign w:val="center"/>
          </w:tcPr>
          <w:p>
            <w:pPr>
              <w:pStyle w:val="51"/>
            </w:pPr>
          </w:p>
        </w:tc>
        <w:tc>
          <w:tcPr>
            <w:tcW w:w="1275" w:type="dxa"/>
            <w:vAlign w:val="center"/>
          </w:tcPr>
          <w:p>
            <w:pPr>
              <w:pStyle w:val="51"/>
            </w:pPr>
            <w:r>
              <w:rPr>
                <w:rFonts w:hint="eastAsia"/>
              </w:rPr>
              <w:t>1.63</w:t>
            </w:r>
            <w:r>
              <w:rPr>
                <w:rFonts w:cs="Times New Roman"/>
              </w:rPr>
              <w:t>×</w:t>
            </w:r>
            <w:r>
              <w:rPr>
                <w:rFonts w:hint="eastAsia"/>
              </w:rPr>
              <w:t>10</w:t>
            </w:r>
            <w:r>
              <w:rPr>
                <w:rFonts w:hint="eastAsia"/>
                <w:vertAlign w:val="superscript"/>
              </w:rPr>
              <w:t>-6</w:t>
            </w:r>
          </w:p>
        </w:tc>
        <w:tc>
          <w:tcPr>
            <w:tcW w:w="1134" w:type="dxa"/>
            <w:vAlign w:val="center"/>
          </w:tcPr>
          <w:p>
            <w:pPr>
              <w:pStyle w:val="51"/>
            </w:pPr>
            <w:r>
              <w:rPr>
                <w:rFonts w:hint="eastAsia"/>
              </w:rPr>
              <w:t>1.42</w:t>
            </w:r>
            <w:r>
              <w:rPr>
                <w:rFonts w:cs="Times New Roman"/>
              </w:rPr>
              <w:t>×</w:t>
            </w:r>
            <w:r>
              <w:rPr>
                <w:rFonts w:hint="eastAsia"/>
              </w:rPr>
              <w:t>10</w:t>
            </w:r>
            <w:r>
              <w:rPr>
                <w:rFonts w:hint="eastAsia"/>
                <w:vertAlign w:val="superscript"/>
              </w:rPr>
              <w:t>-5</w:t>
            </w:r>
          </w:p>
        </w:tc>
      </w:tr>
    </w:tbl>
    <w:p>
      <w:pPr>
        <w:pStyle w:val="49"/>
        <w:ind w:firstLine="480"/>
        <w:rPr>
          <w:color w:val="000000"/>
        </w:rPr>
      </w:pPr>
      <w:bookmarkStart w:id="148" w:name="_Hlk193879664"/>
      <w:r>
        <w:rPr>
          <w:rFonts w:hint="eastAsia"/>
          <w:color w:val="000000"/>
        </w:rPr>
        <w:t>2、鸡舍粉尘</w:t>
      </w:r>
    </w:p>
    <w:p>
      <w:pPr>
        <w:pStyle w:val="49"/>
        <w:ind w:firstLine="480"/>
        <w:rPr>
          <w:color w:val="000000"/>
        </w:rPr>
      </w:pPr>
      <w:r>
        <w:rPr>
          <w:rFonts w:hint="eastAsia"/>
          <w:color w:val="000000"/>
        </w:rPr>
        <w:t>根据建设单位提供的资料，本项目采用科学喂养方式，全自动送饲料，且饲料为成品颗粒状饲料，鸡舍饲料基本不残留，因此饲料粉尘极少，主要为鸡毛等杂质。</w:t>
      </w:r>
      <w:r>
        <w:rPr>
          <w:rFonts w:hint="eastAsia" w:cs="Times New Roman"/>
          <w:bCs/>
          <w:kern w:val="2"/>
        </w:rPr>
        <w:t>建设单位通过在鸡舍排风尾端设置防尘间</w:t>
      </w:r>
      <w:r>
        <w:rPr>
          <w:rFonts w:cs="Times New Roman"/>
          <w:bCs/>
          <w:kern w:val="2"/>
        </w:rPr>
        <w:t>封闭，并在排放口上部布置防尘网</w:t>
      </w:r>
      <w:r>
        <w:rPr>
          <w:rFonts w:hint="eastAsia" w:cs="Times New Roman"/>
          <w:bCs/>
          <w:kern w:val="2"/>
        </w:rPr>
        <w:t>，设置水雾喷淋系统，利用雾化水将粘附粉尘，形成比重更大的颗粒物而加速沉降，排放的粉尘量极少，因此本评价不做具体分析。</w:t>
      </w:r>
    </w:p>
    <w:bookmarkEnd w:id="148"/>
    <w:p>
      <w:pPr>
        <w:pStyle w:val="49"/>
        <w:ind w:firstLine="480"/>
        <w:rPr>
          <w:color w:val="000000"/>
        </w:rPr>
      </w:pPr>
      <w:r>
        <w:rPr>
          <w:rFonts w:hint="eastAsia"/>
          <w:color w:val="000000"/>
        </w:rPr>
        <w:t>3、鸡粪风干车间粉尘</w:t>
      </w:r>
    </w:p>
    <w:p>
      <w:pPr>
        <w:pStyle w:val="49"/>
        <w:ind w:firstLine="480"/>
        <w:rPr>
          <w:color w:val="000000"/>
        </w:rPr>
      </w:pPr>
      <w:r>
        <w:rPr>
          <w:rFonts w:hint="eastAsia"/>
        </w:rPr>
        <w:t>本项目鸡粪、污泥送鸡粪风干车间风干后，</w:t>
      </w:r>
      <w:r>
        <w:rPr>
          <w:rFonts w:hint="eastAsia"/>
          <w:color w:val="000000"/>
        </w:rPr>
        <w:t>外售至有湖南恩润生物科技有限公司制造有机肥。鸡粪、污泥约为56941.05t，含水率约为70%，经风干后含水率约为40%，则风干后鸡粪、污泥约为28470.525t。</w:t>
      </w:r>
      <w:r>
        <w:rPr>
          <w:rFonts w:hint="eastAsia" w:ascii="宋体" w:hAnsi="宋体"/>
          <w:color w:val="000000"/>
        </w:rPr>
        <w:t>根据《排放源统计调查产排污核算方法和系数手册》中《</w:t>
      </w:r>
      <w:r>
        <w:rPr>
          <w:rFonts w:cs="Times New Roman"/>
          <w:color w:val="000000"/>
        </w:rPr>
        <w:t>2625</w:t>
      </w:r>
      <w:r>
        <w:rPr>
          <w:rFonts w:hint="eastAsia" w:ascii="宋体" w:hAnsi="宋体"/>
          <w:color w:val="000000"/>
        </w:rPr>
        <w:t>有机肥料及微生物废料制造行业系数手册》表</w:t>
      </w:r>
      <w:r>
        <w:rPr>
          <w:rFonts w:cs="Times New Roman"/>
          <w:color w:val="000000"/>
        </w:rPr>
        <w:t>1</w:t>
      </w:r>
      <w:r>
        <w:rPr>
          <w:rFonts w:hint="eastAsia" w:cs="Times New Roman"/>
          <w:color w:val="000000"/>
        </w:rPr>
        <w:t>，有机肥发酵前处理工序颗粒物产生系数为0.370kg/t-产品，则鸡粪风干车间颗粒物产生量约为10.534t/a。</w:t>
      </w:r>
    </w:p>
    <w:p>
      <w:pPr>
        <w:pStyle w:val="49"/>
        <w:ind w:firstLine="480"/>
      </w:pPr>
      <w:r>
        <w:rPr>
          <w:rFonts w:hint="eastAsia"/>
        </w:rPr>
        <w:t>本项目在鸡粪风干车间风道出口设置高压水帘装置，并使用微生物除臭剂溶液作为循环水，用于去除鸡粪风干车间产生的恶臭及颗粒物，高压水帘装置颗粒物去除效率取值90%，本项目营运期鸡粪风干车间颗粒物的产排情况如下表所示。</w:t>
      </w:r>
    </w:p>
    <w:p>
      <w:pPr>
        <w:pStyle w:val="53"/>
      </w:pPr>
      <w:r>
        <w:rPr>
          <w:rFonts w:hint="eastAsia"/>
        </w:rPr>
        <w:t>表3.3-11  鸡粪风干车间颗粒物产排情况一览表</w:t>
      </w:r>
    </w:p>
    <w:tbl>
      <w:tblPr>
        <w:tblStyle w:val="4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132"/>
        <w:gridCol w:w="850"/>
        <w:gridCol w:w="3553"/>
        <w:gridCol w:w="107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Align w:val="center"/>
          </w:tcPr>
          <w:p>
            <w:pPr>
              <w:pStyle w:val="51"/>
            </w:pPr>
            <w:r>
              <w:rPr>
                <w:rFonts w:hint="eastAsia"/>
              </w:rPr>
              <w:t>污染物</w:t>
            </w:r>
          </w:p>
        </w:tc>
        <w:tc>
          <w:tcPr>
            <w:tcW w:w="1132" w:type="dxa"/>
            <w:vAlign w:val="center"/>
          </w:tcPr>
          <w:p>
            <w:pPr>
              <w:pStyle w:val="51"/>
            </w:pPr>
            <w:r>
              <w:rPr>
                <w:rFonts w:hint="eastAsia"/>
              </w:rPr>
              <w:t>产生速率</w:t>
            </w:r>
          </w:p>
          <w:p>
            <w:pPr>
              <w:pStyle w:val="51"/>
            </w:pPr>
            <w:r>
              <w:rPr>
                <w:rFonts w:hint="eastAsia"/>
              </w:rPr>
              <w:t>（kg/h）</w:t>
            </w:r>
          </w:p>
        </w:tc>
        <w:tc>
          <w:tcPr>
            <w:tcW w:w="850" w:type="dxa"/>
            <w:vAlign w:val="center"/>
          </w:tcPr>
          <w:p>
            <w:pPr>
              <w:pStyle w:val="51"/>
            </w:pPr>
            <w:r>
              <w:rPr>
                <w:rFonts w:hint="eastAsia"/>
              </w:rPr>
              <w:t>产生量</w:t>
            </w:r>
          </w:p>
          <w:p>
            <w:pPr>
              <w:pStyle w:val="51"/>
            </w:pPr>
            <w:r>
              <w:rPr>
                <w:rFonts w:hint="eastAsia"/>
              </w:rPr>
              <w:t>（t/a）</w:t>
            </w:r>
          </w:p>
        </w:tc>
        <w:tc>
          <w:tcPr>
            <w:tcW w:w="3553" w:type="dxa"/>
            <w:vAlign w:val="center"/>
          </w:tcPr>
          <w:p>
            <w:pPr>
              <w:pStyle w:val="51"/>
            </w:pPr>
            <w:r>
              <w:rPr>
                <w:rFonts w:hint="eastAsia"/>
              </w:rPr>
              <w:t>治理措施及效率</w:t>
            </w:r>
          </w:p>
        </w:tc>
        <w:tc>
          <w:tcPr>
            <w:tcW w:w="1076" w:type="dxa"/>
            <w:vAlign w:val="center"/>
          </w:tcPr>
          <w:p>
            <w:pPr>
              <w:pStyle w:val="51"/>
            </w:pPr>
            <w:r>
              <w:rPr>
                <w:rFonts w:hint="eastAsia"/>
              </w:rPr>
              <w:t>排放速率</w:t>
            </w:r>
          </w:p>
          <w:p>
            <w:pPr>
              <w:pStyle w:val="51"/>
            </w:pPr>
            <w:r>
              <w:rPr>
                <w:rFonts w:hint="eastAsia"/>
              </w:rPr>
              <w:t>（kg/h）</w:t>
            </w:r>
          </w:p>
        </w:tc>
        <w:tc>
          <w:tcPr>
            <w:tcW w:w="846" w:type="dxa"/>
            <w:vAlign w:val="center"/>
          </w:tcPr>
          <w:p>
            <w:pPr>
              <w:pStyle w:val="51"/>
            </w:pPr>
            <w:r>
              <w:rPr>
                <w:rFonts w:hint="eastAsia"/>
              </w:rPr>
              <w:t>排放量</w:t>
            </w:r>
          </w:p>
          <w:p>
            <w:pPr>
              <w:pStyle w:val="51"/>
            </w:pPr>
            <w:r>
              <w:rPr>
                <w:rFonts w:hint="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39" w:type="dxa"/>
            <w:vAlign w:val="center"/>
          </w:tcPr>
          <w:p>
            <w:pPr>
              <w:pStyle w:val="51"/>
            </w:pPr>
            <w:r>
              <w:rPr>
                <w:rFonts w:hint="eastAsia"/>
              </w:rPr>
              <w:t>颗粒物</w:t>
            </w:r>
          </w:p>
        </w:tc>
        <w:tc>
          <w:tcPr>
            <w:tcW w:w="1132" w:type="dxa"/>
            <w:vAlign w:val="center"/>
          </w:tcPr>
          <w:p>
            <w:pPr>
              <w:pStyle w:val="51"/>
            </w:pPr>
            <w:r>
              <w:rPr>
                <w:rFonts w:hint="eastAsia"/>
              </w:rPr>
              <w:t>1.203</w:t>
            </w:r>
          </w:p>
        </w:tc>
        <w:tc>
          <w:tcPr>
            <w:tcW w:w="850" w:type="dxa"/>
            <w:vAlign w:val="center"/>
          </w:tcPr>
          <w:p>
            <w:pPr>
              <w:pStyle w:val="51"/>
            </w:pPr>
            <w:r>
              <w:rPr>
                <w:rFonts w:hint="eastAsia"/>
              </w:rPr>
              <w:t>10.534</w:t>
            </w:r>
          </w:p>
        </w:tc>
        <w:tc>
          <w:tcPr>
            <w:tcW w:w="3553" w:type="dxa"/>
            <w:vAlign w:val="center"/>
          </w:tcPr>
          <w:p>
            <w:pPr>
              <w:pStyle w:val="51"/>
            </w:pPr>
            <w:r>
              <w:rPr>
                <w:rFonts w:hint="eastAsia"/>
              </w:rPr>
              <w:t>在鸡粪风干车间风道出口设置高压水帘装置，并使用微生物除臭剂溶液作为循环水，去除效率为90%</w:t>
            </w:r>
          </w:p>
        </w:tc>
        <w:tc>
          <w:tcPr>
            <w:tcW w:w="1076" w:type="dxa"/>
            <w:vAlign w:val="center"/>
          </w:tcPr>
          <w:p>
            <w:pPr>
              <w:pStyle w:val="51"/>
            </w:pPr>
            <w:r>
              <w:rPr>
                <w:rFonts w:hint="eastAsia"/>
              </w:rPr>
              <w:t>0.120</w:t>
            </w:r>
          </w:p>
        </w:tc>
        <w:tc>
          <w:tcPr>
            <w:tcW w:w="846" w:type="dxa"/>
            <w:vAlign w:val="center"/>
          </w:tcPr>
          <w:p>
            <w:pPr>
              <w:pStyle w:val="51"/>
            </w:pPr>
            <w:r>
              <w:rPr>
                <w:rFonts w:hint="eastAsia"/>
              </w:rPr>
              <w:t>1.0534</w:t>
            </w:r>
          </w:p>
        </w:tc>
      </w:tr>
    </w:tbl>
    <w:p>
      <w:pPr>
        <w:pStyle w:val="49"/>
        <w:ind w:firstLine="480"/>
        <w:rPr>
          <w:color w:val="000000"/>
        </w:rPr>
      </w:pPr>
      <w:r>
        <w:rPr>
          <w:rFonts w:hint="eastAsia"/>
          <w:color w:val="000000"/>
        </w:rPr>
        <w:t>4、备用柴油发电机废气</w:t>
      </w:r>
    </w:p>
    <w:p>
      <w:pPr>
        <w:pStyle w:val="49"/>
        <w:ind w:firstLine="480"/>
      </w:pPr>
      <w:bookmarkStart w:id="149" w:name="_Hlk187138330"/>
      <w:r>
        <w:rPr>
          <w:rFonts w:hint="eastAsia"/>
        </w:rPr>
        <w:t xml:space="preserve">本项目拟配备 </w:t>
      </w:r>
      <w:r>
        <w:t xml:space="preserve">1 </w:t>
      </w:r>
      <w:r>
        <w:rPr>
          <w:rFonts w:hint="eastAsia"/>
        </w:rPr>
        <w:t xml:space="preserve">台 </w:t>
      </w:r>
      <w:r>
        <w:t xml:space="preserve">250kW </w:t>
      </w:r>
      <w:r>
        <w:rPr>
          <w:rFonts w:hint="eastAsia"/>
        </w:rPr>
        <w:t xml:space="preserve">应急柴油发电机作为备用电源，在当地电网断电后通过人工开启运行。发电机采用含硫量小于 </w:t>
      </w:r>
      <w:r>
        <w:t>0.2%</w:t>
      </w:r>
      <w:r>
        <w:rPr>
          <w:rFonts w:hint="eastAsia"/>
        </w:rPr>
        <w:t xml:space="preserve">的 </w:t>
      </w:r>
      <w:r>
        <w:t>0#</w:t>
      </w:r>
      <w:r>
        <w:rPr>
          <w:rFonts w:hint="eastAsia"/>
        </w:rPr>
        <w:t xml:space="preserve">柴油作燃料，燃油废气中主要含有 </w:t>
      </w:r>
      <w:r>
        <w:t>SO</w:t>
      </w:r>
      <w:r>
        <w:rPr>
          <w:vertAlign w:val="subscript"/>
        </w:rPr>
        <w:t>2</w:t>
      </w:r>
      <w:r>
        <w:rPr>
          <w:rFonts w:hint="eastAsia"/>
        </w:rPr>
        <w:t>、烟尘、</w:t>
      </w:r>
      <w:r>
        <w:t>CO</w:t>
      </w:r>
      <w:r>
        <w:rPr>
          <w:rFonts w:hint="eastAsia"/>
        </w:rPr>
        <w:t>、</w:t>
      </w:r>
      <w:r>
        <w:t xml:space="preserve">NOx </w:t>
      </w:r>
      <w:r>
        <w:rPr>
          <w:rFonts w:hint="eastAsia"/>
        </w:rPr>
        <w:t>等污染物，尾气由专用烟道引至发电机房屋顶烟囱排放。市政供电比较正常，备用发电机的启用次数不多，发电机每月工作时间累计不超过 8小时，全年工作时间累计不超过 96</w:t>
      </w:r>
      <w:r>
        <w:t xml:space="preserve"> </w:t>
      </w:r>
      <w:r>
        <w:rPr>
          <w:rFonts w:hint="eastAsia"/>
        </w:rPr>
        <w:t xml:space="preserve">小时。采用优质 </w:t>
      </w:r>
      <w:r>
        <w:t>0#</w:t>
      </w:r>
      <w:r>
        <w:rPr>
          <w:rFonts w:hint="eastAsia"/>
        </w:rPr>
        <w:t xml:space="preserve">柴油作为燃料，柴油发电机单位耗油量 </w:t>
      </w:r>
      <w:r>
        <w:t>212.5g/kW·h</w:t>
      </w:r>
      <w:r>
        <w:rPr>
          <w:rFonts w:hint="eastAsia"/>
        </w:rPr>
        <w:t>计，则项目柴油发电机耗油量不超过5.1</w:t>
      </w:r>
      <w:r>
        <w:t>t/a</w:t>
      </w:r>
      <w:r>
        <w:rPr>
          <w:rFonts w:hint="eastAsia"/>
        </w:rPr>
        <w:t>。</w:t>
      </w:r>
    </w:p>
    <w:p>
      <w:pPr>
        <w:pStyle w:val="49"/>
        <w:ind w:firstLine="480"/>
      </w:pPr>
      <w:r>
        <w:t>参照北京市环境保护科学研究院世行课题组编制的《北京环境总体规划研究》中确定的排放系数，燃烧1t</w:t>
      </w:r>
      <w:r>
        <w:rPr>
          <w:rFonts w:hint="eastAsia"/>
        </w:rPr>
        <w:t>柴</w:t>
      </w:r>
      <w:r>
        <w:t>油</w:t>
      </w:r>
      <w:r>
        <w:rPr>
          <w:rFonts w:cs="Times New Roman"/>
        </w:rPr>
        <w:t>SO</w:t>
      </w:r>
      <w:r>
        <w:rPr>
          <w:rFonts w:cs="Times New Roman"/>
          <w:vertAlign w:val="subscript"/>
        </w:rPr>
        <w:t>2</w:t>
      </w:r>
      <w:r>
        <w:rPr>
          <w:rFonts w:cs="Times New Roman"/>
        </w:rPr>
        <w:t>的排放量为4.57kg</w:t>
      </w:r>
      <w:r>
        <w:rPr>
          <w:rFonts w:hint="eastAsia" w:cs="Times New Roman"/>
        </w:rPr>
        <w:t>，</w:t>
      </w:r>
      <w:r>
        <w:rPr>
          <w:rFonts w:cs="Times New Roman"/>
        </w:rPr>
        <w:t>烟尘的排放量为0.81kg</w:t>
      </w:r>
      <w:r>
        <w:rPr>
          <w:rFonts w:hint="eastAsia" w:cs="Times New Roman"/>
        </w:rPr>
        <w:t>，</w:t>
      </w:r>
      <w:r>
        <w:t xml:space="preserve"> NO</w:t>
      </w:r>
      <w:r>
        <w:rPr>
          <w:vertAlign w:val="subscript"/>
        </w:rPr>
        <w:t>X</w:t>
      </w:r>
      <w:r>
        <w:t>的</w:t>
      </w:r>
      <w:r>
        <w:rPr>
          <w:rFonts w:cs="Times New Roman"/>
        </w:rPr>
        <w:t>排放量为2.94kg</w:t>
      </w:r>
      <w:r>
        <w:rPr>
          <w:rFonts w:hint="eastAsia" w:cs="Times New Roman"/>
        </w:rPr>
        <w:t>。本项目</w:t>
      </w:r>
      <w:r>
        <w:rPr>
          <w:rFonts w:cs="Times New Roman"/>
        </w:rPr>
        <w:t>SO</w:t>
      </w:r>
      <w:r>
        <w:rPr>
          <w:rFonts w:cs="Times New Roman"/>
          <w:vertAlign w:val="subscript"/>
        </w:rPr>
        <w:t>2</w:t>
      </w:r>
      <w:r>
        <w:rPr>
          <w:rFonts w:cs="Times New Roman"/>
        </w:rPr>
        <w:t>的排放量为</w:t>
      </w:r>
      <w:r>
        <w:rPr>
          <w:rFonts w:hint="eastAsia" w:cs="Times New Roman"/>
        </w:rPr>
        <w:t>23.307</w:t>
      </w:r>
      <w:r>
        <w:rPr>
          <w:rFonts w:cs="Times New Roman"/>
        </w:rPr>
        <w:t>kg/a</w:t>
      </w:r>
      <w:r>
        <w:rPr>
          <w:rFonts w:hint="eastAsia" w:cs="Times New Roman"/>
        </w:rPr>
        <w:t>，</w:t>
      </w:r>
      <w:r>
        <w:rPr>
          <w:rFonts w:cs="Times New Roman"/>
        </w:rPr>
        <w:t>烟尘的排放量为</w:t>
      </w:r>
      <w:r>
        <w:rPr>
          <w:rFonts w:hint="eastAsia" w:cs="Times New Roman"/>
        </w:rPr>
        <w:t>4.131</w:t>
      </w:r>
      <w:r>
        <w:rPr>
          <w:rFonts w:cs="Times New Roman"/>
        </w:rPr>
        <w:t>kg</w:t>
      </w:r>
      <w:r>
        <w:rPr>
          <w:rFonts w:hint="eastAsia" w:cs="Times New Roman"/>
        </w:rPr>
        <w:t>/a，</w:t>
      </w:r>
      <w:r>
        <w:rPr>
          <w:rFonts w:cs="Times New Roman"/>
        </w:rPr>
        <w:t xml:space="preserve"> NO</w:t>
      </w:r>
      <w:r>
        <w:rPr>
          <w:rFonts w:cs="Times New Roman"/>
          <w:vertAlign w:val="subscript"/>
        </w:rPr>
        <w:t>X</w:t>
      </w:r>
      <w:r>
        <w:rPr>
          <w:rFonts w:cs="Times New Roman"/>
        </w:rPr>
        <w:t>的排放量为</w:t>
      </w:r>
      <w:r>
        <w:rPr>
          <w:rFonts w:hint="eastAsia" w:cs="Times New Roman"/>
        </w:rPr>
        <w:t>14.994</w:t>
      </w:r>
      <w:r>
        <w:rPr>
          <w:rFonts w:cs="Times New Roman"/>
        </w:rPr>
        <w:t>kg/a。</w:t>
      </w:r>
    </w:p>
    <w:bookmarkEnd w:id="149"/>
    <w:p>
      <w:pPr>
        <w:pStyle w:val="49"/>
        <w:ind w:firstLine="480"/>
        <w:rPr>
          <w:rFonts w:cs="Times New Roman"/>
        </w:rPr>
      </w:pPr>
      <w:r>
        <w:rPr>
          <w:rFonts w:hint="eastAsia" w:cs="Times New Roman"/>
        </w:rPr>
        <w:t>5、食堂油烟</w:t>
      </w:r>
    </w:p>
    <w:p>
      <w:pPr>
        <w:pStyle w:val="49"/>
        <w:kinsoku w:val="0"/>
        <w:ind w:firstLine="480"/>
      </w:pPr>
      <w:bookmarkStart w:id="150" w:name="_Hlk187138335"/>
      <w:r>
        <w:rPr>
          <w:rFonts w:hint="eastAsia"/>
        </w:rPr>
        <w:t>本项目设厨房，用餐员工为 50</w:t>
      </w:r>
      <w:r>
        <w:t xml:space="preserve"> </w:t>
      </w:r>
      <w:r>
        <w:rPr>
          <w:rFonts w:hint="eastAsia"/>
        </w:rPr>
        <w:t xml:space="preserve">人，项目食堂采用液化石油气作为能源，属于清洁能源，完全燃烧后的污染物产生量很少，主要废气为食堂油烟。食用油用量平均按 </w:t>
      </w:r>
      <w:r>
        <w:t>0.03kg/</w:t>
      </w:r>
      <w:r>
        <w:rPr>
          <w:rFonts w:hint="eastAsia"/>
        </w:rPr>
        <w:t>人</w:t>
      </w:r>
      <w:r>
        <w:t xml:space="preserve">·d </w:t>
      </w:r>
      <w:r>
        <w:rPr>
          <w:rFonts w:hint="eastAsia"/>
        </w:rPr>
        <w:t>计，则年耗油量为0.548t</w:t>
      </w:r>
      <w:r>
        <w:t>/a</w:t>
      </w:r>
      <w:r>
        <w:rPr>
          <w:rFonts w:hint="eastAsia"/>
        </w:rPr>
        <w:t xml:space="preserve">，油的平均挥发量以总油耗的 </w:t>
      </w:r>
      <w:r>
        <w:t>3%</w:t>
      </w:r>
      <w:r>
        <w:rPr>
          <w:rFonts w:hint="eastAsia"/>
        </w:rPr>
        <w:t>计，则油烟产生量约为16.44</w:t>
      </w:r>
      <w:r>
        <w:t>kg/a。食堂设</w:t>
      </w:r>
      <w:r>
        <w:rPr>
          <w:rFonts w:hint="eastAsia"/>
        </w:rPr>
        <w:t>2</w:t>
      </w:r>
      <w:r>
        <w:t>个基准灶头，单个基准灶头排风量为</w:t>
      </w:r>
      <w:r>
        <w:rPr>
          <w:rFonts w:hint="eastAsia"/>
        </w:rPr>
        <w:t>2000</w:t>
      </w:r>
      <w:r>
        <w:t>m</w:t>
      </w:r>
      <w:r>
        <w:rPr>
          <w:vertAlign w:val="superscript"/>
        </w:rPr>
        <w:t>3</w:t>
      </w:r>
      <w:r>
        <w:t>/h，每天的工作时间按</w:t>
      </w:r>
      <w:r>
        <w:rPr>
          <w:rFonts w:hint="eastAsia"/>
        </w:rPr>
        <w:t>3</w:t>
      </w:r>
      <w:r>
        <w:t>h计，</w:t>
      </w:r>
      <w:r>
        <w:rPr>
          <w:rFonts w:hint="eastAsia"/>
        </w:rPr>
        <w:t>则</w:t>
      </w:r>
      <w:r>
        <w:t>产生的油烟浓度为</w:t>
      </w:r>
      <w:r>
        <w:rPr>
          <w:rFonts w:hint="eastAsia"/>
        </w:rPr>
        <w:t>3.75</w:t>
      </w:r>
      <w:r>
        <w:t>mg/m</w:t>
      </w:r>
      <w:r>
        <w:rPr>
          <w:vertAlign w:val="superscript"/>
        </w:rPr>
        <w:t>3</w:t>
      </w:r>
      <w:r>
        <w:rPr>
          <w:rFonts w:hint="eastAsia"/>
        </w:rPr>
        <w:t>。食堂油烟经</w:t>
      </w:r>
      <w:r>
        <w:t>油烟净化装置</w:t>
      </w:r>
      <w:r>
        <w:rPr>
          <w:rFonts w:hint="eastAsia"/>
        </w:rPr>
        <w:t>处理后引至屋顶排放，净化效率约为</w:t>
      </w:r>
      <w:r>
        <w:t>6</w:t>
      </w:r>
      <w:r>
        <w:rPr>
          <w:rFonts w:hint="eastAsia"/>
        </w:rPr>
        <w:t>0</w:t>
      </w:r>
      <w:r>
        <w:t>%</w:t>
      </w:r>
      <w:r>
        <w:rPr>
          <w:rFonts w:hint="eastAsia"/>
        </w:rPr>
        <w:t>，则本项目油烟排放量为 6.576</w:t>
      </w:r>
      <w:r>
        <w:t>kg/a</w:t>
      </w:r>
      <w:r>
        <w:rPr>
          <w:rFonts w:hint="eastAsia"/>
        </w:rPr>
        <w:t>，排放浓度1.5</w:t>
      </w:r>
      <w:r>
        <w:t>mg/m</w:t>
      </w:r>
      <w:r>
        <w:rPr>
          <w:vertAlign w:val="superscript"/>
        </w:rPr>
        <w:t>3</w:t>
      </w:r>
      <w:r>
        <w:rPr>
          <w:rFonts w:hint="eastAsia"/>
        </w:rPr>
        <w:t>，可</w:t>
      </w:r>
      <w:r>
        <w:t>满足《饮食业油烟排放标准》（试行）（GB18483-2001）标准。</w:t>
      </w:r>
    </w:p>
    <w:bookmarkEnd w:id="150"/>
    <w:p>
      <w:pPr>
        <w:pStyle w:val="49"/>
        <w:ind w:firstLine="480"/>
        <w:rPr>
          <w:rFonts w:cs="Times New Roman"/>
        </w:rPr>
      </w:pPr>
      <w:r>
        <w:rPr>
          <w:rFonts w:hint="eastAsia" w:cs="Times New Roman"/>
        </w:rPr>
        <w:t>6、废气污染源汇总</w:t>
      </w:r>
    </w:p>
    <w:p>
      <w:pPr>
        <w:pStyle w:val="49"/>
        <w:ind w:firstLine="480"/>
        <w:rPr>
          <w:rFonts w:cs="Times New Roman"/>
        </w:rPr>
      </w:pPr>
      <w:r>
        <w:rPr>
          <w:rFonts w:hint="eastAsia" w:cs="Times New Roman"/>
        </w:rPr>
        <w:t>本项目废气产生及排放情况详见表3.3-12。</w:t>
      </w:r>
    </w:p>
    <w:p>
      <w:pPr>
        <w:pStyle w:val="53"/>
      </w:pPr>
      <w:r>
        <w:rPr>
          <w:rFonts w:hint="eastAsia"/>
        </w:rPr>
        <w:t>表3.3</w:t>
      </w:r>
      <w:r>
        <w:t>-</w:t>
      </w:r>
      <w:r>
        <w:rPr>
          <w:rFonts w:hint="eastAsia"/>
        </w:rPr>
        <w:t>12</w:t>
      </w:r>
      <w:r>
        <w:t xml:space="preserve">  </w:t>
      </w:r>
      <w:r>
        <w:rPr>
          <w:rFonts w:hint="eastAsia"/>
        </w:rPr>
        <w:t>项目废气污染源汇总表</w:t>
      </w:r>
    </w:p>
    <w:tbl>
      <w:tblPr>
        <w:tblStyle w:val="40"/>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963"/>
        <w:gridCol w:w="1076"/>
        <w:gridCol w:w="1121"/>
        <w:gridCol w:w="1092"/>
        <w:gridCol w:w="1134"/>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Align w:val="center"/>
          </w:tcPr>
          <w:p>
            <w:pPr>
              <w:pStyle w:val="51"/>
            </w:pPr>
            <w:bookmarkStart w:id="151" w:name="_Hlk192520154"/>
            <w:r>
              <w:rPr>
                <w:szCs w:val="21"/>
              </w:rPr>
              <w:t>污染源</w:t>
            </w:r>
          </w:p>
        </w:tc>
        <w:tc>
          <w:tcPr>
            <w:tcW w:w="963" w:type="dxa"/>
            <w:vAlign w:val="center"/>
          </w:tcPr>
          <w:p>
            <w:pPr>
              <w:pStyle w:val="51"/>
            </w:pPr>
            <w:r>
              <w:rPr>
                <w:szCs w:val="21"/>
              </w:rPr>
              <w:t>污染物名称</w:t>
            </w:r>
          </w:p>
        </w:tc>
        <w:tc>
          <w:tcPr>
            <w:tcW w:w="1076" w:type="dxa"/>
            <w:vAlign w:val="center"/>
          </w:tcPr>
          <w:p>
            <w:pPr>
              <w:pStyle w:val="51"/>
            </w:pPr>
            <w:r>
              <w:rPr>
                <w:szCs w:val="21"/>
              </w:rPr>
              <w:t>产生量</w:t>
            </w:r>
            <w:r>
              <w:rPr>
                <w:rFonts w:hint="eastAsia"/>
                <w:szCs w:val="21"/>
              </w:rPr>
              <w:t>(t/a)</w:t>
            </w:r>
          </w:p>
        </w:tc>
        <w:tc>
          <w:tcPr>
            <w:tcW w:w="1121" w:type="dxa"/>
            <w:vAlign w:val="center"/>
          </w:tcPr>
          <w:p>
            <w:pPr>
              <w:pStyle w:val="51"/>
            </w:pPr>
            <w:r>
              <w:rPr>
                <w:szCs w:val="21"/>
              </w:rPr>
              <w:t>产生浓度</w:t>
            </w:r>
            <w:r>
              <w:rPr>
                <w:rFonts w:hint="eastAsia"/>
                <w:szCs w:val="21"/>
              </w:rPr>
              <w:t>(</w:t>
            </w:r>
            <w:r>
              <w:rPr>
                <w:szCs w:val="21"/>
              </w:rPr>
              <w:t>mg/m</w:t>
            </w:r>
            <w:r>
              <w:rPr>
                <w:szCs w:val="21"/>
                <w:vertAlign w:val="superscript"/>
              </w:rPr>
              <w:t>3</w:t>
            </w:r>
            <w:r>
              <w:rPr>
                <w:rFonts w:hint="eastAsia"/>
                <w:szCs w:val="21"/>
              </w:rPr>
              <w:t>)</w:t>
            </w:r>
          </w:p>
        </w:tc>
        <w:tc>
          <w:tcPr>
            <w:tcW w:w="1092" w:type="dxa"/>
            <w:vAlign w:val="center"/>
          </w:tcPr>
          <w:p>
            <w:pPr>
              <w:pStyle w:val="51"/>
            </w:pPr>
            <w:r>
              <w:rPr>
                <w:szCs w:val="21"/>
              </w:rPr>
              <w:t>排放量</w:t>
            </w:r>
            <w:r>
              <w:rPr>
                <w:rFonts w:hint="eastAsia"/>
                <w:szCs w:val="21"/>
              </w:rPr>
              <w:t>(t/a)</w:t>
            </w:r>
          </w:p>
        </w:tc>
        <w:tc>
          <w:tcPr>
            <w:tcW w:w="1134" w:type="dxa"/>
            <w:vAlign w:val="center"/>
          </w:tcPr>
          <w:p>
            <w:pPr>
              <w:pStyle w:val="51"/>
            </w:pPr>
            <w:r>
              <w:rPr>
                <w:szCs w:val="21"/>
              </w:rPr>
              <w:t>排放浓度</w:t>
            </w:r>
            <w:r>
              <w:rPr>
                <w:rFonts w:hint="eastAsia"/>
                <w:szCs w:val="21"/>
              </w:rPr>
              <w:t>(</w:t>
            </w:r>
            <w:r>
              <w:rPr>
                <w:szCs w:val="21"/>
              </w:rPr>
              <w:t>mg/m</w:t>
            </w:r>
            <w:r>
              <w:rPr>
                <w:szCs w:val="21"/>
                <w:vertAlign w:val="superscript"/>
              </w:rPr>
              <w:t>3</w:t>
            </w:r>
            <w:r>
              <w:rPr>
                <w:rFonts w:hint="eastAsia"/>
                <w:szCs w:val="21"/>
              </w:rPr>
              <w:t>)</w:t>
            </w:r>
          </w:p>
        </w:tc>
        <w:tc>
          <w:tcPr>
            <w:tcW w:w="2962" w:type="dxa"/>
            <w:vAlign w:val="center"/>
          </w:tcPr>
          <w:p>
            <w:pPr>
              <w:pStyle w:val="51"/>
            </w:pPr>
            <w:r>
              <w:rPr>
                <w:szCs w:val="21"/>
              </w:rPr>
              <w:t>处理措施及去向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292" w:type="dxa"/>
            <w:vMerge w:val="restart"/>
            <w:vAlign w:val="center"/>
          </w:tcPr>
          <w:p>
            <w:pPr>
              <w:pStyle w:val="51"/>
            </w:pPr>
            <w:r>
              <w:rPr>
                <w:rFonts w:hint="eastAsia"/>
              </w:rPr>
              <w:t>鸡舍</w:t>
            </w:r>
          </w:p>
        </w:tc>
        <w:tc>
          <w:tcPr>
            <w:tcW w:w="963" w:type="dxa"/>
            <w:vAlign w:val="center"/>
          </w:tcPr>
          <w:p>
            <w:pPr>
              <w:pStyle w:val="51"/>
            </w:pPr>
            <w:r>
              <w:t>NH</w:t>
            </w:r>
            <w:r>
              <w:rPr>
                <w:vertAlign w:val="subscript"/>
              </w:rPr>
              <w:t>3</w:t>
            </w:r>
          </w:p>
        </w:tc>
        <w:tc>
          <w:tcPr>
            <w:tcW w:w="1076" w:type="dxa"/>
            <w:vAlign w:val="center"/>
          </w:tcPr>
          <w:p>
            <w:pPr>
              <w:pStyle w:val="51"/>
              <w:rPr>
                <w:rFonts w:cs="Times New Roman"/>
              </w:rPr>
            </w:pPr>
            <w:r>
              <w:rPr>
                <w:rFonts w:hint="eastAsia" w:cs="Times New Roman"/>
              </w:rPr>
              <w:t>0.876</w:t>
            </w:r>
          </w:p>
        </w:tc>
        <w:tc>
          <w:tcPr>
            <w:tcW w:w="1121" w:type="dxa"/>
            <w:vAlign w:val="center"/>
          </w:tcPr>
          <w:p>
            <w:pPr>
              <w:pStyle w:val="51"/>
              <w:rPr>
                <w:rFonts w:cs="Times New Roman"/>
              </w:rPr>
            </w:pPr>
            <w:r>
              <w:rPr>
                <w:rFonts w:hint="eastAsia" w:cs="Times New Roman"/>
              </w:rPr>
              <w:t>/</w:t>
            </w:r>
          </w:p>
        </w:tc>
        <w:tc>
          <w:tcPr>
            <w:tcW w:w="1092" w:type="dxa"/>
            <w:vAlign w:val="center"/>
          </w:tcPr>
          <w:p>
            <w:pPr>
              <w:pStyle w:val="51"/>
              <w:rPr>
                <w:rFonts w:cs="Times New Roman"/>
              </w:rPr>
            </w:pPr>
            <w:r>
              <w:rPr>
                <w:rFonts w:hint="eastAsia" w:cs="Times New Roman"/>
              </w:rPr>
              <w:t>0.0158</w:t>
            </w:r>
          </w:p>
        </w:tc>
        <w:tc>
          <w:tcPr>
            <w:tcW w:w="1134" w:type="dxa"/>
            <w:vAlign w:val="center"/>
          </w:tcPr>
          <w:p>
            <w:pPr>
              <w:pStyle w:val="51"/>
            </w:pPr>
            <w:r>
              <w:rPr>
                <w:rFonts w:hint="eastAsia"/>
              </w:rPr>
              <w:t>/</w:t>
            </w:r>
          </w:p>
        </w:tc>
        <w:tc>
          <w:tcPr>
            <w:tcW w:w="2962" w:type="dxa"/>
            <w:vMerge w:val="restart"/>
            <w:vAlign w:val="center"/>
          </w:tcPr>
          <w:p>
            <w:pPr>
              <w:pStyle w:val="51"/>
            </w:pPr>
            <w:r>
              <w:rPr>
                <w:rFonts w:hint="eastAsia"/>
              </w:rPr>
              <w:t>在饲料中添加EM菌对蛋鸡进行喂养，同时鸡粪采用干清粪封闭式输送带输送，每天及时清运、加强通风，定期喷洒生物除臭剂，加强绿化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Merge w:val="continue"/>
            <w:vAlign w:val="center"/>
          </w:tcPr>
          <w:p>
            <w:pPr>
              <w:pStyle w:val="51"/>
            </w:pPr>
          </w:p>
        </w:tc>
        <w:tc>
          <w:tcPr>
            <w:tcW w:w="963" w:type="dxa"/>
            <w:vAlign w:val="center"/>
          </w:tcPr>
          <w:p>
            <w:pPr>
              <w:pStyle w:val="51"/>
            </w:pPr>
            <w:r>
              <w:t>H</w:t>
            </w:r>
            <w:r>
              <w:rPr>
                <w:vertAlign w:val="subscript"/>
              </w:rPr>
              <w:t>2</w:t>
            </w:r>
            <w:r>
              <w:t>S</w:t>
            </w:r>
          </w:p>
        </w:tc>
        <w:tc>
          <w:tcPr>
            <w:tcW w:w="1076" w:type="dxa"/>
            <w:vAlign w:val="center"/>
          </w:tcPr>
          <w:p>
            <w:pPr>
              <w:pStyle w:val="51"/>
              <w:rPr>
                <w:rFonts w:cs="Times New Roman"/>
              </w:rPr>
            </w:pPr>
            <w:r>
              <w:rPr>
                <w:rFonts w:hint="eastAsia" w:cs="Times New Roman"/>
              </w:rPr>
              <w:t>0.0876</w:t>
            </w:r>
          </w:p>
        </w:tc>
        <w:tc>
          <w:tcPr>
            <w:tcW w:w="1121" w:type="dxa"/>
            <w:vAlign w:val="center"/>
          </w:tcPr>
          <w:p>
            <w:pPr>
              <w:pStyle w:val="51"/>
              <w:rPr>
                <w:rFonts w:cs="Times New Roman"/>
              </w:rPr>
            </w:pPr>
            <w:r>
              <w:rPr>
                <w:rFonts w:hint="eastAsia" w:cs="Times New Roman"/>
              </w:rPr>
              <w:t>/</w:t>
            </w:r>
          </w:p>
        </w:tc>
        <w:tc>
          <w:tcPr>
            <w:tcW w:w="1092" w:type="dxa"/>
            <w:vAlign w:val="center"/>
          </w:tcPr>
          <w:p>
            <w:pPr>
              <w:pStyle w:val="51"/>
              <w:rPr>
                <w:rFonts w:cs="Times New Roman"/>
              </w:rPr>
            </w:pPr>
            <w:r>
              <w:rPr>
                <w:rFonts w:hint="eastAsia" w:cs="Times New Roman"/>
              </w:rPr>
              <w:t>0.0018</w:t>
            </w:r>
          </w:p>
        </w:tc>
        <w:tc>
          <w:tcPr>
            <w:tcW w:w="1134" w:type="dxa"/>
            <w:vAlign w:val="center"/>
          </w:tcPr>
          <w:p>
            <w:pPr>
              <w:pStyle w:val="51"/>
            </w:pPr>
            <w:r>
              <w:rPr>
                <w:rFonts w:hint="eastAsia"/>
              </w:rPr>
              <w:t>/</w:t>
            </w:r>
          </w:p>
        </w:tc>
        <w:tc>
          <w:tcPr>
            <w:tcW w:w="296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Merge w:val="continue"/>
            <w:vAlign w:val="center"/>
          </w:tcPr>
          <w:p>
            <w:pPr>
              <w:pStyle w:val="51"/>
            </w:pPr>
          </w:p>
        </w:tc>
        <w:tc>
          <w:tcPr>
            <w:tcW w:w="963" w:type="dxa"/>
            <w:vAlign w:val="center"/>
          </w:tcPr>
          <w:p>
            <w:pPr>
              <w:pStyle w:val="51"/>
            </w:pPr>
            <w:r>
              <w:rPr>
                <w:rFonts w:hint="eastAsia"/>
              </w:rPr>
              <w:t>颗粒物</w:t>
            </w:r>
          </w:p>
        </w:tc>
        <w:tc>
          <w:tcPr>
            <w:tcW w:w="1076" w:type="dxa"/>
            <w:vAlign w:val="center"/>
          </w:tcPr>
          <w:p>
            <w:pPr>
              <w:pStyle w:val="51"/>
              <w:rPr>
                <w:rFonts w:cs="Times New Roman"/>
              </w:rPr>
            </w:pPr>
            <w:r>
              <w:rPr>
                <w:rFonts w:hint="eastAsia" w:cs="Times New Roman"/>
              </w:rPr>
              <w:t>极少</w:t>
            </w:r>
          </w:p>
        </w:tc>
        <w:tc>
          <w:tcPr>
            <w:tcW w:w="1121" w:type="dxa"/>
            <w:vAlign w:val="center"/>
          </w:tcPr>
          <w:p>
            <w:pPr>
              <w:pStyle w:val="51"/>
              <w:rPr>
                <w:rFonts w:cs="Times New Roman"/>
              </w:rPr>
            </w:pPr>
            <w:r>
              <w:rPr>
                <w:rFonts w:hint="eastAsia" w:cs="Times New Roman"/>
              </w:rPr>
              <w:t>/</w:t>
            </w:r>
          </w:p>
        </w:tc>
        <w:tc>
          <w:tcPr>
            <w:tcW w:w="1092" w:type="dxa"/>
            <w:vAlign w:val="center"/>
          </w:tcPr>
          <w:p>
            <w:pPr>
              <w:pStyle w:val="51"/>
              <w:rPr>
                <w:rFonts w:cs="Times New Roman"/>
              </w:rPr>
            </w:pPr>
            <w:r>
              <w:rPr>
                <w:rFonts w:hint="eastAsia" w:cs="Times New Roman"/>
              </w:rPr>
              <w:t>极少</w:t>
            </w:r>
          </w:p>
        </w:tc>
        <w:tc>
          <w:tcPr>
            <w:tcW w:w="1134" w:type="dxa"/>
            <w:vAlign w:val="center"/>
          </w:tcPr>
          <w:p>
            <w:pPr>
              <w:pStyle w:val="51"/>
            </w:pPr>
            <w:r>
              <w:rPr>
                <w:rFonts w:hint="eastAsia"/>
              </w:rPr>
              <w:t>/</w:t>
            </w:r>
          </w:p>
        </w:tc>
        <w:tc>
          <w:tcPr>
            <w:tcW w:w="2962" w:type="dxa"/>
            <w:vAlign w:val="center"/>
          </w:tcPr>
          <w:p>
            <w:pPr>
              <w:pStyle w:val="51"/>
            </w:pP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92" w:type="dxa"/>
            <w:vMerge w:val="restart"/>
            <w:vAlign w:val="center"/>
          </w:tcPr>
          <w:p>
            <w:pPr>
              <w:pStyle w:val="51"/>
            </w:pPr>
            <w:r>
              <w:rPr>
                <w:rFonts w:hint="eastAsia"/>
              </w:rPr>
              <w:t>鸡粪风干</w:t>
            </w:r>
          </w:p>
          <w:p>
            <w:pPr>
              <w:pStyle w:val="51"/>
            </w:pPr>
            <w:r>
              <w:rPr>
                <w:rFonts w:hint="eastAsia"/>
              </w:rPr>
              <w:t>车间</w:t>
            </w:r>
          </w:p>
        </w:tc>
        <w:tc>
          <w:tcPr>
            <w:tcW w:w="963" w:type="dxa"/>
            <w:vAlign w:val="center"/>
          </w:tcPr>
          <w:p>
            <w:pPr>
              <w:pStyle w:val="51"/>
            </w:pPr>
            <w:r>
              <w:t>NH</w:t>
            </w:r>
            <w:r>
              <w:rPr>
                <w:vertAlign w:val="subscript"/>
              </w:rPr>
              <w:t>3</w:t>
            </w:r>
          </w:p>
        </w:tc>
        <w:tc>
          <w:tcPr>
            <w:tcW w:w="1076" w:type="dxa"/>
            <w:vAlign w:val="center"/>
          </w:tcPr>
          <w:p>
            <w:pPr>
              <w:pStyle w:val="51"/>
              <w:rPr>
                <w:rFonts w:cs="Times New Roman"/>
              </w:rPr>
            </w:pPr>
            <w:r>
              <w:rPr>
                <w:rFonts w:hint="eastAsia" w:cs="Times New Roman"/>
              </w:rPr>
              <w:t>0.876</w:t>
            </w:r>
          </w:p>
        </w:tc>
        <w:tc>
          <w:tcPr>
            <w:tcW w:w="1121" w:type="dxa"/>
            <w:vAlign w:val="center"/>
          </w:tcPr>
          <w:p>
            <w:pPr>
              <w:pStyle w:val="51"/>
              <w:rPr>
                <w:rFonts w:cs="Times New Roman"/>
              </w:rPr>
            </w:pPr>
            <w:r>
              <w:rPr>
                <w:rFonts w:hint="eastAsia" w:cs="Times New Roman"/>
              </w:rPr>
              <w:t>/</w:t>
            </w:r>
          </w:p>
        </w:tc>
        <w:tc>
          <w:tcPr>
            <w:tcW w:w="1092" w:type="dxa"/>
            <w:vAlign w:val="center"/>
          </w:tcPr>
          <w:p>
            <w:pPr>
              <w:pStyle w:val="51"/>
              <w:rPr>
                <w:rFonts w:cs="Times New Roman"/>
              </w:rPr>
            </w:pPr>
            <w:r>
              <w:rPr>
                <w:rFonts w:hint="eastAsia" w:cs="Times New Roman"/>
              </w:rPr>
              <w:t>0.0648</w:t>
            </w:r>
          </w:p>
        </w:tc>
        <w:tc>
          <w:tcPr>
            <w:tcW w:w="1134" w:type="dxa"/>
            <w:vAlign w:val="center"/>
          </w:tcPr>
          <w:p>
            <w:pPr>
              <w:pStyle w:val="51"/>
            </w:pPr>
            <w:r>
              <w:rPr>
                <w:rFonts w:hint="eastAsia"/>
              </w:rPr>
              <w:t>/</w:t>
            </w:r>
          </w:p>
        </w:tc>
        <w:tc>
          <w:tcPr>
            <w:tcW w:w="2962" w:type="dxa"/>
            <w:vMerge w:val="restart"/>
            <w:vAlign w:val="center"/>
          </w:tcPr>
          <w:p>
            <w:pPr>
              <w:pStyle w:val="51"/>
            </w:pPr>
            <w:r>
              <w:rPr>
                <w:rFonts w:hint="eastAsia"/>
              </w:rPr>
              <w:t>在鸡粪风干车间风道出口设置高压水帘装置，并使用微生物除臭剂溶液作为循环水，每日对车间周边喷洒生物除臭剂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92" w:type="dxa"/>
            <w:vMerge w:val="continue"/>
            <w:vAlign w:val="center"/>
          </w:tcPr>
          <w:p>
            <w:pPr>
              <w:pStyle w:val="51"/>
            </w:pPr>
          </w:p>
        </w:tc>
        <w:tc>
          <w:tcPr>
            <w:tcW w:w="963" w:type="dxa"/>
            <w:vAlign w:val="center"/>
          </w:tcPr>
          <w:p>
            <w:pPr>
              <w:pStyle w:val="51"/>
            </w:pPr>
            <w:r>
              <w:t>H</w:t>
            </w:r>
            <w:r>
              <w:rPr>
                <w:vertAlign w:val="subscript"/>
              </w:rPr>
              <w:t>2</w:t>
            </w:r>
            <w:r>
              <w:t>S</w:t>
            </w:r>
          </w:p>
        </w:tc>
        <w:tc>
          <w:tcPr>
            <w:tcW w:w="1076" w:type="dxa"/>
            <w:vAlign w:val="center"/>
          </w:tcPr>
          <w:p>
            <w:pPr>
              <w:pStyle w:val="51"/>
              <w:rPr>
                <w:rFonts w:cs="Times New Roman"/>
              </w:rPr>
            </w:pPr>
            <w:r>
              <w:rPr>
                <w:rFonts w:hint="eastAsia" w:cs="Times New Roman"/>
              </w:rPr>
              <w:t>0.0876</w:t>
            </w:r>
          </w:p>
        </w:tc>
        <w:tc>
          <w:tcPr>
            <w:tcW w:w="1121" w:type="dxa"/>
            <w:vAlign w:val="center"/>
          </w:tcPr>
          <w:p>
            <w:pPr>
              <w:pStyle w:val="51"/>
              <w:rPr>
                <w:rFonts w:cs="Times New Roman"/>
              </w:rPr>
            </w:pPr>
            <w:r>
              <w:rPr>
                <w:rFonts w:hint="eastAsia" w:cs="Times New Roman"/>
              </w:rPr>
              <w:t>/</w:t>
            </w:r>
          </w:p>
        </w:tc>
        <w:tc>
          <w:tcPr>
            <w:tcW w:w="1092" w:type="dxa"/>
            <w:vAlign w:val="center"/>
          </w:tcPr>
          <w:p>
            <w:pPr>
              <w:pStyle w:val="51"/>
              <w:rPr>
                <w:rFonts w:cs="Times New Roman"/>
              </w:rPr>
            </w:pPr>
            <w:r>
              <w:rPr>
                <w:rFonts w:hint="eastAsia" w:cs="Times New Roman"/>
              </w:rPr>
              <w:t>0.0096</w:t>
            </w:r>
          </w:p>
        </w:tc>
        <w:tc>
          <w:tcPr>
            <w:tcW w:w="1134" w:type="dxa"/>
            <w:vAlign w:val="center"/>
          </w:tcPr>
          <w:p>
            <w:pPr>
              <w:pStyle w:val="51"/>
            </w:pPr>
            <w:r>
              <w:rPr>
                <w:rFonts w:hint="eastAsia"/>
              </w:rPr>
              <w:t>/</w:t>
            </w:r>
          </w:p>
        </w:tc>
        <w:tc>
          <w:tcPr>
            <w:tcW w:w="296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92" w:type="dxa"/>
            <w:vMerge w:val="continue"/>
            <w:vAlign w:val="center"/>
          </w:tcPr>
          <w:p>
            <w:pPr>
              <w:pStyle w:val="51"/>
            </w:pPr>
          </w:p>
        </w:tc>
        <w:tc>
          <w:tcPr>
            <w:tcW w:w="963" w:type="dxa"/>
            <w:vAlign w:val="center"/>
          </w:tcPr>
          <w:p>
            <w:pPr>
              <w:pStyle w:val="51"/>
            </w:pPr>
            <w:r>
              <w:rPr>
                <w:rFonts w:hint="eastAsia"/>
              </w:rPr>
              <w:t>颗粒物</w:t>
            </w:r>
          </w:p>
        </w:tc>
        <w:tc>
          <w:tcPr>
            <w:tcW w:w="1076" w:type="dxa"/>
            <w:vAlign w:val="center"/>
          </w:tcPr>
          <w:p>
            <w:pPr>
              <w:pStyle w:val="51"/>
            </w:pPr>
            <w:r>
              <w:rPr>
                <w:rFonts w:hint="eastAsia"/>
              </w:rPr>
              <w:t>10.534</w:t>
            </w:r>
          </w:p>
        </w:tc>
        <w:tc>
          <w:tcPr>
            <w:tcW w:w="1121" w:type="dxa"/>
            <w:vAlign w:val="center"/>
          </w:tcPr>
          <w:p>
            <w:pPr>
              <w:pStyle w:val="51"/>
            </w:pPr>
            <w:r>
              <w:rPr>
                <w:rFonts w:hint="eastAsia"/>
              </w:rPr>
              <w:t>/</w:t>
            </w:r>
          </w:p>
        </w:tc>
        <w:tc>
          <w:tcPr>
            <w:tcW w:w="1092" w:type="dxa"/>
            <w:vAlign w:val="center"/>
          </w:tcPr>
          <w:p>
            <w:pPr>
              <w:pStyle w:val="51"/>
            </w:pPr>
            <w:r>
              <w:rPr>
                <w:rFonts w:hint="eastAsia"/>
              </w:rPr>
              <w:t>1.0534</w:t>
            </w:r>
          </w:p>
        </w:tc>
        <w:tc>
          <w:tcPr>
            <w:tcW w:w="1134" w:type="dxa"/>
            <w:vAlign w:val="center"/>
          </w:tcPr>
          <w:p>
            <w:pPr>
              <w:pStyle w:val="51"/>
            </w:pPr>
            <w:r>
              <w:rPr>
                <w:rFonts w:hint="eastAsia"/>
              </w:rPr>
              <w:t>/</w:t>
            </w:r>
          </w:p>
        </w:tc>
        <w:tc>
          <w:tcPr>
            <w:tcW w:w="296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92" w:type="dxa"/>
            <w:vMerge w:val="restart"/>
            <w:vAlign w:val="center"/>
          </w:tcPr>
          <w:p>
            <w:pPr>
              <w:pStyle w:val="51"/>
            </w:pPr>
            <w:r>
              <w:rPr>
                <w:rFonts w:hint="eastAsia"/>
              </w:rPr>
              <w:t>一体化污水处理设施</w:t>
            </w:r>
          </w:p>
        </w:tc>
        <w:tc>
          <w:tcPr>
            <w:tcW w:w="963" w:type="dxa"/>
            <w:vAlign w:val="center"/>
          </w:tcPr>
          <w:p>
            <w:pPr>
              <w:pStyle w:val="51"/>
            </w:pPr>
            <w:r>
              <w:t>NH</w:t>
            </w:r>
            <w:r>
              <w:rPr>
                <w:vertAlign w:val="subscript"/>
              </w:rPr>
              <w:t>3</w:t>
            </w:r>
          </w:p>
        </w:tc>
        <w:tc>
          <w:tcPr>
            <w:tcW w:w="1076" w:type="dxa"/>
            <w:vAlign w:val="center"/>
          </w:tcPr>
          <w:p>
            <w:pPr>
              <w:pStyle w:val="51"/>
            </w:pPr>
            <w:r>
              <w:rPr>
                <w:rFonts w:hint="eastAsia"/>
              </w:rPr>
              <w:t>7.36</w:t>
            </w:r>
            <w:r>
              <w:rPr>
                <w:rFonts w:cs="Times New Roman"/>
              </w:rPr>
              <w:t>×</w:t>
            </w:r>
            <w:r>
              <w:rPr>
                <w:rFonts w:hint="eastAsia"/>
              </w:rPr>
              <w:t>10</w:t>
            </w:r>
            <w:r>
              <w:rPr>
                <w:rFonts w:hint="eastAsia"/>
                <w:vertAlign w:val="superscript"/>
              </w:rPr>
              <w:t>-4</w:t>
            </w:r>
          </w:p>
        </w:tc>
        <w:tc>
          <w:tcPr>
            <w:tcW w:w="1121" w:type="dxa"/>
            <w:vAlign w:val="center"/>
          </w:tcPr>
          <w:p>
            <w:pPr>
              <w:pStyle w:val="51"/>
            </w:pPr>
            <w:r>
              <w:rPr>
                <w:rFonts w:hint="eastAsia" w:cs="Times New Roman"/>
              </w:rPr>
              <w:t>/</w:t>
            </w:r>
          </w:p>
        </w:tc>
        <w:tc>
          <w:tcPr>
            <w:tcW w:w="1092" w:type="dxa"/>
            <w:vAlign w:val="center"/>
          </w:tcPr>
          <w:p>
            <w:pPr>
              <w:pStyle w:val="51"/>
            </w:pPr>
            <w:r>
              <w:rPr>
                <w:rFonts w:hint="eastAsia"/>
              </w:rPr>
              <w:t>3.68</w:t>
            </w:r>
            <w:r>
              <w:rPr>
                <w:rFonts w:cs="Times New Roman"/>
              </w:rPr>
              <w:t>×</w:t>
            </w:r>
            <w:r>
              <w:rPr>
                <w:rFonts w:hint="eastAsia"/>
              </w:rPr>
              <w:t>10</w:t>
            </w:r>
            <w:r>
              <w:rPr>
                <w:rFonts w:hint="eastAsia"/>
                <w:vertAlign w:val="superscript"/>
              </w:rPr>
              <w:t>-4</w:t>
            </w:r>
          </w:p>
        </w:tc>
        <w:tc>
          <w:tcPr>
            <w:tcW w:w="1134" w:type="dxa"/>
            <w:vAlign w:val="center"/>
          </w:tcPr>
          <w:p>
            <w:pPr>
              <w:pStyle w:val="51"/>
            </w:pPr>
          </w:p>
        </w:tc>
        <w:tc>
          <w:tcPr>
            <w:tcW w:w="2962" w:type="dxa"/>
            <w:vMerge w:val="restart"/>
            <w:vAlign w:val="center"/>
          </w:tcPr>
          <w:p>
            <w:pPr>
              <w:pStyle w:val="51"/>
            </w:pPr>
            <w:r>
              <w:rPr>
                <w:rFonts w:hint="eastAsia"/>
              </w:rPr>
              <w:t>厌氧段污水处理设施均密闭，定期喷洒除臭剂，加强绿化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292" w:type="dxa"/>
            <w:vMerge w:val="continue"/>
            <w:vAlign w:val="center"/>
          </w:tcPr>
          <w:p>
            <w:pPr>
              <w:pStyle w:val="51"/>
            </w:pPr>
          </w:p>
        </w:tc>
        <w:tc>
          <w:tcPr>
            <w:tcW w:w="963" w:type="dxa"/>
            <w:vAlign w:val="center"/>
          </w:tcPr>
          <w:p>
            <w:pPr>
              <w:pStyle w:val="51"/>
            </w:pPr>
            <w:r>
              <w:t>H</w:t>
            </w:r>
            <w:r>
              <w:rPr>
                <w:vertAlign w:val="subscript"/>
              </w:rPr>
              <w:t>2</w:t>
            </w:r>
            <w:r>
              <w:t>S</w:t>
            </w:r>
          </w:p>
        </w:tc>
        <w:tc>
          <w:tcPr>
            <w:tcW w:w="1076" w:type="dxa"/>
            <w:vAlign w:val="center"/>
          </w:tcPr>
          <w:p>
            <w:pPr>
              <w:pStyle w:val="51"/>
            </w:pPr>
            <w:r>
              <w:rPr>
                <w:rFonts w:hint="eastAsia"/>
              </w:rPr>
              <w:t>2.85</w:t>
            </w:r>
            <w:r>
              <w:rPr>
                <w:rFonts w:cs="Times New Roman"/>
              </w:rPr>
              <w:t>×</w:t>
            </w:r>
            <w:r>
              <w:rPr>
                <w:rFonts w:hint="eastAsia"/>
              </w:rPr>
              <w:t>10</w:t>
            </w:r>
            <w:r>
              <w:rPr>
                <w:rFonts w:hint="eastAsia"/>
                <w:vertAlign w:val="superscript"/>
              </w:rPr>
              <w:t>-5</w:t>
            </w:r>
          </w:p>
        </w:tc>
        <w:tc>
          <w:tcPr>
            <w:tcW w:w="1121" w:type="dxa"/>
            <w:vAlign w:val="center"/>
          </w:tcPr>
          <w:p>
            <w:pPr>
              <w:pStyle w:val="51"/>
            </w:pPr>
            <w:r>
              <w:rPr>
                <w:rFonts w:hint="eastAsia"/>
              </w:rPr>
              <w:t>/</w:t>
            </w:r>
          </w:p>
        </w:tc>
        <w:tc>
          <w:tcPr>
            <w:tcW w:w="1092" w:type="dxa"/>
            <w:vAlign w:val="center"/>
          </w:tcPr>
          <w:p>
            <w:pPr>
              <w:pStyle w:val="51"/>
            </w:pPr>
            <w:r>
              <w:rPr>
                <w:rFonts w:hint="eastAsia"/>
              </w:rPr>
              <w:t>1.42</w:t>
            </w:r>
            <w:r>
              <w:rPr>
                <w:rFonts w:cs="Times New Roman"/>
              </w:rPr>
              <w:t>×</w:t>
            </w:r>
            <w:r>
              <w:rPr>
                <w:rFonts w:hint="eastAsia"/>
              </w:rPr>
              <w:t>10</w:t>
            </w:r>
            <w:r>
              <w:rPr>
                <w:rFonts w:hint="eastAsia"/>
                <w:vertAlign w:val="superscript"/>
              </w:rPr>
              <w:t>-5</w:t>
            </w:r>
          </w:p>
        </w:tc>
        <w:tc>
          <w:tcPr>
            <w:tcW w:w="1134" w:type="dxa"/>
            <w:vAlign w:val="center"/>
          </w:tcPr>
          <w:p>
            <w:pPr>
              <w:pStyle w:val="51"/>
            </w:pPr>
          </w:p>
        </w:tc>
        <w:tc>
          <w:tcPr>
            <w:tcW w:w="296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Merge w:val="restart"/>
            <w:vAlign w:val="center"/>
          </w:tcPr>
          <w:p>
            <w:pPr>
              <w:pStyle w:val="51"/>
            </w:pPr>
            <w:r>
              <w:rPr>
                <w:rFonts w:hint="eastAsia"/>
              </w:rPr>
              <w:t>备用柴油发电机</w:t>
            </w:r>
          </w:p>
        </w:tc>
        <w:tc>
          <w:tcPr>
            <w:tcW w:w="963" w:type="dxa"/>
            <w:vAlign w:val="center"/>
          </w:tcPr>
          <w:p>
            <w:pPr>
              <w:pStyle w:val="51"/>
            </w:pPr>
            <w:r>
              <w:t>SO</w:t>
            </w:r>
            <w:r>
              <w:rPr>
                <w:vertAlign w:val="subscript"/>
              </w:rPr>
              <w:t>2</w:t>
            </w:r>
          </w:p>
        </w:tc>
        <w:tc>
          <w:tcPr>
            <w:tcW w:w="1076" w:type="dxa"/>
            <w:vAlign w:val="center"/>
          </w:tcPr>
          <w:p>
            <w:pPr>
              <w:pStyle w:val="51"/>
            </w:pPr>
            <w:r>
              <w:rPr>
                <w:rFonts w:hint="eastAsia" w:cs="Times New Roman"/>
              </w:rPr>
              <w:t>0.023</w:t>
            </w:r>
          </w:p>
        </w:tc>
        <w:tc>
          <w:tcPr>
            <w:tcW w:w="1121" w:type="dxa"/>
            <w:vAlign w:val="center"/>
          </w:tcPr>
          <w:p>
            <w:pPr>
              <w:pStyle w:val="51"/>
            </w:pPr>
            <w:r>
              <w:rPr>
                <w:rFonts w:hint="eastAsia"/>
              </w:rPr>
              <w:t>/</w:t>
            </w:r>
          </w:p>
        </w:tc>
        <w:tc>
          <w:tcPr>
            <w:tcW w:w="1092" w:type="dxa"/>
            <w:vAlign w:val="center"/>
          </w:tcPr>
          <w:p>
            <w:pPr>
              <w:pStyle w:val="51"/>
            </w:pPr>
            <w:r>
              <w:rPr>
                <w:rFonts w:hint="eastAsia" w:cs="Times New Roman"/>
              </w:rPr>
              <w:t>0.023</w:t>
            </w:r>
          </w:p>
        </w:tc>
        <w:tc>
          <w:tcPr>
            <w:tcW w:w="1134" w:type="dxa"/>
            <w:vAlign w:val="center"/>
          </w:tcPr>
          <w:p>
            <w:pPr>
              <w:pStyle w:val="51"/>
            </w:pPr>
            <w:r>
              <w:rPr>
                <w:rFonts w:hint="eastAsia"/>
              </w:rPr>
              <w:t>/</w:t>
            </w:r>
          </w:p>
        </w:tc>
        <w:tc>
          <w:tcPr>
            <w:tcW w:w="2962" w:type="dxa"/>
            <w:vMerge w:val="restart"/>
            <w:vAlign w:val="center"/>
          </w:tcPr>
          <w:p>
            <w:pPr>
              <w:pStyle w:val="51"/>
            </w:pPr>
            <w:r>
              <w:rPr>
                <w:rFonts w:hint="eastAsia"/>
              </w:rPr>
              <w:t>专用烟道引至发电机房屋顶烟囱排放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Merge w:val="continue"/>
            <w:vAlign w:val="center"/>
          </w:tcPr>
          <w:p>
            <w:pPr>
              <w:pStyle w:val="51"/>
            </w:pPr>
          </w:p>
        </w:tc>
        <w:tc>
          <w:tcPr>
            <w:tcW w:w="963" w:type="dxa"/>
            <w:vAlign w:val="center"/>
          </w:tcPr>
          <w:p>
            <w:pPr>
              <w:pStyle w:val="51"/>
            </w:pPr>
            <w:r>
              <w:rPr>
                <w:rFonts w:hint="eastAsia"/>
              </w:rPr>
              <w:t>烟尘</w:t>
            </w:r>
          </w:p>
        </w:tc>
        <w:tc>
          <w:tcPr>
            <w:tcW w:w="1076" w:type="dxa"/>
            <w:vAlign w:val="center"/>
          </w:tcPr>
          <w:p>
            <w:pPr>
              <w:pStyle w:val="51"/>
            </w:pPr>
            <w:r>
              <w:rPr>
                <w:rFonts w:hint="eastAsia"/>
              </w:rPr>
              <w:t>0.004</w:t>
            </w:r>
          </w:p>
        </w:tc>
        <w:tc>
          <w:tcPr>
            <w:tcW w:w="1121" w:type="dxa"/>
            <w:vAlign w:val="center"/>
          </w:tcPr>
          <w:p>
            <w:pPr>
              <w:pStyle w:val="51"/>
            </w:pPr>
            <w:r>
              <w:rPr>
                <w:rFonts w:hint="eastAsia"/>
              </w:rPr>
              <w:t>/</w:t>
            </w:r>
          </w:p>
        </w:tc>
        <w:tc>
          <w:tcPr>
            <w:tcW w:w="1092" w:type="dxa"/>
            <w:vAlign w:val="center"/>
          </w:tcPr>
          <w:p>
            <w:pPr>
              <w:pStyle w:val="51"/>
            </w:pPr>
            <w:r>
              <w:rPr>
                <w:rFonts w:hint="eastAsia"/>
              </w:rPr>
              <w:t>0.004</w:t>
            </w:r>
          </w:p>
        </w:tc>
        <w:tc>
          <w:tcPr>
            <w:tcW w:w="1134" w:type="dxa"/>
            <w:vAlign w:val="center"/>
          </w:tcPr>
          <w:p>
            <w:pPr>
              <w:pStyle w:val="51"/>
            </w:pPr>
            <w:r>
              <w:rPr>
                <w:rFonts w:hint="eastAsia"/>
              </w:rPr>
              <w:t>/</w:t>
            </w:r>
          </w:p>
        </w:tc>
        <w:tc>
          <w:tcPr>
            <w:tcW w:w="296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Merge w:val="continue"/>
            <w:vAlign w:val="center"/>
          </w:tcPr>
          <w:p>
            <w:pPr>
              <w:pStyle w:val="51"/>
            </w:pPr>
          </w:p>
        </w:tc>
        <w:tc>
          <w:tcPr>
            <w:tcW w:w="963" w:type="dxa"/>
            <w:vAlign w:val="center"/>
          </w:tcPr>
          <w:p>
            <w:pPr>
              <w:pStyle w:val="51"/>
            </w:pPr>
            <w:r>
              <w:rPr>
                <w:rFonts w:hint="eastAsia"/>
              </w:rPr>
              <w:t>CO</w:t>
            </w:r>
          </w:p>
        </w:tc>
        <w:tc>
          <w:tcPr>
            <w:tcW w:w="1076" w:type="dxa"/>
            <w:vAlign w:val="center"/>
          </w:tcPr>
          <w:p>
            <w:pPr>
              <w:pStyle w:val="51"/>
            </w:pPr>
            <w:r>
              <w:rPr>
                <w:rFonts w:hint="eastAsia"/>
              </w:rPr>
              <w:t>0.009</w:t>
            </w:r>
          </w:p>
        </w:tc>
        <w:tc>
          <w:tcPr>
            <w:tcW w:w="1121" w:type="dxa"/>
            <w:vAlign w:val="center"/>
          </w:tcPr>
          <w:p>
            <w:pPr>
              <w:pStyle w:val="51"/>
            </w:pPr>
            <w:r>
              <w:rPr>
                <w:rFonts w:hint="eastAsia"/>
              </w:rPr>
              <w:t>/</w:t>
            </w:r>
          </w:p>
        </w:tc>
        <w:tc>
          <w:tcPr>
            <w:tcW w:w="1092" w:type="dxa"/>
            <w:vAlign w:val="center"/>
          </w:tcPr>
          <w:p>
            <w:pPr>
              <w:pStyle w:val="51"/>
            </w:pPr>
            <w:r>
              <w:rPr>
                <w:rFonts w:hint="eastAsia"/>
              </w:rPr>
              <w:t>0.009</w:t>
            </w:r>
          </w:p>
        </w:tc>
        <w:tc>
          <w:tcPr>
            <w:tcW w:w="1134" w:type="dxa"/>
            <w:vAlign w:val="center"/>
          </w:tcPr>
          <w:p>
            <w:pPr>
              <w:pStyle w:val="51"/>
            </w:pPr>
            <w:r>
              <w:rPr>
                <w:rFonts w:hint="eastAsia"/>
              </w:rPr>
              <w:t>/</w:t>
            </w:r>
          </w:p>
        </w:tc>
        <w:tc>
          <w:tcPr>
            <w:tcW w:w="296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Merge w:val="continue"/>
            <w:vAlign w:val="center"/>
          </w:tcPr>
          <w:p>
            <w:pPr>
              <w:pStyle w:val="51"/>
            </w:pPr>
          </w:p>
        </w:tc>
        <w:tc>
          <w:tcPr>
            <w:tcW w:w="963" w:type="dxa"/>
            <w:vAlign w:val="center"/>
          </w:tcPr>
          <w:p>
            <w:pPr>
              <w:pStyle w:val="51"/>
            </w:pPr>
            <w:r>
              <w:t>NOx</w:t>
            </w:r>
          </w:p>
        </w:tc>
        <w:tc>
          <w:tcPr>
            <w:tcW w:w="1076" w:type="dxa"/>
            <w:vAlign w:val="center"/>
          </w:tcPr>
          <w:p>
            <w:pPr>
              <w:pStyle w:val="51"/>
            </w:pPr>
            <w:r>
              <w:rPr>
                <w:rFonts w:hint="eastAsia"/>
              </w:rPr>
              <w:t>0.015</w:t>
            </w:r>
          </w:p>
        </w:tc>
        <w:tc>
          <w:tcPr>
            <w:tcW w:w="1121" w:type="dxa"/>
            <w:vAlign w:val="center"/>
          </w:tcPr>
          <w:p>
            <w:pPr>
              <w:pStyle w:val="51"/>
            </w:pPr>
            <w:r>
              <w:rPr>
                <w:rFonts w:hint="eastAsia"/>
              </w:rPr>
              <w:t>/</w:t>
            </w:r>
          </w:p>
        </w:tc>
        <w:tc>
          <w:tcPr>
            <w:tcW w:w="1092" w:type="dxa"/>
            <w:vAlign w:val="center"/>
          </w:tcPr>
          <w:p>
            <w:pPr>
              <w:pStyle w:val="51"/>
            </w:pPr>
            <w:r>
              <w:rPr>
                <w:rFonts w:hint="eastAsia"/>
              </w:rPr>
              <w:t>0.015</w:t>
            </w:r>
          </w:p>
        </w:tc>
        <w:tc>
          <w:tcPr>
            <w:tcW w:w="1134" w:type="dxa"/>
            <w:vAlign w:val="center"/>
          </w:tcPr>
          <w:p>
            <w:pPr>
              <w:pStyle w:val="51"/>
            </w:pPr>
            <w:r>
              <w:rPr>
                <w:rFonts w:hint="eastAsia"/>
              </w:rPr>
              <w:t>/</w:t>
            </w:r>
          </w:p>
        </w:tc>
        <w:tc>
          <w:tcPr>
            <w:tcW w:w="296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dxa"/>
            <w:vAlign w:val="center"/>
          </w:tcPr>
          <w:p>
            <w:pPr>
              <w:pStyle w:val="51"/>
            </w:pPr>
            <w:r>
              <w:rPr>
                <w:rFonts w:hint="eastAsia"/>
              </w:rPr>
              <w:t>食堂</w:t>
            </w:r>
          </w:p>
        </w:tc>
        <w:tc>
          <w:tcPr>
            <w:tcW w:w="963" w:type="dxa"/>
            <w:vAlign w:val="center"/>
          </w:tcPr>
          <w:p>
            <w:pPr>
              <w:pStyle w:val="51"/>
            </w:pPr>
            <w:r>
              <w:rPr>
                <w:rFonts w:hint="eastAsia"/>
              </w:rPr>
              <w:t>油烟</w:t>
            </w:r>
          </w:p>
        </w:tc>
        <w:tc>
          <w:tcPr>
            <w:tcW w:w="1076" w:type="dxa"/>
            <w:vAlign w:val="center"/>
          </w:tcPr>
          <w:p>
            <w:pPr>
              <w:pStyle w:val="51"/>
            </w:pPr>
            <w:r>
              <w:rPr>
                <w:rFonts w:hint="eastAsia"/>
              </w:rPr>
              <w:t>0.016</w:t>
            </w:r>
          </w:p>
        </w:tc>
        <w:tc>
          <w:tcPr>
            <w:tcW w:w="1121" w:type="dxa"/>
            <w:vAlign w:val="center"/>
          </w:tcPr>
          <w:p>
            <w:pPr>
              <w:pStyle w:val="51"/>
            </w:pPr>
            <w:r>
              <w:rPr>
                <w:rFonts w:hint="eastAsia"/>
              </w:rPr>
              <w:t>3.75</w:t>
            </w:r>
          </w:p>
        </w:tc>
        <w:tc>
          <w:tcPr>
            <w:tcW w:w="1092" w:type="dxa"/>
            <w:vAlign w:val="center"/>
          </w:tcPr>
          <w:p>
            <w:pPr>
              <w:pStyle w:val="51"/>
            </w:pPr>
            <w:r>
              <w:rPr>
                <w:rFonts w:hint="eastAsia"/>
              </w:rPr>
              <w:t>0.007</w:t>
            </w:r>
          </w:p>
        </w:tc>
        <w:tc>
          <w:tcPr>
            <w:tcW w:w="1134" w:type="dxa"/>
            <w:vAlign w:val="center"/>
          </w:tcPr>
          <w:p>
            <w:pPr>
              <w:pStyle w:val="51"/>
            </w:pPr>
            <w:r>
              <w:rPr>
                <w:rFonts w:hint="eastAsia"/>
              </w:rPr>
              <w:t>1.5</w:t>
            </w:r>
          </w:p>
        </w:tc>
        <w:tc>
          <w:tcPr>
            <w:tcW w:w="2962" w:type="dxa"/>
            <w:vAlign w:val="center"/>
          </w:tcPr>
          <w:p>
            <w:pPr>
              <w:pStyle w:val="51"/>
            </w:pPr>
            <w:r>
              <w:rPr>
                <w:rFonts w:hint="eastAsia"/>
              </w:rPr>
              <w:t>经</w:t>
            </w:r>
            <w:r>
              <w:t>油烟净化装置</w:t>
            </w:r>
            <w:r>
              <w:rPr>
                <w:rFonts w:hint="eastAsia"/>
              </w:rPr>
              <w:t>处理后引至食堂屋顶排放</w:t>
            </w:r>
          </w:p>
        </w:tc>
      </w:tr>
      <w:bookmarkEnd w:id="151"/>
    </w:tbl>
    <w:p>
      <w:pPr>
        <w:pStyle w:val="5"/>
      </w:pPr>
      <w:r>
        <w:rPr>
          <w:rFonts w:hint="eastAsia"/>
        </w:rPr>
        <w:t>3</w:t>
      </w:r>
      <w:r>
        <w:t>.</w:t>
      </w:r>
      <w:r>
        <w:rPr>
          <w:rFonts w:hint="eastAsia"/>
        </w:rPr>
        <w:t>3</w:t>
      </w:r>
      <w:r>
        <w:t>.</w:t>
      </w:r>
      <w:r>
        <w:rPr>
          <w:rFonts w:hint="eastAsia"/>
        </w:rPr>
        <w:t>2.2 营运期废水污染源分析</w:t>
      </w:r>
    </w:p>
    <w:p>
      <w:pPr>
        <w:pStyle w:val="49"/>
        <w:ind w:firstLine="480"/>
      </w:pPr>
      <w:r>
        <w:rPr>
          <w:rFonts w:hint="eastAsia"/>
        </w:rPr>
        <w:t>本项目营运期废水主要为鸡舍冲洗废水和职工生活污水。</w:t>
      </w:r>
    </w:p>
    <w:p>
      <w:pPr>
        <w:pStyle w:val="49"/>
        <w:ind w:firstLine="480"/>
      </w:pPr>
      <w:r>
        <w:rPr>
          <w:rFonts w:hint="eastAsia"/>
        </w:rPr>
        <w:t>1、鸡舍冲洗废水</w:t>
      </w:r>
    </w:p>
    <w:p>
      <w:pPr>
        <w:pStyle w:val="49"/>
        <w:ind w:firstLine="480"/>
      </w:pPr>
      <w:r>
        <w:rPr>
          <w:rFonts w:hint="eastAsia"/>
        </w:rPr>
        <w:t>本项目鸡舍冲洗废水产生量为62.294</w:t>
      </w:r>
      <w:r>
        <w:t>m</w:t>
      </w:r>
      <w:r>
        <w:rPr>
          <w:vertAlign w:val="superscript"/>
        </w:rPr>
        <w:t>3</w:t>
      </w:r>
      <w:r>
        <w:t>/a</w:t>
      </w:r>
      <w:r>
        <w:rPr>
          <w:rFonts w:hint="eastAsia"/>
        </w:rPr>
        <w:t>，废水中主要污染物为</w:t>
      </w:r>
      <w:r>
        <w:t>COD</w:t>
      </w:r>
      <w:r>
        <w:rPr>
          <w:rFonts w:hint="eastAsia"/>
        </w:rPr>
        <w:t>、</w:t>
      </w:r>
      <w:r>
        <w:t>BOD</w:t>
      </w:r>
      <w:r>
        <w:rPr>
          <w:vertAlign w:val="subscript"/>
        </w:rPr>
        <w:t>5</w:t>
      </w:r>
      <w:r>
        <w:rPr>
          <w:rFonts w:hint="eastAsia"/>
        </w:rPr>
        <w:t>、</w:t>
      </w:r>
      <w:r>
        <w:t>SS</w:t>
      </w:r>
      <w:r>
        <w:rPr>
          <w:rFonts w:hint="eastAsia"/>
        </w:rPr>
        <w:t>、总氮、总磷、氨氮，废水中各污染物浓度参照《畜禽养殖业污染治理工程技术规范》（</w:t>
      </w:r>
      <w:r>
        <w:t>HJ497-2009</w:t>
      </w:r>
      <w:r>
        <w:rPr>
          <w:rFonts w:hint="eastAsia"/>
        </w:rPr>
        <w:t xml:space="preserve">）附录 </w:t>
      </w:r>
      <w:r>
        <w:t>A</w:t>
      </w:r>
      <w:r>
        <w:rPr>
          <w:rFonts w:hint="eastAsia"/>
        </w:rPr>
        <w:t>表A.1中数值，详见下表。</w:t>
      </w:r>
    </w:p>
    <w:p>
      <w:pPr>
        <w:pStyle w:val="53"/>
      </w:pPr>
      <w:r>
        <w:rPr>
          <w:rFonts w:hint="eastAsia"/>
        </w:rPr>
        <w:t>表3.3</w:t>
      </w:r>
      <w:r>
        <w:t>-</w:t>
      </w:r>
      <w:r>
        <w:rPr>
          <w:rFonts w:hint="eastAsia"/>
        </w:rPr>
        <w:t xml:space="preserve">13  畜禽养殖业废水中的污染物质量浓度和 </w:t>
      </w:r>
      <w:r>
        <w:t xml:space="preserve">pH </w:t>
      </w:r>
      <w:r>
        <w:rPr>
          <w:rFonts w:hint="eastAsia"/>
        </w:rPr>
        <w:t>值  单位：</w:t>
      </w:r>
      <w:r>
        <w:t>mg/L</w:t>
      </w:r>
      <w:r>
        <w:rPr>
          <w:rFonts w:hint="eastAsia"/>
        </w:rPr>
        <w:t>（</w:t>
      </w:r>
      <w:r>
        <w:t xml:space="preserve">pH </w:t>
      </w:r>
      <w:r>
        <w:rPr>
          <w:rFonts w:hint="eastAsia"/>
        </w:rPr>
        <w:t>除外）</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160"/>
        <w:gridCol w:w="1220"/>
        <w:gridCol w:w="1272"/>
        <w:gridCol w:w="1162"/>
        <w:gridCol w:w="116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pPr>
              <w:pStyle w:val="51"/>
            </w:pPr>
            <w:r>
              <w:rPr>
                <w:rFonts w:hint="eastAsia"/>
              </w:rPr>
              <w:t>养殖种类</w:t>
            </w:r>
          </w:p>
        </w:tc>
        <w:tc>
          <w:tcPr>
            <w:tcW w:w="1160" w:type="dxa"/>
            <w:vAlign w:val="center"/>
          </w:tcPr>
          <w:p>
            <w:pPr>
              <w:pStyle w:val="51"/>
            </w:pPr>
            <w:r>
              <w:rPr>
                <w:rFonts w:hint="eastAsia"/>
              </w:rPr>
              <w:t>清粪方式</w:t>
            </w:r>
          </w:p>
        </w:tc>
        <w:tc>
          <w:tcPr>
            <w:tcW w:w="1220" w:type="dxa"/>
            <w:vAlign w:val="center"/>
          </w:tcPr>
          <w:p>
            <w:pPr>
              <w:pStyle w:val="51"/>
            </w:pPr>
            <w:r>
              <w:rPr>
                <w:rFonts w:hint="eastAsia"/>
              </w:rPr>
              <w:t>CODcr</w:t>
            </w:r>
          </w:p>
        </w:tc>
        <w:tc>
          <w:tcPr>
            <w:tcW w:w="1272" w:type="dxa"/>
            <w:vAlign w:val="center"/>
          </w:tcPr>
          <w:p>
            <w:pPr>
              <w:pStyle w:val="51"/>
            </w:pPr>
            <w:r>
              <w:rPr>
                <w:rFonts w:hint="eastAsia"/>
              </w:rPr>
              <w:t>NH</w:t>
            </w:r>
            <w:r>
              <w:rPr>
                <w:rFonts w:hint="eastAsia"/>
                <w:vertAlign w:val="subscript"/>
              </w:rPr>
              <w:t>3</w:t>
            </w:r>
            <w:r>
              <w:rPr>
                <w:rFonts w:hint="eastAsia"/>
              </w:rPr>
              <w:t>-N</w:t>
            </w:r>
          </w:p>
        </w:tc>
        <w:tc>
          <w:tcPr>
            <w:tcW w:w="1162" w:type="dxa"/>
            <w:vAlign w:val="center"/>
          </w:tcPr>
          <w:p>
            <w:pPr>
              <w:pStyle w:val="51"/>
            </w:pPr>
            <w:r>
              <w:rPr>
                <w:rFonts w:hint="eastAsia"/>
              </w:rPr>
              <w:t>TN</w:t>
            </w:r>
          </w:p>
        </w:tc>
        <w:tc>
          <w:tcPr>
            <w:tcW w:w="1161" w:type="dxa"/>
            <w:vAlign w:val="center"/>
          </w:tcPr>
          <w:p>
            <w:pPr>
              <w:pStyle w:val="51"/>
            </w:pPr>
            <w:r>
              <w:rPr>
                <w:rFonts w:hint="eastAsia"/>
              </w:rPr>
              <w:t>TP</w:t>
            </w:r>
          </w:p>
        </w:tc>
        <w:tc>
          <w:tcPr>
            <w:tcW w:w="1162" w:type="dxa"/>
            <w:vAlign w:val="center"/>
          </w:tcPr>
          <w:p>
            <w:pPr>
              <w:pStyle w:val="51"/>
            </w:pPr>
            <w:r>
              <w:rPr>
                <w:rFonts w:hint="eastAsia"/>
              </w:rPr>
              <w:t>pH值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Merge w:val="restart"/>
            <w:vAlign w:val="center"/>
          </w:tcPr>
          <w:p>
            <w:pPr>
              <w:pStyle w:val="51"/>
            </w:pPr>
            <w:r>
              <w:rPr>
                <w:rFonts w:hint="eastAsia"/>
              </w:rPr>
              <w:t>猪</w:t>
            </w:r>
          </w:p>
        </w:tc>
        <w:tc>
          <w:tcPr>
            <w:tcW w:w="1160" w:type="dxa"/>
            <w:vAlign w:val="center"/>
          </w:tcPr>
          <w:p>
            <w:pPr>
              <w:pStyle w:val="51"/>
            </w:pPr>
            <w:r>
              <w:rPr>
                <w:rFonts w:hint="eastAsia"/>
              </w:rPr>
              <w:t>水冲粪</w:t>
            </w:r>
          </w:p>
        </w:tc>
        <w:tc>
          <w:tcPr>
            <w:tcW w:w="1220" w:type="dxa"/>
            <w:vAlign w:val="center"/>
          </w:tcPr>
          <w:p>
            <w:pPr>
              <w:pStyle w:val="51"/>
            </w:pPr>
            <w:r>
              <w:t>1.56×10</w:t>
            </w:r>
            <w:r>
              <w:rPr>
                <w:vertAlign w:val="superscript"/>
              </w:rPr>
              <w:t>4</w:t>
            </w:r>
            <w:r>
              <w:t>~</w:t>
            </w:r>
          </w:p>
          <w:p>
            <w:pPr>
              <w:pStyle w:val="51"/>
            </w:pPr>
            <w:r>
              <w:t>4.05×10</w:t>
            </w:r>
            <w:r>
              <w:rPr>
                <w:vertAlign w:val="superscript"/>
              </w:rPr>
              <w:t>4</w:t>
            </w:r>
            <w:r>
              <w:t xml:space="preserve"> </w:t>
            </w:r>
          </w:p>
          <w:p>
            <w:pPr>
              <w:pStyle w:val="51"/>
            </w:pPr>
            <w:r>
              <w:rPr>
                <w:rFonts w:hint="eastAsia"/>
              </w:rPr>
              <w:t xml:space="preserve">平均 </w:t>
            </w:r>
            <w:r>
              <w:t>21600</w:t>
            </w:r>
          </w:p>
        </w:tc>
        <w:tc>
          <w:tcPr>
            <w:tcW w:w="1272" w:type="dxa"/>
            <w:vAlign w:val="center"/>
          </w:tcPr>
          <w:p>
            <w:pPr>
              <w:pStyle w:val="51"/>
            </w:pPr>
            <w:r>
              <w:t>1.</w:t>
            </w:r>
            <w:r>
              <w:rPr>
                <w:rFonts w:hint="eastAsia"/>
              </w:rPr>
              <w:t>27</w:t>
            </w:r>
            <w:r>
              <w:t>×10</w:t>
            </w:r>
            <w:r>
              <w:rPr>
                <w:rFonts w:hint="eastAsia"/>
                <w:vertAlign w:val="superscript"/>
              </w:rPr>
              <w:t>2</w:t>
            </w:r>
            <w:r>
              <w:t>~</w:t>
            </w:r>
          </w:p>
          <w:p>
            <w:pPr>
              <w:pStyle w:val="51"/>
            </w:pPr>
            <w:r>
              <w:rPr>
                <w:rFonts w:hint="eastAsia"/>
              </w:rPr>
              <w:t>1.78</w:t>
            </w:r>
            <w:r>
              <w:t>×10</w:t>
            </w:r>
            <w:r>
              <w:rPr>
                <w:rFonts w:hint="eastAsia"/>
                <w:vertAlign w:val="superscript"/>
              </w:rPr>
              <w:t>3</w:t>
            </w:r>
            <w:r>
              <w:t xml:space="preserve"> </w:t>
            </w:r>
          </w:p>
          <w:p>
            <w:pPr>
              <w:pStyle w:val="51"/>
            </w:pPr>
            <w:r>
              <w:rPr>
                <w:rFonts w:hint="eastAsia"/>
              </w:rPr>
              <w:t>平均 590</w:t>
            </w:r>
          </w:p>
        </w:tc>
        <w:tc>
          <w:tcPr>
            <w:tcW w:w="1162" w:type="dxa"/>
            <w:vAlign w:val="center"/>
          </w:tcPr>
          <w:p>
            <w:pPr>
              <w:pStyle w:val="51"/>
            </w:pPr>
            <w:r>
              <w:t>1.</w:t>
            </w:r>
            <w:r>
              <w:rPr>
                <w:rFonts w:hint="eastAsia"/>
              </w:rPr>
              <w:t>41</w:t>
            </w:r>
            <w:r>
              <w:t>×10</w:t>
            </w:r>
            <w:r>
              <w:rPr>
                <w:rFonts w:hint="eastAsia"/>
                <w:vertAlign w:val="superscript"/>
              </w:rPr>
              <w:t>2</w:t>
            </w:r>
            <w:r>
              <w:t>~</w:t>
            </w:r>
          </w:p>
          <w:p>
            <w:pPr>
              <w:pStyle w:val="51"/>
            </w:pPr>
            <w:r>
              <w:rPr>
                <w:rFonts w:hint="eastAsia"/>
              </w:rPr>
              <w:t>1.97</w:t>
            </w:r>
            <w:r>
              <w:t>×10</w:t>
            </w:r>
            <w:r>
              <w:rPr>
                <w:rFonts w:hint="eastAsia"/>
                <w:vertAlign w:val="superscript"/>
              </w:rPr>
              <w:t>3</w:t>
            </w:r>
            <w:r>
              <w:t xml:space="preserve"> </w:t>
            </w:r>
          </w:p>
          <w:p>
            <w:pPr>
              <w:pStyle w:val="51"/>
            </w:pPr>
            <w:r>
              <w:rPr>
                <w:rFonts w:hint="eastAsia"/>
              </w:rPr>
              <w:t>平均 805</w:t>
            </w:r>
          </w:p>
        </w:tc>
        <w:tc>
          <w:tcPr>
            <w:tcW w:w="1161" w:type="dxa"/>
            <w:vAlign w:val="center"/>
          </w:tcPr>
          <w:p>
            <w:pPr>
              <w:pStyle w:val="51"/>
            </w:pPr>
            <w:r>
              <w:rPr>
                <w:rFonts w:hint="eastAsia"/>
              </w:rPr>
              <w:t>3.21</w:t>
            </w:r>
            <w:r>
              <w:t>×10~</w:t>
            </w:r>
          </w:p>
          <w:p>
            <w:pPr>
              <w:pStyle w:val="51"/>
            </w:pPr>
            <w:r>
              <w:rPr>
                <w:rFonts w:hint="eastAsia"/>
              </w:rPr>
              <w:t>2.93</w:t>
            </w:r>
            <w:r>
              <w:t>×10</w:t>
            </w:r>
            <w:r>
              <w:rPr>
                <w:rFonts w:hint="eastAsia"/>
                <w:vertAlign w:val="superscript"/>
              </w:rPr>
              <w:t>2</w:t>
            </w:r>
            <w:r>
              <w:t xml:space="preserve"> </w:t>
            </w:r>
          </w:p>
          <w:p>
            <w:pPr>
              <w:pStyle w:val="51"/>
            </w:pPr>
            <w:r>
              <w:rPr>
                <w:rFonts w:hint="eastAsia"/>
              </w:rPr>
              <w:t>平均 127</w:t>
            </w:r>
          </w:p>
        </w:tc>
        <w:tc>
          <w:tcPr>
            <w:tcW w:w="1162" w:type="dxa"/>
            <w:vMerge w:val="restart"/>
            <w:vAlign w:val="center"/>
          </w:tcPr>
          <w:p>
            <w:pPr>
              <w:pStyle w:val="51"/>
            </w:pPr>
            <w:r>
              <w:rPr>
                <w:rFonts w:hint="eastAsia"/>
              </w:rPr>
              <w:t>6.3~7.5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Merge w:val="continue"/>
            <w:vAlign w:val="center"/>
          </w:tcPr>
          <w:p>
            <w:pPr>
              <w:pStyle w:val="51"/>
            </w:pPr>
          </w:p>
        </w:tc>
        <w:tc>
          <w:tcPr>
            <w:tcW w:w="1160" w:type="dxa"/>
            <w:vAlign w:val="center"/>
          </w:tcPr>
          <w:p>
            <w:pPr>
              <w:pStyle w:val="51"/>
            </w:pPr>
            <w:r>
              <w:rPr>
                <w:rFonts w:hint="eastAsia"/>
              </w:rPr>
              <w:t>干清粪</w:t>
            </w:r>
          </w:p>
        </w:tc>
        <w:tc>
          <w:tcPr>
            <w:tcW w:w="1220" w:type="dxa"/>
            <w:vAlign w:val="center"/>
          </w:tcPr>
          <w:p>
            <w:pPr>
              <w:pStyle w:val="51"/>
            </w:pPr>
            <w:r>
              <w:rPr>
                <w:rFonts w:hint="eastAsia"/>
              </w:rPr>
              <w:t>2.51</w:t>
            </w:r>
            <w:r>
              <w:t>×10</w:t>
            </w:r>
            <w:r>
              <w:rPr>
                <w:rFonts w:hint="eastAsia"/>
                <w:vertAlign w:val="superscript"/>
              </w:rPr>
              <w:t>3</w:t>
            </w:r>
            <w:r>
              <w:t>~</w:t>
            </w:r>
          </w:p>
          <w:p>
            <w:pPr>
              <w:pStyle w:val="51"/>
            </w:pPr>
            <w:r>
              <w:rPr>
                <w:rFonts w:hint="eastAsia"/>
              </w:rPr>
              <w:t>2.77</w:t>
            </w:r>
            <w:r>
              <w:t>×10</w:t>
            </w:r>
            <w:r>
              <w:rPr>
                <w:rFonts w:hint="eastAsia"/>
                <w:vertAlign w:val="superscript"/>
              </w:rPr>
              <w:t>3</w:t>
            </w:r>
            <w:r>
              <w:t xml:space="preserve"> </w:t>
            </w:r>
          </w:p>
          <w:p>
            <w:pPr>
              <w:pStyle w:val="51"/>
            </w:pPr>
            <w:r>
              <w:rPr>
                <w:rFonts w:hint="eastAsia"/>
              </w:rPr>
              <w:t>平均2640</w:t>
            </w:r>
          </w:p>
        </w:tc>
        <w:tc>
          <w:tcPr>
            <w:tcW w:w="1272" w:type="dxa"/>
            <w:vAlign w:val="center"/>
          </w:tcPr>
          <w:p>
            <w:pPr>
              <w:pStyle w:val="51"/>
            </w:pPr>
            <w:r>
              <w:rPr>
                <w:rFonts w:hint="eastAsia"/>
              </w:rPr>
              <w:t>2</w:t>
            </w:r>
            <w:r>
              <w:t>.</w:t>
            </w:r>
            <w:r>
              <w:rPr>
                <w:rFonts w:hint="eastAsia"/>
              </w:rPr>
              <w:t>34</w:t>
            </w:r>
            <w:r>
              <w:t>×10</w:t>
            </w:r>
            <w:r>
              <w:rPr>
                <w:rFonts w:hint="eastAsia"/>
                <w:vertAlign w:val="superscript"/>
              </w:rPr>
              <w:t>2</w:t>
            </w:r>
            <w:r>
              <w:t>~</w:t>
            </w:r>
          </w:p>
          <w:p>
            <w:pPr>
              <w:pStyle w:val="51"/>
            </w:pPr>
            <w:r>
              <w:rPr>
                <w:rFonts w:hint="eastAsia"/>
              </w:rPr>
              <w:t>2.88</w:t>
            </w:r>
            <w:r>
              <w:t>×10</w:t>
            </w:r>
            <w:r>
              <w:rPr>
                <w:rFonts w:hint="eastAsia"/>
                <w:vertAlign w:val="superscript"/>
              </w:rPr>
              <w:t>3</w:t>
            </w:r>
            <w:r>
              <w:t xml:space="preserve"> </w:t>
            </w:r>
          </w:p>
          <w:p>
            <w:pPr>
              <w:pStyle w:val="51"/>
            </w:pPr>
            <w:r>
              <w:rPr>
                <w:rFonts w:hint="eastAsia"/>
              </w:rPr>
              <w:t>平均 261</w:t>
            </w:r>
          </w:p>
        </w:tc>
        <w:tc>
          <w:tcPr>
            <w:tcW w:w="1162" w:type="dxa"/>
            <w:vAlign w:val="center"/>
          </w:tcPr>
          <w:p>
            <w:pPr>
              <w:pStyle w:val="51"/>
            </w:pPr>
            <w:r>
              <w:rPr>
                <w:rFonts w:hint="eastAsia"/>
              </w:rPr>
              <w:t>3.17</w:t>
            </w:r>
            <w:r>
              <w:t>×10</w:t>
            </w:r>
            <w:r>
              <w:rPr>
                <w:rFonts w:hint="eastAsia"/>
                <w:vertAlign w:val="superscript"/>
              </w:rPr>
              <w:t>2</w:t>
            </w:r>
            <w:r>
              <w:t>~</w:t>
            </w:r>
          </w:p>
          <w:p>
            <w:pPr>
              <w:pStyle w:val="51"/>
            </w:pPr>
            <w:r>
              <w:rPr>
                <w:rFonts w:hint="eastAsia"/>
              </w:rPr>
              <w:t>4.23</w:t>
            </w:r>
            <w:r>
              <w:t>×10</w:t>
            </w:r>
            <w:r>
              <w:rPr>
                <w:rFonts w:hint="eastAsia"/>
                <w:vertAlign w:val="superscript"/>
              </w:rPr>
              <w:t>2</w:t>
            </w:r>
            <w:r>
              <w:t xml:space="preserve"> </w:t>
            </w:r>
          </w:p>
          <w:p>
            <w:pPr>
              <w:pStyle w:val="51"/>
            </w:pPr>
            <w:r>
              <w:rPr>
                <w:rFonts w:hint="eastAsia"/>
              </w:rPr>
              <w:t>平均 370</w:t>
            </w:r>
          </w:p>
        </w:tc>
        <w:tc>
          <w:tcPr>
            <w:tcW w:w="1161" w:type="dxa"/>
            <w:vAlign w:val="center"/>
          </w:tcPr>
          <w:p>
            <w:pPr>
              <w:pStyle w:val="51"/>
            </w:pPr>
            <w:r>
              <w:rPr>
                <w:rFonts w:hint="eastAsia"/>
              </w:rPr>
              <w:t>3.47</w:t>
            </w:r>
            <w:r>
              <w:t>×10~</w:t>
            </w:r>
          </w:p>
          <w:p>
            <w:pPr>
              <w:pStyle w:val="51"/>
            </w:pPr>
            <w:r>
              <w:rPr>
                <w:rFonts w:hint="eastAsia"/>
              </w:rPr>
              <w:t>5.24</w:t>
            </w:r>
            <w:r>
              <w:t>×10</w:t>
            </w:r>
          </w:p>
          <w:p>
            <w:pPr>
              <w:pStyle w:val="51"/>
            </w:pPr>
            <w:r>
              <w:rPr>
                <w:rFonts w:hint="eastAsia"/>
              </w:rPr>
              <w:t>平均 43.5</w:t>
            </w:r>
          </w:p>
        </w:tc>
        <w:tc>
          <w:tcPr>
            <w:tcW w:w="1162"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59" w:type="dxa"/>
            <w:vAlign w:val="center"/>
          </w:tcPr>
          <w:p>
            <w:pPr>
              <w:pStyle w:val="51"/>
            </w:pPr>
            <w:r>
              <w:rPr>
                <w:rFonts w:hint="eastAsia"/>
              </w:rPr>
              <w:t>蛋鸡</w:t>
            </w:r>
          </w:p>
        </w:tc>
        <w:tc>
          <w:tcPr>
            <w:tcW w:w="1160" w:type="dxa"/>
            <w:vAlign w:val="center"/>
          </w:tcPr>
          <w:p>
            <w:pPr>
              <w:pStyle w:val="51"/>
            </w:pPr>
            <w:r>
              <w:rPr>
                <w:rFonts w:hint="eastAsia"/>
              </w:rPr>
              <w:t>水冲粪</w:t>
            </w:r>
          </w:p>
        </w:tc>
        <w:tc>
          <w:tcPr>
            <w:tcW w:w="1220" w:type="dxa"/>
            <w:vAlign w:val="center"/>
          </w:tcPr>
          <w:p>
            <w:pPr>
              <w:pStyle w:val="51"/>
            </w:pPr>
            <w:r>
              <w:rPr>
                <w:rFonts w:hint="eastAsia"/>
              </w:rPr>
              <w:t>2.74</w:t>
            </w:r>
            <w:r>
              <w:t>×10</w:t>
            </w:r>
            <w:r>
              <w:rPr>
                <w:rFonts w:hint="eastAsia"/>
                <w:vertAlign w:val="superscript"/>
              </w:rPr>
              <w:t>3</w:t>
            </w:r>
            <w:r>
              <w:t>~</w:t>
            </w:r>
          </w:p>
          <w:p>
            <w:pPr>
              <w:pStyle w:val="51"/>
            </w:pPr>
            <w:r>
              <w:rPr>
                <w:rFonts w:hint="eastAsia"/>
              </w:rPr>
              <w:t>1.05</w:t>
            </w:r>
            <w:r>
              <w:t>×10</w:t>
            </w:r>
            <w:r>
              <w:rPr>
                <w:rFonts w:hint="eastAsia"/>
                <w:vertAlign w:val="superscript"/>
              </w:rPr>
              <w:t>4</w:t>
            </w:r>
          </w:p>
          <w:p>
            <w:pPr>
              <w:pStyle w:val="51"/>
            </w:pPr>
            <w:r>
              <w:rPr>
                <w:rFonts w:hint="eastAsia"/>
              </w:rPr>
              <w:t>平均6060</w:t>
            </w:r>
          </w:p>
        </w:tc>
        <w:tc>
          <w:tcPr>
            <w:tcW w:w="1272" w:type="dxa"/>
            <w:vAlign w:val="center"/>
          </w:tcPr>
          <w:p>
            <w:pPr>
              <w:pStyle w:val="51"/>
            </w:pPr>
            <w:r>
              <w:rPr>
                <w:rFonts w:hint="eastAsia"/>
              </w:rPr>
              <w:t>7.0</w:t>
            </w:r>
            <w:r>
              <w:t>×10~</w:t>
            </w:r>
          </w:p>
          <w:p>
            <w:pPr>
              <w:pStyle w:val="51"/>
            </w:pPr>
            <w:r>
              <w:rPr>
                <w:rFonts w:hint="eastAsia"/>
              </w:rPr>
              <w:t>6.01</w:t>
            </w:r>
            <w:r>
              <w:t>×10</w:t>
            </w:r>
            <w:r>
              <w:rPr>
                <w:rFonts w:hint="eastAsia"/>
                <w:vertAlign w:val="superscript"/>
              </w:rPr>
              <w:t>2</w:t>
            </w:r>
            <w:r>
              <w:t xml:space="preserve"> </w:t>
            </w:r>
          </w:p>
          <w:p>
            <w:pPr>
              <w:pStyle w:val="51"/>
            </w:pPr>
            <w:r>
              <w:rPr>
                <w:rFonts w:hint="eastAsia"/>
              </w:rPr>
              <w:t>平均 261</w:t>
            </w:r>
          </w:p>
        </w:tc>
        <w:tc>
          <w:tcPr>
            <w:tcW w:w="1162" w:type="dxa"/>
            <w:vAlign w:val="center"/>
          </w:tcPr>
          <w:p>
            <w:pPr>
              <w:pStyle w:val="51"/>
            </w:pPr>
            <w:r>
              <w:rPr>
                <w:rFonts w:hint="eastAsia"/>
              </w:rPr>
              <w:t>9.75</w:t>
            </w:r>
            <w:r>
              <w:t>×10~</w:t>
            </w:r>
          </w:p>
          <w:p>
            <w:pPr>
              <w:pStyle w:val="51"/>
            </w:pPr>
            <w:r>
              <w:rPr>
                <w:rFonts w:hint="eastAsia"/>
              </w:rPr>
              <w:t>7.48</w:t>
            </w:r>
            <w:r>
              <w:t>×10</w:t>
            </w:r>
            <w:r>
              <w:rPr>
                <w:rFonts w:hint="eastAsia"/>
                <w:vertAlign w:val="superscript"/>
              </w:rPr>
              <w:t>2</w:t>
            </w:r>
            <w:r>
              <w:t xml:space="preserve"> </w:t>
            </w:r>
          </w:p>
          <w:p>
            <w:pPr>
              <w:pStyle w:val="51"/>
            </w:pPr>
            <w:r>
              <w:rPr>
                <w:rFonts w:hint="eastAsia"/>
              </w:rPr>
              <w:t>平均 342</w:t>
            </w:r>
          </w:p>
        </w:tc>
        <w:tc>
          <w:tcPr>
            <w:tcW w:w="1161" w:type="dxa"/>
            <w:vAlign w:val="center"/>
          </w:tcPr>
          <w:p>
            <w:pPr>
              <w:pStyle w:val="51"/>
            </w:pPr>
            <w:r>
              <w:rPr>
                <w:rFonts w:hint="eastAsia"/>
              </w:rPr>
              <w:t>1.32</w:t>
            </w:r>
            <w:r>
              <w:t>×10~</w:t>
            </w:r>
          </w:p>
          <w:p>
            <w:pPr>
              <w:pStyle w:val="51"/>
            </w:pPr>
            <w:r>
              <w:rPr>
                <w:rFonts w:hint="eastAsia"/>
              </w:rPr>
              <w:t>5.94</w:t>
            </w:r>
            <w:r>
              <w:t>×10</w:t>
            </w:r>
          </w:p>
          <w:p>
            <w:pPr>
              <w:pStyle w:val="51"/>
            </w:pPr>
            <w:r>
              <w:rPr>
                <w:rFonts w:hint="eastAsia"/>
              </w:rPr>
              <w:t>平均31.4</w:t>
            </w:r>
          </w:p>
        </w:tc>
        <w:tc>
          <w:tcPr>
            <w:tcW w:w="1162" w:type="dxa"/>
            <w:vAlign w:val="center"/>
          </w:tcPr>
          <w:p>
            <w:pPr>
              <w:pStyle w:val="51"/>
            </w:pPr>
            <w:r>
              <w:rPr>
                <w:rFonts w:hint="eastAsia"/>
              </w:rPr>
              <w:t>6.5~8.5</w:t>
            </w:r>
          </w:p>
        </w:tc>
      </w:tr>
    </w:tbl>
    <w:p>
      <w:pPr>
        <w:pStyle w:val="49"/>
        <w:ind w:firstLine="480"/>
      </w:pPr>
      <w:r>
        <w:rPr>
          <w:rFonts w:hint="eastAsia"/>
        </w:rPr>
        <w:t xml:space="preserve">由上表可见，畜禽养殖业排放的废水中污染物的浓度与养殖场的清粪方式有很大关系。以养猪场为例，采用干清粪方式的养殖场废水比水冲粪方式养殖场废水中的 </w:t>
      </w:r>
      <w:r>
        <w:t xml:space="preserve">COD </w:t>
      </w:r>
      <w:r>
        <w:rPr>
          <w:rFonts w:hint="eastAsia"/>
        </w:rPr>
        <w:t xml:space="preserve">浓度平均值约低一个数量级，其他指标也相差 </w:t>
      </w:r>
      <w:r>
        <w:t xml:space="preserve">3~6 </w:t>
      </w:r>
      <w:r>
        <w:rPr>
          <w:rFonts w:hint="eastAsia"/>
        </w:rPr>
        <w:t xml:space="preserve">倍。由于本项目为干清粪，因此项目鸡舍冲洗废水水质参照蛋鸡水冲粪的 </w:t>
      </w:r>
      <w:r>
        <w:t xml:space="preserve">1/3 </w:t>
      </w:r>
      <w:r>
        <w:rPr>
          <w:rFonts w:hint="eastAsia"/>
        </w:rPr>
        <w:t>进行保守预测及参考类比同类型项目，则鸡舍冲洗废水中COD、总氮、总磷、氨氮等污染物浓度分别按</w:t>
      </w:r>
      <w:r>
        <w:t>2020mg/L</w:t>
      </w:r>
      <w:r>
        <w:rPr>
          <w:rFonts w:hint="eastAsia"/>
        </w:rPr>
        <w:t>、</w:t>
      </w:r>
      <w:r>
        <w:t>114mg/L</w:t>
      </w:r>
      <w:r>
        <w:rPr>
          <w:rFonts w:hint="eastAsia"/>
        </w:rPr>
        <w:t>、</w:t>
      </w:r>
      <w:r>
        <w:t>10.5mg/L</w:t>
      </w:r>
      <w:r>
        <w:rPr>
          <w:rFonts w:hint="eastAsia"/>
        </w:rPr>
        <w:t>、</w:t>
      </w:r>
      <w:r>
        <w:t>87mg/L</w:t>
      </w:r>
      <w:r>
        <w:rPr>
          <w:rFonts w:hint="eastAsia"/>
        </w:rPr>
        <w:t>计。项目鸡舍冲洗废水中BOD</w:t>
      </w:r>
      <w:r>
        <w:rPr>
          <w:rFonts w:hint="eastAsia"/>
          <w:vertAlign w:val="subscript"/>
        </w:rPr>
        <w:t>5</w:t>
      </w:r>
      <w:r>
        <w:rPr>
          <w:rFonts w:hint="eastAsia"/>
        </w:rPr>
        <w:t>、SS等污染物浓度参照《规模化养鸡场冲洗废水三段式处理达标排放可行性试验研究》（宋薇，臧海龙，张峰、刘长青，毕学军，环境工程，</w:t>
      </w:r>
      <w:r>
        <w:t xml:space="preserve">2013 </w:t>
      </w:r>
      <w:r>
        <w:rPr>
          <w:rFonts w:hint="eastAsia"/>
        </w:rPr>
        <w:t xml:space="preserve">年第 </w:t>
      </w:r>
      <w:r>
        <w:t xml:space="preserve">31 </w:t>
      </w:r>
      <w:r>
        <w:rPr>
          <w:rFonts w:hint="eastAsia"/>
        </w:rPr>
        <w:t>卷增刊）中的数据，生产废水中BOD</w:t>
      </w:r>
      <w:r>
        <w:rPr>
          <w:rFonts w:hint="eastAsia"/>
          <w:vertAlign w:val="subscript"/>
        </w:rPr>
        <w:t>5</w:t>
      </w:r>
      <w:r>
        <w:rPr>
          <w:rFonts w:hint="eastAsia"/>
        </w:rPr>
        <w:t>、SS等污染物浓度分别按</w:t>
      </w:r>
      <w:r>
        <w:t>958mg/L</w:t>
      </w:r>
      <w:r>
        <w:rPr>
          <w:rFonts w:hint="eastAsia"/>
        </w:rPr>
        <w:t>、</w:t>
      </w:r>
      <w:r>
        <w:t>967mg/L</w:t>
      </w:r>
      <w:r>
        <w:rPr>
          <w:rFonts w:hint="eastAsia"/>
        </w:rPr>
        <w:t>计。本项目鸡舍冲洗废水污染物产生情况如下表所示。</w:t>
      </w:r>
    </w:p>
    <w:p>
      <w:pPr>
        <w:pStyle w:val="53"/>
      </w:pPr>
      <w:r>
        <w:rPr>
          <w:rFonts w:hint="eastAsia"/>
        </w:rPr>
        <w:t>表3.3-14 本项目鸡舍冲洗废水污染物源强核算表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701"/>
        <w:gridCol w:w="1559"/>
        <w:gridCol w:w="1963"/>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pStyle w:val="51"/>
            </w:pPr>
            <w:bookmarkStart w:id="152" w:name="_Hlk182842300"/>
            <w:r>
              <w:rPr>
                <w:rFonts w:hint="eastAsia"/>
              </w:rPr>
              <w:t>污染源</w:t>
            </w:r>
          </w:p>
        </w:tc>
        <w:tc>
          <w:tcPr>
            <w:tcW w:w="1701" w:type="dxa"/>
            <w:vAlign w:val="center"/>
          </w:tcPr>
          <w:p>
            <w:pPr>
              <w:pStyle w:val="51"/>
            </w:pPr>
            <w:r>
              <w:rPr>
                <w:rFonts w:hint="eastAsia"/>
              </w:rPr>
              <w:t>废水量（m</w:t>
            </w:r>
            <w:r>
              <w:rPr>
                <w:rFonts w:hint="eastAsia"/>
                <w:vertAlign w:val="superscript"/>
              </w:rPr>
              <w:t>3</w:t>
            </w:r>
            <w:r>
              <w:rPr>
                <w:rFonts w:hint="eastAsia"/>
              </w:rPr>
              <w:t>/a）</w:t>
            </w:r>
          </w:p>
        </w:tc>
        <w:tc>
          <w:tcPr>
            <w:tcW w:w="1559" w:type="dxa"/>
            <w:vAlign w:val="center"/>
          </w:tcPr>
          <w:p>
            <w:pPr>
              <w:pStyle w:val="51"/>
            </w:pPr>
            <w:r>
              <w:rPr>
                <w:rFonts w:hint="eastAsia"/>
              </w:rPr>
              <w:t>污染物</w:t>
            </w:r>
          </w:p>
        </w:tc>
        <w:tc>
          <w:tcPr>
            <w:tcW w:w="1963" w:type="dxa"/>
            <w:vAlign w:val="center"/>
          </w:tcPr>
          <w:p>
            <w:pPr>
              <w:pStyle w:val="51"/>
            </w:pPr>
            <w:r>
              <w:rPr>
                <w:rFonts w:hint="eastAsia"/>
              </w:rPr>
              <w:t>产生浓度（mg/L）</w:t>
            </w:r>
          </w:p>
        </w:tc>
        <w:tc>
          <w:tcPr>
            <w:tcW w:w="1660" w:type="dxa"/>
            <w:vAlign w:val="center"/>
          </w:tcPr>
          <w:p>
            <w:pPr>
              <w:pStyle w:val="51"/>
            </w:pPr>
            <w:r>
              <w:rPr>
                <w:rFonts w:hint="eastAsia"/>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pPr>
              <w:pStyle w:val="51"/>
            </w:pPr>
            <w:r>
              <w:rPr>
                <w:rFonts w:hint="eastAsia"/>
              </w:rPr>
              <w:t>鸡舍冲洗</w:t>
            </w:r>
          </w:p>
          <w:p>
            <w:pPr>
              <w:pStyle w:val="51"/>
            </w:pPr>
            <w:r>
              <w:rPr>
                <w:rFonts w:hint="eastAsia"/>
              </w:rPr>
              <w:t>废水</w:t>
            </w:r>
          </w:p>
        </w:tc>
        <w:tc>
          <w:tcPr>
            <w:tcW w:w="1701" w:type="dxa"/>
            <w:vMerge w:val="restart"/>
            <w:vAlign w:val="center"/>
          </w:tcPr>
          <w:p>
            <w:pPr>
              <w:pStyle w:val="51"/>
            </w:pPr>
            <w:r>
              <w:rPr>
                <w:rFonts w:hint="eastAsia"/>
              </w:rPr>
              <w:t>62.294</w:t>
            </w:r>
          </w:p>
        </w:tc>
        <w:tc>
          <w:tcPr>
            <w:tcW w:w="1559" w:type="dxa"/>
            <w:vAlign w:val="center"/>
          </w:tcPr>
          <w:p>
            <w:pPr>
              <w:pStyle w:val="51"/>
            </w:pPr>
            <w:r>
              <w:rPr>
                <w:rFonts w:hint="eastAsia"/>
              </w:rPr>
              <w:t>COD</w:t>
            </w:r>
          </w:p>
        </w:tc>
        <w:tc>
          <w:tcPr>
            <w:tcW w:w="1963" w:type="dxa"/>
            <w:vAlign w:val="center"/>
          </w:tcPr>
          <w:p>
            <w:pPr>
              <w:pStyle w:val="51"/>
            </w:pPr>
            <w:r>
              <w:rPr>
                <w:rFonts w:hint="eastAsia"/>
              </w:rPr>
              <w:t>2020</w:t>
            </w:r>
          </w:p>
        </w:tc>
        <w:tc>
          <w:tcPr>
            <w:tcW w:w="1660" w:type="dxa"/>
            <w:vAlign w:val="bottom"/>
          </w:tcPr>
          <w:p>
            <w:pPr>
              <w:pStyle w:val="51"/>
            </w:pPr>
            <w:r>
              <w:rPr>
                <w:rFonts w:hint="eastAsia"/>
              </w:rPr>
              <w:t>0.1258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51"/>
            </w:pPr>
          </w:p>
        </w:tc>
        <w:tc>
          <w:tcPr>
            <w:tcW w:w="1701" w:type="dxa"/>
            <w:vMerge w:val="continue"/>
            <w:vAlign w:val="center"/>
          </w:tcPr>
          <w:p>
            <w:pPr>
              <w:pStyle w:val="51"/>
            </w:pPr>
          </w:p>
        </w:tc>
        <w:tc>
          <w:tcPr>
            <w:tcW w:w="1559" w:type="dxa"/>
            <w:vAlign w:val="center"/>
          </w:tcPr>
          <w:p>
            <w:pPr>
              <w:pStyle w:val="51"/>
            </w:pPr>
            <w:r>
              <w:rPr>
                <w:rFonts w:hint="eastAsia"/>
              </w:rPr>
              <w:t>BOD</w:t>
            </w:r>
            <w:r>
              <w:rPr>
                <w:rFonts w:hint="eastAsia"/>
                <w:vertAlign w:val="subscript"/>
              </w:rPr>
              <w:t>5</w:t>
            </w:r>
          </w:p>
        </w:tc>
        <w:tc>
          <w:tcPr>
            <w:tcW w:w="1963" w:type="dxa"/>
            <w:vAlign w:val="center"/>
          </w:tcPr>
          <w:p>
            <w:pPr>
              <w:pStyle w:val="51"/>
            </w:pPr>
            <w:r>
              <w:rPr>
                <w:rFonts w:hint="eastAsia"/>
              </w:rPr>
              <w:t>958</w:t>
            </w:r>
          </w:p>
        </w:tc>
        <w:tc>
          <w:tcPr>
            <w:tcW w:w="1660" w:type="dxa"/>
            <w:vAlign w:val="bottom"/>
          </w:tcPr>
          <w:p>
            <w:pPr>
              <w:pStyle w:val="51"/>
            </w:pPr>
            <w:r>
              <w:rPr>
                <w:rFonts w:hint="eastAsia"/>
              </w:rPr>
              <w:t>0.0597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vMerge w:val="continue"/>
            <w:vAlign w:val="center"/>
          </w:tcPr>
          <w:p>
            <w:pPr>
              <w:pStyle w:val="51"/>
            </w:pPr>
          </w:p>
        </w:tc>
        <w:tc>
          <w:tcPr>
            <w:tcW w:w="1701" w:type="dxa"/>
            <w:vMerge w:val="continue"/>
            <w:vAlign w:val="center"/>
          </w:tcPr>
          <w:p>
            <w:pPr>
              <w:pStyle w:val="51"/>
            </w:pPr>
          </w:p>
        </w:tc>
        <w:tc>
          <w:tcPr>
            <w:tcW w:w="1559" w:type="dxa"/>
            <w:vAlign w:val="center"/>
          </w:tcPr>
          <w:p>
            <w:pPr>
              <w:pStyle w:val="51"/>
            </w:pPr>
            <w:r>
              <w:rPr>
                <w:rFonts w:hint="eastAsia"/>
              </w:rPr>
              <w:t>氨氮</w:t>
            </w:r>
          </w:p>
        </w:tc>
        <w:tc>
          <w:tcPr>
            <w:tcW w:w="1963" w:type="dxa"/>
            <w:vAlign w:val="center"/>
          </w:tcPr>
          <w:p>
            <w:pPr>
              <w:pStyle w:val="51"/>
            </w:pPr>
            <w:r>
              <w:rPr>
                <w:rFonts w:hint="eastAsia"/>
              </w:rPr>
              <w:t>87</w:t>
            </w:r>
          </w:p>
        </w:tc>
        <w:tc>
          <w:tcPr>
            <w:tcW w:w="1660" w:type="dxa"/>
            <w:vAlign w:val="bottom"/>
          </w:tcPr>
          <w:p>
            <w:pPr>
              <w:pStyle w:val="51"/>
            </w:pPr>
            <w:r>
              <w:rPr>
                <w:rFonts w:hint="eastAsia"/>
              </w:rPr>
              <w:t>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51"/>
            </w:pPr>
          </w:p>
        </w:tc>
        <w:tc>
          <w:tcPr>
            <w:tcW w:w="1701" w:type="dxa"/>
            <w:vMerge w:val="continue"/>
            <w:vAlign w:val="center"/>
          </w:tcPr>
          <w:p>
            <w:pPr>
              <w:pStyle w:val="51"/>
            </w:pPr>
          </w:p>
        </w:tc>
        <w:tc>
          <w:tcPr>
            <w:tcW w:w="1559" w:type="dxa"/>
            <w:vAlign w:val="center"/>
          </w:tcPr>
          <w:p>
            <w:pPr>
              <w:pStyle w:val="51"/>
            </w:pPr>
            <w:r>
              <w:rPr>
                <w:rFonts w:hint="eastAsia"/>
              </w:rPr>
              <w:t>SS</w:t>
            </w:r>
          </w:p>
        </w:tc>
        <w:tc>
          <w:tcPr>
            <w:tcW w:w="1963" w:type="dxa"/>
            <w:vAlign w:val="center"/>
          </w:tcPr>
          <w:p>
            <w:pPr>
              <w:pStyle w:val="51"/>
            </w:pPr>
            <w:r>
              <w:rPr>
                <w:rFonts w:hint="eastAsia"/>
              </w:rPr>
              <w:t>967</w:t>
            </w:r>
          </w:p>
        </w:tc>
        <w:tc>
          <w:tcPr>
            <w:tcW w:w="1660" w:type="dxa"/>
            <w:vAlign w:val="bottom"/>
          </w:tcPr>
          <w:p>
            <w:pPr>
              <w:pStyle w:val="51"/>
            </w:pPr>
            <w:r>
              <w:rPr>
                <w:rFonts w:hint="eastAsia"/>
              </w:rPr>
              <w:t>0.0602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51"/>
            </w:pPr>
          </w:p>
        </w:tc>
        <w:tc>
          <w:tcPr>
            <w:tcW w:w="1701" w:type="dxa"/>
            <w:vMerge w:val="continue"/>
            <w:vAlign w:val="center"/>
          </w:tcPr>
          <w:p>
            <w:pPr>
              <w:pStyle w:val="51"/>
            </w:pPr>
          </w:p>
        </w:tc>
        <w:tc>
          <w:tcPr>
            <w:tcW w:w="1559" w:type="dxa"/>
            <w:vAlign w:val="center"/>
          </w:tcPr>
          <w:p>
            <w:pPr>
              <w:pStyle w:val="51"/>
            </w:pPr>
            <w:r>
              <w:rPr>
                <w:rFonts w:hint="eastAsia"/>
              </w:rPr>
              <w:t>总氮</w:t>
            </w:r>
          </w:p>
        </w:tc>
        <w:tc>
          <w:tcPr>
            <w:tcW w:w="1963" w:type="dxa"/>
            <w:vAlign w:val="center"/>
          </w:tcPr>
          <w:p>
            <w:pPr>
              <w:pStyle w:val="51"/>
            </w:pPr>
            <w:r>
              <w:rPr>
                <w:rFonts w:hint="eastAsia"/>
              </w:rPr>
              <w:t>114</w:t>
            </w:r>
          </w:p>
        </w:tc>
        <w:tc>
          <w:tcPr>
            <w:tcW w:w="1660" w:type="dxa"/>
            <w:vAlign w:val="bottom"/>
          </w:tcPr>
          <w:p>
            <w:pPr>
              <w:pStyle w:val="51"/>
            </w:pPr>
            <w:r>
              <w:rPr>
                <w:rFonts w:hint="eastAsia"/>
              </w:rPr>
              <w:t>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51"/>
            </w:pPr>
          </w:p>
        </w:tc>
        <w:tc>
          <w:tcPr>
            <w:tcW w:w="1701" w:type="dxa"/>
            <w:vMerge w:val="continue"/>
            <w:vAlign w:val="center"/>
          </w:tcPr>
          <w:p>
            <w:pPr>
              <w:pStyle w:val="51"/>
            </w:pPr>
          </w:p>
        </w:tc>
        <w:tc>
          <w:tcPr>
            <w:tcW w:w="1559" w:type="dxa"/>
            <w:vAlign w:val="center"/>
          </w:tcPr>
          <w:p>
            <w:pPr>
              <w:pStyle w:val="51"/>
            </w:pPr>
            <w:r>
              <w:rPr>
                <w:rFonts w:hint="eastAsia"/>
              </w:rPr>
              <w:t>总磷</w:t>
            </w:r>
          </w:p>
        </w:tc>
        <w:tc>
          <w:tcPr>
            <w:tcW w:w="1963" w:type="dxa"/>
            <w:vAlign w:val="center"/>
          </w:tcPr>
          <w:p>
            <w:pPr>
              <w:pStyle w:val="51"/>
            </w:pPr>
            <w:r>
              <w:rPr>
                <w:rFonts w:hint="eastAsia"/>
              </w:rPr>
              <w:t>10.5</w:t>
            </w:r>
          </w:p>
        </w:tc>
        <w:tc>
          <w:tcPr>
            <w:tcW w:w="1660" w:type="dxa"/>
            <w:vAlign w:val="bottom"/>
          </w:tcPr>
          <w:p>
            <w:pPr>
              <w:pStyle w:val="51"/>
            </w:pPr>
            <w:r>
              <w:rPr>
                <w:rFonts w:hint="eastAsia"/>
              </w:rPr>
              <w:t>0.0007</w:t>
            </w:r>
          </w:p>
        </w:tc>
      </w:tr>
      <w:bookmarkEnd w:id="152"/>
    </w:tbl>
    <w:p>
      <w:pPr>
        <w:pStyle w:val="49"/>
        <w:ind w:firstLine="480"/>
      </w:pPr>
      <w:r>
        <w:rPr>
          <w:rFonts w:hint="eastAsia"/>
        </w:rPr>
        <w:t>2、生活污水</w:t>
      </w:r>
    </w:p>
    <w:p>
      <w:pPr>
        <w:pStyle w:val="49"/>
        <w:ind w:firstLine="480"/>
      </w:pPr>
      <w:r>
        <w:rPr>
          <w:rFonts w:hint="eastAsia"/>
        </w:rPr>
        <w:t>本项目生活污水产生量约为1314m</w:t>
      </w:r>
      <w:r>
        <w:rPr>
          <w:rFonts w:hint="eastAsia"/>
          <w:vertAlign w:val="superscript"/>
        </w:rPr>
        <w:t>3</w:t>
      </w:r>
      <w:r>
        <w:rPr>
          <w:rFonts w:hint="eastAsia"/>
        </w:rPr>
        <w:t>/a，废水中主要污染物为</w:t>
      </w:r>
      <w:r>
        <w:t>COD</w:t>
      </w:r>
      <w:r>
        <w:rPr>
          <w:rFonts w:hint="eastAsia"/>
        </w:rPr>
        <w:t>、</w:t>
      </w:r>
      <w:r>
        <w:t>BOD</w:t>
      </w:r>
      <w:r>
        <w:rPr>
          <w:vertAlign w:val="subscript"/>
        </w:rPr>
        <w:t>5</w:t>
      </w:r>
      <w:r>
        <w:rPr>
          <w:rFonts w:hint="eastAsia"/>
        </w:rPr>
        <w:t>、氨氮、</w:t>
      </w:r>
      <w:r>
        <w:t>SS</w:t>
      </w:r>
      <w:r>
        <w:rPr>
          <w:rFonts w:hint="eastAsia"/>
        </w:rPr>
        <w:t>，浓度分别按</w:t>
      </w:r>
      <w:r>
        <w:rPr>
          <w:rFonts w:cs="Times New Roman"/>
        </w:rPr>
        <w:t>250mg/L</w:t>
      </w:r>
      <w:r>
        <w:rPr>
          <w:rFonts w:hint="eastAsia" w:cs="Times New Roman"/>
        </w:rPr>
        <w:t>、</w:t>
      </w:r>
      <w:r>
        <w:rPr>
          <w:rFonts w:cs="Times New Roman"/>
        </w:rPr>
        <w:t>150mg/L</w:t>
      </w:r>
      <w:r>
        <w:rPr>
          <w:rFonts w:hint="eastAsia" w:cs="Times New Roman"/>
        </w:rPr>
        <w:t>、</w:t>
      </w:r>
      <w:r>
        <w:rPr>
          <w:rFonts w:cs="Times New Roman"/>
        </w:rPr>
        <w:t>20mg/L</w:t>
      </w:r>
      <w:r>
        <w:rPr>
          <w:rFonts w:hint="eastAsia" w:cs="Times New Roman"/>
        </w:rPr>
        <w:t>、</w:t>
      </w:r>
      <w:r>
        <w:rPr>
          <w:rFonts w:cs="Times New Roman"/>
        </w:rPr>
        <w:t>150 mg/L</w:t>
      </w:r>
      <w:r>
        <w:rPr>
          <w:rFonts w:hint="eastAsia" w:cs="Times New Roman"/>
        </w:rPr>
        <w:t>计，</w:t>
      </w:r>
      <w:r>
        <w:rPr>
          <w:rFonts w:hint="eastAsia"/>
        </w:rPr>
        <w:t>本项目生活污水污染物产生情况如下表所示。</w:t>
      </w:r>
    </w:p>
    <w:p>
      <w:pPr>
        <w:pStyle w:val="53"/>
      </w:pPr>
      <w:r>
        <w:rPr>
          <w:rFonts w:hint="eastAsia"/>
        </w:rPr>
        <w:t>表3.3-15  本项目生活污水污染物源强核算表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355"/>
        <w:gridCol w:w="1963"/>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9" w:type="dxa"/>
            <w:vAlign w:val="center"/>
          </w:tcPr>
          <w:p>
            <w:pPr>
              <w:pStyle w:val="51"/>
            </w:pPr>
            <w:r>
              <w:rPr>
                <w:rFonts w:hint="eastAsia"/>
              </w:rPr>
              <w:t>污染源</w:t>
            </w:r>
          </w:p>
        </w:tc>
        <w:tc>
          <w:tcPr>
            <w:tcW w:w="1659" w:type="dxa"/>
            <w:vAlign w:val="center"/>
          </w:tcPr>
          <w:p>
            <w:pPr>
              <w:pStyle w:val="51"/>
            </w:pPr>
            <w:r>
              <w:rPr>
                <w:rFonts w:hint="eastAsia"/>
              </w:rPr>
              <w:t>废水量（m</w:t>
            </w:r>
            <w:r>
              <w:rPr>
                <w:rFonts w:hint="eastAsia"/>
                <w:vertAlign w:val="superscript"/>
              </w:rPr>
              <w:t>3</w:t>
            </w:r>
            <w:r>
              <w:rPr>
                <w:rFonts w:hint="eastAsia"/>
              </w:rPr>
              <w:t>/a）</w:t>
            </w:r>
          </w:p>
        </w:tc>
        <w:tc>
          <w:tcPr>
            <w:tcW w:w="1355" w:type="dxa"/>
            <w:vAlign w:val="center"/>
          </w:tcPr>
          <w:p>
            <w:pPr>
              <w:pStyle w:val="51"/>
            </w:pPr>
            <w:r>
              <w:rPr>
                <w:rFonts w:hint="eastAsia"/>
              </w:rPr>
              <w:t>污染物</w:t>
            </w:r>
          </w:p>
        </w:tc>
        <w:tc>
          <w:tcPr>
            <w:tcW w:w="1963" w:type="dxa"/>
            <w:vAlign w:val="center"/>
          </w:tcPr>
          <w:p>
            <w:pPr>
              <w:pStyle w:val="51"/>
            </w:pPr>
            <w:r>
              <w:rPr>
                <w:rFonts w:hint="eastAsia"/>
              </w:rPr>
              <w:t>产生浓度（mg/L）</w:t>
            </w:r>
          </w:p>
        </w:tc>
        <w:tc>
          <w:tcPr>
            <w:tcW w:w="1660" w:type="dxa"/>
            <w:vAlign w:val="center"/>
          </w:tcPr>
          <w:p>
            <w:pPr>
              <w:pStyle w:val="51"/>
            </w:pPr>
            <w:r>
              <w:rPr>
                <w:rFonts w:hint="eastAsia"/>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restart"/>
            <w:vAlign w:val="center"/>
          </w:tcPr>
          <w:p>
            <w:pPr>
              <w:pStyle w:val="51"/>
            </w:pPr>
            <w:r>
              <w:rPr>
                <w:rFonts w:hint="eastAsia"/>
              </w:rPr>
              <w:t>生活污水</w:t>
            </w:r>
          </w:p>
        </w:tc>
        <w:tc>
          <w:tcPr>
            <w:tcW w:w="1659" w:type="dxa"/>
            <w:vMerge w:val="restart"/>
            <w:vAlign w:val="center"/>
          </w:tcPr>
          <w:p>
            <w:pPr>
              <w:pStyle w:val="51"/>
            </w:pPr>
            <w:r>
              <w:rPr>
                <w:rFonts w:hint="eastAsia"/>
              </w:rPr>
              <w:t>1314</w:t>
            </w:r>
          </w:p>
        </w:tc>
        <w:tc>
          <w:tcPr>
            <w:tcW w:w="1355" w:type="dxa"/>
            <w:vAlign w:val="center"/>
          </w:tcPr>
          <w:p>
            <w:pPr>
              <w:pStyle w:val="51"/>
            </w:pPr>
            <w:r>
              <w:rPr>
                <w:rFonts w:hint="eastAsia"/>
              </w:rPr>
              <w:t>COD</w:t>
            </w:r>
          </w:p>
        </w:tc>
        <w:tc>
          <w:tcPr>
            <w:tcW w:w="1963" w:type="dxa"/>
            <w:vAlign w:val="center"/>
          </w:tcPr>
          <w:p>
            <w:pPr>
              <w:pStyle w:val="51"/>
            </w:pPr>
            <w:r>
              <w:rPr>
                <w:rFonts w:hint="eastAsia"/>
              </w:rPr>
              <w:t>250</w:t>
            </w:r>
          </w:p>
        </w:tc>
        <w:tc>
          <w:tcPr>
            <w:tcW w:w="1660" w:type="dxa"/>
            <w:vAlign w:val="bottom"/>
          </w:tcPr>
          <w:p>
            <w:pPr>
              <w:pStyle w:val="51"/>
            </w:pPr>
            <w:r>
              <w:rPr>
                <w:rFonts w:hint="eastAsia"/>
              </w:rPr>
              <w:t>0.3285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vAlign w:val="center"/>
          </w:tcPr>
          <w:p>
            <w:pPr>
              <w:pStyle w:val="51"/>
            </w:pPr>
          </w:p>
        </w:tc>
        <w:tc>
          <w:tcPr>
            <w:tcW w:w="1659" w:type="dxa"/>
            <w:vMerge w:val="continue"/>
            <w:vAlign w:val="center"/>
          </w:tcPr>
          <w:p>
            <w:pPr>
              <w:pStyle w:val="51"/>
            </w:pPr>
          </w:p>
        </w:tc>
        <w:tc>
          <w:tcPr>
            <w:tcW w:w="1355" w:type="dxa"/>
            <w:vAlign w:val="center"/>
          </w:tcPr>
          <w:p>
            <w:pPr>
              <w:pStyle w:val="51"/>
            </w:pPr>
            <w:r>
              <w:rPr>
                <w:rFonts w:hint="eastAsia"/>
              </w:rPr>
              <w:t>BOD</w:t>
            </w:r>
            <w:r>
              <w:rPr>
                <w:rFonts w:hint="eastAsia"/>
                <w:vertAlign w:val="subscript"/>
              </w:rPr>
              <w:t>5</w:t>
            </w:r>
          </w:p>
        </w:tc>
        <w:tc>
          <w:tcPr>
            <w:tcW w:w="1963" w:type="dxa"/>
            <w:vAlign w:val="center"/>
          </w:tcPr>
          <w:p>
            <w:pPr>
              <w:pStyle w:val="51"/>
            </w:pPr>
            <w:r>
              <w:rPr>
                <w:rFonts w:hint="eastAsia"/>
              </w:rPr>
              <w:t>150</w:t>
            </w:r>
          </w:p>
        </w:tc>
        <w:tc>
          <w:tcPr>
            <w:tcW w:w="1660" w:type="dxa"/>
            <w:vAlign w:val="bottom"/>
          </w:tcPr>
          <w:p>
            <w:pPr>
              <w:pStyle w:val="51"/>
            </w:pPr>
            <w:r>
              <w:rPr>
                <w:rFonts w:hint="eastAsia"/>
              </w:rPr>
              <w:t>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vAlign w:val="center"/>
          </w:tcPr>
          <w:p>
            <w:pPr>
              <w:pStyle w:val="51"/>
            </w:pPr>
          </w:p>
        </w:tc>
        <w:tc>
          <w:tcPr>
            <w:tcW w:w="1659" w:type="dxa"/>
            <w:vMerge w:val="continue"/>
            <w:vAlign w:val="center"/>
          </w:tcPr>
          <w:p>
            <w:pPr>
              <w:pStyle w:val="51"/>
            </w:pPr>
          </w:p>
        </w:tc>
        <w:tc>
          <w:tcPr>
            <w:tcW w:w="1355" w:type="dxa"/>
            <w:vAlign w:val="center"/>
          </w:tcPr>
          <w:p>
            <w:pPr>
              <w:pStyle w:val="51"/>
            </w:pPr>
            <w:r>
              <w:rPr>
                <w:rFonts w:hint="eastAsia"/>
              </w:rPr>
              <w:t>氨氮</w:t>
            </w:r>
          </w:p>
        </w:tc>
        <w:tc>
          <w:tcPr>
            <w:tcW w:w="1963" w:type="dxa"/>
            <w:vAlign w:val="center"/>
          </w:tcPr>
          <w:p>
            <w:pPr>
              <w:pStyle w:val="51"/>
            </w:pPr>
            <w:r>
              <w:rPr>
                <w:rFonts w:hint="eastAsia"/>
              </w:rPr>
              <w:t>20</w:t>
            </w:r>
          </w:p>
        </w:tc>
        <w:tc>
          <w:tcPr>
            <w:tcW w:w="1660" w:type="dxa"/>
            <w:vAlign w:val="bottom"/>
          </w:tcPr>
          <w:p>
            <w:pPr>
              <w:pStyle w:val="51"/>
            </w:pPr>
            <w:r>
              <w:rPr>
                <w:rFonts w:hint="eastAsia"/>
              </w:rPr>
              <w:t>0.0263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vAlign w:val="center"/>
          </w:tcPr>
          <w:p>
            <w:pPr>
              <w:pStyle w:val="51"/>
            </w:pPr>
          </w:p>
        </w:tc>
        <w:tc>
          <w:tcPr>
            <w:tcW w:w="1659" w:type="dxa"/>
            <w:vMerge w:val="continue"/>
            <w:vAlign w:val="center"/>
          </w:tcPr>
          <w:p>
            <w:pPr>
              <w:pStyle w:val="51"/>
            </w:pPr>
          </w:p>
        </w:tc>
        <w:tc>
          <w:tcPr>
            <w:tcW w:w="1355" w:type="dxa"/>
            <w:vAlign w:val="center"/>
          </w:tcPr>
          <w:p>
            <w:pPr>
              <w:pStyle w:val="51"/>
            </w:pPr>
            <w:r>
              <w:rPr>
                <w:rFonts w:hint="eastAsia"/>
              </w:rPr>
              <w:t>SS</w:t>
            </w:r>
          </w:p>
        </w:tc>
        <w:tc>
          <w:tcPr>
            <w:tcW w:w="1963" w:type="dxa"/>
            <w:vAlign w:val="center"/>
          </w:tcPr>
          <w:p>
            <w:pPr>
              <w:pStyle w:val="51"/>
            </w:pPr>
            <w:r>
              <w:rPr>
                <w:rFonts w:hint="eastAsia"/>
              </w:rPr>
              <w:t>150</w:t>
            </w:r>
          </w:p>
        </w:tc>
        <w:tc>
          <w:tcPr>
            <w:tcW w:w="1660" w:type="dxa"/>
            <w:vAlign w:val="bottom"/>
          </w:tcPr>
          <w:p>
            <w:pPr>
              <w:pStyle w:val="51"/>
            </w:pPr>
            <w:r>
              <w:rPr>
                <w:rFonts w:hint="eastAsia"/>
              </w:rPr>
              <w:t>0.1971</w:t>
            </w:r>
          </w:p>
        </w:tc>
      </w:tr>
    </w:tbl>
    <w:p>
      <w:pPr>
        <w:pStyle w:val="49"/>
        <w:ind w:firstLine="480"/>
      </w:pPr>
      <w:r>
        <w:rPr>
          <w:rFonts w:hint="eastAsia"/>
        </w:rPr>
        <w:t>3、废水</w:t>
      </w:r>
      <w:r>
        <w:rPr>
          <w:rFonts w:hint="eastAsia"/>
          <w:snapToGrid w:val="0"/>
        </w:rPr>
        <w:t>污染物源强核算</w:t>
      </w:r>
    </w:p>
    <w:p>
      <w:pPr>
        <w:pStyle w:val="49"/>
        <w:ind w:firstLine="480"/>
        <w:rPr>
          <w:snapToGrid w:val="0"/>
        </w:rPr>
      </w:pPr>
      <w:r>
        <w:rPr>
          <w:rFonts w:hint="eastAsia"/>
          <w:snapToGrid w:val="0"/>
        </w:rPr>
        <w:t>本项目废水污染物源强核算见下表。</w:t>
      </w:r>
    </w:p>
    <w:p>
      <w:pPr>
        <w:pStyle w:val="53"/>
      </w:pPr>
    </w:p>
    <w:p>
      <w:pPr>
        <w:pStyle w:val="53"/>
      </w:pPr>
      <w:r>
        <w:rPr>
          <w:rFonts w:hint="eastAsia"/>
        </w:rPr>
        <w:t>表3.3-16  本项目废水污染物源强核算表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542"/>
        <w:gridCol w:w="1004"/>
        <w:gridCol w:w="830"/>
        <w:gridCol w:w="840"/>
        <w:gridCol w:w="809"/>
        <w:gridCol w:w="809"/>
        <w:gridCol w:w="809"/>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9" w:type="dxa"/>
            <w:gridSpan w:val="2"/>
            <w:vMerge w:val="restart"/>
            <w:vAlign w:val="center"/>
          </w:tcPr>
          <w:p>
            <w:pPr>
              <w:pStyle w:val="201"/>
            </w:pPr>
            <w:bookmarkStart w:id="153" w:name="_Hlk193880096"/>
            <w:r>
              <w:rPr>
                <w:rFonts w:hint="eastAsia"/>
              </w:rPr>
              <w:t>废水种类</w:t>
            </w:r>
          </w:p>
        </w:tc>
        <w:tc>
          <w:tcPr>
            <w:tcW w:w="1004" w:type="dxa"/>
            <w:vMerge w:val="restart"/>
            <w:vAlign w:val="center"/>
          </w:tcPr>
          <w:p>
            <w:pPr>
              <w:pStyle w:val="201"/>
            </w:pPr>
            <w:r>
              <w:rPr>
                <w:rFonts w:hint="eastAsia"/>
              </w:rPr>
              <w:t>废水量</w:t>
            </w:r>
          </w:p>
          <w:p>
            <w:pPr>
              <w:pStyle w:val="201"/>
            </w:pPr>
            <w:r>
              <w:rPr>
                <w:rFonts w:hint="eastAsia"/>
              </w:rPr>
              <w:t>(m</w:t>
            </w:r>
            <w:r>
              <w:rPr>
                <w:rFonts w:hint="eastAsia"/>
                <w:vertAlign w:val="superscript"/>
              </w:rPr>
              <w:t>3</w:t>
            </w:r>
            <w:r>
              <w:rPr>
                <w:rFonts w:hint="eastAsia"/>
              </w:rPr>
              <w:t>/a)</w:t>
            </w:r>
          </w:p>
        </w:tc>
        <w:tc>
          <w:tcPr>
            <w:tcW w:w="4903" w:type="dxa"/>
            <w:gridSpan w:val="6"/>
            <w:vAlign w:val="center"/>
          </w:tcPr>
          <w:p>
            <w:pPr>
              <w:pStyle w:val="201"/>
            </w:pPr>
            <w:r>
              <w:rPr>
                <w:rFonts w:hint="eastAsia"/>
              </w:rPr>
              <w:t>主要污染物(mg/L)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9" w:type="dxa"/>
            <w:gridSpan w:val="2"/>
            <w:vMerge w:val="continue"/>
            <w:vAlign w:val="center"/>
          </w:tcPr>
          <w:p>
            <w:pPr>
              <w:pStyle w:val="201"/>
            </w:pPr>
          </w:p>
        </w:tc>
        <w:tc>
          <w:tcPr>
            <w:tcW w:w="1004" w:type="dxa"/>
            <w:vMerge w:val="continue"/>
            <w:vAlign w:val="center"/>
          </w:tcPr>
          <w:p>
            <w:pPr>
              <w:pStyle w:val="201"/>
            </w:pPr>
          </w:p>
        </w:tc>
        <w:tc>
          <w:tcPr>
            <w:tcW w:w="830" w:type="dxa"/>
            <w:vAlign w:val="center"/>
          </w:tcPr>
          <w:p>
            <w:pPr>
              <w:pStyle w:val="201"/>
            </w:pPr>
            <w:r>
              <w:rPr>
                <w:rFonts w:hint="eastAsia"/>
              </w:rPr>
              <w:t>COD</w:t>
            </w:r>
          </w:p>
        </w:tc>
        <w:tc>
          <w:tcPr>
            <w:tcW w:w="840" w:type="dxa"/>
            <w:vAlign w:val="center"/>
          </w:tcPr>
          <w:p>
            <w:pPr>
              <w:pStyle w:val="201"/>
            </w:pPr>
            <w:r>
              <w:rPr>
                <w:rFonts w:hint="eastAsia"/>
              </w:rPr>
              <w:t>BOD</w:t>
            </w:r>
            <w:r>
              <w:rPr>
                <w:rFonts w:hint="eastAsia"/>
                <w:vertAlign w:val="subscript"/>
              </w:rPr>
              <w:t>5</w:t>
            </w:r>
          </w:p>
        </w:tc>
        <w:tc>
          <w:tcPr>
            <w:tcW w:w="809" w:type="dxa"/>
            <w:vAlign w:val="center"/>
          </w:tcPr>
          <w:p>
            <w:pPr>
              <w:pStyle w:val="201"/>
            </w:pPr>
            <w:r>
              <w:rPr>
                <w:rFonts w:hint="eastAsia"/>
              </w:rPr>
              <w:t>氨氮</w:t>
            </w:r>
          </w:p>
        </w:tc>
        <w:tc>
          <w:tcPr>
            <w:tcW w:w="809" w:type="dxa"/>
            <w:vAlign w:val="center"/>
          </w:tcPr>
          <w:p>
            <w:pPr>
              <w:pStyle w:val="201"/>
            </w:pPr>
            <w:r>
              <w:rPr>
                <w:rFonts w:hint="eastAsia"/>
              </w:rPr>
              <w:t>SS</w:t>
            </w:r>
          </w:p>
        </w:tc>
        <w:tc>
          <w:tcPr>
            <w:tcW w:w="809" w:type="dxa"/>
            <w:vAlign w:val="center"/>
          </w:tcPr>
          <w:p>
            <w:pPr>
              <w:pStyle w:val="201"/>
            </w:pPr>
            <w:r>
              <w:rPr>
                <w:rFonts w:hint="eastAsia"/>
              </w:rPr>
              <w:t>总氮</w:t>
            </w:r>
          </w:p>
        </w:tc>
        <w:tc>
          <w:tcPr>
            <w:tcW w:w="806" w:type="dxa"/>
            <w:vAlign w:val="center"/>
          </w:tcPr>
          <w:p>
            <w:pPr>
              <w:pStyle w:val="201"/>
            </w:pPr>
            <w:r>
              <w:rPr>
                <w:rFonts w:hint="eastAsia"/>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Merge w:val="restart"/>
            <w:vAlign w:val="center"/>
          </w:tcPr>
          <w:p>
            <w:pPr>
              <w:pStyle w:val="201"/>
            </w:pPr>
            <w:r>
              <w:rPr>
                <w:rFonts w:hint="eastAsia"/>
              </w:rPr>
              <w:t>混合前</w:t>
            </w:r>
          </w:p>
        </w:tc>
        <w:tc>
          <w:tcPr>
            <w:tcW w:w="1542" w:type="dxa"/>
            <w:vAlign w:val="center"/>
          </w:tcPr>
          <w:p>
            <w:pPr>
              <w:pStyle w:val="201"/>
            </w:pPr>
            <w:r>
              <w:rPr>
                <w:rFonts w:hint="eastAsia"/>
              </w:rPr>
              <w:t>鸡舍冲洗废水</w:t>
            </w:r>
          </w:p>
        </w:tc>
        <w:tc>
          <w:tcPr>
            <w:tcW w:w="1004" w:type="dxa"/>
            <w:vAlign w:val="center"/>
          </w:tcPr>
          <w:p>
            <w:pPr>
              <w:pStyle w:val="201"/>
            </w:pPr>
            <w:r>
              <w:rPr>
                <w:rFonts w:hint="eastAsia"/>
              </w:rPr>
              <w:t>62.294</w:t>
            </w:r>
          </w:p>
        </w:tc>
        <w:tc>
          <w:tcPr>
            <w:tcW w:w="830" w:type="dxa"/>
            <w:vAlign w:val="center"/>
          </w:tcPr>
          <w:p>
            <w:pPr>
              <w:pStyle w:val="201"/>
            </w:pPr>
            <w:r>
              <w:rPr>
                <w:rFonts w:hint="eastAsia"/>
              </w:rPr>
              <w:t>2020</w:t>
            </w:r>
          </w:p>
        </w:tc>
        <w:tc>
          <w:tcPr>
            <w:tcW w:w="840" w:type="dxa"/>
            <w:vAlign w:val="center"/>
          </w:tcPr>
          <w:p>
            <w:pPr>
              <w:pStyle w:val="201"/>
            </w:pPr>
            <w:r>
              <w:rPr>
                <w:rFonts w:hint="eastAsia"/>
              </w:rPr>
              <w:t>958</w:t>
            </w:r>
          </w:p>
        </w:tc>
        <w:tc>
          <w:tcPr>
            <w:tcW w:w="809" w:type="dxa"/>
            <w:vAlign w:val="center"/>
          </w:tcPr>
          <w:p>
            <w:pPr>
              <w:pStyle w:val="201"/>
            </w:pPr>
            <w:r>
              <w:rPr>
                <w:rFonts w:hint="eastAsia"/>
              </w:rPr>
              <w:t>87</w:t>
            </w:r>
          </w:p>
        </w:tc>
        <w:tc>
          <w:tcPr>
            <w:tcW w:w="809" w:type="dxa"/>
            <w:vAlign w:val="center"/>
          </w:tcPr>
          <w:p>
            <w:pPr>
              <w:pStyle w:val="201"/>
            </w:pPr>
            <w:r>
              <w:rPr>
                <w:rFonts w:hint="eastAsia"/>
              </w:rPr>
              <w:t>967</w:t>
            </w:r>
          </w:p>
        </w:tc>
        <w:tc>
          <w:tcPr>
            <w:tcW w:w="809" w:type="dxa"/>
            <w:vAlign w:val="center"/>
          </w:tcPr>
          <w:p>
            <w:pPr>
              <w:pStyle w:val="201"/>
            </w:pPr>
            <w:r>
              <w:rPr>
                <w:rFonts w:hint="eastAsia"/>
              </w:rPr>
              <w:t>114</w:t>
            </w:r>
          </w:p>
        </w:tc>
        <w:tc>
          <w:tcPr>
            <w:tcW w:w="806" w:type="dxa"/>
            <w:vAlign w:val="center"/>
          </w:tcPr>
          <w:p>
            <w:pPr>
              <w:pStyle w:val="201"/>
            </w:pPr>
            <w:r>
              <w:rPr>
                <w:rFonts w:hint="eastAsi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7" w:type="dxa"/>
            <w:vMerge w:val="continue"/>
            <w:vAlign w:val="center"/>
          </w:tcPr>
          <w:p>
            <w:pPr>
              <w:pStyle w:val="201"/>
            </w:pPr>
          </w:p>
        </w:tc>
        <w:tc>
          <w:tcPr>
            <w:tcW w:w="1542" w:type="dxa"/>
            <w:vAlign w:val="center"/>
          </w:tcPr>
          <w:p>
            <w:pPr>
              <w:pStyle w:val="201"/>
            </w:pPr>
            <w:r>
              <w:rPr>
                <w:rFonts w:hint="eastAsia"/>
              </w:rPr>
              <w:t>生活污水</w:t>
            </w:r>
          </w:p>
        </w:tc>
        <w:tc>
          <w:tcPr>
            <w:tcW w:w="1004" w:type="dxa"/>
            <w:vAlign w:val="center"/>
          </w:tcPr>
          <w:p>
            <w:pPr>
              <w:pStyle w:val="201"/>
            </w:pPr>
            <w:r>
              <w:rPr>
                <w:rFonts w:hint="eastAsia"/>
              </w:rPr>
              <w:t>1314</w:t>
            </w:r>
          </w:p>
        </w:tc>
        <w:tc>
          <w:tcPr>
            <w:tcW w:w="830" w:type="dxa"/>
            <w:vAlign w:val="center"/>
          </w:tcPr>
          <w:p>
            <w:pPr>
              <w:pStyle w:val="201"/>
            </w:pPr>
            <w:r>
              <w:rPr>
                <w:rFonts w:hint="eastAsia"/>
              </w:rPr>
              <w:t>250</w:t>
            </w:r>
          </w:p>
        </w:tc>
        <w:tc>
          <w:tcPr>
            <w:tcW w:w="840" w:type="dxa"/>
            <w:vAlign w:val="center"/>
          </w:tcPr>
          <w:p>
            <w:pPr>
              <w:pStyle w:val="201"/>
            </w:pPr>
            <w:r>
              <w:rPr>
                <w:rFonts w:hint="eastAsia"/>
              </w:rPr>
              <w:t>150</w:t>
            </w:r>
          </w:p>
        </w:tc>
        <w:tc>
          <w:tcPr>
            <w:tcW w:w="809" w:type="dxa"/>
            <w:vAlign w:val="center"/>
          </w:tcPr>
          <w:p>
            <w:pPr>
              <w:pStyle w:val="201"/>
            </w:pPr>
            <w:r>
              <w:rPr>
                <w:rFonts w:hint="eastAsia"/>
              </w:rPr>
              <w:t>150</w:t>
            </w:r>
          </w:p>
        </w:tc>
        <w:tc>
          <w:tcPr>
            <w:tcW w:w="809" w:type="dxa"/>
            <w:vAlign w:val="center"/>
          </w:tcPr>
          <w:p>
            <w:pPr>
              <w:pStyle w:val="201"/>
            </w:pPr>
            <w:r>
              <w:rPr>
                <w:rFonts w:hint="eastAsia"/>
              </w:rPr>
              <w:t>20</w:t>
            </w:r>
          </w:p>
        </w:tc>
        <w:tc>
          <w:tcPr>
            <w:tcW w:w="809" w:type="dxa"/>
            <w:vAlign w:val="center"/>
          </w:tcPr>
          <w:p>
            <w:pPr>
              <w:pStyle w:val="201"/>
            </w:pPr>
            <w:r>
              <w:rPr>
                <w:rFonts w:hint="eastAsia"/>
              </w:rPr>
              <w:t>/</w:t>
            </w:r>
          </w:p>
        </w:tc>
        <w:tc>
          <w:tcPr>
            <w:tcW w:w="806" w:type="dxa"/>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pStyle w:val="201"/>
            </w:pPr>
            <w:r>
              <w:rPr>
                <w:rFonts w:hint="eastAsia"/>
              </w:rPr>
              <w:t>混合后</w:t>
            </w:r>
          </w:p>
        </w:tc>
        <w:tc>
          <w:tcPr>
            <w:tcW w:w="1542" w:type="dxa"/>
            <w:vAlign w:val="center"/>
          </w:tcPr>
          <w:p>
            <w:pPr>
              <w:pStyle w:val="201"/>
            </w:pPr>
            <w:r>
              <w:rPr>
                <w:rFonts w:hint="eastAsia"/>
              </w:rPr>
              <w:t>综合废水</w:t>
            </w:r>
          </w:p>
        </w:tc>
        <w:tc>
          <w:tcPr>
            <w:tcW w:w="1004" w:type="dxa"/>
            <w:vAlign w:val="center"/>
          </w:tcPr>
          <w:p>
            <w:pPr>
              <w:pStyle w:val="201"/>
            </w:pPr>
            <w:r>
              <w:rPr>
                <w:rFonts w:hint="eastAsia"/>
              </w:rPr>
              <w:t>1376.294</w:t>
            </w:r>
          </w:p>
        </w:tc>
        <w:tc>
          <w:tcPr>
            <w:tcW w:w="830" w:type="dxa"/>
            <w:vAlign w:val="center"/>
          </w:tcPr>
          <w:p>
            <w:pPr>
              <w:pStyle w:val="201"/>
            </w:pPr>
            <w:r>
              <w:rPr>
                <w:rFonts w:hint="eastAsia"/>
              </w:rPr>
              <w:t>300</w:t>
            </w:r>
          </w:p>
        </w:tc>
        <w:tc>
          <w:tcPr>
            <w:tcW w:w="840" w:type="dxa"/>
            <w:vAlign w:val="center"/>
          </w:tcPr>
          <w:p>
            <w:pPr>
              <w:pStyle w:val="201"/>
            </w:pPr>
            <w:r>
              <w:rPr>
                <w:rFonts w:hint="eastAsia"/>
              </w:rPr>
              <w:t>187</w:t>
            </w:r>
          </w:p>
        </w:tc>
        <w:tc>
          <w:tcPr>
            <w:tcW w:w="809" w:type="dxa"/>
            <w:vAlign w:val="center"/>
          </w:tcPr>
          <w:p>
            <w:pPr>
              <w:pStyle w:val="201"/>
            </w:pPr>
            <w:r>
              <w:rPr>
                <w:rFonts w:hint="eastAsia"/>
              </w:rPr>
              <w:t>23</w:t>
            </w:r>
          </w:p>
        </w:tc>
        <w:tc>
          <w:tcPr>
            <w:tcW w:w="809" w:type="dxa"/>
            <w:vAlign w:val="center"/>
          </w:tcPr>
          <w:p>
            <w:pPr>
              <w:pStyle w:val="201"/>
            </w:pPr>
            <w:r>
              <w:rPr>
                <w:rFonts w:hint="eastAsia"/>
              </w:rPr>
              <w:t>187</w:t>
            </w:r>
          </w:p>
        </w:tc>
        <w:tc>
          <w:tcPr>
            <w:tcW w:w="809" w:type="dxa"/>
            <w:vAlign w:val="center"/>
          </w:tcPr>
          <w:p>
            <w:pPr>
              <w:pStyle w:val="201"/>
            </w:pPr>
            <w:r>
              <w:rPr>
                <w:rFonts w:hint="eastAsia"/>
              </w:rPr>
              <w:t>5.2</w:t>
            </w:r>
          </w:p>
        </w:tc>
        <w:tc>
          <w:tcPr>
            <w:tcW w:w="806" w:type="dxa"/>
            <w:vAlign w:val="center"/>
          </w:tcPr>
          <w:p>
            <w:pPr>
              <w:pStyle w:val="201"/>
            </w:pPr>
            <w:r>
              <w:rPr>
                <w:rFonts w:hint="eastAsia"/>
              </w:rPr>
              <w:t>0.5</w:t>
            </w:r>
          </w:p>
        </w:tc>
      </w:tr>
      <w:bookmarkEnd w:id="153"/>
    </w:tbl>
    <w:p>
      <w:pPr>
        <w:pStyle w:val="49"/>
        <w:ind w:firstLine="480"/>
      </w:pPr>
      <w:r>
        <w:rPr>
          <w:rFonts w:hint="eastAsia"/>
        </w:rPr>
        <w:t>4、</w:t>
      </w:r>
      <w:r>
        <w:rPr>
          <w:rFonts w:hint="eastAsia"/>
          <w:snapToGrid w:val="0"/>
        </w:rPr>
        <w:t>废水污染物污染防治措施</w:t>
      </w:r>
    </w:p>
    <w:p>
      <w:pPr>
        <w:pStyle w:val="49"/>
        <w:ind w:firstLine="480"/>
        <w:rPr>
          <w:szCs w:val="21"/>
        </w:rPr>
      </w:pPr>
      <w:r>
        <w:rPr>
          <w:rFonts w:hint="eastAsia"/>
          <w:szCs w:val="21"/>
        </w:rPr>
        <w:t>本项目实行雨污分流，雨水沿屋檐落至场区内雨水沟直接排出场外。本项目废水主要为鸡舍冲洗废水和生活污水，一起进入一体化污水处理设施处理达标后，用于周边林地灌溉，不外排。</w:t>
      </w:r>
    </w:p>
    <w:p>
      <w:pPr>
        <w:pStyle w:val="49"/>
        <w:ind w:firstLine="480"/>
        <w:rPr>
          <w:szCs w:val="21"/>
        </w:rPr>
      </w:pPr>
      <w:bookmarkStart w:id="154" w:name="_Hlk193880511"/>
      <w:r>
        <w:rPr>
          <w:rFonts w:hint="eastAsia"/>
          <w:szCs w:val="21"/>
        </w:rPr>
        <w:t>项目一体化污水处理设施处理规模为5m</w:t>
      </w:r>
      <w:r>
        <w:rPr>
          <w:rFonts w:hint="eastAsia"/>
          <w:szCs w:val="21"/>
          <w:vertAlign w:val="superscript"/>
        </w:rPr>
        <w:t>3</w:t>
      </w:r>
      <w:r>
        <w:rPr>
          <w:rFonts w:hint="eastAsia"/>
          <w:szCs w:val="21"/>
        </w:rPr>
        <w:t>/d，处理工艺为</w:t>
      </w:r>
      <w:r>
        <w:rPr>
          <w:rFonts w:ascii="宋体" w:hAnsi="宋体"/>
          <w:szCs w:val="21"/>
        </w:rPr>
        <w:t>“</w:t>
      </w:r>
      <w:r>
        <w:rPr>
          <w:rFonts w:hint="eastAsia"/>
          <w:szCs w:val="21"/>
        </w:rPr>
        <w:t>格栅池+调节池+水解酸化池+A/O池+沉淀池+消毒池</w:t>
      </w:r>
      <w:r>
        <w:rPr>
          <w:rFonts w:ascii="宋体" w:hAnsi="宋体"/>
          <w:szCs w:val="21"/>
        </w:rPr>
        <w:t>”</w:t>
      </w:r>
      <w:r>
        <w:rPr>
          <w:rFonts w:hint="eastAsia" w:ascii="宋体" w:hAnsi="宋体"/>
          <w:szCs w:val="21"/>
        </w:rPr>
        <w:t>，</w:t>
      </w:r>
      <w:r>
        <w:rPr>
          <w:rStyle w:val="83"/>
          <w:rFonts w:hint="eastAsia"/>
        </w:rPr>
        <w:t>综合</w:t>
      </w:r>
      <w:r>
        <w:rPr>
          <w:rStyle w:val="83"/>
        </w:rPr>
        <w:t>废水</w:t>
      </w:r>
      <w:r>
        <w:rPr>
          <w:rStyle w:val="83"/>
          <w:rFonts w:hint="eastAsia"/>
        </w:rPr>
        <w:t>经处理达《污水综合排放标准》（GB8978-1996）表4中一级标准后，用于周边林地灌溉，不外排。</w:t>
      </w:r>
      <w:r>
        <w:rPr>
          <w:rFonts w:hint="eastAsia"/>
          <w:szCs w:val="21"/>
        </w:rPr>
        <w:t>废水污染物产排情况见下表。</w:t>
      </w:r>
    </w:p>
    <w:bookmarkEnd w:id="154"/>
    <w:p>
      <w:pPr>
        <w:pStyle w:val="53"/>
      </w:pPr>
      <w:r>
        <w:rPr>
          <w:rFonts w:hint="eastAsia"/>
        </w:rPr>
        <w:t>表3.3-17  本项目综合废水污染物产排情况一览表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816"/>
        <w:gridCol w:w="817"/>
        <w:gridCol w:w="816"/>
        <w:gridCol w:w="817"/>
        <w:gridCol w:w="816"/>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pStyle w:val="51"/>
            </w:pPr>
            <w:bookmarkStart w:id="155" w:name="_Hlk193880539"/>
            <w:r>
              <w:rPr>
                <w:rFonts w:hint="eastAsia"/>
              </w:rPr>
              <w:t>项目</w:t>
            </w:r>
          </w:p>
        </w:tc>
        <w:tc>
          <w:tcPr>
            <w:tcW w:w="816" w:type="dxa"/>
            <w:vAlign w:val="center"/>
          </w:tcPr>
          <w:p>
            <w:pPr>
              <w:pStyle w:val="51"/>
            </w:pPr>
            <w:r>
              <w:rPr>
                <w:rFonts w:hint="eastAsia"/>
              </w:rPr>
              <w:t>COD</w:t>
            </w:r>
          </w:p>
        </w:tc>
        <w:tc>
          <w:tcPr>
            <w:tcW w:w="817" w:type="dxa"/>
            <w:vAlign w:val="center"/>
          </w:tcPr>
          <w:p>
            <w:pPr>
              <w:pStyle w:val="51"/>
            </w:pPr>
            <w:r>
              <w:rPr>
                <w:rFonts w:hint="eastAsia"/>
              </w:rPr>
              <w:t>BOD</w:t>
            </w:r>
            <w:r>
              <w:rPr>
                <w:rFonts w:hint="eastAsia"/>
                <w:vertAlign w:val="subscript"/>
              </w:rPr>
              <w:t>5</w:t>
            </w:r>
          </w:p>
        </w:tc>
        <w:tc>
          <w:tcPr>
            <w:tcW w:w="816" w:type="dxa"/>
            <w:vAlign w:val="center"/>
          </w:tcPr>
          <w:p>
            <w:pPr>
              <w:pStyle w:val="51"/>
            </w:pPr>
            <w:r>
              <w:rPr>
                <w:rFonts w:hint="eastAsia"/>
              </w:rPr>
              <w:t>氨氮</w:t>
            </w:r>
          </w:p>
        </w:tc>
        <w:tc>
          <w:tcPr>
            <w:tcW w:w="817" w:type="dxa"/>
            <w:vAlign w:val="center"/>
          </w:tcPr>
          <w:p>
            <w:pPr>
              <w:pStyle w:val="51"/>
            </w:pPr>
            <w:r>
              <w:rPr>
                <w:rFonts w:hint="eastAsia"/>
              </w:rPr>
              <w:t>SS</w:t>
            </w:r>
          </w:p>
        </w:tc>
        <w:tc>
          <w:tcPr>
            <w:tcW w:w="816" w:type="dxa"/>
            <w:vAlign w:val="center"/>
          </w:tcPr>
          <w:p>
            <w:pPr>
              <w:pStyle w:val="51"/>
            </w:pPr>
            <w:r>
              <w:rPr>
                <w:rFonts w:hint="eastAsia"/>
              </w:rPr>
              <w:t>总氮</w:t>
            </w:r>
          </w:p>
        </w:tc>
        <w:tc>
          <w:tcPr>
            <w:tcW w:w="817" w:type="dxa"/>
            <w:vAlign w:val="center"/>
          </w:tcPr>
          <w:p>
            <w:pPr>
              <w:pStyle w:val="51"/>
            </w:pPr>
            <w:r>
              <w:rPr>
                <w:rFonts w:hint="eastAsia"/>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pStyle w:val="51"/>
            </w:pPr>
            <w:r>
              <w:rPr>
                <w:rFonts w:hint="eastAsia"/>
              </w:rPr>
              <w:t>进水浓度(mg/L)</w:t>
            </w:r>
          </w:p>
        </w:tc>
        <w:tc>
          <w:tcPr>
            <w:tcW w:w="816" w:type="dxa"/>
            <w:vAlign w:val="center"/>
          </w:tcPr>
          <w:p>
            <w:pPr>
              <w:pStyle w:val="51"/>
            </w:pPr>
            <w:r>
              <w:rPr>
                <w:rFonts w:hint="eastAsia"/>
              </w:rPr>
              <w:t>300</w:t>
            </w:r>
          </w:p>
        </w:tc>
        <w:tc>
          <w:tcPr>
            <w:tcW w:w="817" w:type="dxa"/>
            <w:vAlign w:val="center"/>
          </w:tcPr>
          <w:p>
            <w:pPr>
              <w:pStyle w:val="51"/>
            </w:pPr>
            <w:r>
              <w:rPr>
                <w:rFonts w:hint="eastAsia"/>
              </w:rPr>
              <w:t>187</w:t>
            </w:r>
          </w:p>
        </w:tc>
        <w:tc>
          <w:tcPr>
            <w:tcW w:w="816" w:type="dxa"/>
            <w:vAlign w:val="center"/>
          </w:tcPr>
          <w:p>
            <w:pPr>
              <w:pStyle w:val="51"/>
            </w:pPr>
            <w:r>
              <w:rPr>
                <w:rFonts w:hint="eastAsia"/>
              </w:rPr>
              <w:t>23</w:t>
            </w:r>
          </w:p>
        </w:tc>
        <w:tc>
          <w:tcPr>
            <w:tcW w:w="817" w:type="dxa"/>
            <w:vAlign w:val="center"/>
          </w:tcPr>
          <w:p>
            <w:pPr>
              <w:pStyle w:val="51"/>
            </w:pPr>
            <w:r>
              <w:rPr>
                <w:rFonts w:hint="eastAsia"/>
              </w:rPr>
              <w:t>187</w:t>
            </w:r>
          </w:p>
        </w:tc>
        <w:tc>
          <w:tcPr>
            <w:tcW w:w="816" w:type="dxa"/>
            <w:vAlign w:val="center"/>
          </w:tcPr>
          <w:p>
            <w:pPr>
              <w:pStyle w:val="51"/>
            </w:pPr>
            <w:r>
              <w:rPr>
                <w:rFonts w:hint="eastAsia"/>
              </w:rPr>
              <w:t>5.2</w:t>
            </w:r>
          </w:p>
        </w:tc>
        <w:tc>
          <w:tcPr>
            <w:tcW w:w="817" w:type="dxa"/>
            <w:vAlign w:val="center"/>
          </w:tcPr>
          <w:p>
            <w:pPr>
              <w:pStyle w:val="51"/>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pStyle w:val="51"/>
            </w:pPr>
            <w:r>
              <w:rPr>
                <w:rFonts w:hint="eastAsia"/>
              </w:rPr>
              <w:t>产生量(t/a)</w:t>
            </w:r>
          </w:p>
        </w:tc>
        <w:tc>
          <w:tcPr>
            <w:tcW w:w="816" w:type="dxa"/>
            <w:vAlign w:val="center"/>
          </w:tcPr>
          <w:p>
            <w:pPr>
              <w:pStyle w:val="51"/>
            </w:pPr>
            <w:r>
              <w:rPr>
                <w:rFonts w:hint="eastAsia"/>
              </w:rPr>
              <w:t>0.4543</w:t>
            </w:r>
          </w:p>
        </w:tc>
        <w:tc>
          <w:tcPr>
            <w:tcW w:w="817" w:type="dxa"/>
            <w:vAlign w:val="center"/>
          </w:tcPr>
          <w:p>
            <w:pPr>
              <w:pStyle w:val="51"/>
            </w:pPr>
            <w:r>
              <w:rPr>
                <w:rFonts w:hint="eastAsia"/>
              </w:rPr>
              <w:t>0.2568</w:t>
            </w:r>
          </w:p>
        </w:tc>
        <w:tc>
          <w:tcPr>
            <w:tcW w:w="816" w:type="dxa"/>
            <w:vAlign w:val="center"/>
          </w:tcPr>
          <w:p>
            <w:pPr>
              <w:pStyle w:val="51"/>
            </w:pPr>
            <w:r>
              <w:rPr>
                <w:rFonts w:hint="eastAsia"/>
              </w:rPr>
              <w:t>0.0317</w:t>
            </w:r>
          </w:p>
        </w:tc>
        <w:tc>
          <w:tcPr>
            <w:tcW w:w="817" w:type="dxa"/>
            <w:vAlign w:val="center"/>
          </w:tcPr>
          <w:p>
            <w:pPr>
              <w:pStyle w:val="51"/>
            </w:pPr>
            <w:r>
              <w:rPr>
                <w:rFonts w:hint="eastAsia"/>
              </w:rPr>
              <w:t>0.2573</w:t>
            </w:r>
          </w:p>
        </w:tc>
        <w:tc>
          <w:tcPr>
            <w:tcW w:w="816" w:type="dxa"/>
            <w:vAlign w:val="center"/>
          </w:tcPr>
          <w:p>
            <w:pPr>
              <w:pStyle w:val="51"/>
            </w:pPr>
            <w:r>
              <w:rPr>
                <w:rFonts w:hint="eastAsia"/>
              </w:rPr>
              <w:t>0.0071</w:t>
            </w:r>
          </w:p>
        </w:tc>
        <w:tc>
          <w:tcPr>
            <w:tcW w:w="817" w:type="dxa"/>
            <w:vAlign w:val="center"/>
          </w:tcPr>
          <w:p>
            <w:pPr>
              <w:pStyle w:val="51"/>
            </w:pPr>
            <w:r>
              <w:rPr>
                <w:rFonts w:hint="eastAsia"/>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397" w:type="dxa"/>
            <w:vAlign w:val="center"/>
          </w:tcPr>
          <w:p>
            <w:pPr>
              <w:pStyle w:val="51"/>
            </w:pPr>
            <w:r>
              <w:rPr>
                <w:rFonts w:hint="eastAsia"/>
              </w:rPr>
              <w:t>处理效率</w:t>
            </w:r>
          </w:p>
        </w:tc>
        <w:tc>
          <w:tcPr>
            <w:tcW w:w="816" w:type="dxa"/>
            <w:vAlign w:val="center"/>
          </w:tcPr>
          <w:p>
            <w:pPr>
              <w:pStyle w:val="51"/>
            </w:pPr>
            <w:r>
              <w:rPr>
                <w:rFonts w:hint="eastAsia"/>
              </w:rPr>
              <w:t>92%</w:t>
            </w:r>
          </w:p>
        </w:tc>
        <w:tc>
          <w:tcPr>
            <w:tcW w:w="817" w:type="dxa"/>
            <w:vAlign w:val="center"/>
          </w:tcPr>
          <w:p>
            <w:pPr>
              <w:pStyle w:val="51"/>
            </w:pPr>
            <w:r>
              <w:rPr>
                <w:rFonts w:hint="eastAsia"/>
              </w:rPr>
              <w:t>93%</w:t>
            </w:r>
          </w:p>
        </w:tc>
        <w:tc>
          <w:tcPr>
            <w:tcW w:w="816" w:type="dxa"/>
            <w:vAlign w:val="center"/>
          </w:tcPr>
          <w:p>
            <w:pPr>
              <w:pStyle w:val="51"/>
            </w:pPr>
            <w:r>
              <w:rPr>
                <w:rFonts w:hint="eastAsia"/>
              </w:rPr>
              <w:t>87%</w:t>
            </w:r>
          </w:p>
        </w:tc>
        <w:tc>
          <w:tcPr>
            <w:tcW w:w="817" w:type="dxa"/>
            <w:vAlign w:val="center"/>
          </w:tcPr>
          <w:p>
            <w:pPr>
              <w:pStyle w:val="51"/>
            </w:pPr>
            <w:r>
              <w:rPr>
                <w:rFonts w:hint="eastAsia"/>
              </w:rPr>
              <w:t>88%</w:t>
            </w:r>
          </w:p>
        </w:tc>
        <w:tc>
          <w:tcPr>
            <w:tcW w:w="816" w:type="dxa"/>
            <w:vAlign w:val="center"/>
          </w:tcPr>
          <w:p>
            <w:pPr>
              <w:pStyle w:val="51"/>
            </w:pPr>
            <w:r>
              <w:rPr>
                <w:rFonts w:hint="eastAsia"/>
              </w:rPr>
              <w:t>80%</w:t>
            </w:r>
          </w:p>
        </w:tc>
        <w:tc>
          <w:tcPr>
            <w:tcW w:w="817" w:type="dxa"/>
            <w:vAlign w:val="center"/>
          </w:tcPr>
          <w:p>
            <w:pPr>
              <w:pStyle w:val="51"/>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pStyle w:val="51"/>
            </w:pPr>
            <w:r>
              <w:rPr>
                <w:rFonts w:hint="eastAsia"/>
              </w:rPr>
              <w:t>出水浓度(mg/L)</w:t>
            </w:r>
          </w:p>
        </w:tc>
        <w:tc>
          <w:tcPr>
            <w:tcW w:w="816"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25</w:t>
            </w:r>
          </w:p>
        </w:tc>
        <w:tc>
          <w:tcPr>
            <w:tcW w:w="817"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14</w:t>
            </w:r>
          </w:p>
        </w:tc>
        <w:tc>
          <w:tcPr>
            <w:tcW w:w="816"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3</w:t>
            </w:r>
          </w:p>
        </w:tc>
        <w:tc>
          <w:tcPr>
            <w:tcW w:w="817"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22</w:t>
            </w:r>
          </w:p>
        </w:tc>
        <w:tc>
          <w:tcPr>
            <w:tcW w:w="816"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1</w:t>
            </w:r>
          </w:p>
        </w:tc>
        <w:tc>
          <w:tcPr>
            <w:tcW w:w="817"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pStyle w:val="51"/>
            </w:pPr>
            <w:r>
              <w:rPr>
                <w:rFonts w:hint="eastAsia"/>
              </w:rPr>
              <w:t>排放量(t/a)</w:t>
            </w:r>
          </w:p>
        </w:tc>
        <w:tc>
          <w:tcPr>
            <w:tcW w:w="81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0.0344</w:t>
            </w:r>
          </w:p>
        </w:tc>
        <w:tc>
          <w:tcPr>
            <w:tcW w:w="817"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0.0193</w:t>
            </w:r>
          </w:p>
        </w:tc>
        <w:tc>
          <w:tcPr>
            <w:tcW w:w="81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0.0041</w:t>
            </w:r>
          </w:p>
        </w:tc>
        <w:tc>
          <w:tcPr>
            <w:tcW w:w="817"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0.0303</w:t>
            </w:r>
          </w:p>
        </w:tc>
        <w:tc>
          <w:tcPr>
            <w:tcW w:w="81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0.0014</w:t>
            </w:r>
          </w:p>
        </w:tc>
        <w:tc>
          <w:tcPr>
            <w:tcW w:w="817"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pStyle w:val="51"/>
              <w:rPr>
                <w:szCs w:val="21"/>
              </w:rPr>
            </w:pPr>
            <w:r>
              <w:rPr>
                <w:rFonts w:hint="eastAsia"/>
                <w:szCs w:val="21"/>
              </w:rPr>
              <w:t>《污水综合排放标准》（GB8978-1996）表4</w:t>
            </w:r>
            <w:r>
              <w:rPr>
                <w:szCs w:val="21"/>
              </w:rPr>
              <w:t>中</w:t>
            </w:r>
            <w:r>
              <w:rPr>
                <w:rFonts w:hint="eastAsia"/>
                <w:szCs w:val="21"/>
              </w:rPr>
              <w:t>一级标准</w:t>
            </w:r>
          </w:p>
        </w:tc>
        <w:tc>
          <w:tcPr>
            <w:tcW w:w="816" w:type="dxa"/>
            <w:vAlign w:val="center"/>
          </w:tcPr>
          <w:p>
            <w:pPr>
              <w:pStyle w:val="51"/>
            </w:pPr>
            <w:r>
              <w:rPr>
                <w:rFonts w:hint="eastAsia"/>
              </w:rPr>
              <w:t>100</w:t>
            </w:r>
          </w:p>
        </w:tc>
        <w:tc>
          <w:tcPr>
            <w:tcW w:w="817" w:type="dxa"/>
            <w:vAlign w:val="center"/>
          </w:tcPr>
          <w:p>
            <w:pPr>
              <w:pStyle w:val="51"/>
            </w:pPr>
            <w:r>
              <w:rPr>
                <w:rFonts w:hint="eastAsia"/>
              </w:rPr>
              <w:t>20</w:t>
            </w:r>
          </w:p>
        </w:tc>
        <w:tc>
          <w:tcPr>
            <w:tcW w:w="816" w:type="dxa"/>
            <w:vAlign w:val="center"/>
          </w:tcPr>
          <w:p>
            <w:pPr>
              <w:pStyle w:val="51"/>
            </w:pPr>
            <w:r>
              <w:rPr>
                <w:rFonts w:hint="eastAsia"/>
              </w:rPr>
              <w:t>15</w:t>
            </w:r>
          </w:p>
        </w:tc>
        <w:tc>
          <w:tcPr>
            <w:tcW w:w="817" w:type="dxa"/>
            <w:vAlign w:val="center"/>
          </w:tcPr>
          <w:p>
            <w:pPr>
              <w:pStyle w:val="51"/>
            </w:pPr>
            <w:r>
              <w:rPr>
                <w:rFonts w:hint="eastAsia"/>
              </w:rPr>
              <w:t>70</w:t>
            </w:r>
          </w:p>
        </w:tc>
        <w:tc>
          <w:tcPr>
            <w:tcW w:w="816" w:type="dxa"/>
            <w:vAlign w:val="center"/>
          </w:tcPr>
          <w:p>
            <w:pPr>
              <w:pStyle w:val="51"/>
            </w:pPr>
            <w:r>
              <w:rPr>
                <w:rFonts w:hint="eastAsia"/>
              </w:rPr>
              <w:t>/</w:t>
            </w:r>
          </w:p>
        </w:tc>
        <w:tc>
          <w:tcPr>
            <w:tcW w:w="817" w:type="dxa"/>
            <w:vAlign w:val="center"/>
          </w:tcPr>
          <w:p>
            <w:pPr>
              <w:pStyle w:val="51"/>
            </w:pPr>
            <w:r>
              <w:rPr>
                <w:rFonts w:hint="eastAsia"/>
              </w:rPr>
              <w:t>0.5</w:t>
            </w:r>
          </w:p>
        </w:tc>
      </w:tr>
      <w:bookmarkEnd w:id="155"/>
    </w:tbl>
    <w:p>
      <w:pPr>
        <w:pStyle w:val="49"/>
        <w:ind w:firstLine="480"/>
        <w:sectPr>
          <w:pgSz w:w="11906" w:h="16838"/>
          <w:pgMar w:top="1440" w:right="1800" w:bottom="1440" w:left="1800" w:header="851" w:footer="992" w:gutter="0"/>
          <w:cols w:space="425" w:num="1"/>
          <w:docGrid w:type="lines" w:linePitch="312" w:charSpace="0"/>
        </w:sectPr>
      </w:pPr>
    </w:p>
    <w:p>
      <w:pPr>
        <w:pStyle w:val="5"/>
      </w:pPr>
      <w:r>
        <w:rPr>
          <w:rFonts w:hint="eastAsia"/>
        </w:rPr>
        <w:t>3</w:t>
      </w:r>
      <w:r>
        <w:t>.</w:t>
      </w:r>
      <w:r>
        <w:rPr>
          <w:rFonts w:hint="eastAsia"/>
        </w:rPr>
        <w:t>3</w:t>
      </w:r>
      <w:r>
        <w:t>.</w:t>
      </w:r>
      <w:r>
        <w:rPr>
          <w:rFonts w:hint="eastAsia"/>
        </w:rPr>
        <w:t>2.3 营运期噪声污染源分析</w:t>
      </w:r>
    </w:p>
    <w:p>
      <w:pPr>
        <w:pStyle w:val="49"/>
        <w:ind w:firstLine="480"/>
      </w:pPr>
      <w:r>
        <w:rPr>
          <w:rFonts w:hint="eastAsia"/>
        </w:rPr>
        <w:t>项目在生产过程中产生的噪声主要源自风机、泵以及鸡只叫声等，这些设备产生的噪声声级一般 70</w:t>
      </w:r>
      <w:r>
        <w:t>dB</w:t>
      </w:r>
      <w:r>
        <w:rPr>
          <w:rFonts w:hint="eastAsia"/>
        </w:rPr>
        <w:t>（</w:t>
      </w:r>
      <w:r>
        <w:t>A</w:t>
      </w:r>
      <w:r>
        <w:rPr>
          <w:rFonts w:hint="eastAsia"/>
        </w:rPr>
        <w:t>）以上。项目产生噪声的噪声源强调查清单见下表。</w:t>
      </w:r>
    </w:p>
    <w:p>
      <w:pPr>
        <w:pStyle w:val="53"/>
      </w:pPr>
      <w:r>
        <w:rPr>
          <w:rFonts w:hint="eastAsia"/>
        </w:rPr>
        <w:t xml:space="preserve">表 </w:t>
      </w:r>
      <w:r>
        <w:rPr>
          <w:rFonts w:cs="Times New Roman"/>
        </w:rPr>
        <w:t>3.3-</w:t>
      </w:r>
      <w:r>
        <w:rPr>
          <w:rFonts w:hint="eastAsia" w:cs="Times New Roman"/>
        </w:rPr>
        <w:t xml:space="preserve">18 </w:t>
      </w:r>
      <w:r>
        <w:rPr>
          <w:rFonts w:cs="Times New Roman"/>
        </w:rPr>
        <w:t xml:space="preserve"> </w:t>
      </w:r>
      <w:r>
        <w:rPr>
          <w:rFonts w:hint="eastAsia"/>
        </w:rPr>
        <w:t>工业企业噪声源强调查清单（室内声源）</w:t>
      </w:r>
    </w:p>
    <w:tbl>
      <w:tblPr>
        <w:tblStyle w:val="40"/>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70"/>
        <w:gridCol w:w="1025"/>
        <w:gridCol w:w="709"/>
        <w:gridCol w:w="709"/>
        <w:gridCol w:w="1134"/>
        <w:gridCol w:w="992"/>
        <w:gridCol w:w="614"/>
        <w:gridCol w:w="614"/>
        <w:gridCol w:w="615"/>
        <w:gridCol w:w="567"/>
        <w:gridCol w:w="708"/>
        <w:gridCol w:w="993"/>
        <w:gridCol w:w="992"/>
        <w:gridCol w:w="1112"/>
        <w:gridCol w:w="1132"/>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510" w:type="dxa"/>
            <w:vMerge w:val="restart"/>
            <w:vAlign w:val="center"/>
          </w:tcPr>
          <w:p>
            <w:pPr>
              <w:pStyle w:val="51"/>
              <w:rPr>
                <w:b/>
                <w:bCs/>
              </w:rPr>
            </w:pPr>
            <w:r>
              <w:rPr>
                <w:rFonts w:hint="eastAsia"/>
                <w:b/>
                <w:bCs/>
              </w:rPr>
              <w:t>序号</w:t>
            </w:r>
          </w:p>
        </w:tc>
        <w:tc>
          <w:tcPr>
            <w:tcW w:w="870" w:type="dxa"/>
            <w:vMerge w:val="restart"/>
            <w:vAlign w:val="center"/>
          </w:tcPr>
          <w:p>
            <w:pPr>
              <w:pStyle w:val="51"/>
              <w:rPr>
                <w:b/>
                <w:bCs/>
              </w:rPr>
            </w:pPr>
            <w:r>
              <w:rPr>
                <w:rFonts w:hint="eastAsia"/>
                <w:b/>
                <w:bCs/>
              </w:rPr>
              <w:t>建筑物名称</w:t>
            </w:r>
          </w:p>
        </w:tc>
        <w:tc>
          <w:tcPr>
            <w:tcW w:w="1025" w:type="dxa"/>
            <w:vMerge w:val="restart"/>
            <w:vAlign w:val="center"/>
          </w:tcPr>
          <w:p>
            <w:pPr>
              <w:pStyle w:val="51"/>
              <w:rPr>
                <w:b/>
                <w:bCs/>
              </w:rPr>
            </w:pPr>
            <w:r>
              <w:rPr>
                <w:rFonts w:hint="eastAsia"/>
                <w:b/>
                <w:bCs/>
              </w:rPr>
              <w:t>声源</w:t>
            </w:r>
          </w:p>
          <w:p>
            <w:pPr>
              <w:pStyle w:val="51"/>
              <w:rPr>
                <w:b/>
                <w:bCs/>
              </w:rPr>
            </w:pPr>
            <w:r>
              <w:rPr>
                <w:rFonts w:hint="eastAsia"/>
                <w:b/>
                <w:bCs/>
              </w:rPr>
              <w:t>名称</w:t>
            </w:r>
          </w:p>
        </w:tc>
        <w:tc>
          <w:tcPr>
            <w:tcW w:w="709" w:type="dxa"/>
            <w:vMerge w:val="restart"/>
            <w:vAlign w:val="center"/>
          </w:tcPr>
          <w:p>
            <w:pPr>
              <w:pStyle w:val="51"/>
              <w:rPr>
                <w:b/>
                <w:bCs/>
              </w:rPr>
            </w:pPr>
            <w:r>
              <w:rPr>
                <w:rFonts w:hint="eastAsia"/>
                <w:b/>
                <w:bCs/>
              </w:rPr>
              <w:t>型号</w:t>
            </w:r>
          </w:p>
        </w:tc>
        <w:tc>
          <w:tcPr>
            <w:tcW w:w="709" w:type="dxa"/>
            <w:vMerge w:val="restart"/>
            <w:vAlign w:val="center"/>
          </w:tcPr>
          <w:p>
            <w:pPr>
              <w:pStyle w:val="51"/>
              <w:rPr>
                <w:b/>
                <w:bCs/>
              </w:rPr>
            </w:pPr>
            <w:r>
              <w:rPr>
                <w:rFonts w:hint="eastAsia"/>
                <w:b/>
                <w:bCs/>
              </w:rPr>
              <w:t>数量</w:t>
            </w:r>
          </w:p>
        </w:tc>
        <w:tc>
          <w:tcPr>
            <w:tcW w:w="1134" w:type="dxa"/>
            <w:vAlign w:val="center"/>
          </w:tcPr>
          <w:p>
            <w:pPr>
              <w:pStyle w:val="51"/>
              <w:rPr>
                <w:b/>
                <w:bCs/>
              </w:rPr>
            </w:pPr>
            <w:r>
              <w:rPr>
                <w:rFonts w:hint="eastAsia"/>
                <w:b/>
                <w:bCs/>
              </w:rPr>
              <w:t>声源源强</w:t>
            </w:r>
          </w:p>
        </w:tc>
        <w:tc>
          <w:tcPr>
            <w:tcW w:w="992" w:type="dxa"/>
            <w:vMerge w:val="restart"/>
            <w:vAlign w:val="center"/>
          </w:tcPr>
          <w:p>
            <w:pPr>
              <w:pStyle w:val="51"/>
              <w:rPr>
                <w:b/>
                <w:bCs/>
              </w:rPr>
            </w:pPr>
            <w:r>
              <w:rPr>
                <w:rFonts w:hint="eastAsia"/>
                <w:b/>
                <w:bCs/>
              </w:rPr>
              <w:t xml:space="preserve">声源控 </w:t>
            </w:r>
          </w:p>
          <w:p>
            <w:pPr>
              <w:pStyle w:val="51"/>
              <w:rPr>
                <w:b/>
                <w:bCs/>
              </w:rPr>
            </w:pPr>
            <w:r>
              <w:rPr>
                <w:rFonts w:hint="eastAsia"/>
                <w:b/>
                <w:bCs/>
              </w:rPr>
              <w:t>制措施</w:t>
            </w:r>
          </w:p>
        </w:tc>
        <w:tc>
          <w:tcPr>
            <w:tcW w:w="1843" w:type="dxa"/>
            <w:gridSpan w:val="3"/>
            <w:vAlign w:val="center"/>
          </w:tcPr>
          <w:p>
            <w:pPr>
              <w:pStyle w:val="51"/>
              <w:rPr>
                <w:b/>
                <w:bCs/>
              </w:rPr>
            </w:pPr>
            <w:r>
              <w:rPr>
                <w:rFonts w:hint="eastAsia"/>
                <w:b/>
                <w:bCs/>
              </w:rPr>
              <w:t>空间相对位置/m</w:t>
            </w:r>
          </w:p>
        </w:tc>
        <w:tc>
          <w:tcPr>
            <w:tcW w:w="1275" w:type="dxa"/>
            <w:gridSpan w:val="2"/>
            <w:vMerge w:val="restart"/>
            <w:vAlign w:val="center"/>
          </w:tcPr>
          <w:p>
            <w:pPr>
              <w:pStyle w:val="51"/>
              <w:rPr>
                <w:b/>
                <w:bCs/>
              </w:rPr>
            </w:pPr>
            <w:r>
              <w:rPr>
                <w:rFonts w:hint="eastAsia"/>
                <w:b/>
                <w:bCs/>
              </w:rPr>
              <w:t>距室内边界距离</w:t>
            </w:r>
          </w:p>
        </w:tc>
        <w:tc>
          <w:tcPr>
            <w:tcW w:w="993" w:type="dxa"/>
            <w:vMerge w:val="restart"/>
            <w:vAlign w:val="center"/>
          </w:tcPr>
          <w:p>
            <w:pPr>
              <w:pStyle w:val="51"/>
              <w:rPr>
                <w:b/>
                <w:bCs/>
              </w:rPr>
            </w:pPr>
            <w:r>
              <w:rPr>
                <w:rFonts w:hint="eastAsia"/>
                <w:b/>
                <w:bCs/>
              </w:rPr>
              <w:t>室内边界声级/dB(A)</w:t>
            </w:r>
          </w:p>
        </w:tc>
        <w:tc>
          <w:tcPr>
            <w:tcW w:w="992" w:type="dxa"/>
            <w:vMerge w:val="restart"/>
            <w:vAlign w:val="center"/>
          </w:tcPr>
          <w:p>
            <w:pPr>
              <w:pStyle w:val="51"/>
              <w:rPr>
                <w:b/>
                <w:bCs/>
              </w:rPr>
            </w:pPr>
            <w:r>
              <w:rPr>
                <w:rFonts w:hint="eastAsia"/>
                <w:b/>
                <w:bCs/>
              </w:rPr>
              <w:t>运行</w:t>
            </w:r>
          </w:p>
          <w:p>
            <w:pPr>
              <w:pStyle w:val="51"/>
              <w:rPr>
                <w:b/>
                <w:bCs/>
              </w:rPr>
            </w:pPr>
            <w:r>
              <w:rPr>
                <w:rFonts w:hint="eastAsia"/>
                <w:b/>
                <w:bCs/>
              </w:rPr>
              <w:t>时段</w:t>
            </w:r>
          </w:p>
        </w:tc>
        <w:tc>
          <w:tcPr>
            <w:tcW w:w="1112" w:type="dxa"/>
            <w:vMerge w:val="restart"/>
            <w:vAlign w:val="center"/>
          </w:tcPr>
          <w:p>
            <w:pPr>
              <w:pStyle w:val="51"/>
              <w:rPr>
                <w:b/>
                <w:bCs/>
                <w:sz w:val="24"/>
              </w:rPr>
            </w:pPr>
            <w:r>
              <w:rPr>
                <w:rFonts w:hint="eastAsia"/>
                <w:b/>
                <w:bCs/>
              </w:rPr>
              <w:t xml:space="preserve">建筑物 </w:t>
            </w:r>
          </w:p>
          <w:p>
            <w:pPr>
              <w:pStyle w:val="51"/>
              <w:rPr>
                <w:b/>
                <w:bCs/>
                <w:sz w:val="24"/>
              </w:rPr>
            </w:pPr>
            <w:r>
              <w:rPr>
                <w:rFonts w:hint="eastAsia"/>
                <w:b/>
                <w:bCs/>
              </w:rPr>
              <w:t xml:space="preserve">插入损 </w:t>
            </w:r>
          </w:p>
          <w:p>
            <w:pPr>
              <w:pStyle w:val="51"/>
              <w:rPr>
                <w:b/>
                <w:bCs/>
                <w:sz w:val="24"/>
              </w:rPr>
            </w:pPr>
            <w:r>
              <w:rPr>
                <w:rFonts w:hint="eastAsia"/>
                <w:b/>
                <w:bCs/>
              </w:rPr>
              <w:t>失</w:t>
            </w:r>
            <w:r>
              <w:rPr>
                <w:rFonts w:cs="Times New Roman"/>
                <w:b/>
                <w:bCs/>
              </w:rPr>
              <w:t>/ dB(A)</w:t>
            </w:r>
          </w:p>
        </w:tc>
        <w:tc>
          <w:tcPr>
            <w:tcW w:w="2010" w:type="dxa"/>
            <w:gridSpan w:val="2"/>
            <w:vAlign w:val="center"/>
          </w:tcPr>
          <w:p>
            <w:pPr>
              <w:pStyle w:val="51"/>
              <w:rPr>
                <w:b/>
                <w:bCs/>
              </w:rPr>
            </w:pPr>
            <w:r>
              <w:rPr>
                <w:rFonts w:hint="eastAsia"/>
                <w:b/>
                <w:bCs/>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rPr>
                <w:b/>
                <w:bCs/>
              </w:rPr>
            </w:pPr>
          </w:p>
        </w:tc>
        <w:tc>
          <w:tcPr>
            <w:tcW w:w="870" w:type="dxa"/>
            <w:vMerge w:val="continue"/>
            <w:vAlign w:val="center"/>
          </w:tcPr>
          <w:p>
            <w:pPr>
              <w:pStyle w:val="51"/>
              <w:rPr>
                <w:b/>
                <w:bCs/>
              </w:rPr>
            </w:pPr>
          </w:p>
        </w:tc>
        <w:tc>
          <w:tcPr>
            <w:tcW w:w="1025" w:type="dxa"/>
            <w:vMerge w:val="continue"/>
            <w:vAlign w:val="center"/>
          </w:tcPr>
          <w:p>
            <w:pPr>
              <w:pStyle w:val="51"/>
              <w:rPr>
                <w:b/>
                <w:bCs/>
              </w:rPr>
            </w:pPr>
          </w:p>
        </w:tc>
        <w:tc>
          <w:tcPr>
            <w:tcW w:w="709" w:type="dxa"/>
            <w:vMerge w:val="continue"/>
            <w:vAlign w:val="center"/>
          </w:tcPr>
          <w:p>
            <w:pPr>
              <w:pStyle w:val="51"/>
              <w:rPr>
                <w:b/>
                <w:bCs/>
              </w:rPr>
            </w:pPr>
          </w:p>
        </w:tc>
        <w:tc>
          <w:tcPr>
            <w:tcW w:w="709" w:type="dxa"/>
            <w:vMerge w:val="continue"/>
            <w:vAlign w:val="center"/>
          </w:tcPr>
          <w:p>
            <w:pPr>
              <w:pStyle w:val="51"/>
              <w:rPr>
                <w:b/>
                <w:bCs/>
              </w:rPr>
            </w:pPr>
          </w:p>
        </w:tc>
        <w:tc>
          <w:tcPr>
            <w:tcW w:w="1134" w:type="dxa"/>
            <w:vAlign w:val="center"/>
          </w:tcPr>
          <w:p>
            <w:pPr>
              <w:pStyle w:val="51"/>
              <w:rPr>
                <w:b/>
                <w:bCs/>
              </w:rPr>
            </w:pPr>
            <w:r>
              <w:rPr>
                <w:rFonts w:hint="eastAsia"/>
                <w:b/>
                <w:bCs/>
              </w:rPr>
              <w:t xml:space="preserve">声功率级 </w:t>
            </w:r>
            <w:r>
              <w:rPr>
                <w:b/>
                <w:bCs/>
              </w:rPr>
              <w:t>/dB(A)</w:t>
            </w:r>
          </w:p>
        </w:tc>
        <w:tc>
          <w:tcPr>
            <w:tcW w:w="992" w:type="dxa"/>
            <w:vMerge w:val="continue"/>
            <w:vAlign w:val="center"/>
          </w:tcPr>
          <w:p>
            <w:pPr>
              <w:pStyle w:val="51"/>
              <w:rPr>
                <w:b/>
                <w:bCs/>
              </w:rPr>
            </w:pPr>
          </w:p>
        </w:tc>
        <w:tc>
          <w:tcPr>
            <w:tcW w:w="614" w:type="dxa"/>
            <w:vAlign w:val="center"/>
          </w:tcPr>
          <w:p>
            <w:pPr>
              <w:pStyle w:val="51"/>
              <w:rPr>
                <w:b/>
                <w:bCs/>
              </w:rPr>
            </w:pPr>
            <w:r>
              <w:rPr>
                <w:rFonts w:hint="eastAsia"/>
                <w:b/>
                <w:bCs/>
              </w:rPr>
              <w:t>X</w:t>
            </w:r>
          </w:p>
        </w:tc>
        <w:tc>
          <w:tcPr>
            <w:tcW w:w="614" w:type="dxa"/>
            <w:vAlign w:val="center"/>
          </w:tcPr>
          <w:p>
            <w:pPr>
              <w:pStyle w:val="51"/>
              <w:rPr>
                <w:b/>
                <w:bCs/>
              </w:rPr>
            </w:pPr>
            <w:r>
              <w:rPr>
                <w:rFonts w:hint="eastAsia"/>
                <w:b/>
                <w:bCs/>
              </w:rPr>
              <w:t>Y</w:t>
            </w:r>
          </w:p>
        </w:tc>
        <w:tc>
          <w:tcPr>
            <w:tcW w:w="615" w:type="dxa"/>
            <w:vAlign w:val="center"/>
          </w:tcPr>
          <w:p>
            <w:pPr>
              <w:pStyle w:val="51"/>
              <w:rPr>
                <w:b/>
                <w:bCs/>
              </w:rPr>
            </w:pPr>
            <w:r>
              <w:rPr>
                <w:rFonts w:hint="eastAsia"/>
                <w:b/>
                <w:bCs/>
              </w:rPr>
              <w:t>Z</w:t>
            </w:r>
          </w:p>
        </w:tc>
        <w:tc>
          <w:tcPr>
            <w:tcW w:w="1275" w:type="dxa"/>
            <w:gridSpan w:val="2"/>
            <w:vMerge w:val="continue"/>
            <w:vAlign w:val="center"/>
          </w:tcPr>
          <w:p>
            <w:pPr>
              <w:pStyle w:val="51"/>
              <w:rPr>
                <w:b/>
                <w:bCs/>
              </w:rPr>
            </w:pPr>
          </w:p>
        </w:tc>
        <w:tc>
          <w:tcPr>
            <w:tcW w:w="993" w:type="dxa"/>
            <w:vMerge w:val="continue"/>
            <w:vAlign w:val="center"/>
          </w:tcPr>
          <w:p>
            <w:pPr>
              <w:pStyle w:val="51"/>
              <w:rPr>
                <w:b/>
                <w:bCs/>
              </w:rPr>
            </w:pPr>
          </w:p>
        </w:tc>
        <w:tc>
          <w:tcPr>
            <w:tcW w:w="992" w:type="dxa"/>
            <w:vMerge w:val="continue"/>
            <w:vAlign w:val="center"/>
          </w:tcPr>
          <w:p>
            <w:pPr>
              <w:pStyle w:val="51"/>
              <w:rPr>
                <w:b/>
                <w:bCs/>
              </w:rPr>
            </w:pPr>
          </w:p>
        </w:tc>
        <w:tc>
          <w:tcPr>
            <w:tcW w:w="1112" w:type="dxa"/>
            <w:vMerge w:val="continue"/>
            <w:vAlign w:val="center"/>
          </w:tcPr>
          <w:p>
            <w:pPr>
              <w:pStyle w:val="51"/>
              <w:rPr>
                <w:b/>
                <w:bCs/>
              </w:rPr>
            </w:pPr>
          </w:p>
        </w:tc>
        <w:tc>
          <w:tcPr>
            <w:tcW w:w="1132" w:type="dxa"/>
            <w:vAlign w:val="center"/>
          </w:tcPr>
          <w:p>
            <w:pPr>
              <w:pStyle w:val="51"/>
              <w:rPr>
                <w:b/>
                <w:bCs/>
                <w:sz w:val="24"/>
              </w:rPr>
            </w:pPr>
            <w:r>
              <w:rPr>
                <w:rFonts w:hint="eastAsia"/>
                <w:b/>
                <w:bCs/>
              </w:rPr>
              <w:t xml:space="preserve">声压级 </w:t>
            </w:r>
          </w:p>
          <w:p>
            <w:pPr>
              <w:pStyle w:val="51"/>
              <w:rPr>
                <w:b/>
                <w:bCs/>
              </w:rPr>
            </w:pPr>
            <w:r>
              <w:rPr>
                <w:rFonts w:cs="Times New Roman"/>
                <w:b/>
                <w:bCs/>
              </w:rPr>
              <w:t>/dB(A)</w:t>
            </w:r>
          </w:p>
        </w:tc>
        <w:tc>
          <w:tcPr>
            <w:tcW w:w="878" w:type="dxa"/>
            <w:vAlign w:val="center"/>
          </w:tcPr>
          <w:p>
            <w:pPr>
              <w:pStyle w:val="51"/>
              <w:rPr>
                <w:b/>
                <w:bCs/>
                <w:sz w:val="24"/>
              </w:rPr>
            </w:pPr>
            <w:r>
              <w:rPr>
                <w:rFonts w:hint="eastAsia"/>
                <w:b/>
                <w:bCs/>
              </w:rPr>
              <w:t xml:space="preserve">建筑物 </w:t>
            </w:r>
          </w:p>
          <w:p>
            <w:pPr>
              <w:pStyle w:val="51"/>
              <w:rPr>
                <w:b/>
                <w:bCs/>
              </w:rPr>
            </w:pPr>
            <w:r>
              <w:rPr>
                <w:rFonts w:hint="eastAsia"/>
                <w:b/>
                <w:bCs/>
              </w:rPr>
              <w:t>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0" w:type="dxa"/>
            <w:vMerge w:val="restart"/>
            <w:vAlign w:val="center"/>
          </w:tcPr>
          <w:p>
            <w:pPr>
              <w:pStyle w:val="51"/>
            </w:pPr>
            <w:r>
              <w:rPr>
                <w:rFonts w:hint="eastAsia"/>
              </w:rPr>
              <w:t>1</w:t>
            </w:r>
          </w:p>
        </w:tc>
        <w:tc>
          <w:tcPr>
            <w:tcW w:w="870" w:type="dxa"/>
            <w:vMerge w:val="restart"/>
            <w:vAlign w:val="center"/>
          </w:tcPr>
          <w:p>
            <w:pPr>
              <w:pStyle w:val="51"/>
            </w:pPr>
            <w:r>
              <w:rPr>
                <w:rFonts w:hint="eastAsia"/>
              </w:rPr>
              <w:t>1#鸡舍</w:t>
            </w:r>
          </w:p>
        </w:tc>
        <w:tc>
          <w:tcPr>
            <w:tcW w:w="1025" w:type="dxa"/>
            <w:vMerge w:val="restart"/>
            <w:vAlign w:val="center"/>
          </w:tcPr>
          <w:p>
            <w:pPr>
              <w:pStyle w:val="51"/>
            </w:pPr>
            <w:r>
              <w:rPr>
                <w:rFonts w:hint="eastAsia"/>
              </w:rPr>
              <w:t>鸡只</w:t>
            </w:r>
          </w:p>
          <w:p>
            <w:pPr>
              <w:pStyle w:val="51"/>
            </w:pPr>
            <w:r>
              <w:rPr>
                <w:rFonts w:hint="eastAsia"/>
              </w:rPr>
              <w:t>叫声</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 xml:space="preserve">正常喂 </w:t>
            </w:r>
          </w:p>
          <w:p>
            <w:pPr>
              <w:pStyle w:val="51"/>
            </w:pPr>
            <w:r>
              <w:rPr>
                <w:rFonts w:hint="eastAsia"/>
              </w:rPr>
              <w:t>食、鸡舍隔声</w:t>
            </w:r>
          </w:p>
        </w:tc>
        <w:tc>
          <w:tcPr>
            <w:tcW w:w="614" w:type="dxa"/>
            <w:vMerge w:val="restart"/>
            <w:vAlign w:val="center"/>
          </w:tcPr>
          <w:p>
            <w:pPr>
              <w:pStyle w:val="51"/>
            </w:pPr>
            <w:r>
              <w:rPr>
                <w:rFonts w:hint="eastAsia"/>
              </w:rPr>
              <w:t>-69</w:t>
            </w:r>
          </w:p>
        </w:tc>
        <w:tc>
          <w:tcPr>
            <w:tcW w:w="614" w:type="dxa"/>
            <w:vMerge w:val="restart"/>
            <w:vAlign w:val="center"/>
          </w:tcPr>
          <w:p>
            <w:pPr>
              <w:pStyle w:val="51"/>
            </w:pPr>
            <w:r>
              <w:rPr>
                <w:rFonts w:hint="eastAsia"/>
              </w:rPr>
              <w:t>53</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2</w:t>
            </w:r>
          </w:p>
        </w:tc>
        <w:tc>
          <w:tcPr>
            <w:tcW w:w="870" w:type="dxa"/>
            <w:vMerge w:val="restart"/>
            <w:vAlign w:val="center"/>
          </w:tcPr>
          <w:p>
            <w:pPr>
              <w:pStyle w:val="51"/>
            </w:pPr>
            <w:r>
              <w:rPr>
                <w:rFonts w:hint="eastAsia"/>
              </w:rPr>
              <w:t>2#鸡舍</w:t>
            </w:r>
          </w:p>
        </w:tc>
        <w:tc>
          <w:tcPr>
            <w:tcW w:w="1025" w:type="dxa"/>
            <w:vMerge w:val="restart"/>
            <w:vAlign w:val="center"/>
          </w:tcPr>
          <w:p>
            <w:pPr>
              <w:pStyle w:val="51"/>
            </w:pPr>
            <w:r>
              <w:rPr>
                <w:rFonts w:hint="eastAsia"/>
              </w:rPr>
              <w:t>鸡只</w:t>
            </w:r>
          </w:p>
          <w:p>
            <w:pPr>
              <w:pStyle w:val="51"/>
            </w:pPr>
            <w:r>
              <w:rPr>
                <w:rFonts w:hint="eastAsia"/>
              </w:rPr>
              <w:t>叫声</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 xml:space="preserve">正常喂 </w:t>
            </w:r>
          </w:p>
          <w:p>
            <w:pPr>
              <w:pStyle w:val="51"/>
            </w:pPr>
            <w:r>
              <w:rPr>
                <w:rFonts w:hint="eastAsia"/>
              </w:rPr>
              <w:t>食、鸡舍隔声</w:t>
            </w:r>
          </w:p>
        </w:tc>
        <w:tc>
          <w:tcPr>
            <w:tcW w:w="614" w:type="dxa"/>
            <w:vMerge w:val="restart"/>
            <w:vAlign w:val="center"/>
          </w:tcPr>
          <w:p>
            <w:pPr>
              <w:pStyle w:val="51"/>
            </w:pPr>
            <w:r>
              <w:rPr>
                <w:rFonts w:hint="eastAsia"/>
              </w:rPr>
              <w:t>-43</w:t>
            </w:r>
          </w:p>
        </w:tc>
        <w:tc>
          <w:tcPr>
            <w:tcW w:w="614" w:type="dxa"/>
            <w:vMerge w:val="restart"/>
            <w:vAlign w:val="center"/>
          </w:tcPr>
          <w:p>
            <w:pPr>
              <w:pStyle w:val="51"/>
            </w:pPr>
            <w:r>
              <w:rPr>
                <w:rFonts w:hint="eastAsia"/>
              </w:rPr>
              <w:t>53</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0" w:type="dxa"/>
            <w:vMerge w:val="restart"/>
            <w:vAlign w:val="center"/>
          </w:tcPr>
          <w:p>
            <w:pPr>
              <w:pStyle w:val="51"/>
            </w:pPr>
            <w:r>
              <w:rPr>
                <w:rFonts w:hint="eastAsia"/>
              </w:rPr>
              <w:t>3</w:t>
            </w:r>
          </w:p>
        </w:tc>
        <w:tc>
          <w:tcPr>
            <w:tcW w:w="870" w:type="dxa"/>
            <w:vMerge w:val="restart"/>
            <w:vAlign w:val="center"/>
          </w:tcPr>
          <w:p>
            <w:pPr>
              <w:pStyle w:val="51"/>
            </w:pPr>
            <w:r>
              <w:rPr>
                <w:rFonts w:hint="eastAsia"/>
              </w:rPr>
              <w:t>3#鸡舍</w:t>
            </w:r>
          </w:p>
        </w:tc>
        <w:tc>
          <w:tcPr>
            <w:tcW w:w="1025" w:type="dxa"/>
            <w:vMerge w:val="restart"/>
            <w:vAlign w:val="center"/>
          </w:tcPr>
          <w:p>
            <w:pPr>
              <w:pStyle w:val="51"/>
            </w:pPr>
            <w:r>
              <w:rPr>
                <w:rFonts w:hint="eastAsia"/>
              </w:rPr>
              <w:t>鸡只</w:t>
            </w:r>
          </w:p>
          <w:p>
            <w:pPr>
              <w:pStyle w:val="51"/>
            </w:pPr>
            <w:r>
              <w:rPr>
                <w:rFonts w:hint="eastAsia"/>
              </w:rPr>
              <w:t>叫声</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 xml:space="preserve">正常喂 </w:t>
            </w:r>
          </w:p>
          <w:p>
            <w:pPr>
              <w:pStyle w:val="51"/>
            </w:pPr>
            <w:r>
              <w:rPr>
                <w:rFonts w:hint="eastAsia"/>
              </w:rPr>
              <w:t>食、鸡舍隔声</w:t>
            </w:r>
          </w:p>
        </w:tc>
        <w:tc>
          <w:tcPr>
            <w:tcW w:w="614" w:type="dxa"/>
            <w:vMerge w:val="restart"/>
            <w:vAlign w:val="center"/>
          </w:tcPr>
          <w:p>
            <w:pPr>
              <w:pStyle w:val="51"/>
            </w:pPr>
            <w:r>
              <w:rPr>
                <w:rFonts w:hint="eastAsia"/>
              </w:rPr>
              <w:t>-18</w:t>
            </w:r>
          </w:p>
        </w:tc>
        <w:tc>
          <w:tcPr>
            <w:tcW w:w="614" w:type="dxa"/>
            <w:vMerge w:val="restart"/>
            <w:vAlign w:val="center"/>
          </w:tcPr>
          <w:p>
            <w:pPr>
              <w:pStyle w:val="51"/>
            </w:pPr>
            <w:r>
              <w:rPr>
                <w:rFonts w:hint="eastAsia"/>
              </w:rPr>
              <w:t>53</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4</w:t>
            </w:r>
          </w:p>
        </w:tc>
        <w:tc>
          <w:tcPr>
            <w:tcW w:w="870" w:type="dxa"/>
            <w:vMerge w:val="restart"/>
            <w:vAlign w:val="center"/>
          </w:tcPr>
          <w:p>
            <w:pPr>
              <w:pStyle w:val="51"/>
            </w:pPr>
            <w:r>
              <w:rPr>
                <w:rFonts w:hint="eastAsia"/>
              </w:rPr>
              <w:t>4#鸡舍</w:t>
            </w:r>
          </w:p>
        </w:tc>
        <w:tc>
          <w:tcPr>
            <w:tcW w:w="1025" w:type="dxa"/>
            <w:vMerge w:val="restart"/>
            <w:vAlign w:val="center"/>
          </w:tcPr>
          <w:p>
            <w:pPr>
              <w:pStyle w:val="51"/>
            </w:pPr>
            <w:r>
              <w:rPr>
                <w:rFonts w:hint="eastAsia"/>
              </w:rPr>
              <w:t>鸡只</w:t>
            </w:r>
          </w:p>
          <w:p>
            <w:pPr>
              <w:pStyle w:val="51"/>
            </w:pPr>
            <w:r>
              <w:rPr>
                <w:rFonts w:hint="eastAsia"/>
              </w:rPr>
              <w:t>叫声</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 xml:space="preserve">正常喂 </w:t>
            </w:r>
          </w:p>
          <w:p>
            <w:pPr>
              <w:pStyle w:val="51"/>
            </w:pPr>
            <w:r>
              <w:rPr>
                <w:rFonts w:hint="eastAsia"/>
              </w:rPr>
              <w:t>食、鸡舍隔声</w:t>
            </w:r>
          </w:p>
        </w:tc>
        <w:tc>
          <w:tcPr>
            <w:tcW w:w="614" w:type="dxa"/>
            <w:vMerge w:val="restart"/>
            <w:vAlign w:val="center"/>
          </w:tcPr>
          <w:p>
            <w:pPr>
              <w:pStyle w:val="51"/>
            </w:pPr>
            <w:r>
              <w:rPr>
                <w:rFonts w:hint="eastAsia"/>
              </w:rPr>
              <w:t>9</w:t>
            </w:r>
          </w:p>
        </w:tc>
        <w:tc>
          <w:tcPr>
            <w:tcW w:w="614" w:type="dxa"/>
            <w:vMerge w:val="restart"/>
            <w:vAlign w:val="center"/>
          </w:tcPr>
          <w:p>
            <w:pPr>
              <w:pStyle w:val="51"/>
            </w:pPr>
            <w:r>
              <w:rPr>
                <w:rFonts w:hint="eastAsia"/>
              </w:rPr>
              <w:t>53</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bl>
    <w:p>
      <w:pPr>
        <w:pStyle w:val="49"/>
        <w:ind w:firstLine="0" w:firstLineChars="0"/>
        <w:sectPr>
          <w:pgSz w:w="16838" w:h="11906" w:orient="landscape"/>
          <w:pgMar w:top="1800" w:right="1440" w:bottom="1800" w:left="1440" w:header="851" w:footer="992" w:gutter="0"/>
          <w:cols w:space="425" w:num="1"/>
          <w:docGrid w:type="lines" w:linePitch="312" w:charSpace="0"/>
        </w:sectPr>
      </w:pPr>
    </w:p>
    <w:tbl>
      <w:tblPr>
        <w:tblStyle w:val="40"/>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70"/>
        <w:gridCol w:w="1025"/>
        <w:gridCol w:w="709"/>
        <w:gridCol w:w="709"/>
        <w:gridCol w:w="1134"/>
        <w:gridCol w:w="992"/>
        <w:gridCol w:w="614"/>
        <w:gridCol w:w="614"/>
        <w:gridCol w:w="615"/>
        <w:gridCol w:w="567"/>
        <w:gridCol w:w="708"/>
        <w:gridCol w:w="993"/>
        <w:gridCol w:w="992"/>
        <w:gridCol w:w="1112"/>
        <w:gridCol w:w="1132"/>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5</w:t>
            </w:r>
          </w:p>
        </w:tc>
        <w:tc>
          <w:tcPr>
            <w:tcW w:w="870" w:type="dxa"/>
            <w:vMerge w:val="restart"/>
            <w:vAlign w:val="center"/>
          </w:tcPr>
          <w:p>
            <w:pPr>
              <w:pStyle w:val="51"/>
            </w:pPr>
            <w:r>
              <w:rPr>
                <w:rFonts w:hint="eastAsia"/>
              </w:rPr>
              <w:t>5#鸡舍</w:t>
            </w:r>
          </w:p>
        </w:tc>
        <w:tc>
          <w:tcPr>
            <w:tcW w:w="1025" w:type="dxa"/>
            <w:vMerge w:val="restart"/>
            <w:vAlign w:val="center"/>
          </w:tcPr>
          <w:p>
            <w:pPr>
              <w:pStyle w:val="51"/>
            </w:pPr>
            <w:r>
              <w:rPr>
                <w:rFonts w:hint="eastAsia"/>
              </w:rPr>
              <w:t>鸡只</w:t>
            </w:r>
          </w:p>
          <w:p>
            <w:pPr>
              <w:pStyle w:val="51"/>
            </w:pPr>
            <w:r>
              <w:rPr>
                <w:rFonts w:hint="eastAsia"/>
              </w:rPr>
              <w:t>叫声</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 xml:space="preserve">正常喂 </w:t>
            </w:r>
          </w:p>
          <w:p>
            <w:pPr>
              <w:pStyle w:val="51"/>
            </w:pPr>
            <w:r>
              <w:rPr>
                <w:rFonts w:hint="eastAsia"/>
              </w:rPr>
              <w:t>食、鸡舍隔声</w:t>
            </w:r>
          </w:p>
        </w:tc>
        <w:tc>
          <w:tcPr>
            <w:tcW w:w="614" w:type="dxa"/>
            <w:vMerge w:val="restart"/>
            <w:vAlign w:val="center"/>
          </w:tcPr>
          <w:p>
            <w:pPr>
              <w:pStyle w:val="51"/>
            </w:pPr>
            <w:r>
              <w:rPr>
                <w:rFonts w:hint="eastAsia"/>
              </w:rPr>
              <w:t>35</w:t>
            </w:r>
          </w:p>
        </w:tc>
        <w:tc>
          <w:tcPr>
            <w:tcW w:w="614" w:type="dxa"/>
            <w:vMerge w:val="restart"/>
            <w:vAlign w:val="center"/>
          </w:tcPr>
          <w:p>
            <w:pPr>
              <w:pStyle w:val="51"/>
            </w:pPr>
            <w:r>
              <w:rPr>
                <w:rFonts w:hint="eastAsia"/>
              </w:rPr>
              <w:t>53</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6</w:t>
            </w:r>
          </w:p>
        </w:tc>
        <w:tc>
          <w:tcPr>
            <w:tcW w:w="870" w:type="dxa"/>
            <w:vMerge w:val="restart"/>
            <w:vAlign w:val="center"/>
          </w:tcPr>
          <w:p>
            <w:pPr>
              <w:pStyle w:val="51"/>
            </w:pPr>
            <w:r>
              <w:rPr>
                <w:rFonts w:hint="eastAsia"/>
              </w:rPr>
              <w:t>6#鸡舍</w:t>
            </w:r>
          </w:p>
        </w:tc>
        <w:tc>
          <w:tcPr>
            <w:tcW w:w="1025" w:type="dxa"/>
            <w:vMerge w:val="restart"/>
            <w:vAlign w:val="center"/>
          </w:tcPr>
          <w:p>
            <w:pPr>
              <w:pStyle w:val="51"/>
            </w:pPr>
            <w:r>
              <w:rPr>
                <w:rFonts w:hint="eastAsia"/>
              </w:rPr>
              <w:t>鸡只</w:t>
            </w:r>
          </w:p>
          <w:p>
            <w:pPr>
              <w:pStyle w:val="51"/>
            </w:pPr>
            <w:r>
              <w:rPr>
                <w:rFonts w:hint="eastAsia"/>
              </w:rPr>
              <w:t>叫声</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 xml:space="preserve">正常喂 </w:t>
            </w:r>
          </w:p>
          <w:p>
            <w:pPr>
              <w:pStyle w:val="51"/>
            </w:pPr>
            <w:r>
              <w:rPr>
                <w:rFonts w:hint="eastAsia"/>
              </w:rPr>
              <w:t>食、鸡舍隔声</w:t>
            </w:r>
          </w:p>
        </w:tc>
        <w:tc>
          <w:tcPr>
            <w:tcW w:w="614" w:type="dxa"/>
            <w:vMerge w:val="restart"/>
            <w:vAlign w:val="center"/>
          </w:tcPr>
          <w:p>
            <w:pPr>
              <w:pStyle w:val="51"/>
            </w:pPr>
            <w:r>
              <w:rPr>
                <w:rFonts w:hint="eastAsia"/>
              </w:rPr>
              <w:t>61</w:t>
            </w:r>
          </w:p>
        </w:tc>
        <w:tc>
          <w:tcPr>
            <w:tcW w:w="614" w:type="dxa"/>
            <w:vMerge w:val="restart"/>
            <w:vAlign w:val="center"/>
          </w:tcPr>
          <w:p>
            <w:pPr>
              <w:pStyle w:val="51"/>
            </w:pPr>
            <w:r>
              <w:rPr>
                <w:rFonts w:hint="eastAsia"/>
              </w:rPr>
              <w:t>53</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7</w:t>
            </w:r>
          </w:p>
        </w:tc>
        <w:tc>
          <w:tcPr>
            <w:tcW w:w="870" w:type="dxa"/>
            <w:vMerge w:val="restart"/>
            <w:vAlign w:val="center"/>
          </w:tcPr>
          <w:p>
            <w:pPr>
              <w:pStyle w:val="51"/>
            </w:pPr>
            <w:r>
              <w:rPr>
                <w:rFonts w:hint="eastAsia"/>
              </w:rPr>
              <w:t>7#鸡舍</w:t>
            </w:r>
          </w:p>
        </w:tc>
        <w:tc>
          <w:tcPr>
            <w:tcW w:w="1025" w:type="dxa"/>
            <w:vMerge w:val="restart"/>
            <w:vAlign w:val="center"/>
          </w:tcPr>
          <w:p>
            <w:pPr>
              <w:pStyle w:val="51"/>
            </w:pPr>
            <w:r>
              <w:rPr>
                <w:rFonts w:hint="eastAsia"/>
              </w:rPr>
              <w:t>鸡只</w:t>
            </w:r>
          </w:p>
          <w:p>
            <w:pPr>
              <w:pStyle w:val="51"/>
            </w:pPr>
            <w:r>
              <w:rPr>
                <w:rFonts w:hint="eastAsia"/>
              </w:rPr>
              <w:t>叫声</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 xml:space="preserve">正常喂 </w:t>
            </w:r>
          </w:p>
          <w:p>
            <w:pPr>
              <w:pStyle w:val="51"/>
            </w:pPr>
            <w:r>
              <w:rPr>
                <w:rFonts w:hint="eastAsia"/>
              </w:rPr>
              <w:t>食、鸡舍隔声</w:t>
            </w:r>
          </w:p>
        </w:tc>
        <w:tc>
          <w:tcPr>
            <w:tcW w:w="614" w:type="dxa"/>
            <w:vMerge w:val="restart"/>
            <w:vAlign w:val="center"/>
          </w:tcPr>
          <w:p>
            <w:pPr>
              <w:pStyle w:val="51"/>
            </w:pPr>
            <w:r>
              <w:rPr>
                <w:rFonts w:hint="eastAsia"/>
              </w:rPr>
              <w:t>86</w:t>
            </w:r>
          </w:p>
        </w:tc>
        <w:tc>
          <w:tcPr>
            <w:tcW w:w="614" w:type="dxa"/>
            <w:vMerge w:val="restart"/>
            <w:vAlign w:val="center"/>
          </w:tcPr>
          <w:p>
            <w:pPr>
              <w:pStyle w:val="51"/>
            </w:pPr>
            <w:r>
              <w:rPr>
                <w:rFonts w:hint="eastAsia"/>
              </w:rPr>
              <w:t>53</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9</w:t>
            </w:r>
          </w:p>
        </w:tc>
        <w:tc>
          <w:tcPr>
            <w:tcW w:w="993" w:type="dxa"/>
            <w:vAlign w:val="center"/>
          </w:tcPr>
          <w:p>
            <w:pPr>
              <w:pStyle w:val="51"/>
            </w:pPr>
            <w:r>
              <w:rPr>
                <w:rFonts w:hint="eastAsia"/>
              </w:rPr>
              <w:t>51</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31</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51.5</w:t>
            </w:r>
          </w:p>
        </w:tc>
        <w:tc>
          <w:tcPr>
            <w:tcW w:w="993" w:type="dxa"/>
            <w:vAlign w:val="center"/>
          </w:tcPr>
          <w:p>
            <w:pPr>
              <w:pStyle w:val="51"/>
            </w:pPr>
            <w:r>
              <w:rPr>
                <w:rFonts w:hint="eastAsia"/>
              </w:rPr>
              <w:t>36</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16</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8</w:t>
            </w:r>
          </w:p>
        </w:tc>
        <w:tc>
          <w:tcPr>
            <w:tcW w:w="870" w:type="dxa"/>
            <w:vMerge w:val="restart"/>
            <w:vAlign w:val="center"/>
          </w:tcPr>
          <w:p>
            <w:pPr>
              <w:pStyle w:val="51"/>
            </w:pPr>
            <w:r>
              <w:rPr>
                <w:rFonts w:hint="eastAsia"/>
              </w:rPr>
              <w:t>蛋库</w:t>
            </w:r>
          </w:p>
        </w:tc>
        <w:tc>
          <w:tcPr>
            <w:tcW w:w="1025" w:type="dxa"/>
            <w:vMerge w:val="restart"/>
            <w:vAlign w:val="center"/>
          </w:tcPr>
          <w:p>
            <w:pPr>
              <w:pStyle w:val="51"/>
            </w:pPr>
            <w:r>
              <w:rPr>
                <w:rFonts w:hint="eastAsia"/>
              </w:rPr>
              <w:t>集蛋</w:t>
            </w:r>
          </w:p>
          <w:p>
            <w:pPr>
              <w:pStyle w:val="51"/>
            </w:pPr>
            <w:r>
              <w:rPr>
                <w:rFonts w:hint="eastAsia"/>
              </w:rPr>
              <w:t>系统</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合理布局、建筑隔声</w:t>
            </w:r>
          </w:p>
        </w:tc>
        <w:tc>
          <w:tcPr>
            <w:tcW w:w="614" w:type="dxa"/>
            <w:vMerge w:val="restart"/>
            <w:vAlign w:val="center"/>
          </w:tcPr>
          <w:p>
            <w:pPr>
              <w:pStyle w:val="51"/>
            </w:pPr>
            <w:r>
              <w:rPr>
                <w:rFonts w:hint="eastAsia"/>
              </w:rPr>
              <w:t>-104</w:t>
            </w:r>
          </w:p>
        </w:tc>
        <w:tc>
          <w:tcPr>
            <w:tcW w:w="614" w:type="dxa"/>
            <w:vMerge w:val="restart"/>
            <w:vAlign w:val="center"/>
          </w:tcPr>
          <w:p>
            <w:pPr>
              <w:pStyle w:val="51"/>
            </w:pPr>
            <w:r>
              <w:rPr>
                <w:rFonts w:hint="eastAsia"/>
              </w:rPr>
              <w:t>74</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17.5</w:t>
            </w:r>
          </w:p>
        </w:tc>
        <w:tc>
          <w:tcPr>
            <w:tcW w:w="993" w:type="dxa"/>
            <w:vAlign w:val="center"/>
          </w:tcPr>
          <w:p>
            <w:pPr>
              <w:pStyle w:val="51"/>
            </w:pPr>
            <w:r>
              <w:rPr>
                <w:rFonts w:hint="eastAsia"/>
              </w:rPr>
              <w:t>50</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30</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30</w:t>
            </w:r>
          </w:p>
        </w:tc>
        <w:tc>
          <w:tcPr>
            <w:tcW w:w="993" w:type="dxa"/>
            <w:vAlign w:val="center"/>
          </w:tcPr>
          <w:p>
            <w:pPr>
              <w:pStyle w:val="51"/>
            </w:pPr>
            <w:r>
              <w:rPr>
                <w:rFonts w:hint="eastAsia"/>
              </w:rPr>
              <w:t>45</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25</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17.5</w:t>
            </w:r>
          </w:p>
        </w:tc>
        <w:tc>
          <w:tcPr>
            <w:tcW w:w="993" w:type="dxa"/>
            <w:vAlign w:val="center"/>
          </w:tcPr>
          <w:p>
            <w:pPr>
              <w:pStyle w:val="51"/>
            </w:pPr>
            <w:r>
              <w:rPr>
                <w:rFonts w:hint="eastAsia"/>
              </w:rPr>
              <w:t>50</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30</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30</w:t>
            </w:r>
          </w:p>
        </w:tc>
        <w:tc>
          <w:tcPr>
            <w:tcW w:w="993" w:type="dxa"/>
            <w:vAlign w:val="center"/>
          </w:tcPr>
          <w:p>
            <w:pPr>
              <w:pStyle w:val="51"/>
            </w:pPr>
            <w:r>
              <w:rPr>
                <w:rFonts w:hint="eastAsia"/>
              </w:rPr>
              <w:t>45</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25</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9</w:t>
            </w:r>
          </w:p>
        </w:tc>
        <w:tc>
          <w:tcPr>
            <w:tcW w:w="870" w:type="dxa"/>
            <w:vMerge w:val="restart"/>
            <w:vAlign w:val="center"/>
          </w:tcPr>
          <w:p>
            <w:pPr>
              <w:pStyle w:val="51"/>
            </w:pPr>
            <w:r>
              <w:rPr>
                <w:rFonts w:hint="eastAsia"/>
              </w:rPr>
              <w:t>1#鸡舍</w:t>
            </w:r>
          </w:p>
        </w:tc>
        <w:tc>
          <w:tcPr>
            <w:tcW w:w="1025" w:type="dxa"/>
            <w:vMerge w:val="restart"/>
            <w:vAlign w:val="center"/>
          </w:tcPr>
          <w:p>
            <w:pPr>
              <w:pStyle w:val="51"/>
            </w:pPr>
            <w:r>
              <w:rPr>
                <w:rFonts w:hint="eastAsia"/>
              </w:rPr>
              <w:t>鸡粪风干处理设备</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70</w:t>
            </w:r>
          </w:p>
        </w:tc>
        <w:tc>
          <w:tcPr>
            <w:tcW w:w="992" w:type="dxa"/>
            <w:vMerge w:val="restart"/>
            <w:vAlign w:val="center"/>
          </w:tcPr>
          <w:p>
            <w:pPr>
              <w:pStyle w:val="51"/>
            </w:pPr>
            <w:r>
              <w:rPr>
                <w:rFonts w:hint="eastAsia"/>
              </w:rPr>
              <w:t>合理布局、建筑隔声</w:t>
            </w:r>
          </w:p>
        </w:tc>
        <w:tc>
          <w:tcPr>
            <w:tcW w:w="614" w:type="dxa"/>
            <w:vMerge w:val="restart"/>
            <w:vAlign w:val="center"/>
          </w:tcPr>
          <w:p>
            <w:pPr>
              <w:pStyle w:val="51"/>
            </w:pPr>
            <w:r>
              <w:rPr>
                <w:rFonts w:hint="eastAsia"/>
              </w:rPr>
              <w:t>92</w:t>
            </w:r>
          </w:p>
        </w:tc>
        <w:tc>
          <w:tcPr>
            <w:tcW w:w="614" w:type="dxa"/>
            <w:vMerge w:val="restart"/>
            <w:vAlign w:val="center"/>
          </w:tcPr>
          <w:p>
            <w:pPr>
              <w:pStyle w:val="51"/>
            </w:pPr>
            <w:r>
              <w:rPr>
                <w:rFonts w:hint="eastAsia"/>
              </w:rPr>
              <w:t>-31</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30</w:t>
            </w:r>
          </w:p>
        </w:tc>
        <w:tc>
          <w:tcPr>
            <w:tcW w:w="993" w:type="dxa"/>
            <w:vAlign w:val="center"/>
          </w:tcPr>
          <w:p>
            <w:pPr>
              <w:pStyle w:val="51"/>
            </w:pPr>
            <w:r>
              <w:rPr>
                <w:rFonts w:hint="eastAsia"/>
              </w:rPr>
              <w:t>45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25</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10</w:t>
            </w:r>
          </w:p>
        </w:tc>
        <w:tc>
          <w:tcPr>
            <w:tcW w:w="993" w:type="dxa"/>
            <w:vAlign w:val="center"/>
          </w:tcPr>
          <w:p>
            <w:pPr>
              <w:pStyle w:val="51"/>
            </w:pPr>
            <w:r>
              <w:rPr>
                <w:rFonts w:hint="eastAsia"/>
              </w:rPr>
              <w:t>55</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35</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30</w:t>
            </w:r>
          </w:p>
        </w:tc>
        <w:tc>
          <w:tcPr>
            <w:tcW w:w="993" w:type="dxa"/>
            <w:vAlign w:val="center"/>
          </w:tcPr>
          <w:p>
            <w:pPr>
              <w:pStyle w:val="51"/>
            </w:pPr>
            <w:r>
              <w:rPr>
                <w:rFonts w:hint="eastAsia"/>
              </w:rPr>
              <w:t>45</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25</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10</w:t>
            </w:r>
          </w:p>
        </w:tc>
        <w:tc>
          <w:tcPr>
            <w:tcW w:w="993" w:type="dxa"/>
            <w:vAlign w:val="center"/>
          </w:tcPr>
          <w:p>
            <w:pPr>
              <w:pStyle w:val="51"/>
            </w:pPr>
            <w:r>
              <w:rPr>
                <w:rFonts w:hint="eastAsia"/>
              </w:rPr>
              <w:t>55</w:t>
            </w:r>
          </w:p>
        </w:tc>
        <w:tc>
          <w:tcPr>
            <w:tcW w:w="992" w:type="dxa"/>
            <w:vMerge w:val="continue"/>
            <w:vAlign w:val="center"/>
          </w:tcPr>
          <w:p>
            <w:pPr>
              <w:pStyle w:val="51"/>
            </w:pPr>
          </w:p>
        </w:tc>
        <w:tc>
          <w:tcPr>
            <w:tcW w:w="1112" w:type="dxa"/>
            <w:vMerge w:val="continue"/>
            <w:vAlign w:val="center"/>
          </w:tcPr>
          <w:p>
            <w:pPr>
              <w:pStyle w:val="51"/>
            </w:pPr>
          </w:p>
        </w:tc>
        <w:tc>
          <w:tcPr>
            <w:tcW w:w="1132" w:type="dxa"/>
            <w:vAlign w:val="center"/>
          </w:tcPr>
          <w:p>
            <w:pPr>
              <w:pStyle w:val="51"/>
            </w:pPr>
            <w:r>
              <w:rPr>
                <w:rFonts w:hint="eastAsia"/>
              </w:rPr>
              <w:t>35</w:t>
            </w:r>
          </w:p>
        </w:tc>
        <w:tc>
          <w:tcPr>
            <w:tcW w:w="878" w:type="dxa"/>
            <w:vAlign w:val="center"/>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8</w:t>
            </w:r>
          </w:p>
        </w:tc>
        <w:tc>
          <w:tcPr>
            <w:tcW w:w="870" w:type="dxa"/>
            <w:vMerge w:val="restart"/>
            <w:vAlign w:val="center"/>
          </w:tcPr>
          <w:p>
            <w:pPr>
              <w:pStyle w:val="51"/>
            </w:pPr>
            <w:r>
              <w:rPr>
                <w:rFonts w:hint="eastAsia"/>
              </w:rPr>
              <w:t>1#鸡舍风机房</w:t>
            </w:r>
          </w:p>
        </w:tc>
        <w:tc>
          <w:tcPr>
            <w:tcW w:w="1025" w:type="dxa"/>
            <w:vMerge w:val="restart"/>
            <w:vAlign w:val="center"/>
          </w:tcPr>
          <w:p>
            <w:pPr>
              <w:pStyle w:val="51"/>
            </w:pPr>
            <w:r>
              <w:rPr>
                <w:rFonts w:hint="eastAsia"/>
              </w:rPr>
              <w:t>风机</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-79</w:t>
            </w:r>
          </w:p>
        </w:tc>
        <w:tc>
          <w:tcPr>
            <w:tcW w:w="614" w:type="dxa"/>
            <w:vMerge w:val="restart"/>
            <w:vAlign w:val="center"/>
          </w:tcPr>
          <w:p>
            <w:pPr>
              <w:pStyle w:val="51"/>
            </w:pPr>
            <w:r>
              <w:rPr>
                <w:rFonts w:hint="eastAsia"/>
              </w:rPr>
              <w:t>1</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vAlign w:val="center"/>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9</w:t>
            </w:r>
          </w:p>
        </w:tc>
        <w:tc>
          <w:tcPr>
            <w:tcW w:w="870" w:type="dxa"/>
            <w:vMerge w:val="restart"/>
            <w:vAlign w:val="center"/>
          </w:tcPr>
          <w:p>
            <w:pPr>
              <w:pStyle w:val="51"/>
            </w:pPr>
            <w:r>
              <w:rPr>
                <w:rFonts w:hint="eastAsia"/>
              </w:rPr>
              <w:t>2#鸡舍风机房</w:t>
            </w:r>
          </w:p>
        </w:tc>
        <w:tc>
          <w:tcPr>
            <w:tcW w:w="1025" w:type="dxa"/>
            <w:vMerge w:val="restart"/>
            <w:vAlign w:val="center"/>
          </w:tcPr>
          <w:p>
            <w:pPr>
              <w:pStyle w:val="51"/>
            </w:pPr>
            <w:r>
              <w:rPr>
                <w:rFonts w:hint="eastAsia"/>
              </w:rPr>
              <w:t>风机</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-53</w:t>
            </w:r>
          </w:p>
        </w:tc>
        <w:tc>
          <w:tcPr>
            <w:tcW w:w="614" w:type="dxa"/>
            <w:vMerge w:val="restart"/>
            <w:vAlign w:val="center"/>
          </w:tcPr>
          <w:p>
            <w:pPr>
              <w:pStyle w:val="51"/>
            </w:pPr>
            <w:r>
              <w:rPr>
                <w:rFonts w:hint="eastAsia"/>
              </w:rPr>
              <w:t>1</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bl>
    <w:p>
      <w:pPr>
        <w:pStyle w:val="49"/>
        <w:ind w:firstLine="0" w:firstLineChars="0"/>
        <w:sectPr>
          <w:pgSz w:w="16838" w:h="11906" w:orient="landscape"/>
          <w:pgMar w:top="1800" w:right="1440" w:bottom="1800" w:left="1440" w:header="851" w:footer="992" w:gutter="0"/>
          <w:cols w:space="425" w:num="1"/>
          <w:docGrid w:type="lines" w:linePitch="312" w:charSpace="0"/>
        </w:sectPr>
      </w:pPr>
    </w:p>
    <w:tbl>
      <w:tblPr>
        <w:tblStyle w:val="40"/>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70"/>
        <w:gridCol w:w="1025"/>
        <w:gridCol w:w="709"/>
        <w:gridCol w:w="709"/>
        <w:gridCol w:w="1134"/>
        <w:gridCol w:w="992"/>
        <w:gridCol w:w="614"/>
        <w:gridCol w:w="614"/>
        <w:gridCol w:w="615"/>
        <w:gridCol w:w="567"/>
        <w:gridCol w:w="708"/>
        <w:gridCol w:w="993"/>
        <w:gridCol w:w="992"/>
        <w:gridCol w:w="1112"/>
        <w:gridCol w:w="1132"/>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10</w:t>
            </w:r>
          </w:p>
        </w:tc>
        <w:tc>
          <w:tcPr>
            <w:tcW w:w="870" w:type="dxa"/>
            <w:vMerge w:val="restart"/>
            <w:vAlign w:val="center"/>
          </w:tcPr>
          <w:p>
            <w:pPr>
              <w:pStyle w:val="51"/>
            </w:pPr>
            <w:r>
              <w:rPr>
                <w:rFonts w:hint="eastAsia"/>
              </w:rPr>
              <w:t>3#鸡舍风机房</w:t>
            </w:r>
          </w:p>
        </w:tc>
        <w:tc>
          <w:tcPr>
            <w:tcW w:w="1025" w:type="dxa"/>
            <w:vMerge w:val="restart"/>
            <w:vAlign w:val="center"/>
          </w:tcPr>
          <w:p>
            <w:pPr>
              <w:pStyle w:val="51"/>
            </w:pPr>
            <w:r>
              <w:rPr>
                <w:rFonts w:hint="eastAsia"/>
              </w:rPr>
              <w:t>风机</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-27</w:t>
            </w:r>
          </w:p>
        </w:tc>
        <w:tc>
          <w:tcPr>
            <w:tcW w:w="614" w:type="dxa"/>
            <w:vMerge w:val="restart"/>
            <w:vAlign w:val="center"/>
          </w:tcPr>
          <w:p>
            <w:pPr>
              <w:pStyle w:val="51"/>
            </w:pPr>
            <w:r>
              <w:rPr>
                <w:rFonts w:hint="eastAsia"/>
              </w:rPr>
              <w:t>1</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11</w:t>
            </w:r>
          </w:p>
        </w:tc>
        <w:tc>
          <w:tcPr>
            <w:tcW w:w="870" w:type="dxa"/>
            <w:vMerge w:val="restart"/>
            <w:vAlign w:val="center"/>
          </w:tcPr>
          <w:p>
            <w:pPr>
              <w:pStyle w:val="51"/>
            </w:pPr>
            <w:r>
              <w:rPr>
                <w:rFonts w:hint="eastAsia"/>
              </w:rPr>
              <w:t>4#鸡舍风机房</w:t>
            </w:r>
          </w:p>
        </w:tc>
        <w:tc>
          <w:tcPr>
            <w:tcW w:w="1025" w:type="dxa"/>
            <w:vMerge w:val="restart"/>
            <w:vAlign w:val="center"/>
          </w:tcPr>
          <w:p>
            <w:pPr>
              <w:pStyle w:val="51"/>
            </w:pPr>
            <w:r>
              <w:rPr>
                <w:rFonts w:hint="eastAsia"/>
              </w:rPr>
              <w:t>风机</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-1</w:t>
            </w:r>
          </w:p>
        </w:tc>
        <w:tc>
          <w:tcPr>
            <w:tcW w:w="614" w:type="dxa"/>
            <w:vMerge w:val="restart"/>
            <w:vAlign w:val="center"/>
          </w:tcPr>
          <w:p>
            <w:pPr>
              <w:pStyle w:val="51"/>
            </w:pPr>
            <w:r>
              <w:rPr>
                <w:rFonts w:hint="eastAsia"/>
              </w:rPr>
              <w:t>1</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12</w:t>
            </w:r>
          </w:p>
        </w:tc>
        <w:tc>
          <w:tcPr>
            <w:tcW w:w="870" w:type="dxa"/>
            <w:vMerge w:val="restart"/>
            <w:vAlign w:val="center"/>
          </w:tcPr>
          <w:p>
            <w:pPr>
              <w:pStyle w:val="51"/>
            </w:pPr>
            <w:r>
              <w:rPr>
                <w:rFonts w:hint="eastAsia"/>
              </w:rPr>
              <w:t>5#鸡舍风机房</w:t>
            </w:r>
          </w:p>
        </w:tc>
        <w:tc>
          <w:tcPr>
            <w:tcW w:w="1025" w:type="dxa"/>
            <w:vMerge w:val="restart"/>
            <w:vAlign w:val="center"/>
          </w:tcPr>
          <w:p>
            <w:pPr>
              <w:pStyle w:val="51"/>
            </w:pPr>
            <w:r>
              <w:rPr>
                <w:rFonts w:hint="eastAsia"/>
              </w:rPr>
              <w:t>风机</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25</w:t>
            </w:r>
          </w:p>
        </w:tc>
        <w:tc>
          <w:tcPr>
            <w:tcW w:w="614" w:type="dxa"/>
            <w:vMerge w:val="restart"/>
            <w:vAlign w:val="center"/>
          </w:tcPr>
          <w:p>
            <w:pPr>
              <w:pStyle w:val="51"/>
            </w:pPr>
            <w:r>
              <w:rPr>
                <w:rFonts w:hint="eastAsia"/>
              </w:rPr>
              <w:t>1</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13</w:t>
            </w:r>
          </w:p>
        </w:tc>
        <w:tc>
          <w:tcPr>
            <w:tcW w:w="870" w:type="dxa"/>
            <w:vMerge w:val="restart"/>
            <w:vAlign w:val="center"/>
          </w:tcPr>
          <w:p>
            <w:pPr>
              <w:pStyle w:val="51"/>
            </w:pPr>
            <w:r>
              <w:rPr>
                <w:rFonts w:hint="eastAsia"/>
              </w:rPr>
              <w:t>6#鸡舍风机房</w:t>
            </w:r>
          </w:p>
        </w:tc>
        <w:tc>
          <w:tcPr>
            <w:tcW w:w="1025" w:type="dxa"/>
            <w:vMerge w:val="restart"/>
            <w:vAlign w:val="center"/>
          </w:tcPr>
          <w:p>
            <w:pPr>
              <w:pStyle w:val="51"/>
            </w:pPr>
            <w:r>
              <w:rPr>
                <w:rFonts w:hint="eastAsia"/>
              </w:rPr>
              <w:t>风机</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51</w:t>
            </w:r>
          </w:p>
        </w:tc>
        <w:tc>
          <w:tcPr>
            <w:tcW w:w="614" w:type="dxa"/>
            <w:vMerge w:val="restart"/>
            <w:vAlign w:val="center"/>
          </w:tcPr>
          <w:p>
            <w:pPr>
              <w:pStyle w:val="51"/>
            </w:pPr>
            <w:r>
              <w:rPr>
                <w:rFonts w:hint="eastAsia"/>
              </w:rPr>
              <w:t>1</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14</w:t>
            </w:r>
          </w:p>
        </w:tc>
        <w:tc>
          <w:tcPr>
            <w:tcW w:w="870" w:type="dxa"/>
            <w:vMerge w:val="restart"/>
            <w:vAlign w:val="center"/>
          </w:tcPr>
          <w:p>
            <w:pPr>
              <w:pStyle w:val="51"/>
            </w:pPr>
            <w:r>
              <w:rPr>
                <w:rFonts w:hint="eastAsia"/>
              </w:rPr>
              <w:t>7#鸡舍风机房</w:t>
            </w:r>
          </w:p>
        </w:tc>
        <w:tc>
          <w:tcPr>
            <w:tcW w:w="1025" w:type="dxa"/>
            <w:vMerge w:val="restart"/>
            <w:vAlign w:val="center"/>
          </w:tcPr>
          <w:p>
            <w:pPr>
              <w:pStyle w:val="51"/>
            </w:pPr>
            <w:r>
              <w:rPr>
                <w:rFonts w:hint="eastAsia"/>
              </w:rPr>
              <w:t>风机</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77</w:t>
            </w:r>
          </w:p>
        </w:tc>
        <w:tc>
          <w:tcPr>
            <w:tcW w:w="614" w:type="dxa"/>
            <w:vMerge w:val="restart"/>
            <w:vAlign w:val="center"/>
          </w:tcPr>
          <w:p>
            <w:pPr>
              <w:pStyle w:val="51"/>
            </w:pPr>
            <w:r>
              <w:rPr>
                <w:rFonts w:hint="eastAsia"/>
              </w:rPr>
              <w:t>1</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15</w:t>
            </w:r>
          </w:p>
        </w:tc>
        <w:tc>
          <w:tcPr>
            <w:tcW w:w="870" w:type="dxa"/>
            <w:vMerge w:val="restart"/>
            <w:vAlign w:val="center"/>
          </w:tcPr>
          <w:p>
            <w:pPr>
              <w:pStyle w:val="51"/>
            </w:pPr>
            <w:r>
              <w:rPr>
                <w:rFonts w:hint="eastAsia"/>
              </w:rPr>
              <w:t>鸡粪风干车间风机房</w:t>
            </w:r>
          </w:p>
        </w:tc>
        <w:tc>
          <w:tcPr>
            <w:tcW w:w="1025" w:type="dxa"/>
            <w:vMerge w:val="restart"/>
            <w:vAlign w:val="center"/>
          </w:tcPr>
          <w:p>
            <w:pPr>
              <w:pStyle w:val="51"/>
            </w:pPr>
            <w:r>
              <w:rPr>
                <w:rFonts w:hint="eastAsia"/>
              </w:rPr>
              <w:t>风机</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53</w:t>
            </w:r>
          </w:p>
        </w:tc>
        <w:tc>
          <w:tcPr>
            <w:tcW w:w="614" w:type="dxa"/>
            <w:vMerge w:val="restart"/>
            <w:vAlign w:val="center"/>
          </w:tcPr>
          <w:p>
            <w:pPr>
              <w:pStyle w:val="51"/>
            </w:pPr>
            <w:r>
              <w:rPr>
                <w:rFonts w:hint="eastAsia"/>
              </w:rPr>
              <w:t>-20</w:t>
            </w:r>
          </w:p>
        </w:tc>
        <w:tc>
          <w:tcPr>
            <w:tcW w:w="615" w:type="dxa"/>
            <w:vMerge w:val="restart"/>
            <w:vAlign w:val="center"/>
          </w:tcPr>
          <w:p>
            <w:pPr>
              <w:pStyle w:val="51"/>
            </w:pPr>
            <w:r>
              <w:rPr>
                <w:rFonts w:hint="eastAsia"/>
              </w:rPr>
              <w:t>1</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cs="Times New Roman"/>
                <w:color w:val="000000"/>
                <w:spacing w:val="6"/>
                <w:szCs w:val="21"/>
              </w:rPr>
              <w:t>00</w:t>
            </w:r>
            <w:r>
              <w:rPr>
                <w:rFonts w:cs="Times New Roman"/>
                <w:color w:val="000000"/>
                <w:spacing w:val="6"/>
                <w:szCs w:val="21"/>
              </w:rPr>
              <w:t>:</w:t>
            </w:r>
            <w:r>
              <w:rPr>
                <w:rFonts w:hint="eastAsia" w:cs="Times New Roman"/>
                <w:color w:val="000000"/>
                <w:spacing w:val="4"/>
                <w:szCs w:val="21"/>
              </w:rPr>
              <w:t>00</w:t>
            </w:r>
            <w:r>
              <w:rPr>
                <w:rFonts w:cs="Times New Roman"/>
                <w:color w:val="000000"/>
                <w:spacing w:val="3"/>
                <w:szCs w:val="21"/>
              </w:rPr>
              <w:t>-</w:t>
            </w:r>
            <w:r>
              <w:rPr>
                <w:rFonts w:hint="eastAsia" w:cs="Times New Roman"/>
                <w:color w:val="000000"/>
                <w:spacing w:val="3"/>
                <w:szCs w:val="21"/>
              </w:rPr>
              <w:t>24</w:t>
            </w:r>
            <w:r>
              <w:rPr>
                <w:rFonts w:cs="Times New Roman"/>
                <w:color w:val="000000"/>
                <w:spacing w:val="3"/>
                <w:szCs w:val="21"/>
              </w:rPr>
              <w:t>:</w:t>
            </w:r>
            <w:r>
              <w:rPr>
                <w:rFonts w:hint="eastAsia" w:cs="Times New Roman"/>
                <w:color w:val="000000"/>
                <w:spacing w:val="3"/>
                <w:szCs w:val="21"/>
              </w:rPr>
              <w:t>00</w:t>
            </w:r>
          </w:p>
        </w:tc>
        <w:tc>
          <w:tcPr>
            <w:tcW w:w="1112" w:type="dxa"/>
            <w:vMerge w:val="restart"/>
            <w:vAlign w:val="center"/>
          </w:tcPr>
          <w:p>
            <w:pPr>
              <w:pStyle w:val="51"/>
            </w:pPr>
            <w:r>
              <w:rPr>
                <w:rFonts w:hint="eastAsia"/>
              </w:rPr>
              <w:t>20</w:t>
            </w: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restart"/>
            <w:vAlign w:val="center"/>
          </w:tcPr>
          <w:p>
            <w:pPr>
              <w:pStyle w:val="51"/>
            </w:pPr>
            <w:r>
              <w:rPr>
                <w:rFonts w:hint="eastAsia"/>
              </w:rPr>
              <w:t>16</w:t>
            </w:r>
          </w:p>
        </w:tc>
        <w:tc>
          <w:tcPr>
            <w:tcW w:w="870" w:type="dxa"/>
            <w:vMerge w:val="restart"/>
            <w:vAlign w:val="center"/>
          </w:tcPr>
          <w:p>
            <w:pPr>
              <w:pStyle w:val="51"/>
            </w:pPr>
            <w:r>
              <w:rPr>
                <w:rFonts w:hint="eastAsia"/>
              </w:rPr>
              <w:t>水泵房</w:t>
            </w:r>
          </w:p>
        </w:tc>
        <w:tc>
          <w:tcPr>
            <w:tcW w:w="1025" w:type="dxa"/>
            <w:vMerge w:val="restart"/>
            <w:vAlign w:val="center"/>
          </w:tcPr>
          <w:p>
            <w:pPr>
              <w:pStyle w:val="51"/>
            </w:pPr>
            <w:r>
              <w:rPr>
                <w:rFonts w:hint="eastAsia"/>
              </w:rPr>
              <w:t>水泵</w:t>
            </w:r>
          </w:p>
        </w:tc>
        <w:tc>
          <w:tcPr>
            <w:tcW w:w="709" w:type="dxa"/>
            <w:vMerge w:val="restart"/>
            <w:vAlign w:val="center"/>
          </w:tcPr>
          <w:p>
            <w:pPr>
              <w:pStyle w:val="51"/>
            </w:pPr>
            <w:r>
              <w:rPr>
                <w:rFonts w:hint="eastAsia"/>
              </w:rPr>
              <w:t>/</w:t>
            </w:r>
          </w:p>
        </w:tc>
        <w:tc>
          <w:tcPr>
            <w:tcW w:w="709" w:type="dxa"/>
            <w:vMerge w:val="restart"/>
            <w:vAlign w:val="center"/>
          </w:tcPr>
          <w:p>
            <w:pPr>
              <w:pStyle w:val="51"/>
            </w:pPr>
            <w:r>
              <w:rPr>
                <w:rFonts w:hint="eastAsia"/>
              </w:rPr>
              <w:t>/</w:t>
            </w:r>
          </w:p>
        </w:tc>
        <w:tc>
          <w:tcPr>
            <w:tcW w:w="1134" w:type="dxa"/>
            <w:vMerge w:val="restart"/>
            <w:vAlign w:val="center"/>
          </w:tcPr>
          <w:p>
            <w:pPr>
              <w:pStyle w:val="51"/>
            </w:pPr>
            <w:r>
              <w:rPr>
                <w:rFonts w:hint="eastAsia"/>
              </w:rPr>
              <w:t>75</w:t>
            </w:r>
          </w:p>
        </w:tc>
        <w:tc>
          <w:tcPr>
            <w:tcW w:w="992" w:type="dxa"/>
            <w:vMerge w:val="restart"/>
            <w:vAlign w:val="center"/>
          </w:tcPr>
          <w:p>
            <w:pPr>
              <w:pStyle w:val="51"/>
            </w:pPr>
            <w:r>
              <w:rPr>
                <w:rFonts w:hint="eastAsia"/>
              </w:rPr>
              <w:t>基础减振、建筑隔声</w:t>
            </w:r>
          </w:p>
        </w:tc>
        <w:tc>
          <w:tcPr>
            <w:tcW w:w="614" w:type="dxa"/>
            <w:vMerge w:val="restart"/>
            <w:vAlign w:val="center"/>
          </w:tcPr>
          <w:p>
            <w:pPr>
              <w:pStyle w:val="51"/>
            </w:pPr>
            <w:r>
              <w:rPr>
                <w:rFonts w:hint="eastAsia"/>
              </w:rPr>
              <w:t>-45</w:t>
            </w:r>
          </w:p>
        </w:tc>
        <w:tc>
          <w:tcPr>
            <w:tcW w:w="614" w:type="dxa"/>
            <w:vMerge w:val="restart"/>
            <w:vAlign w:val="center"/>
          </w:tcPr>
          <w:p>
            <w:pPr>
              <w:pStyle w:val="51"/>
            </w:pPr>
            <w:r>
              <w:rPr>
                <w:rFonts w:hint="eastAsia"/>
              </w:rPr>
              <w:t>-21</w:t>
            </w:r>
          </w:p>
        </w:tc>
        <w:tc>
          <w:tcPr>
            <w:tcW w:w="615" w:type="dxa"/>
            <w:vMerge w:val="restart"/>
            <w:vAlign w:val="center"/>
          </w:tcPr>
          <w:p>
            <w:pPr>
              <w:pStyle w:val="51"/>
            </w:pPr>
            <w:r>
              <w:rPr>
                <w:rFonts w:hint="eastAsia"/>
              </w:rPr>
              <w:t>0</w:t>
            </w:r>
          </w:p>
        </w:tc>
        <w:tc>
          <w:tcPr>
            <w:tcW w:w="567" w:type="dxa"/>
            <w:vAlign w:val="center"/>
          </w:tcPr>
          <w:p>
            <w:pPr>
              <w:pStyle w:val="51"/>
            </w:pPr>
            <w:r>
              <w:rPr>
                <w:rFonts w:hint="eastAsia"/>
              </w:rPr>
              <w:t>东</w:t>
            </w:r>
          </w:p>
        </w:tc>
        <w:tc>
          <w:tcPr>
            <w:tcW w:w="708" w:type="dxa"/>
            <w:vAlign w:val="center"/>
          </w:tcPr>
          <w:p>
            <w:pPr>
              <w:pStyle w:val="51"/>
            </w:pPr>
            <w:r>
              <w:rPr>
                <w:rFonts w:hint="eastAsia"/>
              </w:rPr>
              <w:t>1</w:t>
            </w:r>
          </w:p>
        </w:tc>
        <w:tc>
          <w:tcPr>
            <w:tcW w:w="993" w:type="dxa"/>
            <w:vAlign w:val="bottom"/>
          </w:tcPr>
          <w:p>
            <w:pPr>
              <w:pStyle w:val="51"/>
            </w:pPr>
            <w:r>
              <w:rPr>
                <w:rFonts w:hint="eastAsia"/>
              </w:rPr>
              <w:t>75</w:t>
            </w:r>
          </w:p>
        </w:tc>
        <w:tc>
          <w:tcPr>
            <w:tcW w:w="992" w:type="dxa"/>
            <w:vMerge w:val="restart"/>
            <w:vAlign w:val="center"/>
          </w:tcPr>
          <w:p>
            <w:pPr>
              <w:pStyle w:val="51"/>
            </w:pPr>
            <w:r>
              <w:rPr>
                <w:rFonts w:hint="eastAsia"/>
              </w:rPr>
              <w:t>间断</w:t>
            </w:r>
          </w:p>
        </w:tc>
        <w:tc>
          <w:tcPr>
            <w:tcW w:w="1112" w:type="dxa"/>
            <w:vMerge w:val="restart"/>
            <w:vAlign w:val="center"/>
          </w:tcPr>
          <w:p>
            <w:pPr>
              <w:pStyle w:val="51"/>
            </w:pPr>
            <w:r>
              <w:rPr>
                <w:rFonts w:hint="eastAsia"/>
              </w:rPr>
              <w:t>20</w:t>
            </w: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西</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0" w:type="dxa"/>
            <w:vMerge w:val="continue"/>
            <w:vAlign w:val="center"/>
          </w:tcPr>
          <w:p>
            <w:pPr>
              <w:pStyle w:val="51"/>
            </w:pPr>
          </w:p>
        </w:tc>
        <w:tc>
          <w:tcPr>
            <w:tcW w:w="870" w:type="dxa"/>
            <w:vMerge w:val="continue"/>
            <w:vAlign w:val="center"/>
          </w:tcPr>
          <w:p>
            <w:pPr>
              <w:pStyle w:val="51"/>
            </w:pPr>
          </w:p>
        </w:tc>
        <w:tc>
          <w:tcPr>
            <w:tcW w:w="1025" w:type="dxa"/>
            <w:vMerge w:val="continue"/>
            <w:vAlign w:val="center"/>
          </w:tcPr>
          <w:p>
            <w:pPr>
              <w:pStyle w:val="51"/>
            </w:pPr>
          </w:p>
        </w:tc>
        <w:tc>
          <w:tcPr>
            <w:tcW w:w="709" w:type="dxa"/>
            <w:vMerge w:val="continue"/>
            <w:vAlign w:val="center"/>
          </w:tcPr>
          <w:p>
            <w:pPr>
              <w:pStyle w:val="51"/>
            </w:pPr>
          </w:p>
        </w:tc>
        <w:tc>
          <w:tcPr>
            <w:tcW w:w="709" w:type="dxa"/>
            <w:vMerge w:val="continue"/>
            <w:vAlign w:val="center"/>
          </w:tcPr>
          <w:p>
            <w:pPr>
              <w:pStyle w:val="51"/>
            </w:pPr>
          </w:p>
        </w:tc>
        <w:tc>
          <w:tcPr>
            <w:tcW w:w="1134" w:type="dxa"/>
            <w:vMerge w:val="continue"/>
            <w:vAlign w:val="center"/>
          </w:tcPr>
          <w:p>
            <w:pPr>
              <w:pStyle w:val="51"/>
            </w:pPr>
          </w:p>
        </w:tc>
        <w:tc>
          <w:tcPr>
            <w:tcW w:w="992" w:type="dxa"/>
            <w:vMerge w:val="continue"/>
            <w:vAlign w:val="center"/>
          </w:tcPr>
          <w:p>
            <w:pPr>
              <w:pStyle w:val="51"/>
            </w:pPr>
          </w:p>
        </w:tc>
        <w:tc>
          <w:tcPr>
            <w:tcW w:w="614" w:type="dxa"/>
            <w:vMerge w:val="continue"/>
            <w:vAlign w:val="center"/>
          </w:tcPr>
          <w:p>
            <w:pPr>
              <w:pStyle w:val="51"/>
            </w:pPr>
          </w:p>
        </w:tc>
        <w:tc>
          <w:tcPr>
            <w:tcW w:w="614" w:type="dxa"/>
            <w:vMerge w:val="continue"/>
            <w:vAlign w:val="center"/>
          </w:tcPr>
          <w:p>
            <w:pPr>
              <w:pStyle w:val="51"/>
            </w:pPr>
          </w:p>
        </w:tc>
        <w:tc>
          <w:tcPr>
            <w:tcW w:w="615" w:type="dxa"/>
            <w:vMerge w:val="continue"/>
            <w:vAlign w:val="center"/>
          </w:tcPr>
          <w:p>
            <w:pPr>
              <w:pStyle w:val="51"/>
            </w:pPr>
          </w:p>
        </w:tc>
        <w:tc>
          <w:tcPr>
            <w:tcW w:w="567" w:type="dxa"/>
            <w:vAlign w:val="center"/>
          </w:tcPr>
          <w:p>
            <w:pPr>
              <w:pStyle w:val="51"/>
            </w:pPr>
            <w:r>
              <w:rPr>
                <w:rFonts w:hint="eastAsia"/>
              </w:rPr>
              <w:t>北</w:t>
            </w:r>
          </w:p>
        </w:tc>
        <w:tc>
          <w:tcPr>
            <w:tcW w:w="708" w:type="dxa"/>
            <w:vAlign w:val="center"/>
          </w:tcPr>
          <w:p>
            <w:pPr>
              <w:pStyle w:val="51"/>
            </w:pPr>
            <w:r>
              <w:rPr>
                <w:rFonts w:hint="eastAsia"/>
              </w:rPr>
              <w:t>1</w:t>
            </w:r>
          </w:p>
        </w:tc>
        <w:tc>
          <w:tcPr>
            <w:tcW w:w="993" w:type="dxa"/>
          </w:tcPr>
          <w:p>
            <w:pPr>
              <w:pStyle w:val="51"/>
            </w:pPr>
            <w:r>
              <w:rPr>
                <w:rFonts w:hint="eastAsia"/>
              </w:rPr>
              <w:t>75</w:t>
            </w:r>
          </w:p>
        </w:tc>
        <w:tc>
          <w:tcPr>
            <w:tcW w:w="992" w:type="dxa"/>
            <w:vMerge w:val="continue"/>
            <w:vAlign w:val="center"/>
          </w:tcPr>
          <w:p>
            <w:pPr>
              <w:pStyle w:val="51"/>
            </w:pPr>
          </w:p>
        </w:tc>
        <w:tc>
          <w:tcPr>
            <w:tcW w:w="1112" w:type="dxa"/>
            <w:vMerge w:val="continue"/>
            <w:vAlign w:val="center"/>
          </w:tcPr>
          <w:p>
            <w:pPr>
              <w:pStyle w:val="51"/>
            </w:pPr>
          </w:p>
        </w:tc>
        <w:tc>
          <w:tcPr>
            <w:tcW w:w="1132" w:type="dxa"/>
          </w:tcPr>
          <w:p>
            <w:pPr>
              <w:pStyle w:val="51"/>
            </w:pPr>
            <w:r>
              <w:rPr>
                <w:rFonts w:hint="eastAsia"/>
              </w:rPr>
              <w:t>55</w:t>
            </w:r>
          </w:p>
        </w:tc>
        <w:tc>
          <w:tcPr>
            <w:tcW w:w="878" w:type="dxa"/>
          </w:tcPr>
          <w:p>
            <w:pPr>
              <w:pStyle w:val="51"/>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74" w:type="dxa"/>
            <w:gridSpan w:val="17"/>
            <w:vAlign w:val="center"/>
          </w:tcPr>
          <w:p>
            <w:pPr>
              <w:pStyle w:val="51"/>
              <w:jc w:val="left"/>
            </w:pPr>
            <w:r>
              <w:rPr>
                <w:rFonts w:hint="eastAsia" w:cs="Times New Roman"/>
                <w:color w:val="000000"/>
                <w:spacing w:val="6"/>
                <w:szCs w:val="21"/>
              </w:rPr>
              <w:t>注：</w:t>
            </w:r>
            <w:r>
              <w:rPr>
                <w:rFonts w:cs="Times New Roman"/>
                <w:color w:val="000000"/>
                <w:spacing w:val="1"/>
                <w:szCs w:val="21"/>
              </w:rPr>
              <w:t>原点坐标为</w:t>
            </w:r>
            <w:r>
              <w:rPr>
                <w:rFonts w:hint="eastAsia" w:cs="Times New Roman"/>
                <w:color w:val="000000"/>
                <w:spacing w:val="1"/>
                <w:szCs w:val="21"/>
              </w:rPr>
              <w:t>E111</w:t>
            </w:r>
            <w:r>
              <w:rPr>
                <w:rFonts w:cs="Times New Roman"/>
                <w:color w:val="000000"/>
                <w:szCs w:val="21"/>
              </w:rPr>
              <w:t>°</w:t>
            </w:r>
            <w:r>
              <w:rPr>
                <w:rFonts w:hint="eastAsia" w:cs="Times New Roman"/>
                <w:color w:val="000000"/>
                <w:spacing w:val="1"/>
                <w:szCs w:val="21"/>
              </w:rPr>
              <w:t>40'06.5254"，N 26</w:t>
            </w:r>
            <w:r>
              <w:rPr>
                <w:rFonts w:cs="Times New Roman"/>
                <w:color w:val="000000"/>
                <w:szCs w:val="21"/>
              </w:rPr>
              <w:t>°</w:t>
            </w:r>
            <w:r>
              <w:rPr>
                <w:rFonts w:hint="eastAsia" w:cs="Times New Roman"/>
                <w:color w:val="000000"/>
                <w:spacing w:val="1"/>
                <w:szCs w:val="21"/>
              </w:rPr>
              <w:t>21'17.4932"，</w:t>
            </w:r>
            <w:r>
              <w:rPr>
                <w:rFonts w:hint="eastAsia" w:cs="Times New Roman"/>
                <w:color w:val="000000"/>
                <w:szCs w:val="21"/>
              </w:rPr>
              <w:t xml:space="preserve">正东向为 </w:t>
            </w:r>
            <w:r>
              <w:rPr>
                <w:rFonts w:cs="Times New Roman"/>
                <w:color w:val="000000"/>
                <w:szCs w:val="21"/>
              </w:rPr>
              <w:t xml:space="preserve">X </w:t>
            </w:r>
            <w:r>
              <w:rPr>
                <w:rFonts w:hint="eastAsia" w:cs="Times New Roman"/>
                <w:color w:val="000000"/>
                <w:szCs w:val="21"/>
              </w:rPr>
              <w:t xml:space="preserve">轴正方向，正北向为 </w:t>
            </w:r>
            <w:r>
              <w:rPr>
                <w:rFonts w:cs="Times New Roman"/>
                <w:color w:val="000000"/>
                <w:szCs w:val="21"/>
              </w:rPr>
              <w:t xml:space="preserve">Y </w:t>
            </w:r>
            <w:r>
              <w:rPr>
                <w:rFonts w:hint="eastAsia" w:cs="Times New Roman"/>
                <w:color w:val="000000"/>
                <w:szCs w:val="21"/>
              </w:rPr>
              <w:t>轴正方向</w:t>
            </w:r>
            <w:r>
              <w:rPr>
                <w:rFonts w:cs="Times New Roman"/>
                <w:color w:val="000000"/>
                <w:szCs w:val="21"/>
              </w:rPr>
              <w:t>。</w:t>
            </w:r>
          </w:p>
        </w:tc>
      </w:tr>
    </w:tbl>
    <w:p>
      <w:pPr>
        <w:pStyle w:val="49"/>
        <w:ind w:firstLine="0" w:firstLineChars="0"/>
        <w:sectPr>
          <w:pgSz w:w="16838" w:h="11906" w:orient="landscape"/>
          <w:pgMar w:top="1800" w:right="1440" w:bottom="1800" w:left="1440" w:header="851" w:footer="992" w:gutter="0"/>
          <w:cols w:space="425" w:num="1"/>
          <w:docGrid w:type="lines" w:linePitch="312" w:charSpace="0"/>
        </w:sectPr>
      </w:pPr>
    </w:p>
    <w:p>
      <w:pPr>
        <w:pStyle w:val="5"/>
      </w:pPr>
      <w:r>
        <w:rPr>
          <w:rFonts w:hint="eastAsia"/>
        </w:rPr>
        <w:t>3</w:t>
      </w:r>
      <w:r>
        <w:t>.</w:t>
      </w:r>
      <w:r>
        <w:rPr>
          <w:rFonts w:hint="eastAsia"/>
        </w:rPr>
        <w:t>3</w:t>
      </w:r>
      <w:r>
        <w:t>.</w:t>
      </w:r>
      <w:r>
        <w:rPr>
          <w:rFonts w:hint="eastAsia"/>
        </w:rPr>
        <w:t>2.4 营运期固废污染源分析</w:t>
      </w:r>
    </w:p>
    <w:p>
      <w:pPr>
        <w:pStyle w:val="49"/>
        <w:ind w:firstLine="480"/>
      </w:pPr>
      <w:r>
        <w:rPr>
          <w:rFonts w:hint="eastAsia"/>
        </w:rPr>
        <w:t>本项目营运期产生的固体废物主要包括鸡粪、病死鸡、污泥、医疗垃圾和生活垃圾。</w:t>
      </w:r>
    </w:p>
    <w:p>
      <w:pPr>
        <w:pStyle w:val="49"/>
        <w:ind w:firstLine="480"/>
      </w:pPr>
      <w:r>
        <w:rPr>
          <w:rFonts w:hint="eastAsia"/>
        </w:rPr>
        <w:t>1、鸡粪</w:t>
      </w:r>
    </w:p>
    <w:p>
      <w:pPr>
        <w:pStyle w:val="49"/>
        <w:ind w:firstLine="480"/>
      </w:pPr>
      <w:r>
        <w:rPr>
          <w:rFonts w:hint="eastAsia"/>
        </w:rPr>
        <w:t>根据《排污许可证申请与核发技术规范畜禽养殖行业》（</w:t>
      </w:r>
      <w:r>
        <w:t>HJ1029-2019</w:t>
      </w:r>
      <w:r>
        <w:rPr>
          <w:rFonts w:hint="eastAsia"/>
        </w:rPr>
        <w:t>）中表</w:t>
      </w:r>
      <w:r>
        <w:t>9</w:t>
      </w:r>
      <w:r>
        <w:rPr>
          <w:rFonts w:hint="eastAsia"/>
        </w:rPr>
        <w:t>，蛋鸡粪便产生量为</w:t>
      </w:r>
      <w:r>
        <w:t>0.13kg/d·</w:t>
      </w:r>
      <w:r>
        <w:rPr>
          <w:rFonts w:hint="eastAsia"/>
        </w:rPr>
        <w:t>只（含水率</w:t>
      </w:r>
      <w:r>
        <w:t>70%</w:t>
      </w:r>
      <w:r>
        <w:rPr>
          <w:rFonts w:hint="eastAsia"/>
        </w:rPr>
        <w:t>）。本项目蛋鸡舍存栏蛋鸡120万只，则项目蛋鸡舍鸡粪产生量为156</w:t>
      </w:r>
      <w:r>
        <w:t>t/d</w:t>
      </w:r>
      <w:r>
        <w:rPr>
          <w:rFonts w:hint="eastAsia"/>
        </w:rPr>
        <w:t>（56940</w:t>
      </w:r>
      <w:r>
        <w:t>t/a</w:t>
      </w:r>
      <w:r>
        <w:rPr>
          <w:rFonts w:hint="eastAsia"/>
        </w:rPr>
        <w:t>）。本项目鸡粪采用干清粪工艺，日产日清，由鸡舍内清粪带及中央集粪带将鸡粪输送至运输车辆内，再由运输汽车转运至鸡粪风干车间，风干后转运至有湖南恩润生物科技有限公司制造有机肥。</w:t>
      </w:r>
    </w:p>
    <w:p>
      <w:pPr>
        <w:pStyle w:val="49"/>
        <w:ind w:firstLine="480"/>
      </w:pPr>
      <w:r>
        <w:rPr>
          <w:rFonts w:hint="eastAsia"/>
        </w:rPr>
        <w:t>2、病死鸡</w:t>
      </w:r>
    </w:p>
    <w:p>
      <w:pPr>
        <w:pStyle w:val="49"/>
        <w:ind w:firstLine="480"/>
      </w:pPr>
      <w:r>
        <w:rPr>
          <w:rFonts w:hint="eastAsia"/>
        </w:rPr>
        <w:t>在鸡禽饲养过程中，会产生一定量的病死鸡，病鸡死跟企业的管理水平关密切，根据《规模化畜禽养殖场环境影响评价与实例研究》（农业环境科学学报，</w:t>
      </w:r>
      <w:r>
        <w:t>2007</w:t>
      </w:r>
      <w:r>
        <w:rPr>
          <w:rFonts w:hint="eastAsia"/>
        </w:rPr>
        <w:t xml:space="preserve">），一般情况下规模化养鸡场病死鸡控制在 </w:t>
      </w:r>
      <w:r>
        <w:t>0.1%~0.2%</w:t>
      </w:r>
      <w:r>
        <w:rPr>
          <w:rFonts w:hint="eastAsia"/>
        </w:rPr>
        <w:t xml:space="preserve">，本项目病死率按 </w:t>
      </w:r>
      <w:r>
        <w:t>0.2%</w:t>
      </w:r>
      <w:r>
        <w:rPr>
          <w:rFonts w:hint="eastAsia"/>
        </w:rPr>
        <w:t>计，本项目年存栏120万只蛋鸡，病死鸡产生量为 2400</w:t>
      </w:r>
      <w:r>
        <w:t xml:space="preserve"> </w:t>
      </w:r>
      <w:r>
        <w:rPr>
          <w:rFonts w:hint="eastAsia"/>
        </w:rPr>
        <w:t>只/d，平均体重约为1.3kg/只，则病死鸡产生量为3.12</w:t>
      </w:r>
      <w:r>
        <w:t>t/a</w:t>
      </w:r>
      <w:r>
        <w:rPr>
          <w:rFonts w:hint="eastAsia"/>
        </w:rPr>
        <w:t>。病死鸡在冷冻库暂存后定期交由永州恩泉环保科技有限公司无害化处置。</w:t>
      </w:r>
    </w:p>
    <w:p>
      <w:pPr>
        <w:pStyle w:val="49"/>
        <w:ind w:firstLine="480"/>
      </w:pPr>
      <w:r>
        <w:rPr>
          <w:rFonts w:hint="eastAsia"/>
        </w:rPr>
        <w:t>3、污泥</w:t>
      </w:r>
    </w:p>
    <w:p>
      <w:pPr>
        <w:pStyle w:val="49"/>
        <w:ind w:firstLine="480"/>
      </w:pPr>
      <w:r>
        <w:rPr>
          <w:rFonts w:hint="eastAsia"/>
        </w:rPr>
        <w:t>相关资料表明，废水处理系统产生的污泥主要在厌氧反应阶段，厌氧阶段污泥产生量为</w:t>
      </w:r>
      <w:r>
        <w:t>0.3~0.5kg</w:t>
      </w:r>
      <w:r>
        <w:rPr>
          <w:rFonts w:hint="eastAsia"/>
        </w:rPr>
        <w:t>(</w:t>
      </w:r>
      <w:r>
        <w:t>VSS</w:t>
      </w:r>
      <w:r>
        <w:rPr>
          <w:rFonts w:hint="eastAsia"/>
        </w:rPr>
        <w:t>)</w:t>
      </w:r>
      <w:r>
        <w:t>/kg</w:t>
      </w:r>
      <w:r>
        <w:rPr>
          <w:rFonts w:hint="eastAsia"/>
        </w:rPr>
        <w:t>(</w:t>
      </w:r>
      <w:r>
        <w:t>COD</w:t>
      </w:r>
      <w:r>
        <w:rPr>
          <w:rFonts w:hint="eastAsia"/>
        </w:rPr>
        <w:t>)，本评价取</w:t>
      </w:r>
      <w:r>
        <w:t>0.5kg</w:t>
      </w:r>
      <w:r>
        <w:rPr>
          <w:rFonts w:hint="eastAsia"/>
        </w:rPr>
        <w:t>(</w:t>
      </w:r>
      <w:r>
        <w:t>VSS</w:t>
      </w:r>
      <w:r>
        <w:rPr>
          <w:rFonts w:hint="eastAsia"/>
        </w:rPr>
        <w:t>)</w:t>
      </w:r>
      <w:r>
        <w:t>/kg</w:t>
      </w:r>
      <w:r>
        <w:rPr>
          <w:rFonts w:hint="eastAsia"/>
        </w:rPr>
        <w:t>(</w:t>
      </w:r>
      <w:r>
        <w:t>COD</w:t>
      </w:r>
      <w:r>
        <w:rPr>
          <w:rFonts w:hint="eastAsia"/>
        </w:rPr>
        <w:t>)，本项目COD去除量为0.4199/a，则本项目污泥（绝干）产生量0.21</w:t>
      </w:r>
      <w:r>
        <w:t>t/a</w:t>
      </w:r>
      <w:r>
        <w:rPr>
          <w:rFonts w:hint="eastAsia"/>
        </w:rPr>
        <w:t xml:space="preserve">，污泥含水量按 </w:t>
      </w:r>
      <w:r>
        <w:t>80%</w:t>
      </w:r>
      <w:r>
        <w:rPr>
          <w:rFonts w:hint="eastAsia"/>
        </w:rPr>
        <w:t>计，则沼渣产生总量为1.05</w:t>
      </w:r>
      <w:r>
        <w:t>t/a</w:t>
      </w:r>
      <w:r>
        <w:rPr>
          <w:rFonts w:hint="eastAsia"/>
        </w:rPr>
        <w:t>，清运至鸡粪风干车间与鸡粪一起风干后，转运至有湖南恩润生物科技有限公司制造有机肥。</w:t>
      </w:r>
    </w:p>
    <w:p>
      <w:pPr>
        <w:pStyle w:val="49"/>
        <w:ind w:firstLine="480"/>
      </w:pPr>
      <w:r>
        <w:rPr>
          <w:rFonts w:hint="eastAsia"/>
        </w:rPr>
        <w:t>4、废包装材料</w:t>
      </w:r>
    </w:p>
    <w:p>
      <w:pPr>
        <w:pStyle w:val="49"/>
        <w:ind w:firstLine="480"/>
      </w:pPr>
      <w:r>
        <w:rPr>
          <w:rFonts w:hint="eastAsia"/>
        </w:rPr>
        <w:t>本项目运营过程中会产生少量的废包装材料，产生量约为0.1t/a，收集在一般固废暂存间内暂存，再外售综合利用。</w:t>
      </w:r>
    </w:p>
    <w:p>
      <w:pPr>
        <w:pStyle w:val="49"/>
        <w:ind w:firstLine="480"/>
      </w:pPr>
      <w:r>
        <w:rPr>
          <w:rFonts w:hint="eastAsia"/>
        </w:rPr>
        <w:t>5、医疗垃圾</w:t>
      </w:r>
    </w:p>
    <w:p>
      <w:pPr>
        <w:pStyle w:val="49"/>
        <w:keepNext/>
        <w:ind w:firstLine="480"/>
      </w:pPr>
      <w:r>
        <w:rPr>
          <w:rFonts w:hint="eastAsia"/>
        </w:rPr>
        <w:t xml:space="preserve">本项目在运营期对鸡注射兽药和疫苗会产生废针头、废注射器等，产生量约为 </w:t>
      </w:r>
      <w:r>
        <w:t>0.</w:t>
      </w:r>
      <w:r>
        <w:rPr>
          <w:rFonts w:hint="eastAsia"/>
        </w:rPr>
        <w:t>1</w:t>
      </w:r>
      <w:r>
        <w:t>t/a</w:t>
      </w:r>
      <w:r>
        <w:rPr>
          <w:rFonts w:hint="eastAsia"/>
        </w:rPr>
        <w:t>，根据《国家危险废物名录》（</w:t>
      </w:r>
      <w:r>
        <w:rPr>
          <w:rFonts w:cs="Times New Roman"/>
        </w:rPr>
        <w:t>202</w:t>
      </w:r>
      <w:r>
        <w:rPr>
          <w:rFonts w:hint="eastAsia" w:cs="Times New Roman"/>
        </w:rPr>
        <w:t>5</w:t>
      </w:r>
      <w:r>
        <w:rPr>
          <w:rFonts w:cs="Times New Roman"/>
        </w:rPr>
        <w:t xml:space="preserve"> </w:t>
      </w:r>
      <w:r>
        <w:rPr>
          <w:rFonts w:hint="eastAsia"/>
        </w:rPr>
        <w:t>版），废针头、废注射器属于HW01医疗废物中“感染性废物”，废物代码841-001-01；本项目在运营期使用消毒剂后会产生废消毒剂瓶，项目使用兽药和疫苗后会产生废药剂瓶，废消毒剂瓶、废药剂瓶产生量约为</w:t>
      </w:r>
      <w:r>
        <w:t>0.</w:t>
      </w:r>
      <w:r>
        <w:rPr>
          <w:rFonts w:hint="eastAsia"/>
        </w:rPr>
        <w:t>2</w:t>
      </w:r>
      <w:r>
        <w:t>t/a</w:t>
      </w:r>
      <w:r>
        <w:rPr>
          <w:rFonts w:hint="eastAsia"/>
        </w:rPr>
        <w:t>，根据《国家危险废物名录》（</w:t>
      </w:r>
      <w:r>
        <w:rPr>
          <w:rFonts w:cs="Times New Roman"/>
        </w:rPr>
        <w:t>202</w:t>
      </w:r>
      <w:r>
        <w:rPr>
          <w:rFonts w:hint="eastAsia" w:cs="Times New Roman"/>
        </w:rPr>
        <w:t>5</w:t>
      </w:r>
      <w:r>
        <w:rPr>
          <w:rFonts w:cs="Times New Roman"/>
        </w:rPr>
        <w:t xml:space="preserve"> </w:t>
      </w:r>
      <w:r>
        <w:rPr>
          <w:rFonts w:hint="eastAsia"/>
        </w:rPr>
        <w:t>版），废消毒剂瓶、废药剂瓶属于HW01医疗废物中“药物性废物”，废物代码841-005-01。医疗垃圾产生量约为0.3t/a，分类收集在危废暂存间内暂存，再定期交有资质单位处置。</w:t>
      </w:r>
    </w:p>
    <w:p>
      <w:pPr>
        <w:pStyle w:val="49"/>
        <w:ind w:firstLine="480"/>
      </w:pPr>
      <w:r>
        <w:rPr>
          <w:rFonts w:hint="eastAsia"/>
        </w:rPr>
        <w:t>6、生活垃圾</w:t>
      </w:r>
    </w:p>
    <w:p>
      <w:pPr>
        <w:pStyle w:val="49"/>
        <w:ind w:firstLine="480"/>
      </w:pPr>
      <w:bookmarkStart w:id="156" w:name="_Hlk179558090"/>
      <w:r>
        <w:rPr>
          <w:rFonts w:hint="eastAsia"/>
        </w:rPr>
        <w:t>本项目劳动定员50人，职工生活垃圾产生量按0.5kg/人</w:t>
      </w:r>
      <w:r>
        <w:rPr>
          <w:rFonts w:cs="Times New Roman"/>
        </w:rPr>
        <w:t>·</w:t>
      </w:r>
      <w:r>
        <w:rPr>
          <w:rFonts w:hint="eastAsia"/>
        </w:rPr>
        <w:t>d，则生活垃圾产生量为9.13t/a。生活垃圾交由环卫部门统一清运处理。</w:t>
      </w:r>
    </w:p>
    <w:bookmarkEnd w:id="156"/>
    <w:p>
      <w:pPr>
        <w:pStyle w:val="49"/>
        <w:widowControl/>
        <w:ind w:firstLine="480"/>
      </w:pPr>
      <w:r>
        <w:rPr>
          <w:rFonts w:hint="eastAsia"/>
        </w:rPr>
        <w:t>本项目营运期固废产生及处理排放情况详见表3.3-19。</w:t>
      </w:r>
    </w:p>
    <w:p>
      <w:pPr>
        <w:pStyle w:val="49"/>
        <w:ind w:firstLine="480"/>
      </w:pPr>
    </w:p>
    <w:p>
      <w:pPr>
        <w:pStyle w:val="49"/>
        <w:ind w:firstLine="480"/>
        <w:sectPr>
          <w:pgSz w:w="11906" w:h="16838"/>
          <w:pgMar w:top="1440" w:right="1800" w:bottom="1440" w:left="1800" w:header="851" w:footer="992" w:gutter="0"/>
          <w:cols w:space="425" w:num="1"/>
          <w:docGrid w:type="lines" w:linePitch="312" w:charSpace="0"/>
        </w:sectPr>
      </w:pPr>
    </w:p>
    <w:p>
      <w:pPr>
        <w:pStyle w:val="53"/>
      </w:pPr>
      <w:r>
        <w:rPr>
          <w:rFonts w:hint="eastAsia"/>
        </w:rPr>
        <w:t xml:space="preserve">表 </w:t>
      </w:r>
      <w:r>
        <w:rPr>
          <w:rFonts w:cs="Times New Roman"/>
        </w:rPr>
        <w:t>3.3-</w:t>
      </w:r>
      <w:r>
        <w:rPr>
          <w:rFonts w:hint="eastAsia" w:cs="Times New Roman"/>
        </w:rPr>
        <w:t xml:space="preserve">19 </w:t>
      </w:r>
      <w:r>
        <w:rPr>
          <w:rFonts w:cs="Times New Roman"/>
        </w:rPr>
        <w:t xml:space="preserve"> </w:t>
      </w:r>
      <w:r>
        <w:rPr>
          <w:rFonts w:hint="eastAsia"/>
        </w:rPr>
        <w:t>固体废物产生情况一览表</w:t>
      </w:r>
    </w:p>
    <w:tbl>
      <w:tblPr>
        <w:tblStyle w:val="40"/>
        <w:tblW w:w="14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974"/>
        <w:gridCol w:w="1275"/>
        <w:gridCol w:w="1134"/>
        <w:gridCol w:w="1560"/>
        <w:gridCol w:w="1275"/>
        <w:gridCol w:w="1134"/>
        <w:gridCol w:w="709"/>
        <w:gridCol w:w="1134"/>
        <w:gridCol w:w="3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dxa"/>
            <w:vAlign w:val="center"/>
          </w:tcPr>
          <w:p>
            <w:pPr>
              <w:pStyle w:val="51"/>
            </w:pPr>
            <w:bookmarkStart w:id="157" w:name="_Hlk170481554"/>
            <w:r>
              <w:rPr>
                <w:rFonts w:hint="eastAsia"/>
              </w:rPr>
              <w:t>序号</w:t>
            </w:r>
          </w:p>
        </w:tc>
        <w:tc>
          <w:tcPr>
            <w:tcW w:w="1974" w:type="dxa"/>
            <w:vAlign w:val="center"/>
          </w:tcPr>
          <w:p>
            <w:pPr>
              <w:pStyle w:val="51"/>
            </w:pPr>
            <w:r>
              <w:rPr>
                <w:rFonts w:hint="eastAsia"/>
              </w:rPr>
              <w:t>名称</w:t>
            </w:r>
          </w:p>
        </w:tc>
        <w:tc>
          <w:tcPr>
            <w:tcW w:w="1275" w:type="dxa"/>
            <w:vAlign w:val="center"/>
          </w:tcPr>
          <w:p>
            <w:pPr>
              <w:pStyle w:val="51"/>
            </w:pPr>
            <w:r>
              <w:rPr>
                <w:rFonts w:hint="eastAsia"/>
              </w:rPr>
              <w:t>废物属性</w:t>
            </w:r>
          </w:p>
        </w:tc>
        <w:tc>
          <w:tcPr>
            <w:tcW w:w="1134" w:type="dxa"/>
            <w:vAlign w:val="center"/>
          </w:tcPr>
          <w:p>
            <w:pPr>
              <w:pStyle w:val="51"/>
            </w:pPr>
            <w:r>
              <w:rPr>
                <w:rFonts w:hint="eastAsia"/>
              </w:rPr>
              <w:t>危废类别</w:t>
            </w:r>
          </w:p>
        </w:tc>
        <w:tc>
          <w:tcPr>
            <w:tcW w:w="1560" w:type="dxa"/>
            <w:vAlign w:val="center"/>
          </w:tcPr>
          <w:p>
            <w:pPr>
              <w:pStyle w:val="51"/>
            </w:pPr>
            <w:r>
              <w:rPr>
                <w:rFonts w:hint="eastAsia"/>
              </w:rPr>
              <w:t>危险废物代码</w:t>
            </w:r>
          </w:p>
        </w:tc>
        <w:tc>
          <w:tcPr>
            <w:tcW w:w="1275" w:type="dxa"/>
            <w:vAlign w:val="center"/>
          </w:tcPr>
          <w:p>
            <w:pPr>
              <w:pStyle w:val="51"/>
            </w:pPr>
            <w:r>
              <w:rPr>
                <w:rFonts w:hint="eastAsia"/>
              </w:rPr>
              <w:t>产生量(t/a)</w:t>
            </w:r>
          </w:p>
        </w:tc>
        <w:tc>
          <w:tcPr>
            <w:tcW w:w="1134" w:type="dxa"/>
            <w:vAlign w:val="center"/>
          </w:tcPr>
          <w:p>
            <w:pPr>
              <w:pStyle w:val="51"/>
            </w:pPr>
            <w:r>
              <w:rPr>
                <w:rFonts w:hint="eastAsia"/>
              </w:rPr>
              <w:t>产废周期</w:t>
            </w:r>
          </w:p>
        </w:tc>
        <w:tc>
          <w:tcPr>
            <w:tcW w:w="709" w:type="dxa"/>
            <w:vAlign w:val="center"/>
          </w:tcPr>
          <w:p>
            <w:pPr>
              <w:pStyle w:val="51"/>
            </w:pPr>
            <w:r>
              <w:rPr>
                <w:rFonts w:hint="eastAsia"/>
              </w:rPr>
              <w:t>形态</w:t>
            </w:r>
          </w:p>
        </w:tc>
        <w:tc>
          <w:tcPr>
            <w:tcW w:w="1134" w:type="dxa"/>
            <w:vAlign w:val="center"/>
          </w:tcPr>
          <w:p>
            <w:pPr>
              <w:pStyle w:val="51"/>
            </w:pPr>
            <w:r>
              <w:rPr>
                <w:rFonts w:hint="eastAsia"/>
              </w:rPr>
              <w:t>危险特性</w:t>
            </w:r>
          </w:p>
        </w:tc>
        <w:tc>
          <w:tcPr>
            <w:tcW w:w="3549" w:type="dxa"/>
            <w:vAlign w:val="center"/>
          </w:tcPr>
          <w:p>
            <w:pPr>
              <w:pStyle w:val="51"/>
            </w:pPr>
            <w:r>
              <w:rPr>
                <w:rFonts w:hint="eastAsia"/>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15" w:type="dxa"/>
            <w:vAlign w:val="center"/>
          </w:tcPr>
          <w:p>
            <w:pPr>
              <w:pStyle w:val="51"/>
            </w:pPr>
            <w:r>
              <w:rPr>
                <w:rFonts w:hint="eastAsia"/>
              </w:rPr>
              <w:t>1</w:t>
            </w:r>
          </w:p>
        </w:tc>
        <w:tc>
          <w:tcPr>
            <w:tcW w:w="1974" w:type="dxa"/>
            <w:vAlign w:val="center"/>
          </w:tcPr>
          <w:p>
            <w:pPr>
              <w:pStyle w:val="51"/>
            </w:pPr>
            <w:r>
              <w:rPr>
                <w:rFonts w:hint="eastAsia"/>
              </w:rPr>
              <w:t>鸡粪</w:t>
            </w:r>
          </w:p>
        </w:tc>
        <w:tc>
          <w:tcPr>
            <w:tcW w:w="1275" w:type="dxa"/>
            <w:vAlign w:val="center"/>
          </w:tcPr>
          <w:p>
            <w:pPr>
              <w:pStyle w:val="51"/>
            </w:pPr>
            <w:r>
              <w:rPr>
                <w:rFonts w:hint="eastAsia"/>
              </w:rPr>
              <w:t>一般固废</w:t>
            </w:r>
          </w:p>
        </w:tc>
        <w:tc>
          <w:tcPr>
            <w:tcW w:w="1134" w:type="dxa"/>
            <w:vAlign w:val="center"/>
          </w:tcPr>
          <w:p>
            <w:pPr>
              <w:pStyle w:val="51"/>
            </w:pPr>
            <w:r>
              <w:rPr>
                <w:rFonts w:hint="eastAsia"/>
              </w:rPr>
              <w:t>/</w:t>
            </w:r>
          </w:p>
        </w:tc>
        <w:tc>
          <w:tcPr>
            <w:tcW w:w="1560" w:type="dxa"/>
            <w:vAlign w:val="center"/>
          </w:tcPr>
          <w:p>
            <w:pPr>
              <w:pStyle w:val="51"/>
            </w:pPr>
            <w:r>
              <w:rPr>
                <w:rFonts w:hint="eastAsia"/>
              </w:rPr>
              <w:t>/</w:t>
            </w:r>
          </w:p>
        </w:tc>
        <w:tc>
          <w:tcPr>
            <w:tcW w:w="1275" w:type="dxa"/>
            <w:vAlign w:val="center"/>
          </w:tcPr>
          <w:p>
            <w:pPr>
              <w:pStyle w:val="51"/>
            </w:pPr>
            <w:r>
              <w:rPr>
                <w:rFonts w:hint="eastAsia"/>
              </w:rPr>
              <w:t>56940</w:t>
            </w:r>
          </w:p>
        </w:tc>
        <w:tc>
          <w:tcPr>
            <w:tcW w:w="1134" w:type="dxa"/>
            <w:vAlign w:val="center"/>
          </w:tcPr>
          <w:p>
            <w:pPr>
              <w:pStyle w:val="51"/>
            </w:pPr>
            <w:r>
              <w:rPr>
                <w:rFonts w:hint="eastAsia"/>
              </w:rPr>
              <w:t>日</w:t>
            </w:r>
          </w:p>
        </w:tc>
        <w:tc>
          <w:tcPr>
            <w:tcW w:w="709" w:type="dxa"/>
            <w:vAlign w:val="center"/>
          </w:tcPr>
          <w:p>
            <w:pPr>
              <w:pStyle w:val="51"/>
            </w:pPr>
            <w:r>
              <w:rPr>
                <w:rFonts w:hint="eastAsia"/>
              </w:rPr>
              <w:t>固态</w:t>
            </w:r>
          </w:p>
        </w:tc>
        <w:tc>
          <w:tcPr>
            <w:tcW w:w="1134" w:type="dxa"/>
            <w:vAlign w:val="center"/>
          </w:tcPr>
          <w:p>
            <w:pPr>
              <w:pStyle w:val="51"/>
            </w:pPr>
            <w:r>
              <w:rPr>
                <w:rFonts w:hint="eastAsia"/>
              </w:rPr>
              <w:t>/</w:t>
            </w:r>
          </w:p>
        </w:tc>
        <w:tc>
          <w:tcPr>
            <w:tcW w:w="3549" w:type="dxa"/>
            <w:vMerge w:val="restart"/>
            <w:vAlign w:val="center"/>
          </w:tcPr>
          <w:p>
            <w:pPr>
              <w:pStyle w:val="51"/>
            </w:pPr>
            <w:r>
              <w:rPr>
                <w:rFonts w:hint="eastAsia"/>
              </w:rPr>
              <w:t>送风干车间风干后，转运至有湖南恩润生物科技有限公司制造有机肥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15" w:type="dxa"/>
            <w:vAlign w:val="center"/>
          </w:tcPr>
          <w:p>
            <w:pPr>
              <w:pStyle w:val="51"/>
            </w:pPr>
            <w:r>
              <w:rPr>
                <w:rFonts w:hint="eastAsia"/>
              </w:rPr>
              <w:t>2</w:t>
            </w:r>
          </w:p>
        </w:tc>
        <w:tc>
          <w:tcPr>
            <w:tcW w:w="1974" w:type="dxa"/>
            <w:vAlign w:val="center"/>
          </w:tcPr>
          <w:p>
            <w:pPr>
              <w:pStyle w:val="51"/>
            </w:pPr>
            <w:r>
              <w:rPr>
                <w:rFonts w:hint="eastAsia"/>
              </w:rPr>
              <w:t>污泥</w:t>
            </w:r>
          </w:p>
        </w:tc>
        <w:tc>
          <w:tcPr>
            <w:tcW w:w="1275" w:type="dxa"/>
            <w:vAlign w:val="center"/>
          </w:tcPr>
          <w:p>
            <w:pPr>
              <w:pStyle w:val="51"/>
            </w:pPr>
            <w:r>
              <w:rPr>
                <w:rFonts w:hint="eastAsia"/>
              </w:rPr>
              <w:t>一般固废</w:t>
            </w:r>
          </w:p>
        </w:tc>
        <w:tc>
          <w:tcPr>
            <w:tcW w:w="1134" w:type="dxa"/>
            <w:vAlign w:val="center"/>
          </w:tcPr>
          <w:p>
            <w:pPr>
              <w:pStyle w:val="51"/>
            </w:pPr>
            <w:r>
              <w:rPr>
                <w:rFonts w:hint="eastAsia"/>
              </w:rPr>
              <w:t>/</w:t>
            </w:r>
          </w:p>
        </w:tc>
        <w:tc>
          <w:tcPr>
            <w:tcW w:w="1560" w:type="dxa"/>
            <w:vAlign w:val="center"/>
          </w:tcPr>
          <w:p>
            <w:pPr>
              <w:pStyle w:val="51"/>
            </w:pPr>
            <w:r>
              <w:rPr>
                <w:rFonts w:hint="eastAsia"/>
              </w:rPr>
              <w:t>/</w:t>
            </w:r>
          </w:p>
        </w:tc>
        <w:tc>
          <w:tcPr>
            <w:tcW w:w="1275" w:type="dxa"/>
            <w:vAlign w:val="center"/>
          </w:tcPr>
          <w:p>
            <w:pPr>
              <w:pStyle w:val="51"/>
            </w:pPr>
            <w:r>
              <w:rPr>
                <w:rFonts w:hint="eastAsia"/>
              </w:rPr>
              <w:t>1.05</w:t>
            </w:r>
          </w:p>
        </w:tc>
        <w:tc>
          <w:tcPr>
            <w:tcW w:w="1134" w:type="dxa"/>
            <w:vAlign w:val="center"/>
          </w:tcPr>
          <w:p>
            <w:pPr>
              <w:pStyle w:val="51"/>
            </w:pPr>
            <w:r>
              <w:rPr>
                <w:rFonts w:hint="eastAsia"/>
              </w:rPr>
              <w:t>月</w:t>
            </w:r>
          </w:p>
        </w:tc>
        <w:tc>
          <w:tcPr>
            <w:tcW w:w="709" w:type="dxa"/>
            <w:vAlign w:val="center"/>
          </w:tcPr>
          <w:p>
            <w:pPr>
              <w:pStyle w:val="51"/>
            </w:pPr>
            <w:r>
              <w:rPr>
                <w:rFonts w:hint="eastAsia"/>
              </w:rPr>
              <w:t>固态</w:t>
            </w:r>
          </w:p>
        </w:tc>
        <w:tc>
          <w:tcPr>
            <w:tcW w:w="1134" w:type="dxa"/>
            <w:vAlign w:val="center"/>
          </w:tcPr>
          <w:p>
            <w:pPr>
              <w:pStyle w:val="51"/>
            </w:pPr>
            <w:r>
              <w:rPr>
                <w:rFonts w:hint="eastAsia"/>
              </w:rPr>
              <w:t>/</w:t>
            </w:r>
          </w:p>
        </w:tc>
        <w:tc>
          <w:tcPr>
            <w:tcW w:w="3549"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715" w:type="dxa"/>
            <w:vAlign w:val="center"/>
          </w:tcPr>
          <w:p>
            <w:pPr>
              <w:pStyle w:val="51"/>
            </w:pPr>
            <w:r>
              <w:rPr>
                <w:rFonts w:hint="eastAsia"/>
              </w:rPr>
              <w:t>3</w:t>
            </w:r>
          </w:p>
        </w:tc>
        <w:tc>
          <w:tcPr>
            <w:tcW w:w="1974" w:type="dxa"/>
            <w:vAlign w:val="center"/>
          </w:tcPr>
          <w:p>
            <w:pPr>
              <w:pStyle w:val="51"/>
            </w:pPr>
            <w:r>
              <w:rPr>
                <w:rFonts w:hint="eastAsia"/>
              </w:rPr>
              <w:t>病死鸡</w:t>
            </w:r>
          </w:p>
        </w:tc>
        <w:tc>
          <w:tcPr>
            <w:tcW w:w="1275" w:type="dxa"/>
            <w:vAlign w:val="center"/>
          </w:tcPr>
          <w:p>
            <w:pPr>
              <w:pStyle w:val="51"/>
            </w:pPr>
            <w:r>
              <w:rPr>
                <w:rFonts w:hint="eastAsia"/>
              </w:rPr>
              <w:t>一般固废</w:t>
            </w:r>
          </w:p>
        </w:tc>
        <w:tc>
          <w:tcPr>
            <w:tcW w:w="1134" w:type="dxa"/>
            <w:vAlign w:val="center"/>
          </w:tcPr>
          <w:p>
            <w:pPr>
              <w:pStyle w:val="51"/>
            </w:pPr>
            <w:r>
              <w:rPr>
                <w:rFonts w:hint="eastAsia"/>
              </w:rPr>
              <w:t>/</w:t>
            </w:r>
          </w:p>
        </w:tc>
        <w:tc>
          <w:tcPr>
            <w:tcW w:w="1560" w:type="dxa"/>
            <w:vAlign w:val="center"/>
          </w:tcPr>
          <w:p>
            <w:pPr>
              <w:pStyle w:val="51"/>
            </w:pPr>
            <w:r>
              <w:rPr>
                <w:rFonts w:hint="eastAsia"/>
              </w:rPr>
              <w:t>/</w:t>
            </w:r>
          </w:p>
        </w:tc>
        <w:tc>
          <w:tcPr>
            <w:tcW w:w="1275" w:type="dxa"/>
            <w:vAlign w:val="center"/>
          </w:tcPr>
          <w:p>
            <w:pPr>
              <w:pStyle w:val="51"/>
            </w:pPr>
            <w:r>
              <w:rPr>
                <w:rFonts w:hint="eastAsia"/>
              </w:rPr>
              <w:t>3.12</w:t>
            </w:r>
          </w:p>
        </w:tc>
        <w:tc>
          <w:tcPr>
            <w:tcW w:w="1134" w:type="dxa"/>
            <w:vAlign w:val="center"/>
          </w:tcPr>
          <w:p>
            <w:pPr>
              <w:pStyle w:val="51"/>
            </w:pPr>
            <w:r>
              <w:rPr>
                <w:rFonts w:hint="eastAsia"/>
              </w:rPr>
              <w:t>日</w:t>
            </w:r>
          </w:p>
        </w:tc>
        <w:tc>
          <w:tcPr>
            <w:tcW w:w="709" w:type="dxa"/>
            <w:vAlign w:val="center"/>
          </w:tcPr>
          <w:p>
            <w:pPr>
              <w:pStyle w:val="51"/>
            </w:pPr>
            <w:r>
              <w:rPr>
                <w:rFonts w:hint="eastAsia"/>
              </w:rPr>
              <w:t>固态</w:t>
            </w:r>
          </w:p>
        </w:tc>
        <w:tc>
          <w:tcPr>
            <w:tcW w:w="1134" w:type="dxa"/>
            <w:vAlign w:val="center"/>
          </w:tcPr>
          <w:p>
            <w:pPr>
              <w:pStyle w:val="51"/>
            </w:pPr>
            <w:r>
              <w:rPr>
                <w:rFonts w:hint="eastAsia"/>
              </w:rPr>
              <w:t>/</w:t>
            </w:r>
          </w:p>
        </w:tc>
        <w:tc>
          <w:tcPr>
            <w:tcW w:w="3549" w:type="dxa"/>
            <w:vAlign w:val="center"/>
          </w:tcPr>
          <w:p>
            <w:pPr>
              <w:pStyle w:val="51"/>
            </w:pPr>
            <w:r>
              <w:rPr>
                <w:rFonts w:hint="eastAsia"/>
              </w:rPr>
              <w:t>冷冻库暂存后定期交由永州恩泉环保科技有限公司无害化处置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715" w:type="dxa"/>
            <w:vAlign w:val="center"/>
          </w:tcPr>
          <w:p>
            <w:pPr>
              <w:pStyle w:val="51"/>
            </w:pPr>
            <w:r>
              <w:rPr>
                <w:rFonts w:hint="eastAsia"/>
              </w:rPr>
              <w:t>4</w:t>
            </w:r>
          </w:p>
        </w:tc>
        <w:tc>
          <w:tcPr>
            <w:tcW w:w="1974" w:type="dxa"/>
            <w:vAlign w:val="center"/>
          </w:tcPr>
          <w:p>
            <w:pPr>
              <w:pStyle w:val="51"/>
            </w:pPr>
            <w:r>
              <w:rPr>
                <w:rFonts w:hint="eastAsia"/>
              </w:rPr>
              <w:t>废包装材料</w:t>
            </w:r>
          </w:p>
        </w:tc>
        <w:tc>
          <w:tcPr>
            <w:tcW w:w="1275" w:type="dxa"/>
            <w:vAlign w:val="center"/>
          </w:tcPr>
          <w:p>
            <w:pPr>
              <w:pStyle w:val="51"/>
            </w:pPr>
            <w:r>
              <w:rPr>
                <w:rFonts w:hint="eastAsia"/>
              </w:rPr>
              <w:t>一般固废</w:t>
            </w:r>
          </w:p>
        </w:tc>
        <w:tc>
          <w:tcPr>
            <w:tcW w:w="1134" w:type="dxa"/>
            <w:vAlign w:val="center"/>
          </w:tcPr>
          <w:p>
            <w:pPr>
              <w:pStyle w:val="51"/>
            </w:pPr>
            <w:r>
              <w:rPr>
                <w:rFonts w:hint="eastAsia"/>
              </w:rPr>
              <w:t>/</w:t>
            </w:r>
          </w:p>
        </w:tc>
        <w:tc>
          <w:tcPr>
            <w:tcW w:w="1560" w:type="dxa"/>
            <w:vAlign w:val="center"/>
          </w:tcPr>
          <w:p>
            <w:pPr>
              <w:pStyle w:val="51"/>
            </w:pPr>
            <w:r>
              <w:rPr>
                <w:rFonts w:hint="eastAsia"/>
              </w:rPr>
              <w:t>/</w:t>
            </w:r>
          </w:p>
        </w:tc>
        <w:tc>
          <w:tcPr>
            <w:tcW w:w="1275" w:type="dxa"/>
            <w:vAlign w:val="center"/>
          </w:tcPr>
          <w:p>
            <w:pPr>
              <w:pStyle w:val="51"/>
            </w:pPr>
            <w:r>
              <w:rPr>
                <w:rFonts w:hint="eastAsia"/>
              </w:rPr>
              <w:t>0.1</w:t>
            </w:r>
          </w:p>
        </w:tc>
        <w:tc>
          <w:tcPr>
            <w:tcW w:w="1134" w:type="dxa"/>
            <w:vAlign w:val="center"/>
          </w:tcPr>
          <w:p>
            <w:pPr>
              <w:pStyle w:val="51"/>
            </w:pPr>
            <w:r>
              <w:rPr>
                <w:rFonts w:hint="eastAsia"/>
              </w:rPr>
              <w:t>日</w:t>
            </w:r>
          </w:p>
        </w:tc>
        <w:tc>
          <w:tcPr>
            <w:tcW w:w="709" w:type="dxa"/>
            <w:vAlign w:val="center"/>
          </w:tcPr>
          <w:p>
            <w:pPr>
              <w:pStyle w:val="51"/>
            </w:pPr>
            <w:r>
              <w:rPr>
                <w:rFonts w:hint="eastAsia"/>
              </w:rPr>
              <w:t>固态</w:t>
            </w:r>
          </w:p>
        </w:tc>
        <w:tc>
          <w:tcPr>
            <w:tcW w:w="1134" w:type="dxa"/>
            <w:vAlign w:val="center"/>
          </w:tcPr>
          <w:p>
            <w:pPr>
              <w:pStyle w:val="51"/>
            </w:pPr>
            <w:r>
              <w:rPr>
                <w:rFonts w:hint="eastAsia"/>
              </w:rPr>
              <w:t>/</w:t>
            </w:r>
          </w:p>
        </w:tc>
        <w:tc>
          <w:tcPr>
            <w:tcW w:w="3549" w:type="dxa"/>
            <w:vAlign w:val="center"/>
          </w:tcPr>
          <w:p>
            <w:pPr>
              <w:pStyle w:val="51"/>
            </w:pPr>
            <w:r>
              <w:rPr>
                <w:rFonts w:hint="eastAsia"/>
              </w:rPr>
              <w:t>收集在一般固废暂存间内暂存，再交由供应商回收处理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15" w:type="dxa"/>
            <w:vAlign w:val="center"/>
          </w:tcPr>
          <w:p>
            <w:pPr>
              <w:pStyle w:val="51"/>
            </w:pPr>
            <w:r>
              <w:rPr>
                <w:rFonts w:hint="eastAsia"/>
              </w:rPr>
              <w:t>5</w:t>
            </w:r>
          </w:p>
        </w:tc>
        <w:tc>
          <w:tcPr>
            <w:tcW w:w="1974" w:type="dxa"/>
            <w:vAlign w:val="center"/>
          </w:tcPr>
          <w:p>
            <w:pPr>
              <w:pStyle w:val="51"/>
            </w:pPr>
            <w:r>
              <w:rPr>
                <w:rFonts w:hint="eastAsia"/>
              </w:rPr>
              <w:t>废针头、废注射器</w:t>
            </w:r>
          </w:p>
        </w:tc>
        <w:tc>
          <w:tcPr>
            <w:tcW w:w="1275" w:type="dxa"/>
            <w:vAlign w:val="center"/>
          </w:tcPr>
          <w:p>
            <w:pPr>
              <w:pStyle w:val="51"/>
            </w:pPr>
            <w:r>
              <w:rPr>
                <w:rFonts w:hint="eastAsia"/>
              </w:rPr>
              <w:t>危险废物</w:t>
            </w:r>
          </w:p>
        </w:tc>
        <w:tc>
          <w:tcPr>
            <w:tcW w:w="1134" w:type="dxa"/>
            <w:vAlign w:val="center"/>
          </w:tcPr>
          <w:p>
            <w:pPr>
              <w:pStyle w:val="51"/>
            </w:pPr>
            <w:r>
              <w:rPr>
                <w:rFonts w:hint="eastAsia"/>
              </w:rPr>
              <w:t>HW01</w:t>
            </w:r>
          </w:p>
        </w:tc>
        <w:tc>
          <w:tcPr>
            <w:tcW w:w="1560" w:type="dxa"/>
            <w:vAlign w:val="center"/>
          </w:tcPr>
          <w:p>
            <w:pPr>
              <w:pStyle w:val="51"/>
            </w:pPr>
            <w:r>
              <w:rPr>
                <w:rFonts w:hint="eastAsia"/>
              </w:rPr>
              <w:t>841-001-01</w:t>
            </w:r>
          </w:p>
        </w:tc>
        <w:tc>
          <w:tcPr>
            <w:tcW w:w="1275" w:type="dxa"/>
            <w:vAlign w:val="center"/>
          </w:tcPr>
          <w:p>
            <w:pPr>
              <w:pStyle w:val="51"/>
            </w:pPr>
            <w:r>
              <w:rPr>
                <w:rFonts w:hint="eastAsia"/>
              </w:rPr>
              <w:t>0.1</w:t>
            </w:r>
          </w:p>
        </w:tc>
        <w:tc>
          <w:tcPr>
            <w:tcW w:w="1134" w:type="dxa"/>
            <w:vAlign w:val="center"/>
          </w:tcPr>
          <w:p>
            <w:pPr>
              <w:pStyle w:val="51"/>
            </w:pPr>
            <w:r>
              <w:rPr>
                <w:rFonts w:hint="eastAsia"/>
              </w:rPr>
              <w:t>月</w:t>
            </w:r>
          </w:p>
        </w:tc>
        <w:tc>
          <w:tcPr>
            <w:tcW w:w="709" w:type="dxa"/>
            <w:vAlign w:val="center"/>
          </w:tcPr>
          <w:p>
            <w:pPr>
              <w:pStyle w:val="51"/>
            </w:pPr>
            <w:r>
              <w:rPr>
                <w:rFonts w:hint="eastAsia"/>
              </w:rPr>
              <w:t>固态</w:t>
            </w:r>
          </w:p>
        </w:tc>
        <w:tc>
          <w:tcPr>
            <w:tcW w:w="1134" w:type="dxa"/>
            <w:vAlign w:val="center"/>
          </w:tcPr>
          <w:p>
            <w:pPr>
              <w:pStyle w:val="51"/>
            </w:pPr>
            <w:r>
              <w:rPr>
                <w:rFonts w:hint="eastAsia"/>
              </w:rPr>
              <w:t>In</w:t>
            </w:r>
          </w:p>
        </w:tc>
        <w:tc>
          <w:tcPr>
            <w:tcW w:w="3549" w:type="dxa"/>
            <w:vMerge w:val="restart"/>
            <w:vAlign w:val="center"/>
          </w:tcPr>
          <w:p>
            <w:pPr>
              <w:pStyle w:val="51"/>
            </w:pPr>
            <w:r>
              <w:rPr>
                <w:rFonts w:hint="eastAsia"/>
              </w:rPr>
              <w:t>分类收集在危废暂存间内暂存，再定期交有资质单位处置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15" w:type="dxa"/>
            <w:vAlign w:val="center"/>
          </w:tcPr>
          <w:p>
            <w:pPr>
              <w:pStyle w:val="51"/>
            </w:pPr>
            <w:r>
              <w:rPr>
                <w:rFonts w:hint="eastAsia"/>
              </w:rPr>
              <w:t>6</w:t>
            </w:r>
          </w:p>
        </w:tc>
        <w:tc>
          <w:tcPr>
            <w:tcW w:w="1974" w:type="dxa"/>
            <w:vAlign w:val="center"/>
          </w:tcPr>
          <w:p>
            <w:pPr>
              <w:pStyle w:val="51"/>
            </w:pPr>
            <w:r>
              <w:rPr>
                <w:rFonts w:hint="eastAsia"/>
              </w:rPr>
              <w:t>废消毒剂瓶、废药剂瓶</w:t>
            </w:r>
          </w:p>
        </w:tc>
        <w:tc>
          <w:tcPr>
            <w:tcW w:w="1275" w:type="dxa"/>
            <w:vAlign w:val="center"/>
          </w:tcPr>
          <w:p>
            <w:pPr>
              <w:pStyle w:val="51"/>
            </w:pPr>
            <w:r>
              <w:rPr>
                <w:rFonts w:hint="eastAsia"/>
              </w:rPr>
              <w:t>危险废物</w:t>
            </w:r>
          </w:p>
        </w:tc>
        <w:tc>
          <w:tcPr>
            <w:tcW w:w="1134" w:type="dxa"/>
            <w:vAlign w:val="center"/>
          </w:tcPr>
          <w:p>
            <w:pPr>
              <w:pStyle w:val="51"/>
            </w:pPr>
            <w:r>
              <w:rPr>
                <w:rFonts w:hint="eastAsia"/>
              </w:rPr>
              <w:t>HW01</w:t>
            </w:r>
          </w:p>
        </w:tc>
        <w:tc>
          <w:tcPr>
            <w:tcW w:w="1560" w:type="dxa"/>
            <w:vAlign w:val="center"/>
          </w:tcPr>
          <w:p>
            <w:pPr>
              <w:pStyle w:val="51"/>
            </w:pPr>
            <w:r>
              <w:rPr>
                <w:rFonts w:hint="eastAsia"/>
              </w:rPr>
              <w:t>841-005-01</w:t>
            </w:r>
          </w:p>
        </w:tc>
        <w:tc>
          <w:tcPr>
            <w:tcW w:w="1275" w:type="dxa"/>
            <w:vAlign w:val="center"/>
          </w:tcPr>
          <w:p>
            <w:pPr>
              <w:pStyle w:val="51"/>
            </w:pPr>
            <w:r>
              <w:rPr>
                <w:rFonts w:hint="eastAsia"/>
              </w:rPr>
              <w:t>0.2</w:t>
            </w:r>
          </w:p>
        </w:tc>
        <w:tc>
          <w:tcPr>
            <w:tcW w:w="1134" w:type="dxa"/>
            <w:vAlign w:val="center"/>
          </w:tcPr>
          <w:p>
            <w:pPr>
              <w:pStyle w:val="51"/>
            </w:pPr>
            <w:r>
              <w:rPr>
                <w:rFonts w:hint="eastAsia"/>
              </w:rPr>
              <w:t>月</w:t>
            </w:r>
          </w:p>
        </w:tc>
        <w:tc>
          <w:tcPr>
            <w:tcW w:w="709" w:type="dxa"/>
            <w:vAlign w:val="center"/>
          </w:tcPr>
          <w:p>
            <w:pPr>
              <w:pStyle w:val="51"/>
            </w:pPr>
            <w:r>
              <w:rPr>
                <w:rFonts w:hint="eastAsia"/>
              </w:rPr>
              <w:t>固态</w:t>
            </w:r>
          </w:p>
        </w:tc>
        <w:tc>
          <w:tcPr>
            <w:tcW w:w="1134" w:type="dxa"/>
            <w:vAlign w:val="center"/>
          </w:tcPr>
          <w:p>
            <w:pPr>
              <w:pStyle w:val="51"/>
            </w:pPr>
            <w:r>
              <w:rPr>
                <w:rFonts w:hint="eastAsia"/>
              </w:rPr>
              <w:t>T</w:t>
            </w:r>
          </w:p>
        </w:tc>
        <w:tc>
          <w:tcPr>
            <w:tcW w:w="3549"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15" w:type="dxa"/>
            <w:vAlign w:val="center"/>
          </w:tcPr>
          <w:p>
            <w:pPr>
              <w:pStyle w:val="51"/>
            </w:pPr>
            <w:r>
              <w:rPr>
                <w:rFonts w:hint="eastAsia"/>
              </w:rPr>
              <w:t>7</w:t>
            </w:r>
          </w:p>
        </w:tc>
        <w:tc>
          <w:tcPr>
            <w:tcW w:w="1974" w:type="dxa"/>
            <w:vAlign w:val="center"/>
          </w:tcPr>
          <w:p>
            <w:pPr>
              <w:pStyle w:val="51"/>
            </w:pPr>
            <w:r>
              <w:rPr>
                <w:rFonts w:hint="eastAsia"/>
              </w:rPr>
              <w:t>生活垃圾</w:t>
            </w:r>
          </w:p>
        </w:tc>
        <w:tc>
          <w:tcPr>
            <w:tcW w:w="1275" w:type="dxa"/>
            <w:vAlign w:val="center"/>
          </w:tcPr>
          <w:p>
            <w:pPr>
              <w:pStyle w:val="51"/>
            </w:pPr>
            <w:r>
              <w:rPr>
                <w:rFonts w:hint="eastAsia"/>
              </w:rPr>
              <w:t>/</w:t>
            </w:r>
          </w:p>
        </w:tc>
        <w:tc>
          <w:tcPr>
            <w:tcW w:w="1134" w:type="dxa"/>
            <w:vAlign w:val="center"/>
          </w:tcPr>
          <w:p>
            <w:pPr>
              <w:pStyle w:val="51"/>
            </w:pPr>
            <w:r>
              <w:rPr>
                <w:rFonts w:hint="eastAsia"/>
              </w:rPr>
              <w:t>/</w:t>
            </w:r>
          </w:p>
        </w:tc>
        <w:tc>
          <w:tcPr>
            <w:tcW w:w="1560" w:type="dxa"/>
            <w:vAlign w:val="center"/>
          </w:tcPr>
          <w:p>
            <w:pPr>
              <w:pStyle w:val="51"/>
            </w:pPr>
            <w:r>
              <w:rPr>
                <w:rFonts w:hint="eastAsia"/>
              </w:rPr>
              <w:t>/</w:t>
            </w:r>
          </w:p>
        </w:tc>
        <w:tc>
          <w:tcPr>
            <w:tcW w:w="1275" w:type="dxa"/>
            <w:vAlign w:val="center"/>
          </w:tcPr>
          <w:p>
            <w:pPr>
              <w:pStyle w:val="51"/>
            </w:pPr>
            <w:r>
              <w:rPr>
                <w:rFonts w:hint="eastAsia"/>
              </w:rPr>
              <w:t>9.13</w:t>
            </w:r>
          </w:p>
        </w:tc>
        <w:tc>
          <w:tcPr>
            <w:tcW w:w="1134" w:type="dxa"/>
            <w:vAlign w:val="center"/>
          </w:tcPr>
          <w:p>
            <w:pPr>
              <w:pStyle w:val="51"/>
            </w:pPr>
            <w:r>
              <w:rPr>
                <w:rFonts w:hint="eastAsia"/>
              </w:rPr>
              <w:t>日</w:t>
            </w:r>
          </w:p>
        </w:tc>
        <w:tc>
          <w:tcPr>
            <w:tcW w:w="709" w:type="dxa"/>
            <w:vAlign w:val="center"/>
          </w:tcPr>
          <w:p>
            <w:pPr>
              <w:pStyle w:val="51"/>
            </w:pPr>
            <w:r>
              <w:rPr>
                <w:rFonts w:hint="eastAsia"/>
              </w:rPr>
              <w:t>固态</w:t>
            </w:r>
          </w:p>
        </w:tc>
        <w:tc>
          <w:tcPr>
            <w:tcW w:w="1134" w:type="dxa"/>
            <w:vAlign w:val="center"/>
          </w:tcPr>
          <w:p>
            <w:pPr>
              <w:pStyle w:val="51"/>
            </w:pPr>
            <w:r>
              <w:rPr>
                <w:rFonts w:hint="eastAsia"/>
              </w:rPr>
              <w:t>/</w:t>
            </w:r>
          </w:p>
        </w:tc>
        <w:tc>
          <w:tcPr>
            <w:tcW w:w="3549" w:type="dxa"/>
            <w:vAlign w:val="center"/>
          </w:tcPr>
          <w:p>
            <w:pPr>
              <w:pStyle w:val="51"/>
            </w:pPr>
            <w:r>
              <w:rPr>
                <w:rFonts w:hint="eastAsia"/>
              </w:rPr>
              <w:t>环卫部门统一清运处理</w:t>
            </w:r>
          </w:p>
        </w:tc>
      </w:tr>
      <w:bookmarkEnd w:id="157"/>
    </w:tbl>
    <w:p>
      <w:pPr>
        <w:pStyle w:val="5"/>
      </w:pPr>
      <w:r>
        <w:rPr>
          <w:rFonts w:hint="eastAsia"/>
        </w:rPr>
        <w:t>3</w:t>
      </w:r>
      <w:r>
        <w:t>.</w:t>
      </w:r>
      <w:r>
        <w:rPr>
          <w:rFonts w:hint="eastAsia"/>
        </w:rPr>
        <w:t>3</w:t>
      </w:r>
      <w:r>
        <w:t>.</w:t>
      </w:r>
      <w:r>
        <w:rPr>
          <w:rFonts w:hint="eastAsia"/>
        </w:rPr>
        <w:t>2.5 营运期污染物产生及排放情况汇总</w:t>
      </w:r>
    </w:p>
    <w:p>
      <w:pPr>
        <w:pStyle w:val="49"/>
        <w:ind w:firstLine="480"/>
      </w:pPr>
      <w:r>
        <w:rPr>
          <w:rFonts w:hint="eastAsia"/>
        </w:rPr>
        <w:t>本项目营运期污染物产生及排放情况汇总详见表3.3-20。</w:t>
      </w:r>
    </w:p>
    <w:p>
      <w:pPr>
        <w:pStyle w:val="53"/>
        <w:snapToGrid w:val="0"/>
      </w:pPr>
      <w:r>
        <w:rPr>
          <w:rFonts w:hint="eastAsia"/>
        </w:rPr>
        <w:t xml:space="preserve">表 </w:t>
      </w:r>
      <w:r>
        <w:rPr>
          <w:rFonts w:cs="Times New Roman"/>
        </w:rPr>
        <w:t>3.3-</w:t>
      </w:r>
      <w:r>
        <w:rPr>
          <w:rFonts w:hint="eastAsia" w:cs="Times New Roman"/>
        </w:rPr>
        <w:t xml:space="preserve">20 </w:t>
      </w:r>
      <w:r>
        <w:rPr>
          <w:rFonts w:cs="Times New Roman"/>
        </w:rPr>
        <w:t xml:space="preserve"> </w:t>
      </w:r>
      <w:r>
        <w:rPr>
          <w:rFonts w:hint="eastAsia"/>
        </w:rPr>
        <w:t>本项目污染物产生及排放情况汇总表</w:t>
      </w:r>
    </w:p>
    <w:tbl>
      <w:tblPr>
        <w:tblStyle w:val="40"/>
        <w:tblW w:w="14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979"/>
        <w:gridCol w:w="1276"/>
        <w:gridCol w:w="1134"/>
        <w:gridCol w:w="1276"/>
        <w:gridCol w:w="1134"/>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05" w:type="dxa"/>
            <w:gridSpan w:val="2"/>
            <w:vAlign w:val="center"/>
          </w:tcPr>
          <w:p>
            <w:pPr>
              <w:pStyle w:val="51"/>
              <w:rPr>
                <w:szCs w:val="21"/>
              </w:rPr>
            </w:pPr>
            <w:r>
              <w:rPr>
                <w:rFonts w:hint="eastAsia"/>
                <w:szCs w:val="21"/>
              </w:rPr>
              <w:t>污染源</w:t>
            </w:r>
          </w:p>
        </w:tc>
        <w:tc>
          <w:tcPr>
            <w:tcW w:w="1276" w:type="dxa"/>
            <w:vAlign w:val="center"/>
          </w:tcPr>
          <w:p>
            <w:pPr>
              <w:pStyle w:val="51"/>
              <w:rPr>
                <w:szCs w:val="21"/>
              </w:rPr>
            </w:pPr>
            <w:r>
              <w:rPr>
                <w:rFonts w:hint="eastAsia"/>
                <w:szCs w:val="21"/>
              </w:rPr>
              <w:t>污染物名称</w:t>
            </w:r>
          </w:p>
        </w:tc>
        <w:tc>
          <w:tcPr>
            <w:tcW w:w="1134" w:type="dxa"/>
            <w:vAlign w:val="center"/>
          </w:tcPr>
          <w:p>
            <w:pPr>
              <w:pStyle w:val="51"/>
              <w:rPr>
                <w:szCs w:val="21"/>
              </w:rPr>
            </w:pPr>
            <w:r>
              <w:rPr>
                <w:rFonts w:hint="eastAsia"/>
                <w:szCs w:val="21"/>
              </w:rPr>
              <w:t>产生量t/a</w:t>
            </w:r>
          </w:p>
        </w:tc>
        <w:tc>
          <w:tcPr>
            <w:tcW w:w="1276" w:type="dxa"/>
            <w:vAlign w:val="center"/>
          </w:tcPr>
          <w:p>
            <w:pPr>
              <w:pStyle w:val="51"/>
              <w:rPr>
                <w:szCs w:val="21"/>
              </w:rPr>
            </w:pPr>
            <w:r>
              <w:rPr>
                <w:rFonts w:hint="eastAsia"/>
                <w:szCs w:val="21"/>
              </w:rPr>
              <w:t>削减量t/a</w:t>
            </w:r>
          </w:p>
        </w:tc>
        <w:tc>
          <w:tcPr>
            <w:tcW w:w="1134" w:type="dxa"/>
            <w:vAlign w:val="center"/>
          </w:tcPr>
          <w:p>
            <w:pPr>
              <w:pStyle w:val="51"/>
              <w:rPr>
                <w:szCs w:val="21"/>
              </w:rPr>
            </w:pPr>
            <w:r>
              <w:rPr>
                <w:rFonts w:hint="eastAsia"/>
                <w:szCs w:val="21"/>
              </w:rPr>
              <w:t>排放量t/a</w:t>
            </w:r>
          </w:p>
        </w:tc>
        <w:tc>
          <w:tcPr>
            <w:tcW w:w="6804" w:type="dxa"/>
            <w:vAlign w:val="center"/>
          </w:tcPr>
          <w:p>
            <w:pPr>
              <w:pStyle w:val="51"/>
              <w:rPr>
                <w:szCs w:val="21"/>
              </w:rPr>
            </w:pPr>
            <w:r>
              <w:rPr>
                <w:rFonts w:hint="eastAsia"/>
                <w:szCs w:val="21"/>
              </w:rPr>
              <w:t>处置措施及去向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restart"/>
            <w:vAlign w:val="center"/>
          </w:tcPr>
          <w:p>
            <w:pPr>
              <w:pStyle w:val="51"/>
              <w:rPr>
                <w:szCs w:val="21"/>
              </w:rPr>
            </w:pPr>
            <w:r>
              <w:rPr>
                <w:rFonts w:hint="eastAsia"/>
                <w:szCs w:val="21"/>
              </w:rPr>
              <w:t>废气</w:t>
            </w:r>
          </w:p>
        </w:tc>
        <w:tc>
          <w:tcPr>
            <w:tcW w:w="1979" w:type="dxa"/>
            <w:vMerge w:val="restart"/>
            <w:vAlign w:val="center"/>
          </w:tcPr>
          <w:p>
            <w:pPr>
              <w:pStyle w:val="51"/>
              <w:rPr>
                <w:szCs w:val="21"/>
              </w:rPr>
            </w:pPr>
            <w:r>
              <w:rPr>
                <w:rFonts w:hint="eastAsia"/>
                <w:szCs w:val="21"/>
              </w:rPr>
              <w:t>鸡舍</w:t>
            </w:r>
          </w:p>
        </w:tc>
        <w:tc>
          <w:tcPr>
            <w:tcW w:w="1276" w:type="dxa"/>
            <w:vAlign w:val="center"/>
          </w:tcPr>
          <w:p>
            <w:pPr>
              <w:pStyle w:val="51"/>
              <w:rPr>
                <w:szCs w:val="21"/>
              </w:rPr>
            </w:pPr>
            <w:r>
              <w:t>NH</w:t>
            </w:r>
            <w:r>
              <w:rPr>
                <w:vertAlign w:val="subscript"/>
              </w:rPr>
              <w:t>3</w:t>
            </w:r>
          </w:p>
        </w:tc>
        <w:tc>
          <w:tcPr>
            <w:tcW w:w="1134" w:type="dxa"/>
            <w:vAlign w:val="center"/>
          </w:tcPr>
          <w:p>
            <w:pPr>
              <w:pStyle w:val="51"/>
              <w:rPr>
                <w:rFonts w:eastAsia="等线" w:cs="Times New Roman"/>
                <w:color w:val="000000"/>
                <w:szCs w:val="21"/>
              </w:rPr>
            </w:pPr>
            <w:r>
              <w:rPr>
                <w:rFonts w:hint="eastAsia" w:eastAsia="等线" w:cs="Times New Roman"/>
                <w:color w:val="000000"/>
                <w:szCs w:val="21"/>
              </w:rPr>
              <w:t>0.876</w:t>
            </w:r>
          </w:p>
        </w:tc>
        <w:tc>
          <w:tcPr>
            <w:tcW w:w="1276" w:type="dxa"/>
            <w:vAlign w:val="center"/>
          </w:tcPr>
          <w:p>
            <w:pPr>
              <w:pStyle w:val="51"/>
              <w:rPr>
                <w:rFonts w:eastAsia="等线" w:cs="Times New Roman"/>
                <w:color w:val="000000"/>
                <w:szCs w:val="21"/>
              </w:rPr>
            </w:pPr>
            <w:r>
              <w:rPr>
                <w:rFonts w:hint="eastAsia" w:eastAsia="等线" w:cs="Times New Roman"/>
                <w:color w:val="000000"/>
                <w:szCs w:val="21"/>
              </w:rPr>
              <w:t>0.8602</w:t>
            </w:r>
          </w:p>
        </w:tc>
        <w:tc>
          <w:tcPr>
            <w:tcW w:w="1134" w:type="dxa"/>
            <w:vAlign w:val="center"/>
          </w:tcPr>
          <w:p>
            <w:pPr>
              <w:pStyle w:val="51"/>
              <w:rPr>
                <w:rFonts w:eastAsia="等线" w:cs="Times New Roman"/>
                <w:color w:val="000000"/>
                <w:szCs w:val="21"/>
              </w:rPr>
            </w:pPr>
            <w:r>
              <w:rPr>
                <w:rFonts w:hint="eastAsia" w:eastAsia="等线" w:cs="Times New Roman"/>
                <w:color w:val="000000"/>
                <w:szCs w:val="21"/>
              </w:rPr>
              <w:t>0.0158</w:t>
            </w:r>
          </w:p>
        </w:tc>
        <w:tc>
          <w:tcPr>
            <w:tcW w:w="6804" w:type="dxa"/>
            <w:vMerge w:val="restart"/>
            <w:vAlign w:val="center"/>
          </w:tcPr>
          <w:p>
            <w:pPr>
              <w:pStyle w:val="51"/>
              <w:rPr>
                <w:szCs w:val="21"/>
              </w:rPr>
            </w:pPr>
            <w:r>
              <w:rPr>
                <w:rFonts w:hint="eastAsia"/>
              </w:rPr>
              <w:t>在饲料中添加EM菌对蛋鸡进行喂养，同时鸡粪采用干清粪封闭式输送带输送，每天及时清运、加强通风，定期喷洒生物除臭剂，加强绿化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rPr>
                <w:szCs w:val="21"/>
              </w:rPr>
            </w:pPr>
            <w:r>
              <w:t>H</w:t>
            </w:r>
            <w:r>
              <w:rPr>
                <w:vertAlign w:val="subscript"/>
              </w:rPr>
              <w:t>2</w:t>
            </w:r>
            <w:r>
              <w:t>S</w:t>
            </w:r>
          </w:p>
        </w:tc>
        <w:tc>
          <w:tcPr>
            <w:tcW w:w="1134" w:type="dxa"/>
            <w:vAlign w:val="center"/>
          </w:tcPr>
          <w:p>
            <w:pPr>
              <w:pStyle w:val="51"/>
              <w:rPr>
                <w:rFonts w:eastAsia="等线" w:cs="Times New Roman"/>
                <w:color w:val="000000"/>
                <w:szCs w:val="21"/>
              </w:rPr>
            </w:pPr>
            <w:r>
              <w:rPr>
                <w:rFonts w:hint="eastAsia" w:eastAsia="等线" w:cs="Times New Roman"/>
                <w:color w:val="000000"/>
                <w:szCs w:val="21"/>
              </w:rPr>
              <w:t>0.0876</w:t>
            </w:r>
          </w:p>
        </w:tc>
        <w:tc>
          <w:tcPr>
            <w:tcW w:w="1276" w:type="dxa"/>
            <w:vAlign w:val="center"/>
          </w:tcPr>
          <w:p>
            <w:pPr>
              <w:pStyle w:val="51"/>
              <w:rPr>
                <w:rFonts w:eastAsia="等线" w:cs="Times New Roman"/>
                <w:color w:val="000000"/>
                <w:szCs w:val="21"/>
              </w:rPr>
            </w:pPr>
            <w:r>
              <w:rPr>
                <w:rFonts w:hint="eastAsia" w:eastAsia="等线" w:cs="Times New Roman"/>
                <w:color w:val="000000"/>
                <w:szCs w:val="21"/>
              </w:rPr>
              <w:t>0.0858</w:t>
            </w:r>
          </w:p>
        </w:tc>
        <w:tc>
          <w:tcPr>
            <w:tcW w:w="1134" w:type="dxa"/>
            <w:vAlign w:val="center"/>
          </w:tcPr>
          <w:p>
            <w:pPr>
              <w:pStyle w:val="51"/>
              <w:rPr>
                <w:rFonts w:eastAsia="等线" w:cs="Times New Roman"/>
                <w:color w:val="000000"/>
                <w:szCs w:val="21"/>
              </w:rPr>
            </w:pPr>
            <w:r>
              <w:rPr>
                <w:rFonts w:hint="eastAsia" w:eastAsia="等线" w:cs="Times New Roman"/>
                <w:color w:val="000000"/>
                <w:szCs w:val="21"/>
              </w:rPr>
              <w:t>0.0018</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pPr>
            <w:r>
              <w:rPr>
                <w:rFonts w:hint="eastAsia"/>
              </w:rPr>
              <w:t>颗粒物</w:t>
            </w:r>
          </w:p>
        </w:tc>
        <w:tc>
          <w:tcPr>
            <w:tcW w:w="1134" w:type="dxa"/>
            <w:vAlign w:val="center"/>
          </w:tcPr>
          <w:p>
            <w:pPr>
              <w:pStyle w:val="51"/>
              <w:rPr>
                <w:rFonts w:eastAsia="等线" w:cs="Times New Roman"/>
                <w:color w:val="000000"/>
                <w:szCs w:val="21"/>
              </w:rPr>
            </w:pPr>
            <w:r>
              <w:rPr>
                <w:rFonts w:hint="eastAsia" w:cs="Times New Roman"/>
              </w:rPr>
              <w:t>极少</w:t>
            </w:r>
          </w:p>
        </w:tc>
        <w:tc>
          <w:tcPr>
            <w:tcW w:w="1276" w:type="dxa"/>
            <w:vAlign w:val="center"/>
          </w:tcPr>
          <w:p>
            <w:pPr>
              <w:pStyle w:val="51"/>
              <w:rPr>
                <w:rFonts w:eastAsia="等线" w:cs="Times New Roman"/>
                <w:color w:val="000000"/>
                <w:szCs w:val="21"/>
              </w:rPr>
            </w:pPr>
            <w:r>
              <w:rPr>
                <w:rFonts w:hint="eastAsia" w:cs="Times New Roman"/>
              </w:rPr>
              <w:t>/</w:t>
            </w:r>
          </w:p>
        </w:tc>
        <w:tc>
          <w:tcPr>
            <w:tcW w:w="1134" w:type="dxa"/>
            <w:vAlign w:val="center"/>
          </w:tcPr>
          <w:p>
            <w:pPr>
              <w:pStyle w:val="51"/>
              <w:rPr>
                <w:rFonts w:eastAsia="等线" w:cs="Times New Roman"/>
                <w:color w:val="000000"/>
                <w:szCs w:val="21"/>
              </w:rPr>
            </w:pPr>
            <w:r>
              <w:rPr>
                <w:rFonts w:hint="eastAsia" w:cs="Times New Roman"/>
              </w:rPr>
              <w:t>极少</w:t>
            </w:r>
          </w:p>
        </w:tc>
        <w:tc>
          <w:tcPr>
            <w:tcW w:w="6804" w:type="dxa"/>
            <w:vAlign w:val="center"/>
          </w:tcPr>
          <w:p>
            <w:pPr>
              <w:pStyle w:val="51"/>
              <w:rPr>
                <w:szCs w:val="21"/>
              </w:rPr>
            </w:pP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rPr>
                <w:szCs w:val="21"/>
              </w:rPr>
            </w:pPr>
          </w:p>
        </w:tc>
        <w:tc>
          <w:tcPr>
            <w:tcW w:w="1979" w:type="dxa"/>
            <w:vMerge w:val="restart"/>
            <w:vAlign w:val="center"/>
          </w:tcPr>
          <w:p>
            <w:pPr>
              <w:pStyle w:val="51"/>
              <w:rPr>
                <w:szCs w:val="21"/>
              </w:rPr>
            </w:pPr>
            <w:r>
              <w:rPr>
                <w:rFonts w:hint="eastAsia"/>
                <w:szCs w:val="21"/>
              </w:rPr>
              <w:t>鸡粪风干车间</w:t>
            </w:r>
          </w:p>
        </w:tc>
        <w:tc>
          <w:tcPr>
            <w:tcW w:w="1276" w:type="dxa"/>
            <w:vAlign w:val="center"/>
          </w:tcPr>
          <w:p>
            <w:pPr>
              <w:pStyle w:val="51"/>
            </w:pPr>
            <w:r>
              <w:t>NH</w:t>
            </w:r>
            <w:r>
              <w:rPr>
                <w:vertAlign w:val="subscript"/>
              </w:rPr>
              <w:t>3</w:t>
            </w:r>
          </w:p>
        </w:tc>
        <w:tc>
          <w:tcPr>
            <w:tcW w:w="1134" w:type="dxa"/>
            <w:vAlign w:val="center"/>
          </w:tcPr>
          <w:p>
            <w:pPr>
              <w:pStyle w:val="51"/>
              <w:rPr>
                <w:rFonts w:eastAsia="等线" w:cs="Times New Roman"/>
                <w:color w:val="000000"/>
                <w:szCs w:val="21"/>
              </w:rPr>
            </w:pPr>
            <w:r>
              <w:rPr>
                <w:rFonts w:hint="eastAsia" w:eastAsia="等线" w:cs="Times New Roman"/>
                <w:color w:val="000000"/>
                <w:szCs w:val="21"/>
              </w:rPr>
              <w:t>0.876</w:t>
            </w:r>
          </w:p>
        </w:tc>
        <w:tc>
          <w:tcPr>
            <w:tcW w:w="1276" w:type="dxa"/>
            <w:vAlign w:val="center"/>
          </w:tcPr>
          <w:p>
            <w:pPr>
              <w:pStyle w:val="51"/>
              <w:rPr>
                <w:rFonts w:eastAsia="等线" w:cs="Times New Roman"/>
                <w:color w:val="000000"/>
                <w:szCs w:val="21"/>
              </w:rPr>
            </w:pPr>
            <w:r>
              <w:rPr>
                <w:rFonts w:hint="eastAsia" w:eastAsia="等线" w:cs="Times New Roman"/>
                <w:color w:val="000000"/>
                <w:szCs w:val="21"/>
              </w:rPr>
              <w:t>0.8112</w:t>
            </w:r>
          </w:p>
        </w:tc>
        <w:tc>
          <w:tcPr>
            <w:tcW w:w="1134" w:type="dxa"/>
            <w:vAlign w:val="center"/>
          </w:tcPr>
          <w:p>
            <w:pPr>
              <w:pStyle w:val="51"/>
              <w:rPr>
                <w:rFonts w:eastAsia="等线" w:cs="Times New Roman"/>
                <w:color w:val="000000"/>
                <w:szCs w:val="21"/>
              </w:rPr>
            </w:pPr>
            <w:r>
              <w:rPr>
                <w:rFonts w:hint="eastAsia" w:eastAsia="等线" w:cs="Times New Roman"/>
                <w:color w:val="000000"/>
                <w:szCs w:val="21"/>
              </w:rPr>
              <w:t>0.0648</w:t>
            </w:r>
          </w:p>
        </w:tc>
        <w:tc>
          <w:tcPr>
            <w:tcW w:w="6804" w:type="dxa"/>
            <w:vMerge w:val="restart"/>
            <w:vAlign w:val="center"/>
          </w:tcPr>
          <w:p>
            <w:pPr>
              <w:pStyle w:val="51"/>
              <w:rPr>
                <w:szCs w:val="21"/>
              </w:rPr>
            </w:pPr>
            <w:r>
              <w:rPr>
                <w:rFonts w:hint="eastAsia"/>
              </w:rPr>
              <w:t>在鸡粪风干车间风道出口设置高压水帘装置，并使用微生物除臭剂溶液作为循环水，每日对车间周边喷洒生物除臭剂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pPr>
            <w:r>
              <w:t>H</w:t>
            </w:r>
            <w:r>
              <w:rPr>
                <w:vertAlign w:val="subscript"/>
              </w:rPr>
              <w:t>2</w:t>
            </w:r>
            <w:r>
              <w:t>S</w:t>
            </w:r>
          </w:p>
        </w:tc>
        <w:tc>
          <w:tcPr>
            <w:tcW w:w="1134" w:type="dxa"/>
            <w:vAlign w:val="center"/>
          </w:tcPr>
          <w:p>
            <w:pPr>
              <w:pStyle w:val="51"/>
              <w:rPr>
                <w:rFonts w:eastAsia="等线" w:cs="Times New Roman"/>
                <w:color w:val="000000"/>
                <w:szCs w:val="21"/>
              </w:rPr>
            </w:pPr>
            <w:r>
              <w:rPr>
                <w:rFonts w:hint="eastAsia" w:eastAsia="等线" w:cs="Times New Roman"/>
                <w:color w:val="000000"/>
                <w:szCs w:val="21"/>
              </w:rPr>
              <w:t>0.0876</w:t>
            </w:r>
          </w:p>
        </w:tc>
        <w:tc>
          <w:tcPr>
            <w:tcW w:w="1276" w:type="dxa"/>
            <w:vAlign w:val="center"/>
          </w:tcPr>
          <w:p>
            <w:pPr>
              <w:pStyle w:val="51"/>
              <w:rPr>
                <w:rFonts w:eastAsia="等线" w:cs="Times New Roman"/>
                <w:color w:val="000000"/>
                <w:szCs w:val="21"/>
              </w:rPr>
            </w:pPr>
            <w:r>
              <w:rPr>
                <w:rFonts w:hint="eastAsia" w:eastAsia="等线" w:cs="Times New Roman"/>
                <w:color w:val="000000"/>
                <w:szCs w:val="21"/>
              </w:rPr>
              <w:t>0.078</w:t>
            </w:r>
          </w:p>
        </w:tc>
        <w:tc>
          <w:tcPr>
            <w:tcW w:w="1134" w:type="dxa"/>
            <w:vAlign w:val="center"/>
          </w:tcPr>
          <w:p>
            <w:pPr>
              <w:pStyle w:val="51"/>
              <w:rPr>
                <w:rFonts w:eastAsia="等线" w:cs="Times New Roman"/>
                <w:color w:val="000000"/>
                <w:szCs w:val="21"/>
              </w:rPr>
            </w:pPr>
            <w:r>
              <w:rPr>
                <w:rFonts w:hint="eastAsia" w:eastAsia="等线" w:cs="Times New Roman"/>
                <w:color w:val="000000"/>
                <w:szCs w:val="21"/>
              </w:rPr>
              <w:t>0.0096</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pPr>
            <w:r>
              <w:rPr>
                <w:rFonts w:hint="eastAsia"/>
              </w:rPr>
              <w:t>颗粒物</w:t>
            </w:r>
          </w:p>
        </w:tc>
        <w:tc>
          <w:tcPr>
            <w:tcW w:w="1134" w:type="dxa"/>
            <w:vAlign w:val="center"/>
          </w:tcPr>
          <w:p>
            <w:pPr>
              <w:pStyle w:val="51"/>
            </w:pPr>
            <w:r>
              <w:rPr>
                <w:rFonts w:eastAsia="等线" w:cs="Times New Roman"/>
                <w:color w:val="000000"/>
                <w:szCs w:val="21"/>
              </w:rPr>
              <w:t>10.5</w:t>
            </w:r>
            <w:r>
              <w:rPr>
                <w:rFonts w:hint="eastAsia" w:eastAsia="等线" w:cs="Times New Roman"/>
                <w:color w:val="000000"/>
                <w:szCs w:val="21"/>
              </w:rPr>
              <w:t>34</w:t>
            </w:r>
          </w:p>
        </w:tc>
        <w:tc>
          <w:tcPr>
            <w:tcW w:w="1276" w:type="dxa"/>
            <w:vAlign w:val="center"/>
          </w:tcPr>
          <w:p>
            <w:pPr>
              <w:pStyle w:val="51"/>
              <w:rPr>
                <w:rFonts w:eastAsia="等线" w:cs="Times New Roman"/>
                <w:color w:val="000000"/>
                <w:szCs w:val="21"/>
              </w:rPr>
            </w:pPr>
            <w:r>
              <w:rPr>
                <w:rFonts w:hint="eastAsia" w:eastAsia="等线" w:cs="Times New Roman"/>
                <w:color w:val="000000"/>
                <w:szCs w:val="21"/>
              </w:rPr>
              <w:t>9.4806</w:t>
            </w:r>
          </w:p>
        </w:tc>
        <w:tc>
          <w:tcPr>
            <w:tcW w:w="1134" w:type="dxa"/>
            <w:vAlign w:val="center"/>
          </w:tcPr>
          <w:p>
            <w:pPr>
              <w:pStyle w:val="51"/>
            </w:pPr>
            <w:r>
              <w:rPr>
                <w:rFonts w:eastAsia="等线" w:cs="Times New Roman"/>
                <w:color w:val="000000"/>
                <w:szCs w:val="21"/>
              </w:rPr>
              <w:t>1.05</w:t>
            </w:r>
            <w:r>
              <w:rPr>
                <w:rFonts w:hint="eastAsia" w:eastAsia="等线" w:cs="Times New Roman"/>
                <w:color w:val="000000"/>
                <w:szCs w:val="21"/>
              </w:rPr>
              <w:t>34</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1979" w:type="dxa"/>
            <w:vMerge w:val="restart"/>
            <w:vAlign w:val="center"/>
          </w:tcPr>
          <w:p>
            <w:pPr>
              <w:pStyle w:val="51"/>
            </w:pPr>
            <w:r>
              <w:rPr>
                <w:rFonts w:hint="eastAsia"/>
              </w:rPr>
              <w:t>一体化污水处理</w:t>
            </w:r>
          </w:p>
          <w:p>
            <w:pPr>
              <w:pStyle w:val="51"/>
              <w:rPr>
                <w:szCs w:val="21"/>
              </w:rPr>
            </w:pPr>
            <w:r>
              <w:rPr>
                <w:rFonts w:hint="eastAsia"/>
              </w:rPr>
              <w:t>设施</w:t>
            </w:r>
          </w:p>
        </w:tc>
        <w:tc>
          <w:tcPr>
            <w:tcW w:w="1276" w:type="dxa"/>
            <w:vAlign w:val="center"/>
          </w:tcPr>
          <w:p>
            <w:pPr>
              <w:pStyle w:val="51"/>
            </w:pPr>
            <w:r>
              <w:t>NH</w:t>
            </w:r>
            <w:r>
              <w:rPr>
                <w:vertAlign w:val="subscript"/>
              </w:rPr>
              <w:t>3</w:t>
            </w:r>
          </w:p>
        </w:tc>
        <w:tc>
          <w:tcPr>
            <w:tcW w:w="1134" w:type="dxa"/>
            <w:vAlign w:val="center"/>
          </w:tcPr>
          <w:p>
            <w:pPr>
              <w:pStyle w:val="51"/>
            </w:pPr>
            <w:r>
              <w:rPr>
                <w:rFonts w:hint="eastAsia"/>
              </w:rPr>
              <w:t>7.36</w:t>
            </w:r>
            <w:r>
              <w:rPr>
                <w:rFonts w:cs="Times New Roman"/>
              </w:rPr>
              <w:t>×</w:t>
            </w:r>
            <w:r>
              <w:rPr>
                <w:rFonts w:hint="eastAsia"/>
              </w:rPr>
              <w:t>10</w:t>
            </w:r>
            <w:r>
              <w:rPr>
                <w:rFonts w:hint="eastAsia"/>
                <w:vertAlign w:val="superscript"/>
              </w:rPr>
              <w:t>-4</w:t>
            </w:r>
          </w:p>
        </w:tc>
        <w:tc>
          <w:tcPr>
            <w:tcW w:w="1276" w:type="dxa"/>
            <w:vAlign w:val="center"/>
          </w:tcPr>
          <w:p>
            <w:pPr>
              <w:pStyle w:val="51"/>
              <w:rPr>
                <w:szCs w:val="21"/>
              </w:rPr>
            </w:pPr>
            <w:r>
              <w:rPr>
                <w:rFonts w:hint="eastAsia"/>
                <w:szCs w:val="21"/>
              </w:rPr>
              <w:t>0</w:t>
            </w:r>
          </w:p>
        </w:tc>
        <w:tc>
          <w:tcPr>
            <w:tcW w:w="1134" w:type="dxa"/>
            <w:vAlign w:val="center"/>
          </w:tcPr>
          <w:p>
            <w:pPr>
              <w:pStyle w:val="51"/>
            </w:pPr>
            <w:r>
              <w:rPr>
                <w:rFonts w:hint="eastAsia"/>
              </w:rPr>
              <w:t>3.68</w:t>
            </w:r>
            <w:r>
              <w:rPr>
                <w:rFonts w:cs="Times New Roman"/>
              </w:rPr>
              <w:t>×</w:t>
            </w:r>
            <w:r>
              <w:rPr>
                <w:rFonts w:hint="eastAsia"/>
              </w:rPr>
              <w:t>10</w:t>
            </w:r>
            <w:r>
              <w:rPr>
                <w:rFonts w:hint="eastAsia"/>
                <w:vertAlign w:val="superscript"/>
              </w:rPr>
              <w:t>-4</w:t>
            </w:r>
          </w:p>
        </w:tc>
        <w:tc>
          <w:tcPr>
            <w:tcW w:w="6804" w:type="dxa"/>
            <w:vMerge w:val="restart"/>
            <w:vAlign w:val="center"/>
          </w:tcPr>
          <w:p>
            <w:pPr>
              <w:pStyle w:val="51"/>
            </w:pPr>
            <w:r>
              <w:rPr>
                <w:rFonts w:hint="eastAsia"/>
              </w:rPr>
              <w:t>厌氧段污水处理设施均密闭，定期喷洒除臭剂，加强绿化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pPr>
            <w:r>
              <w:t>H</w:t>
            </w:r>
            <w:r>
              <w:rPr>
                <w:vertAlign w:val="subscript"/>
              </w:rPr>
              <w:t>2</w:t>
            </w:r>
            <w:r>
              <w:t>S</w:t>
            </w:r>
          </w:p>
        </w:tc>
        <w:tc>
          <w:tcPr>
            <w:tcW w:w="1134" w:type="dxa"/>
            <w:vAlign w:val="center"/>
          </w:tcPr>
          <w:p>
            <w:pPr>
              <w:pStyle w:val="51"/>
            </w:pPr>
            <w:r>
              <w:rPr>
                <w:rFonts w:hint="eastAsia"/>
              </w:rPr>
              <w:t>2.85</w:t>
            </w:r>
            <w:r>
              <w:rPr>
                <w:rFonts w:cs="Times New Roman"/>
              </w:rPr>
              <w:t>×</w:t>
            </w:r>
            <w:r>
              <w:rPr>
                <w:rFonts w:hint="eastAsia"/>
              </w:rPr>
              <w:t>10</w:t>
            </w:r>
            <w:r>
              <w:rPr>
                <w:rFonts w:hint="eastAsia"/>
                <w:vertAlign w:val="superscript"/>
              </w:rPr>
              <w:t>-5</w:t>
            </w:r>
          </w:p>
        </w:tc>
        <w:tc>
          <w:tcPr>
            <w:tcW w:w="1276" w:type="dxa"/>
            <w:vAlign w:val="center"/>
          </w:tcPr>
          <w:p>
            <w:pPr>
              <w:pStyle w:val="51"/>
              <w:rPr>
                <w:szCs w:val="21"/>
              </w:rPr>
            </w:pPr>
            <w:r>
              <w:rPr>
                <w:rFonts w:hint="eastAsia"/>
                <w:szCs w:val="21"/>
              </w:rPr>
              <w:t>0</w:t>
            </w:r>
          </w:p>
        </w:tc>
        <w:tc>
          <w:tcPr>
            <w:tcW w:w="1134" w:type="dxa"/>
            <w:vAlign w:val="center"/>
          </w:tcPr>
          <w:p>
            <w:pPr>
              <w:pStyle w:val="51"/>
            </w:pPr>
            <w:r>
              <w:rPr>
                <w:rFonts w:hint="eastAsia"/>
              </w:rPr>
              <w:t>1.42</w:t>
            </w:r>
            <w:r>
              <w:rPr>
                <w:rFonts w:cs="Times New Roman"/>
              </w:rPr>
              <w:t>×</w:t>
            </w:r>
            <w:r>
              <w:rPr>
                <w:rFonts w:hint="eastAsia"/>
              </w:rPr>
              <w:t>10</w:t>
            </w:r>
            <w:r>
              <w:rPr>
                <w:rFonts w:hint="eastAsia"/>
                <w:vertAlign w:val="superscript"/>
              </w:rPr>
              <w:t>-5</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6" w:type="dxa"/>
            <w:vMerge w:val="continue"/>
            <w:vAlign w:val="center"/>
          </w:tcPr>
          <w:p>
            <w:pPr>
              <w:pStyle w:val="51"/>
              <w:rPr>
                <w:szCs w:val="21"/>
              </w:rPr>
            </w:pPr>
          </w:p>
        </w:tc>
        <w:tc>
          <w:tcPr>
            <w:tcW w:w="1979" w:type="dxa"/>
            <w:vMerge w:val="restart"/>
            <w:vAlign w:val="center"/>
          </w:tcPr>
          <w:p>
            <w:pPr>
              <w:pStyle w:val="51"/>
            </w:pPr>
            <w:r>
              <w:rPr>
                <w:rFonts w:hint="eastAsia"/>
              </w:rPr>
              <w:t>备用柴油</w:t>
            </w:r>
          </w:p>
          <w:p>
            <w:pPr>
              <w:pStyle w:val="51"/>
              <w:rPr>
                <w:szCs w:val="21"/>
              </w:rPr>
            </w:pPr>
            <w:r>
              <w:rPr>
                <w:rFonts w:hint="eastAsia"/>
              </w:rPr>
              <w:t>发电机</w:t>
            </w:r>
          </w:p>
        </w:tc>
        <w:tc>
          <w:tcPr>
            <w:tcW w:w="1276" w:type="dxa"/>
            <w:vAlign w:val="center"/>
          </w:tcPr>
          <w:p>
            <w:pPr>
              <w:pStyle w:val="51"/>
            </w:pPr>
            <w:r>
              <w:t>SO</w:t>
            </w:r>
            <w:r>
              <w:rPr>
                <w:vertAlign w:val="subscript"/>
              </w:rPr>
              <w:t>2</w:t>
            </w:r>
          </w:p>
        </w:tc>
        <w:tc>
          <w:tcPr>
            <w:tcW w:w="1134" w:type="dxa"/>
            <w:vAlign w:val="center"/>
          </w:tcPr>
          <w:p>
            <w:pPr>
              <w:pStyle w:val="51"/>
            </w:pPr>
            <w:r>
              <w:rPr>
                <w:rFonts w:hint="eastAsia" w:cs="Times New Roman"/>
              </w:rPr>
              <w:t>0.023</w:t>
            </w:r>
          </w:p>
        </w:tc>
        <w:tc>
          <w:tcPr>
            <w:tcW w:w="1276" w:type="dxa"/>
            <w:vAlign w:val="center"/>
          </w:tcPr>
          <w:p>
            <w:pPr>
              <w:pStyle w:val="51"/>
              <w:rPr>
                <w:szCs w:val="21"/>
              </w:rPr>
            </w:pPr>
            <w:r>
              <w:rPr>
                <w:rFonts w:hint="eastAsia"/>
                <w:szCs w:val="21"/>
              </w:rPr>
              <w:t>0</w:t>
            </w:r>
          </w:p>
        </w:tc>
        <w:tc>
          <w:tcPr>
            <w:tcW w:w="1134" w:type="dxa"/>
            <w:vAlign w:val="center"/>
          </w:tcPr>
          <w:p>
            <w:pPr>
              <w:pStyle w:val="51"/>
            </w:pPr>
            <w:r>
              <w:rPr>
                <w:rFonts w:hint="eastAsia" w:cs="Times New Roman"/>
              </w:rPr>
              <w:t>0.023</w:t>
            </w:r>
          </w:p>
        </w:tc>
        <w:tc>
          <w:tcPr>
            <w:tcW w:w="6804" w:type="dxa"/>
            <w:vMerge w:val="restart"/>
            <w:vAlign w:val="center"/>
          </w:tcPr>
          <w:p>
            <w:pPr>
              <w:pStyle w:val="51"/>
              <w:rPr>
                <w:szCs w:val="21"/>
              </w:rPr>
            </w:pPr>
            <w:r>
              <w:rPr>
                <w:rFonts w:hint="eastAsia"/>
              </w:rPr>
              <w:t>专用烟道引至发电机房屋顶烟囱排放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pPr>
            <w:r>
              <w:rPr>
                <w:rFonts w:hint="eastAsia"/>
              </w:rPr>
              <w:t>烟尘</w:t>
            </w:r>
          </w:p>
        </w:tc>
        <w:tc>
          <w:tcPr>
            <w:tcW w:w="1134" w:type="dxa"/>
            <w:vAlign w:val="center"/>
          </w:tcPr>
          <w:p>
            <w:pPr>
              <w:pStyle w:val="51"/>
            </w:pPr>
            <w:r>
              <w:rPr>
                <w:rFonts w:hint="eastAsia"/>
              </w:rPr>
              <w:t>0.004</w:t>
            </w:r>
          </w:p>
        </w:tc>
        <w:tc>
          <w:tcPr>
            <w:tcW w:w="1276" w:type="dxa"/>
            <w:vAlign w:val="center"/>
          </w:tcPr>
          <w:p>
            <w:pPr>
              <w:pStyle w:val="51"/>
              <w:rPr>
                <w:szCs w:val="21"/>
              </w:rPr>
            </w:pPr>
            <w:r>
              <w:rPr>
                <w:rFonts w:hint="eastAsia"/>
                <w:szCs w:val="21"/>
              </w:rPr>
              <w:t>0</w:t>
            </w:r>
          </w:p>
        </w:tc>
        <w:tc>
          <w:tcPr>
            <w:tcW w:w="1134" w:type="dxa"/>
            <w:vAlign w:val="center"/>
          </w:tcPr>
          <w:p>
            <w:pPr>
              <w:pStyle w:val="51"/>
            </w:pPr>
            <w:r>
              <w:rPr>
                <w:rFonts w:hint="eastAsia"/>
              </w:rPr>
              <w:t>0.004</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pPr>
            <w:r>
              <w:t>NOx</w:t>
            </w:r>
          </w:p>
        </w:tc>
        <w:tc>
          <w:tcPr>
            <w:tcW w:w="1134" w:type="dxa"/>
            <w:vAlign w:val="center"/>
          </w:tcPr>
          <w:p>
            <w:pPr>
              <w:pStyle w:val="51"/>
            </w:pPr>
            <w:r>
              <w:rPr>
                <w:rFonts w:hint="eastAsia"/>
              </w:rPr>
              <w:t>0.015</w:t>
            </w:r>
          </w:p>
        </w:tc>
        <w:tc>
          <w:tcPr>
            <w:tcW w:w="1276" w:type="dxa"/>
            <w:vAlign w:val="center"/>
          </w:tcPr>
          <w:p>
            <w:pPr>
              <w:pStyle w:val="51"/>
              <w:rPr>
                <w:szCs w:val="21"/>
              </w:rPr>
            </w:pPr>
            <w:r>
              <w:rPr>
                <w:rFonts w:hint="eastAsia"/>
                <w:szCs w:val="21"/>
              </w:rPr>
              <w:t>0</w:t>
            </w:r>
          </w:p>
        </w:tc>
        <w:tc>
          <w:tcPr>
            <w:tcW w:w="1134" w:type="dxa"/>
            <w:vAlign w:val="center"/>
          </w:tcPr>
          <w:p>
            <w:pPr>
              <w:pStyle w:val="51"/>
            </w:pPr>
            <w:r>
              <w:rPr>
                <w:rFonts w:hint="eastAsia"/>
              </w:rPr>
              <w:t>0.015</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rPr>
                <w:szCs w:val="21"/>
              </w:rPr>
            </w:pPr>
          </w:p>
        </w:tc>
        <w:tc>
          <w:tcPr>
            <w:tcW w:w="1979" w:type="dxa"/>
            <w:vAlign w:val="center"/>
          </w:tcPr>
          <w:p>
            <w:pPr>
              <w:pStyle w:val="51"/>
              <w:rPr>
                <w:szCs w:val="21"/>
              </w:rPr>
            </w:pPr>
            <w:r>
              <w:rPr>
                <w:rFonts w:hint="eastAsia"/>
                <w:szCs w:val="21"/>
              </w:rPr>
              <w:t>食堂</w:t>
            </w:r>
          </w:p>
        </w:tc>
        <w:tc>
          <w:tcPr>
            <w:tcW w:w="1276" w:type="dxa"/>
            <w:vAlign w:val="center"/>
          </w:tcPr>
          <w:p>
            <w:pPr>
              <w:pStyle w:val="51"/>
            </w:pPr>
            <w:r>
              <w:rPr>
                <w:rFonts w:hint="eastAsia"/>
              </w:rPr>
              <w:t>油烟</w:t>
            </w:r>
          </w:p>
        </w:tc>
        <w:tc>
          <w:tcPr>
            <w:tcW w:w="1134" w:type="dxa"/>
            <w:vAlign w:val="center"/>
          </w:tcPr>
          <w:p>
            <w:pPr>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0.016</w:t>
            </w:r>
          </w:p>
        </w:tc>
        <w:tc>
          <w:tcPr>
            <w:tcW w:w="1276" w:type="dxa"/>
            <w:vAlign w:val="center"/>
          </w:tcPr>
          <w:p>
            <w:pPr>
              <w:pStyle w:val="51"/>
              <w:rPr>
                <w:szCs w:val="21"/>
              </w:rPr>
            </w:pPr>
            <w:r>
              <w:rPr>
                <w:rFonts w:hint="eastAsia"/>
                <w:szCs w:val="21"/>
              </w:rPr>
              <w:t>0.009</w:t>
            </w:r>
          </w:p>
        </w:tc>
        <w:tc>
          <w:tcPr>
            <w:tcW w:w="1134" w:type="dxa"/>
            <w:vAlign w:val="center"/>
          </w:tcPr>
          <w:p>
            <w:pPr>
              <w:pStyle w:val="51"/>
            </w:pPr>
            <w:r>
              <w:rPr>
                <w:rFonts w:hint="eastAsia"/>
              </w:rPr>
              <w:t>0.007</w:t>
            </w:r>
          </w:p>
        </w:tc>
        <w:tc>
          <w:tcPr>
            <w:tcW w:w="6804" w:type="dxa"/>
            <w:vAlign w:val="center"/>
          </w:tcPr>
          <w:p>
            <w:pPr>
              <w:pStyle w:val="51"/>
              <w:rPr>
                <w:szCs w:val="21"/>
              </w:rPr>
            </w:pPr>
            <w:r>
              <w:rPr>
                <w:rFonts w:hint="eastAsia"/>
              </w:rPr>
              <w:t>经</w:t>
            </w:r>
            <w:r>
              <w:t>油烟净化装置</w:t>
            </w:r>
            <w:r>
              <w:rPr>
                <w:rFonts w:hint="eastAsia"/>
              </w:rPr>
              <w:t>处理后引至食堂屋顶排放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restart"/>
            <w:vAlign w:val="center"/>
          </w:tcPr>
          <w:p>
            <w:pPr>
              <w:pStyle w:val="51"/>
              <w:rPr>
                <w:szCs w:val="21"/>
              </w:rPr>
            </w:pPr>
            <w:r>
              <w:rPr>
                <w:rFonts w:hint="eastAsia"/>
                <w:szCs w:val="21"/>
              </w:rPr>
              <w:t>废水</w:t>
            </w:r>
          </w:p>
        </w:tc>
        <w:tc>
          <w:tcPr>
            <w:tcW w:w="1979" w:type="dxa"/>
            <w:vMerge w:val="restart"/>
            <w:vAlign w:val="center"/>
          </w:tcPr>
          <w:p>
            <w:pPr>
              <w:pStyle w:val="51"/>
              <w:rPr>
                <w:szCs w:val="21"/>
              </w:rPr>
            </w:pPr>
            <w:r>
              <w:rPr>
                <w:rFonts w:hint="eastAsia"/>
                <w:szCs w:val="21"/>
              </w:rPr>
              <w:t>综合废水</w:t>
            </w:r>
          </w:p>
        </w:tc>
        <w:tc>
          <w:tcPr>
            <w:tcW w:w="1276" w:type="dxa"/>
            <w:vAlign w:val="center"/>
          </w:tcPr>
          <w:p>
            <w:pPr>
              <w:pStyle w:val="51"/>
              <w:rPr>
                <w:szCs w:val="21"/>
              </w:rPr>
            </w:pPr>
            <w:r>
              <w:rPr>
                <w:rFonts w:hint="eastAsia"/>
                <w:szCs w:val="21"/>
              </w:rPr>
              <w:t>废水量</w:t>
            </w:r>
          </w:p>
        </w:tc>
        <w:tc>
          <w:tcPr>
            <w:tcW w:w="1134" w:type="dxa"/>
            <w:vAlign w:val="center"/>
          </w:tcPr>
          <w:p>
            <w:pPr>
              <w:pStyle w:val="51"/>
              <w:rPr>
                <w:rFonts w:hint="eastAsia" w:ascii="等线" w:hAnsi="等线" w:eastAsia="等线"/>
                <w:color w:val="000000"/>
                <w:sz w:val="22"/>
                <w:szCs w:val="22"/>
              </w:rPr>
            </w:pPr>
            <w:r>
              <w:rPr>
                <w:rFonts w:hint="eastAsia"/>
              </w:rPr>
              <w:t>1376.294</w:t>
            </w:r>
          </w:p>
        </w:tc>
        <w:tc>
          <w:tcPr>
            <w:tcW w:w="1276" w:type="dxa"/>
            <w:vAlign w:val="center"/>
          </w:tcPr>
          <w:p>
            <w:pPr>
              <w:pStyle w:val="51"/>
              <w:rPr>
                <w:szCs w:val="21"/>
              </w:rPr>
            </w:pPr>
            <w:r>
              <w:rPr>
                <w:rFonts w:hint="eastAsia"/>
                <w:szCs w:val="21"/>
              </w:rPr>
              <w:t>/</w:t>
            </w:r>
          </w:p>
        </w:tc>
        <w:tc>
          <w:tcPr>
            <w:tcW w:w="1134" w:type="dxa"/>
            <w:vAlign w:val="center"/>
          </w:tcPr>
          <w:p>
            <w:pPr>
              <w:pStyle w:val="51"/>
              <w:rPr>
                <w:szCs w:val="21"/>
              </w:rPr>
            </w:pPr>
            <w:r>
              <w:rPr>
                <w:rFonts w:hint="eastAsia"/>
              </w:rPr>
              <w:t>0</w:t>
            </w:r>
          </w:p>
        </w:tc>
        <w:tc>
          <w:tcPr>
            <w:tcW w:w="6804" w:type="dxa"/>
            <w:vMerge w:val="restart"/>
            <w:vAlign w:val="center"/>
          </w:tcPr>
          <w:p>
            <w:pPr>
              <w:pStyle w:val="51"/>
              <w:rPr>
                <w:szCs w:val="21"/>
              </w:rPr>
            </w:pPr>
            <w:r>
              <w:rPr>
                <w:rFonts w:hint="eastAsia"/>
                <w:szCs w:val="21"/>
              </w:rPr>
              <w:t>进入一体化污水处理设施处理达标后，用于周边林地灌溉，不外排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rPr>
                <w:szCs w:val="21"/>
              </w:rPr>
            </w:pPr>
            <w:r>
              <w:rPr>
                <w:rFonts w:hint="eastAsia"/>
                <w:szCs w:val="21"/>
              </w:rPr>
              <w:t>COD</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0.4543</w:t>
            </w:r>
          </w:p>
        </w:tc>
        <w:tc>
          <w:tcPr>
            <w:tcW w:w="127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0.4199</w:t>
            </w:r>
          </w:p>
        </w:tc>
        <w:tc>
          <w:tcPr>
            <w:tcW w:w="1134" w:type="dxa"/>
            <w:vAlign w:val="center"/>
          </w:tcPr>
          <w:p>
            <w:pPr>
              <w:pStyle w:val="51"/>
            </w:pPr>
            <w:r>
              <w:rPr>
                <w:rFonts w:hint="eastAsia"/>
              </w:rPr>
              <w:t>0</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rPr>
                <w:szCs w:val="21"/>
              </w:rPr>
            </w:pPr>
            <w:r>
              <w:rPr>
                <w:rFonts w:hint="eastAsia"/>
                <w:szCs w:val="21"/>
              </w:rPr>
              <w:t>BOD</w:t>
            </w:r>
            <w:r>
              <w:rPr>
                <w:rFonts w:hint="eastAsia"/>
                <w:szCs w:val="21"/>
                <w:vertAlign w:val="subscript"/>
              </w:rPr>
              <w:t>5</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0.2568</w:t>
            </w:r>
          </w:p>
        </w:tc>
        <w:tc>
          <w:tcPr>
            <w:tcW w:w="127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0.2375</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rPr>
                <w:szCs w:val="21"/>
              </w:rPr>
            </w:pPr>
            <w:r>
              <w:rPr>
                <w:rFonts w:hint="eastAsia"/>
                <w:szCs w:val="21"/>
              </w:rPr>
              <w:t>氨氮</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0.0317</w:t>
            </w:r>
          </w:p>
        </w:tc>
        <w:tc>
          <w:tcPr>
            <w:tcW w:w="127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0.0276</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rPr>
                <w:szCs w:val="21"/>
              </w:rPr>
            </w:pPr>
            <w:r>
              <w:rPr>
                <w:szCs w:val="21"/>
              </w:rPr>
              <w:t>S</w:t>
            </w:r>
            <w:r>
              <w:rPr>
                <w:rFonts w:hint="eastAsia"/>
                <w:szCs w:val="21"/>
              </w:rPr>
              <w:t>S</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0.2573</w:t>
            </w:r>
          </w:p>
        </w:tc>
        <w:tc>
          <w:tcPr>
            <w:tcW w:w="127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0.227</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rPr>
                <w:szCs w:val="21"/>
              </w:rPr>
            </w:pPr>
            <w:r>
              <w:rPr>
                <w:rFonts w:hint="eastAsia"/>
                <w:szCs w:val="21"/>
              </w:rPr>
              <w:t>总氮</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0.0071</w:t>
            </w:r>
          </w:p>
        </w:tc>
        <w:tc>
          <w:tcPr>
            <w:tcW w:w="127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0.0057</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Merge w:val="continue"/>
            <w:vAlign w:val="center"/>
          </w:tcPr>
          <w:p>
            <w:pPr>
              <w:pStyle w:val="51"/>
              <w:rPr>
                <w:szCs w:val="21"/>
              </w:rPr>
            </w:pPr>
          </w:p>
        </w:tc>
        <w:tc>
          <w:tcPr>
            <w:tcW w:w="1979" w:type="dxa"/>
            <w:vMerge w:val="continue"/>
            <w:vAlign w:val="center"/>
          </w:tcPr>
          <w:p>
            <w:pPr>
              <w:pStyle w:val="51"/>
              <w:rPr>
                <w:szCs w:val="21"/>
              </w:rPr>
            </w:pPr>
          </w:p>
        </w:tc>
        <w:tc>
          <w:tcPr>
            <w:tcW w:w="1276" w:type="dxa"/>
            <w:vAlign w:val="center"/>
          </w:tcPr>
          <w:p>
            <w:pPr>
              <w:pStyle w:val="51"/>
              <w:rPr>
                <w:szCs w:val="21"/>
              </w:rPr>
            </w:pPr>
            <w:r>
              <w:rPr>
                <w:rFonts w:hint="eastAsia"/>
                <w:szCs w:val="21"/>
              </w:rPr>
              <w:t>总磷</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0.0007</w:t>
            </w:r>
          </w:p>
        </w:tc>
        <w:tc>
          <w:tcPr>
            <w:tcW w:w="1276" w:type="dxa"/>
            <w:vAlign w:val="bottom"/>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0.0006</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restart"/>
            <w:vAlign w:val="center"/>
          </w:tcPr>
          <w:p>
            <w:pPr>
              <w:pStyle w:val="51"/>
              <w:rPr>
                <w:szCs w:val="21"/>
              </w:rPr>
            </w:pPr>
            <w:r>
              <w:rPr>
                <w:rFonts w:hint="eastAsia"/>
                <w:szCs w:val="21"/>
              </w:rPr>
              <w:t>固废</w:t>
            </w:r>
          </w:p>
        </w:tc>
        <w:tc>
          <w:tcPr>
            <w:tcW w:w="3255" w:type="dxa"/>
            <w:gridSpan w:val="2"/>
            <w:vAlign w:val="center"/>
          </w:tcPr>
          <w:p>
            <w:pPr>
              <w:pStyle w:val="51"/>
              <w:rPr>
                <w:szCs w:val="21"/>
              </w:rPr>
            </w:pPr>
            <w:r>
              <w:rPr>
                <w:rFonts w:hint="eastAsia"/>
              </w:rPr>
              <w:t>鸡粪</w:t>
            </w:r>
          </w:p>
        </w:tc>
        <w:tc>
          <w:tcPr>
            <w:tcW w:w="1134" w:type="dxa"/>
            <w:vAlign w:val="center"/>
          </w:tcPr>
          <w:p>
            <w:pPr>
              <w:pStyle w:val="51"/>
            </w:pPr>
            <w:r>
              <w:rPr>
                <w:rFonts w:hint="eastAsia"/>
              </w:rPr>
              <w:t>56940</w:t>
            </w:r>
          </w:p>
        </w:tc>
        <w:tc>
          <w:tcPr>
            <w:tcW w:w="1276"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restart"/>
            <w:vAlign w:val="center"/>
          </w:tcPr>
          <w:p>
            <w:pPr>
              <w:pStyle w:val="51"/>
            </w:pPr>
            <w:r>
              <w:rPr>
                <w:rFonts w:hint="eastAsia"/>
              </w:rPr>
              <w:t>送鸡粪风干车间风干后，转运至有湖南恩润生物科技有限公司</w:t>
            </w:r>
          </w:p>
          <w:p>
            <w:pPr>
              <w:pStyle w:val="51"/>
              <w:rPr>
                <w:szCs w:val="21"/>
              </w:rPr>
            </w:pPr>
            <w:r>
              <w:rPr>
                <w:rFonts w:hint="eastAsia"/>
              </w:rPr>
              <w:t>制造有机肥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3255" w:type="dxa"/>
            <w:gridSpan w:val="2"/>
            <w:vAlign w:val="center"/>
          </w:tcPr>
          <w:p>
            <w:pPr>
              <w:pStyle w:val="51"/>
              <w:rPr>
                <w:szCs w:val="21"/>
              </w:rPr>
            </w:pPr>
            <w:r>
              <w:rPr>
                <w:rFonts w:hint="eastAsia"/>
              </w:rPr>
              <w:t>污泥</w:t>
            </w:r>
          </w:p>
        </w:tc>
        <w:tc>
          <w:tcPr>
            <w:tcW w:w="1134" w:type="dxa"/>
            <w:vAlign w:val="center"/>
          </w:tcPr>
          <w:p>
            <w:pPr>
              <w:pStyle w:val="51"/>
            </w:pPr>
            <w:r>
              <w:rPr>
                <w:rFonts w:hint="eastAsia"/>
              </w:rPr>
              <w:t>1.05</w:t>
            </w:r>
          </w:p>
        </w:tc>
        <w:tc>
          <w:tcPr>
            <w:tcW w:w="1276"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3255" w:type="dxa"/>
            <w:gridSpan w:val="2"/>
            <w:vAlign w:val="center"/>
          </w:tcPr>
          <w:p>
            <w:pPr>
              <w:pStyle w:val="51"/>
              <w:rPr>
                <w:szCs w:val="21"/>
              </w:rPr>
            </w:pPr>
            <w:r>
              <w:rPr>
                <w:rFonts w:hint="eastAsia"/>
              </w:rPr>
              <w:t>病死鸡</w:t>
            </w:r>
          </w:p>
        </w:tc>
        <w:tc>
          <w:tcPr>
            <w:tcW w:w="1134" w:type="dxa"/>
            <w:vAlign w:val="center"/>
          </w:tcPr>
          <w:p>
            <w:pPr>
              <w:pStyle w:val="51"/>
            </w:pPr>
            <w:r>
              <w:rPr>
                <w:rFonts w:hint="eastAsia"/>
              </w:rPr>
              <w:t>3.12</w:t>
            </w:r>
          </w:p>
        </w:tc>
        <w:tc>
          <w:tcPr>
            <w:tcW w:w="1276"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Align w:val="center"/>
          </w:tcPr>
          <w:p>
            <w:pPr>
              <w:pStyle w:val="51"/>
              <w:rPr>
                <w:szCs w:val="21"/>
              </w:rPr>
            </w:pPr>
            <w:r>
              <w:rPr>
                <w:rFonts w:hint="eastAsia"/>
              </w:rPr>
              <w:t>冷冻库暂存后定期交由永州恩泉环保科技有限公司无害化处置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3255" w:type="dxa"/>
            <w:gridSpan w:val="2"/>
            <w:vAlign w:val="center"/>
          </w:tcPr>
          <w:p>
            <w:pPr>
              <w:pStyle w:val="51"/>
            </w:pPr>
            <w:r>
              <w:rPr>
                <w:rFonts w:hint="eastAsia"/>
              </w:rPr>
              <w:t>废包装材料</w:t>
            </w:r>
          </w:p>
        </w:tc>
        <w:tc>
          <w:tcPr>
            <w:tcW w:w="1134" w:type="dxa"/>
            <w:vAlign w:val="center"/>
          </w:tcPr>
          <w:p>
            <w:pPr>
              <w:pStyle w:val="51"/>
            </w:pPr>
            <w:r>
              <w:rPr>
                <w:rFonts w:hint="eastAsia"/>
              </w:rPr>
              <w:t>0.1</w:t>
            </w:r>
          </w:p>
        </w:tc>
        <w:tc>
          <w:tcPr>
            <w:tcW w:w="1276"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Align w:val="center"/>
          </w:tcPr>
          <w:p>
            <w:pPr>
              <w:pStyle w:val="51"/>
            </w:pPr>
            <w:r>
              <w:rPr>
                <w:rFonts w:hint="eastAsia"/>
              </w:rPr>
              <w:t>收集在一般固废暂存间内暂存，再外售综合利用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3255" w:type="dxa"/>
            <w:gridSpan w:val="2"/>
            <w:vAlign w:val="center"/>
          </w:tcPr>
          <w:p>
            <w:pPr>
              <w:pStyle w:val="51"/>
              <w:rPr>
                <w:szCs w:val="21"/>
              </w:rPr>
            </w:pPr>
            <w:r>
              <w:rPr>
                <w:rFonts w:hint="eastAsia"/>
              </w:rPr>
              <w:t>废针头、废注射器</w:t>
            </w:r>
          </w:p>
        </w:tc>
        <w:tc>
          <w:tcPr>
            <w:tcW w:w="1134" w:type="dxa"/>
            <w:vAlign w:val="center"/>
          </w:tcPr>
          <w:p>
            <w:pPr>
              <w:pStyle w:val="51"/>
            </w:pPr>
            <w:r>
              <w:rPr>
                <w:rFonts w:hint="eastAsia"/>
              </w:rPr>
              <w:t>0.1</w:t>
            </w:r>
          </w:p>
        </w:tc>
        <w:tc>
          <w:tcPr>
            <w:tcW w:w="1276"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restart"/>
            <w:vAlign w:val="center"/>
          </w:tcPr>
          <w:p>
            <w:pPr>
              <w:pStyle w:val="51"/>
              <w:rPr>
                <w:szCs w:val="21"/>
              </w:rPr>
            </w:pPr>
            <w:r>
              <w:rPr>
                <w:rFonts w:hint="eastAsia"/>
              </w:rPr>
              <w:t>分类收集在危废暂存间内暂存，再定期交有资质单位处置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rPr>
                <w:szCs w:val="21"/>
              </w:rPr>
            </w:pPr>
          </w:p>
        </w:tc>
        <w:tc>
          <w:tcPr>
            <w:tcW w:w="3255" w:type="dxa"/>
            <w:gridSpan w:val="2"/>
            <w:vAlign w:val="center"/>
          </w:tcPr>
          <w:p>
            <w:pPr>
              <w:pStyle w:val="51"/>
            </w:pPr>
            <w:r>
              <w:rPr>
                <w:rFonts w:hint="eastAsia"/>
              </w:rPr>
              <w:t>废消毒剂瓶、废药剂瓶</w:t>
            </w:r>
          </w:p>
        </w:tc>
        <w:tc>
          <w:tcPr>
            <w:tcW w:w="1134" w:type="dxa"/>
            <w:vAlign w:val="center"/>
          </w:tcPr>
          <w:p>
            <w:pPr>
              <w:pStyle w:val="51"/>
            </w:pPr>
            <w:r>
              <w:rPr>
                <w:rFonts w:hint="eastAsia"/>
              </w:rPr>
              <w:t>0.2</w:t>
            </w:r>
          </w:p>
        </w:tc>
        <w:tc>
          <w:tcPr>
            <w:tcW w:w="1276"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Merge w:val="continue"/>
            <w:vAlign w:val="center"/>
          </w:tcPr>
          <w:p>
            <w:pPr>
              <w:pStyle w:val="51"/>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rPr>
                <w:szCs w:val="21"/>
              </w:rPr>
            </w:pPr>
          </w:p>
        </w:tc>
        <w:tc>
          <w:tcPr>
            <w:tcW w:w="3255" w:type="dxa"/>
            <w:gridSpan w:val="2"/>
            <w:vAlign w:val="center"/>
          </w:tcPr>
          <w:p>
            <w:pPr>
              <w:pStyle w:val="51"/>
              <w:rPr>
                <w:szCs w:val="21"/>
              </w:rPr>
            </w:pPr>
            <w:r>
              <w:rPr>
                <w:rFonts w:hint="eastAsia"/>
              </w:rPr>
              <w:t>生活垃圾</w:t>
            </w:r>
          </w:p>
        </w:tc>
        <w:tc>
          <w:tcPr>
            <w:tcW w:w="1134" w:type="dxa"/>
            <w:vAlign w:val="center"/>
          </w:tcPr>
          <w:p>
            <w:pPr>
              <w:pStyle w:val="51"/>
            </w:pPr>
            <w:r>
              <w:rPr>
                <w:rFonts w:hint="eastAsia"/>
              </w:rPr>
              <w:t>9.13</w:t>
            </w:r>
          </w:p>
        </w:tc>
        <w:tc>
          <w:tcPr>
            <w:tcW w:w="1276"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1134" w:type="dxa"/>
            <w:vAlign w:val="center"/>
          </w:tcPr>
          <w:p>
            <w:pPr>
              <w:jc w:val="center"/>
              <w:rPr>
                <w:rFonts w:ascii="Times New Roman" w:hAnsi="Times New Roman" w:eastAsia="等线" w:cs="Times New Roman"/>
                <w:color w:val="000000"/>
                <w:sz w:val="21"/>
                <w:szCs w:val="21"/>
              </w:rPr>
            </w:pPr>
            <w:r>
              <w:rPr>
                <w:rFonts w:hint="eastAsia" w:ascii="Times New Roman" w:hAnsi="Times New Roman" w:eastAsia="等线" w:cs="Times New Roman"/>
                <w:color w:val="000000"/>
                <w:sz w:val="21"/>
                <w:szCs w:val="21"/>
              </w:rPr>
              <w:t>0</w:t>
            </w:r>
          </w:p>
        </w:tc>
        <w:tc>
          <w:tcPr>
            <w:tcW w:w="6804" w:type="dxa"/>
            <w:vAlign w:val="center"/>
          </w:tcPr>
          <w:p>
            <w:pPr>
              <w:pStyle w:val="51"/>
              <w:rPr>
                <w:szCs w:val="21"/>
              </w:rPr>
            </w:pPr>
            <w:r>
              <w:rPr>
                <w:rFonts w:hint="eastAsia"/>
              </w:rPr>
              <w:t>环卫部门统一清运处理</w:t>
            </w:r>
          </w:p>
        </w:tc>
      </w:tr>
    </w:tbl>
    <w:p>
      <w:pPr>
        <w:pStyle w:val="51"/>
      </w:pPr>
    </w:p>
    <w:p>
      <w:pPr>
        <w:pStyle w:val="51"/>
      </w:pPr>
    </w:p>
    <w:p>
      <w:pPr>
        <w:pStyle w:val="51"/>
        <w:sectPr>
          <w:pgSz w:w="16838" w:h="11906" w:orient="landscape"/>
          <w:pgMar w:top="1644" w:right="1440" w:bottom="1474" w:left="1440" w:header="851" w:footer="992" w:gutter="0"/>
          <w:cols w:space="425" w:num="1"/>
          <w:docGrid w:type="lines" w:linePitch="312" w:charSpace="0"/>
        </w:sectPr>
      </w:pPr>
    </w:p>
    <w:p>
      <w:pPr>
        <w:pStyle w:val="2"/>
        <w:jc w:val="center"/>
        <w:rPr>
          <w:sz w:val="44"/>
          <w:szCs w:val="56"/>
        </w:rPr>
      </w:pPr>
      <w:bookmarkStart w:id="158" w:name="_Toc194481160"/>
      <w:r>
        <w:rPr>
          <w:rFonts w:hint="eastAsia"/>
          <w:sz w:val="44"/>
          <w:szCs w:val="56"/>
        </w:rPr>
        <w:t>第4章 环境现状调查与评价</w:t>
      </w:r>
      <w:bookmarkEnd w:id="158"/>
    </w:p>
    <w:p>
      <w:pPr>
        <w:pStyle w:val="3"/>
      </w:pPr>
      <w:bookmarkStart w:id="159" w:name="_Toc194481161"/>
      <w:r>
        <w:rPr>
          <w:rFonts w:hint="eastAsia"/>
        </w:rPr>
        <w:t>4</w:t>
      </w:r>
      <w:r>
        <w:t xml:space="preserve">.1 </w:t>
      </w:r>
      <w:r>
        <w:rPr>
          <w:rFonts w:ascii="宋体" w:hAnsi="宋体"/>
        </w:rPr>
        <w:t>自然环境概况</w:t>
      </w:r>
      <w:bookmarkEnd w:id="159"/>
    </w:p>
    <w:p>
      <w:pPr>
        <w:pStyle w:val="4"/>
      </w:pPr>
      <w:bookmarkStart w:id="160" w:name="_Toc153184909"/>
      <w:bookmarkEnd w:id="160"/>
      <w:bookmarkStart w:id="161" w:name="_Toc194481162"/>
      <w:r>
        <w:t>4.1.1 地理位置</w:t>
      </w:r>
      <w:bookmarkEnd w:id="161"/>
    </w:p>
    <w:p>
      <w:pPr>
        <w:pStyle w:val="49"/>
        <w:ind w:firstLine="480"/>
      </w:pPr>
      <w:bookmarkStart w:id="162" w:name="_Toc153184910"/>
      <w:bookmarkEnd w:id="162"/>
      <w:r>
        <w:rPr>
          <w:rFonts w:hint="eastAsia"/>
        </w:rPr>
        <w:t>永州市地处湘南西部，位于湘粤桂三省区结合部，南北长</w:t>
      </w:r>
      <w:r>
        <w:t>245km</w:t>
      </w:r>
      <w:r>
        <w:rPr>
          <w:rFonts w:hint="eastAsia"/>
        </w:rPr>
        <w:t>，东西长</w:t>
      </w:r>
      <w:r>
        <w:t>144km</w:t>
      </w:r>
      <w:r>
        <w:rPr>
          <w:rFonts w:hint="eastAsia"/>
        </w:rPr>
        <w:t>，地理位置为东经</w:t>
      </w:r>
      <w:r>
        <w:t>110.57°</w:t>
      </w:r>
      <w:r>
        <w:rPr>
          <w:rFonts w:hint="eastAsia"/>
        </w:rPr>
        <w:t>~</w:t>
      </w:r>
      <w:r>
        <w:t>112.27°</w:t>
      </w:r>
      <w:r>
        <w:rPr>
          <w:rFonts w:hint="eastAsia"/>
        </w:rPr>
        <w:t>，北纬</w:t>
      </w:r>
      <w:r>
        <w:t>23.30°</w:t>
      </w:r>
      <w:r>
        <w:rPr>
          <w:rFonts w:hint="eastAsia"/>
        </w:rPr>
        <w:t>~</w:t>
      </w:r>
      <w:r>
        <w:t>26.52°</w:t>
      </w:r>
      <w:r>
        <w:rPr>
          <w:rFonts w:hint="eastAsia"/>
        </w:rPr>
        <w:t>。北临邵阳、衡阳，东接郴州，西临广西桂林，东南与广东接壤。</w:t>
      </w:r>
    </w:p>
    <w:p>
      <w:pPr>
        <w:pStyle w:val="49"/>
        <w:ind w:firstLine="480"/>
      </w:pPr>
      <w:r>
        <w:rPr>
          <w:rFonts w:hint="eastAsia"/>
        </w:rPr>
        <w:t>冷水滩区地处永州市北部，湘江上游，东部与祁阳接壤，西部与东安相邻，南部与零陵相连，北部紧靠邵阳，总面积</w:t>
      </w:r>
      <w:r>
        <w:t>1218.95</w:t>
      </w:r>
      <w:r>
        <w:rPr>
          <w:rFonts w:hint="eastAsia"/>
        </w:rPr>
        <w:t>平方公里。</w:t>
      </w:r>
    </w:p>
    <w:p>
      <w:pPr>
        <w:pStyle w:val="49"/>
        <w:ind w:firstLine="480"/>
      </w:pPr>
      <w:r>
        <w:rPr>
          <w:rFonts w:hint="eastAsia"/>
        </w:rPr>
        <w:t>本项目位于永州市冷水滩区岚角山街道飞跃村、高桥头村，</w:t>
      </w:r>
      <w:r>
        <w:rPr>
          <w:rFonts w:hint="eastAsia"/>
          <w:lang w:val="en-GB"/>
        </w:rPr>
        <w:t>项目中心经纬度为</w:t>
      </w:r>
      <w:r>
        <w:rPr>
          <w:rFonts w:hint="eastAsia"/>
        </w:rPr>
        <w:t>东经111</w:t>
      </w:r>
      <w:r>
        <w:rPr>
          <w:rFonts w:cs="Times New Roman"/>
          <w:color w:val="000000"/>
        </w:rPr>
        <w:t>°</w:t>
      </w:r>
      <w:r>
        <w:rPr>
          <w:rFonts w:hint="eastAsia"/>
        </w:rPr>
        <w:t>40'05.8240"，北纬26</w:t>
      </w:r>
      <w:r>
        <w:rPr>
          <w:rFonts w:cs="Times New Roman"/>
          <w:color w:val="000000"/>
        </w:rPr>
        <w:t>°</w:t>
      </w:r>
      <w:r>
        <w:rPr>
          <w:rFonts w:hint="eastAsia"/>
        </w:rPr>
        <w:t>21'19.8139"。</w:t>
      </w:r>
      <w:r>
        <w:rPr>
          <w:kern w:val="24"/>
        </w:rPr>
        <w:t>项目地理位置详见附图1</w:t>
      </w:r>
      <w:r>
        <w:rPr>
          <w:color w:val="000000"/>
        </w:rPr>
        <w:t>。</w:t>
      </w:r>
    </w:p>
    <w:p>
      <w:pPr>
        <w:pStyle w:val="4"/>
      </w:pPr>
      <w:bookmarkStart w:id="163" w:name="_Toc194481163"/>
      <w:r>
        <w:t>4.1.</w:t>
      </w:r>
      <w:r>
        <w:rPr>
          <w:rFonts w:hint="eastAsia"/>
        </w:rPr>
        <w:t>2</w:t>
      </w:r>
      <w:r>
        <w:t xml:space="preserve"> </w:t>
      </w:r>
      <w:r>
        <w:rPr>
          <w:rFonts w:hint="eastAsia"/>
        </w:rPr>
        <w:t>地形地貌</w:t>
      </w:r>
      <w:bookmarkEnd w:id="163"/>
    </w:p>
    <w:p>
      <w:pPr>
        <w:pStyle w:val="49"/>
        <w:ind w:firstLine="480"/>
        <w:rPr>
          <w:szCs w:val="32"/>
        </w:rPr>
      </w:pPr>
      <w:r>
        <w:rPr>
          <w:szCs w:val="32"/>
        </w:rPr>
        <w:t>永州市位于</w:t>
      </w:r>
      <w:r>
        <w:fldChar w:fldCharType="begin"/>
      </w:r>
      <w:r>
        <w:instrText xml:space="preserve"> HYPERLINK "http://baike.baidu.com/view/14560.htm" \t "_blank" </w:instrText>
      </w:r>
      <w:r>
        <w:fldChar w:fldCharType="separate"/>
      </w:r>
      <w:r>
        <w:rPr>
          <w:szCs w:val="32"/>
        </w:rPr>
        <w:t>湖南省</w:t>
      </w:r>
      <w:r>
        <w:rPr>
          <w:szCs w:val="32"/>
        </w:rPr>
        <w:fldChar w:fldCharType="end"/>
      </w:r>
      <w:r>
        <w:rPr>
          <w:szCs w:val="32"/>
        </w:rPr>
        <w:t>西南东三面环山、向东北开口的马蹄形盆地的南缘。境内地貌复杂多样，奇峰秀岭逶迤蜿蜒，河川溪涧纵横交错，山岗盆地相间分布。在全市3366.55万亩土地总面积中，</w:t>
      </w:r>
      <w:r>
        <w:fldChar w:fldCharType="begin"/>
      </w:r>
      <w:r>
        <w:instrText xml:space="preserve">HYPERLINK "http://baike.baidu.com/view/26000.htm" \t "_blank"</w:instrText>
      </w:r>
      <w:r>
        <w:fldChar w:fldCharType="separate"/>
      </w:r>
      <w:r>
        <w:rPr>
          <w:szCs w:val="32"/>
        </w:rPr>
        <w:t>平原</w:t>
      </w:r>
      <w:r>
        <w:fldChar w:fldCharType="end"/>
      </w:r>
      <w:r>
        <w:rPr>
          <w:szCs w:val="32"/>
        </w:rPr>
        <w:t>面积478.67万亩，占14.29%；</w:t>
      </w:r>
      <w:r>
        <w:fldChar w:fldCharType="begin"/>
      </w:r>
      <w:r>
        <w:instrText xml:space="preserve">HYPERLINK "http://baike.baidu.com/view/2525776.htm" \t "_blank"</w:instrText>
      </w:r>
      <w:r>
        <w:fldChar w:fldCharType="separate"/>
      </w:r>
      <w:r>
        <w:rPr>
          <w:szCs w:val="32"/>
        </w:rPr>
        <w:t>岗地</w:t>
      </w:r>
      <w:r>
        <w:fldChar w:fldCharType="end"/>
      </w:r>
      <w:r>
        <w:rPr>
          <w:szCs w:val="32"/>
        </w:rPr>
        <w:t>面积596.87万亩，占17.81%；丘陵面积486.3万亩，占4.51%；山地面积1656.68万亩，占49.45%。从总体上看，全市大体呈现</w:t>
      </w:r>
      <w:r>
        <w:rPr>
          <w:rFonts w:hint="eastAsia"/>
          <w:szCs w:val="32"/>
        </w:rPr>
        <w:t>“</w:t>
      </w:r>
      <w:r>
        <w:rPr>
          <w:szCs w:val="32"/>
        </w:rPr>
        <w:t>七山半水分半田，一分道路和庄园</w:t>
      </w:r>
      <w:r>
        <w:rPr>
          <w:rFonts w:hint="eastAsia"/>
          <w:szCs w:val="32"/>
        </w:rPr>
        <w:t>”</w:t>
      </w:r>
      <w:r>
        <w:rPr>
          <w:szCs w:val="32"/>
        </w:rPr>
        <w:t>的格局。基本特征可以概括为以下三个方面：</w:t>
      </w:r>
      <w:r>
        <w:fldChar w:fldCharType="begin"/>
      </w:r>
      <w:r>
        <w:instrText xml:space="preserve"> HYPERLINK "http://baike.baidu.com/view/171154.htm" \t "_blank" </w:instrText>
      </w:r>
      <w:r>
        <w:fldChar w:fldCharType="separate"/>
      </w:r>
      <w:r>
        <w:rPr>
          <w:szCs w:val="32"/>
        </w:rPr>
        <w:t>三山</w:t>
      </w:r>
      <w:r>
        <w:rPr>
          <w:szCs w:val="32"/>
        </w:rPr>
        <w:fldChar w:fldCharType="end"/>
      </w:r>
      <w:r>
        <w:rPr>
          <w:szCs w:val="32"/>
        </w:rPr>
        <w:t>围夹两盆地，呈向东北倾斜的山字形地貌轮廓；西南高，东北及中部低，地表切割强烈；地貌类型复杂，以丘岗山地为主。</w:t>
      </w:r>
    </w:p>
    <w:p>
      <w:pPr>
        <w:pStyle w:val="49"/>
        <w:ind w:firstLine="480"/>
        <w:rPr>
          <w:szCs w:val="32"/>
        </w:rPr>
      </w:pPr>
      <w:r>
        <w:rPr>
          <w:szCs w:val="32"/>
        </w:rPr>
        <w:t>冷水滩区地处</w:t>
      </w:r>
      <w:r>
        <w:fldChar w:fldCharType="begin"/>
      </w:r>
      <w:r>
        <w:instrText xml:space="preserve"> HYPERLINK "http://baike.baidu.com/view/152031.htm" \t "_blank" </w:instrText>
      </w:r>
      <w:r>
        <w:fldChar w:fldCharType="separate"/>
      </w:r>
      <w:r>
        <w:rPr>
          <w:szCs w:val="32"/>
        </w:rPr>
        <w:t>越城岭</w:t>
      </w:r>
      <w:r>
        <w:rPr>
          <w:szCs w:val="32"/>
        </w:rPr>
        <w:fldChar w:fldCharType="end"/>
      </w:r>
      <w:r>
        <w:rPr>
          <w:szCs w:val="32"/>
        </w:rPr>
        <w:t>山脉、零祁盆地的北部，四明山下，北、东、西三面高，中、南部较低平，整个地势近似背北朝南的</w:t>
      </w:r>
      <w:r>
        <w:rPr>
          <w:rFonts w:hint="eastAsia"/>
          <w:szCs w:val="32"/>
        </w:rPr>
        <w:t>“</w:t>
      </w:r>
      <w:r>
        <w:rPr>
          <w:szCs w:val="32"/>
        </w:rPr>
        <w:t>簸箕形</w:t>
      </w:r>
      <w:r>
        <w:rPr>
          <w:rFonts w:hint="eastAsia"/>
          <w:szCs w:val="32"/>
        </w:rPr>
        <w:t>”</w:t>
      </w:r>
      <w:r>
        <w:rPr>
          <w:szCs w:val="32"/>
        </w:rPr>
        <w:t>，境内以</w:t>
      </w:r>
      <w:r>
        <w:fldChar w:fldCharType="begin"/>
      </w:r>
      <w:r>
        <w:instrText xml:space="preserve"> HYPERLINK "http://baike.baidu.com/view/170085.htm" \t "_blank" </w:instrText>
      </w:r>
      <w:r>
        <w:fldChar w:fldCharType="separate"/>
      </w:r>
      <w:r>
        <w:rPr>
          <w:szCs w:val="32"/>
        </w:rPr>
        <w:t>杨村</w:t>
      </w:r>
      <w:r>
        <w:rPr>
          <w:szCs w:val="32"/>
        </w:rPr>
        <w:fldChar w:fldCharType="end"/>
      </w:r>
      <w:r>
        <w:rPr>
          <w:szCs w:val="32"/>
        </w:rPr>
        <w:t>甸腾云岭为最高峰，海拔1044米，最低是香花坝乡哲洲滩，海拔80.3米，最大高差963.7米，地貌特点以岗、平为主，山、丘、水兼有。其中山地85.13平方公里，占7%，绝大部分布在区境北缘；丘陵232.82平方公里，占19.1%；平原386.6平方公里，占31.64%，水面113.22平方公里，占9.27%；岗地401.37平方公里，占32.95%；地貌类型齐全。地质为海相沉积的碳酸盐岩，土壤为灰岩红壤和灰岩黄红壤。根据《中国地震动峰值加速度区划图》，永州市地震动峰值加速度分区为0.05g，对照地震烈度Ⅵ度，可不考虑地震设防或简易设防。</w:t>
      </w:r>
    </w:p>
    <w:p>
      <w:pPr>
        <w:pStyle w:val="4"/>
      </w:pPr>
      <w:bookmarkStart w:id="164" w:name="_Toc194481164"/>
      <w:r>
        <w:t>4.1.3 气候气象</w:t>
      </w:r>
      <w:bookmarkEnd w:id="164"/>
    </w:p>
    <w:p>
      <w:pPr>
        <w:pStyle w:val="49"/>
        <w:ind w:firstLine="480"/>
      </w:pPr>
      <w:r>
        <w:rPr>
          <w:rFonts w:cs="Times New Roman"/>
        </w:rPr>
        <w:t>1</w:t>
      </w:r>
      <w:r>
        <w:rPr>
          <w:rFonts w:hint="eastAsia"/>
        </w:rPr>
        <w:t>、</w:t>
      </w:r>
      <w:r>
        <w:t>地面气象资料</w:t>
      </w:r>
    </w:p>
    <w:p>
      <w:pPr>
        <w:pStyle w:val="49"/>
        <w:ind w:firstLine="480"/>
      </w:pPr>
      <w:r>
        <w:rPr>
          <w:rFonts w:hint="eastAsia"/>
        </w:rPr>
        <w:t>（1）</w:t>
      </w:r>
      <w:r>
        <w:t>气候特征</w:t>
      </w:r>
    </w:p>
    <w:p>
      <w:pPr>
        <w:pStyle w:val="49"/>
        <w:ind w:firstLine="480"/>
      </w:pPr>
      <w:r>
        <w:t>永州市所在地属中亚热带季风湿润气候，夏季炎热，春寒冬冷，冬夏长、春秋短。主要气候特征为：气候资源丰富，温、光、水基本同季，有利于农作物和植被生长；气候类型多样，主体层次明显；气候年际和季节变化大，低温冷寒明显，旱涝比较频繁，是自然灾害多发区。</w:t>
      </w:r>
    </w:p>
    <w:p>
      <w:pPr>
        <w:pStyle w:val="49"/>
        <w:ind w:firstLine="480"/>
      </w:pPr>
      <w:r>
        <w:rPr>
          <w:rFonts w:hint="eastAsia"/>
        </w:rPr>
        <w:t>（2）</w:t>
      </w:r>
      <w:r>
        <w:t>地面气象要素</w:t>
      </w:r>
    </w:p>
    <w:p>
      <w:pPr>
        <w:spacing w:line="360" w:lineRule="auto"/>
        <w:ind w:firstLine="480" w:firstLineChars="200"/>
        <w:rPr>
          <w:rFonts w:hint="eastAsia"/>
          <w:color w:val="000000"/>
        </w:rPr>
      </w:pPr>
      <w:r>
        <w:rPr>
          <w:color w:val="000000"/>
        </w:rPr>
        <w:t>下表给出了冷水滩区历年的气温、气压、湿度、降水量、蒸发量等地面气象要素的统计结果。</w:t>
      </w:r>
    </w:p>
    <w:p>
      <w:pPr>
        <w:pStyle w:val="51"/>
        <w:spacing w:line="360" w:lineRule="auto"/>
        <w:rPr>
          <w:b/>
          <w:bCs/>
        </w:rPr>
      </w:pPr>
      <w:r>
        <w:rPr>
          <w:b/>
          <w:bCs/>
        </w:rPr>
        <w:t>表4.1-1 历年各月平均气温、气压、湿度、降水量、蒸发量、日照量统计表</w:t>
      </w:r>
    </w:p>
    <w:tbl>
      <w:tblPr>
        <w:tblStyle w:val="39"/>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9"/>
        <w:gridCol w:w="567"/>
        <w:gridCol w:w="737"/>
        <w:gridCol w:w="634"/>
        <w:gridCol w:w="529"/>
        <w:gridCol w:w="529"/>
        <w:gridCol w:w="529"/>
        <w:gridCol w:w="529"/>
        <w:gridCol w:w="529"/>
        <w:gridCol w:w="529"/>
        <w:gridCol w:w="529"/>
        <w:gridCol w:w="529"/>
        <w:gridCol w:w="634"/>
        <w:gridCol w:w="634"/>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1276" w:type="dxa"/>
            <w:gridSpan w:val="2"/>
            <w:tcBorders>
              <w:tl2br w:val="single" w:color="auto" w:sz="4" w:space="0"/>
            </w:tcBorders>
            <w:vAlign w:val="center"/>
          </w:tcPr>
          <w:p>
            <w:pPr>
              <w:pStyle w:val="51"/>
            </w:pPr>
            <w:r>
              <w:rPr>
                <w:rFonts w:hint="eastAsia"/>
              </w:rPr>
              <w:t xml:space="preserve">             </w:t>
            </w:r>
            <w:r>
              <w:t>月份</w:t>
            </w:r>
          </w:p>
          <w:p>
            <w:pPr>
              <w:pStyle w:val="51"/>
              <w:jc w:val="left"/>
            </w:pPr>
            <w:r>
              <w:t>项目</w:t>
            </w:r>
          </w:p>
        </w:tc>
        <w:tc>
          <w:tcPr>
            <w:tcW w:w="737" w:type="dxa"/>
            <w:vAlign w:val="center"/>
          </w:tcPr>
          <w:p>
            <w:pPr>
              <w:pStyle w:val="51"/>
            </w:pPr>
            <w:r>
              <w:t>1</w:t>
            </w:r>
          </w:p>
        </w:tc>
        <w:tc>
          <w:tcPr>
            <w:tcW w:w="634" w:type="dxa"/>
            <w:vAlign w:val="center"/>
          </w:tcPr>
          <w:p>
            <w:pPr>
              <w:pStyle w:val="51"/>
            </w:pPr>
            <w:r>
              <w:t>2</w:t>
            </w:r>
          </w:p>
        </w:tc>
        <w:tc>
          <w:tcPr>
            <w:tcW w:w="529" w:type="dxa"/>
            <w:vAlign w:val="center"/>
          </w:tcPr>
          <w:p>
            <w:pPr>
              <w:pStyle w:val="51"/>
            </w:pPr>
            <w:r>
              <w:t>3</w:t>
            </w:r>
          </w:p>
        </w:tc>
        <w:tc>
          <w:tcPr>
            <w:tcW w:w="529" w:type="dxa"/>
            <w:vAlign w:val="center"/>
          </w:tcPr>
          <w:p>
            <w:pPr>
              <w:pStyle w:val="51"/>
            </w:pPr>
            <w:r>
              <w:t>4</w:t>
            </w:r>
          </w:p>
        </w:tc>
        <w:tc>
          <w:tcPr>
            <w:tcW w:w="529" w:type="dxa"/>
            <w:vAlign w:val="center"/>
          </w:tcPr>
          <w:p>
            <w:pPr>
              <w:pStyle w:val="51"/>
            </w:pPr>
            <w:r>
              <w:t>5</w:t>
            </w:r>
          </w:p>
        </w:tc>
        <w:tc>
          <w:tcPr>
            <w:tcW w:w="529" w:type="dxa"/>
            <w:vAlign w:val="center"/>
          </w:tcPr>
          <w:p>
            <w:pPr>
              <w:pStyle w:val="51"/>
            </w:pPr>
            <w:r>
              <w:t>6</w:t>
            </w:r>
          </w:p>
        </w:tc>
        <w:tc>
          <w:tcPr>
            <w:tcW w:w="529" w:type="dxa"/>
            <w:vAlign w:val="center"/>
          </w:tcPr>
          <w:p>
            <w:pPr>
              <w:pStyle w:val="51"/>
            </w:pPr>
            <w:r>
              <w:t>7</w:t>
            </w:r>
          </w:p>
        </w:tc>
        <w:tc>
          <w:tcPr>
            <w:tcW w:w="529" w:type="dxa"/>
            <w:vAlign w:val="center"/>
          </w:tcPr>
          <w:p>
            <w:pPr>
              <w:pStyle w:val="51"/>
            </w:pPr>
            <w:r>
              <w:t>8</w:t>
            </w:r>
          </w:p>
        </w:tc>
        <w:tc>
          <w:tcPr>
            <w:tcW w:w="529" w:type="dxa"/>
            <w:vAlign w:val="center"/>
          </w:tcPr>
          <w:p>
            <w:pPr>
              <w:pStyle w:val="51"/>
            </w:pPr>
            <w:r>
              <w:t>9</w:t>
            </w:r>
          </w:p>
        </w:tc>
        <w:tc>
          <w:tcPr>
            <w:tcW w:w="529" w:type="dxa"/>
            <w:vAlign w:val="center"/>
          </w:tcPr>
          <w:p>
            <w:pPr>
              <w:pStyle w:val="51"/>
            </w:pPr>
            <w:r>
              <w:t>10</w:t>
            </w:r>
          </w:p>
        </w:tc>
        <w:tc>
          <w:tcPr>
            <w:tcW w:w="634" w:type="dxa"/>
            <w:vAlign w:val="center"/>
          </w:tcPr>
          <w:p>
            <w:pPr>
              <w:pStyle w:val="51"/>
            </w:pPr>
            <w:r>
              <w:t>11</w:t>
            </w:r>
          </w:p>
        </w:tc>
        <w:tc>
          <w:tcPr>
            <w:tcW w:w="634" w:type="dxa"/>
            <w:vAlign w:val="center"/>
          </w:tcPr>
          <w:p>
            <w:pPr>
              <w:pStyle w:val="51"/>
            </w:pPr>
            <w:r>
              <w:t>12</w:t>
            </w:r>
          </w:p>
        </w:tc>
        <w:tc>
          <w:tcPr>
            <w:tcW w:w="901" w:type="dxa"/>
            <w:vAlign w:val="center"/>
          </w:tcPr>
          <w:p>
            <w:pPr>
              <w:pStyle w:val="51"/>
            </w:pPr>
            <w:r>
              <w:t>年平均或全年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Merge w:val="restart"/>
            <w:vAlign w:val="center"/>
          </w:tcPr>
          <w:p>
            <w:pPr>
              <w:pStyle w:val="51"/>
            </w:pPr>
            <w:r>
              <w:t>气温℃</w:t>
            </w:r>
          </w:p>
        </w:tc>
        <w:tc>
          <w:tcPr>
            <w:tcW w:w="567" w:type="dxa"/>
            <w:vAlign w:val="center"/>
          </w:tcPr>
          <w:p>
            <w:pPr>
              <w:pStyle w:val="51"/>
            </w:pPr>
            <w:r>
              <w:t>平均</w:t>
            </w:r>
          </w:p>
        </w:tc>
        <w:tc>
          <w:tcPr>
            <w:tcW w:w="737" w:type="dxa"/>
            <w:vAlign w:val="center"/>
          </w:tcPr>
          <w:p>
            <w:pPr>
              <w:pStyle w:val="51"/>
            </w:pPr>
            <w:r>
              <w:t>5.8</w:t>
            </w:r>
          </w:p>
        </w:tc>
        <w:tc>
          <w:tcPr>
            <w:tcW w:w="634" w:type="dxa"/>
            <w:vAlign w:val="center"/>
          </w:tcPr>
          <w:p>
            <w:pPr>
              <w:pStyle w:val="51"/>
            </w:pPr>
            <w:r>
              <w:t>7.2</w:t>
            </w:r>
          </w:p>
        </w:tc>
        <w:tc>
          <w:tcPr>
            <w:tcW w:w="529" w:type="dxa"/>
            <w:vAlign w:val="center"/>
          </w:tcPr>
          <w:p>
            <w:pPr>
              <w:pStyle w:val="51"/>
            </w:pPr>
            <w:r>
              <w:t>11.8</w:t>
            </w:r>
          </w:p>
        </w:tc>
        <w:tc>
          <w:tcPr>
            <w:tcW w:w="529" w:type="dxa"/>
            <w:vAlign w:val="center"/>
          </w:tcPr>
          <w:p>
            <w:pPr>
              <w:pStyle w:val="51"/>
            </w:pPr>
            <w:r>
              <w:t>17.5</w:t>
            </w:r>
          </w:p>
        </w:tc>
        <w:tc>
          <w:tcPr>
            <w:tcW w:w="529" w:type="dxa"/>
            <w:vAlign w:val="center"/>
          </w:tcPr>
          <w:p>
            <w:pPr>
              <w:pStyle w:val="51"/>
            </w:pPr>
            <w:r>
              <w:t>22.1</w:t>
            </w:r>
          </w:p>
        </w:tc>
        <w:tc>
          <w:tcPr>
            <w:tcW w:w="529" w:type="dxa"/>
            <w:vAlign w:val="center"/>
          </w:tcPr>
          <w:p>
            <w:pPr>
              <w:pStyle w:val="51"/>
            </w:pPr>
            <w:r>
              <w:t>26.0</w:t>
            </w:r>
          </w:p>
        </w:tc>
        <w:tc>
          <w:tcPr>
            <w:tcW w:w="529" w:type="dxa"/>
            <w:vAlign w:val="center"/>
          </w:tcPr>
          <w:p>
            <w:pPr>
              <w:pStyle w:val="51"/>
            </w:pPr>
            <w:r>
              <w:t>29.1</w:t>
            </w:r>
          </w:p>
        </w:tc>
        <w:tc>
          <w:tcPr>
            <w:tcW w:w="529" w:type="dxa"/>
            <w:vAlign w:val="center"/>
          </w:tcPr>
          <w:p>
            <w:pPr>
              <w:pStyle w:val="51"/>
            </w:pPr>
            <w:r>
              <w:t>28.1</w:t>
            </w:r>
          </w:p>
        </w:tc>
        <w:tc>
          <w:tcPr>
            <w:tcW w:w="529" w:type="dxa"/>
            <w:vAlign w:val="center"/>
          </w:tcPr>
          <w:p>
            <w:pPr>
              <w:pStyle w:val="51"/>
            </w:pPr>
            <w:r>
              <w:t>24.7</w:t>
            </w:r>
          </w:p>
        </w:tc>
        <w:tc>
          <w:tcPr>
            <w:tcW w:w="529" w:type="dxa"/>
            <w:vAlign w:val="center"/>
          </w:tcPr>
          <w:p>
            <w:pPr>
              <w:pStyle w:val="51"/>
            </w:pPr>
            <w:r>
              <w:t>19.2</w:t>
            </w:r>
          </w:p>
        </w:tc>
        <w:tc>
          <w:tcPr>
            <w:tcW w:w="634" w:type="dxa"/>
            <w:vAlign w:val="center"/>
          </w:tcPr>
          <w:p>
            <w:pPr>
              <w:pStyle w:val="51"/>
            </w:pPr>
            <w:r>
              <w:t>13.3</w:t>
            </w:r>
          </w:p>
        </w:tc>
        <w:tc>
          <w:tcPr>
            <w:tcW w:w="634" w:type="dxa"/>
            <w:vAlign w:val="center"/>
          </w:tcPr>
          <w:p>
            <w:pPr>
              <w:pStyle w:val="51"/>
            </w:pPr>
            <w:r>
              <w:t>8.2</w:t>
            </w:r>
          </w:p>
        </w:tc>
        <w:tc>
          <w:tcPr>
            <w:tcW w:w="901" w:type="dxa"/>
            <w:vAlign w:val="center"/>
          </w:tcPr>
          <w:p>
            <w:pPr>
              <w:pStyle w:val="51"/>
            </w:pPr>
            <w: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Merge w:val="continue"/>
            <w:vAlign w:val="center"/>
          </w:tcPr>
          <w:p>
            <w:pPr>
              <w:pStyle w:val="51"/>
            </w:pPr>
          </w:p>
        </w:tc>
        <w:tc>
          <w:tcPr>
            <w:tcW w:w="567" w:type="dxa"/>
            <w:vAlign w:val="center"/>
          </w:tcPr>
          <w:p>
            <w:pPr>
              <w:pStyle w:val="51"/>
            </w:pPr>
            <w:r>
              <w:t>平均</w:t>
            </w:r>
          </w:p>
          <w:p>
            <w:pPr>
              <w:pStyle w:val="51"/>
            </w:pPr>
            <w:r>
              <w:t>最低</w:t>
            </w:r>
          </w:p>
        </w:tc>
        <w:tc>
          <w:tcPr>
            <w:tcW w:w="737" w:type="dxa"/>
            <w:vAlign w:val="center"/>
          </w:tcPr>
          <w:p>
            <w:pPr>
              <w:pStyle w:val="51"/>
            </w:pPr>
            <w:r>
              <w:t>3.1</w:t>
            </w:r>
          </w:p>
        </w:tc>
        <w:tc>
          <w:tcPr>
            <w:tcW w:w="634" w:type="dxa"/>
            <w:vAlign w:val="center"/>
          </w:tcPr>
          <w:p>
            <w:pPr>
              <w:pStyle w:val="51"/>
            </w:pPr>
            <w:r>
              <w:t>4.7</w:t>
            </w:r>
          </w:p>
        </w:tc>
        <w:tc>
          <w:tcPr>
            <w:tcW w:w="529" w:type="dxa"/>
            <w:vAlign w:val="center"/>
          </w:tcPr>
          <w:p>
            <w:pPr>
              <w:pStyle w:val="51"/>
            </w:pPr>
            <w:r>
              <w:t>9.1</w:t>
            </w:r>
          </w:p>
        </w:tc>
        <w:tc>
          <w:tcPr>
            <w:tcW w:w="529" w:type="dxa"/>
            <w:vAlign w:val="center"/>
          </w:tcPr>
          <w:p>
            <w:pPr>
              <w:pStyle w:val="51"/>
            </w:pPr>
            <w:r>
              <w:t>14.5</w:t>
            </w:r>
          </w:p>
        </w:tc>
        <w:tc>
          <w:tcPr>
            <w:tcW w:w="529" w:type="dxa"/>
            <w:vAlign w:val="center"/>
          </w:tcPr>
          <w:p>
            <w:pPr>
              <w:pStyle w:val="51"/>
            </w:pPr>
            <w:r>
              <w:t>19.0</w:t>
            </w:r>
          </w:p>
        </w:tc>
        <w:tc>
          <w:tcPr>
            <w:tcW w:w="529" w:type="dxa"/>
            <w:vAlign w:val="center"/>
          </w:tcPr>
          <w:p>
            <w:pPr>
              <w:pStyle w:val="51"/>
            </w:pPr>
            <w:r>
              <w:t>22.9</w:t>
            </w:r>
          </w:p>
        </w:tc>
        <w:tc>
          <w:tcPr>
            <w:tcW w:w="529" w:type="dxa"/>
            <w:vAlign w:val="center"/>
          </w:tcPr>
          <w:p>
            <w:pPr>
              <w:pStyle w:val="51"/>
            </w:pPr>
            <w:r>
              <w:t>25.5</w:t>
            </w:r>
          </w:p>
        </w:tc>
        <w:tc>
          <w:tcPr>
            <w:tcW w:w="529" w:type="dxa"/>
            <w:vAlign w:val="center"/>
          </w:tcPr>
          <w:p>
            <w:pPr>
              <w:pStyle w:val="51"/>
            </w:pPr>
            <w:r>
              <w:t>24.5</w:t>
            </w:r>
          </w:p>
        </w:tc>
        <w:tc>
          <w:tcPr>
            <w:tcW w:w="529" w:type="dxa"/>
            <w:vAlign w:val="center"/>
          </w:tcPr>
          <w:p>
            <w:pPr>
              <w:pStyle w:val="51"/>
            </w:pPr>
            <w:r>
              <w:t>21.1</w:t>
            </w:r>
          </w:p>
        </w:tc>
        <w:tc>
          <w:tcPr>
            <w:tcW w:w="529" w:type="dxa"/>
            <w:vAlign w:val="center"/>
          </w:tcPr>
          <w:p>
            <w:pPr>
              <w:pStyle w:val="51"/>
            </w:pPr>
            <w:r>
              <w:t>15.8</w:t>
            </w:r>
          </w:p>
        </w:tc>
        <w:tc>
          <w:tcPr>
            <w:tcW w:w="634" w:type="dxa"/>
            <w:vAlign w:val="center"/>
          </w:tcPr>
          <w:p>
            <w:pPr>
              <w:pStyle w:val="51"/>
            </w:pPr>
            <w:r>
              <w:t>10.2</w:t>
            </w:r>
          </w:p>
        </w:tc>
        <w:tc>
          <w:tcPr>
            <w:tcW w:w="634" w:type="dxa"/>
            <w:vAlign w:val="center"/>
          </w:tcPr>
          <w:p>
            <w:pPr>
              <w:pStyle w:val="51"/>
            </w:pPr>
            <w:r>
              <w:t>5.3</w:t>
            </w:r>
          </w:p>
        </w:tc>
        <w:tc>
          <w:tcPr>
            <w:tcW w:w="901" w:type="dxa"/>
            <w:vAlign w:val="center"/>
          </w:tcPr>
          <w:p>
            <w:pPr>
              <w:pStyle w:val="51"/>
            </w:pPr>
            <w: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Merge w:val="continue"/>
            <w:vAlign w:val="center"/>
          </w:tcPr>
          <w:p>
            <w:pPr>
              <w:pStyle w:val="51"/>
            </w:pPr>
          </w:p>
        </w:tc>
        <w:tc>
          <w:tcPr>
            <w:tcW w:w="567" w:type="dxa"/>
            <w:vAlign w:val="center"/>
          </w:tcPr>
          <w:p>
            <w:pPr>
              <w:pStyle w:val="51"/>
            </w:pPr>
            <w:r>
              <w:t>平均</w:t>
            </w:r>
          </w:p>
          <w:p>
            <w:pPr>
              <w:pStyle w:val="51"/>
            </w:pPr>
            <w:r>
              <w:t>最高</w:t>
            </w:r>
          </w:p>
        </w:tc>
        <w:tc>
          <w:tcPr>
            <w:tcW w:w="737" w:type="dxa"/>
            <w:vAlign w:val="center"/>
          </w:tcPr>
          <w:p>
            <w:pPr>
              <w:pStyle w:val="51"/>
            </w:pPr>
            <w:r>
              <w:t>9.4</w:t>
            </w:r>
          </w:p>
        </w:tc>
        <w:tc>
          <w:tcPr>
            <w:tcW w:w="634" w:type="dxa"/>
            <w:vAlign w:val="center"/>
          </w:tcPr>
          <w:p>
            <w:pPr>
              <w:pStyle w:val="51"/>
            </w:pPr>
            <w:r>
              <w:t>10.7</w:t>
            </w:r>
          </w:p>
        </w:tc>
        <w:tc>
          <w:tcPr>
            <w:tcW w:w="529" w:type="dxa"/>
            <w:vAlign w:val="center"/>
          </w:tcPr>
          <w:p>
            <w:pPr>
              <w:pStyle w:val="51"/>
            </w:pPr>
            <w:r>
              <w:t>15.6</w:t>
            </w:r>
          </w:p>
        </w:tc>
        <w:tc>
          <w:tcPr>
            <w:tcW w:w="529" w:type="dxa"/>
            <w:vAlign w:val="center"/>
          </w:tcPr>
          <w:p>
            <w:pPr>
              <w:pStyle w:val="51"/>
            </w:pPr>
            <w:r>
              <w:t>21.6</w:t>
            </w:r>
          </w:p>
        </w:tc>
        <w:tc>
          <w:tcPr>
            <w:tcW w:w="529" w:type="dxa"/>
            <w:vAlign w:val="center"/>
          </w:tcPr>
          <w:p>
            <w:pPr>
              <w:pStyle w:val="51"/>
            </w:pPr>
            <w:r>
              <w:t>26.4</w:t>
            </w:r>
          </w:p>
        </w:tc>
        <w:tc>
          <w:tcPr>
            <w:tcW w:w="529" w:type="dxa"/>
            <w:vAlign w:val="center"/>
          </w:tcPr>
          <w:p>
            <w:pPr>
              <w:pStyle w:val="51"/>
            </w:pPr>
            <w:r>
              <w:t>30.5</w:t>
            </w:r>
          </w:p>
        </w:tc>
        <w:tc>
          <w:tcPr>
            <w:tcW w:w="529" w:type="dxa"/>
            <w:vAlign w:val="center"/>
          </w:tcPr>
          <w:p>
            <w:pPr>
              <w:pStyle w:val="51"/>
            </w:pPr>
            <w:r>
              <w:t>34.1</w:t>
            </w:r>
          </w:p>
        </w:tc>
        <w:tc>
          <w:tcPr>
            <w:tcW w:w="529" w:type="dxa"/>
            <w:vAlign w:val="center"/>
          </w:tcPr>
          <w:p>
            <w:pPr>
              <w:pStyle w:val="51"/>
            </w:pPr>
            <w:r>
              <w:t>33.4</w:t>
            </w:r>
          </w:p>
        </w:tc>
        <w:tc>
          <w:tcPr>
            <w:tcW w:w="529" w:type="dxa"/>
            <w:vAlign w:val="center"/>
          </w:tcPr>
          <w:p>
            <w:pPr>
              <w:pStyle w:val="51"/>
            </w:pPr>
            <w:r>
              <w:t>29.6</w:t>
            </w:r>
          </w:p>
        </w:tc>
        <w:tc>
          <w:tcPr>
            <w:tcW w:w="529" w:type="dxa"/>
            <w:vAlign w:val="center"/>
          </w:tcPr>
          <w:p>
            <w:pPr>
              <w:pStyle w:val="51"/>
            </w:pPr>
            <w:r>
              <w:t>24.0</w:t>
            </w:r>
          </w:p>
        </w:tc>
        <w:tc>
          <w:tcPr>
            <w:tcW w:w="634" w:type="dxa"/>
            <w:vAlign w:val="center"/>
          </w:tcPr>
          <w:p>
            <w:pPr>
              <w:pStyle w:val="51"/>
            </w:pPr>
            <w:r>
              <w:t>17.6</w:t>
            </w:r>
          </w:p>
        </w:tc>
        <w:tc>
          <w:tcPr>
            <w:tcW w:w="634" w:type="dxa"/>
            <w:vAlign w:val="center"/>
          </w:tcPr>
          <w:p>
            <w:pPr>
              <w:pStyle w:val="51"/>
            </w:pPr>
            <w:r>
              <w:t>12.2</w:t>
            </w:r>
          </w:p>
        </w:tc>
        <w:tc>
          <w:tcPr>
            <w:tcW w:w="901" w:type="dxa"/>
            <w:vAlign w:val="center"/>
          </w:tcPr>
          <w:p>
            <w:pPr>
              <w:pStyle w:val="51"/>
            </w:pPr>
            <w: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Align w:val="center"/>
          </w:tcPr>
          <w:p>
            <w:pPr>
              <w:pStyle w:val="51"/>
            </w:pPr>
            <w:r>
              <w:t>气压hpa</w:t>
            </w:r>
          </w:p>
        </w:tc>
        <w:tc>
          <w:tcPr>
            <w:tcW w:w="567" w:type="dxa"/>
            <w:vAlign w:val="center"/>
          </w:tcPr>
          <w:p>
            <w:pPr>
              <w:pStyle w:val="51"/>
            </w:pPr>
            <w:r>
              <w:t>平均</w:t>
            </w:r>
          </w:p>
        </w:tc>
        <w:tc>
          <w:tcPr>
            <w:tcW w:w="737" w:type="dxa"/>
            <w:vAlign w:val="center"/>
          </w:tcPr>
          <w:p>
            <w:pPr>
              <w:pStyle w:val="51"/>
            </w:pPr>
            <w:r>
              <w:t>1004.7</w:t>
            </w:r>
          </w:p>
        </w:tc>
        <w:tc>
          <w:tcPr>
            <w:tcW w:w="634" w:type="dxa"/>
            <w:vAlign w:val="center"/>
          </w:tcPr>
          <w:p>
            <w:pPr>
              <w:pStyle w:val="51"/>
            </w:pPr>
            <w:r>
              <w:t>1002.4</w:t>
            </w:r>
          </w:p>
        </w:tc>
        <w:tc>
          <w:tcPr>
            <w:tcW w:w="529" w:type="dxa"/>
            <w:vAlign w:val="center"/>
          </w:tcPr>
          <w:p>
            <w:pPr>
              <w:pStyle w:val="51"/>
            </w:pPr>
            <w:r>
              <w:t>998.4</w:t>
            </w:r>
          </w:p>
        </w:tc>
        <w:tc>
          <w:tcPr>
            <w:tcW w:w="529" w:type="dxa"/>
            <w:vAlign w:val="center"/>
          </w:tcPr>
          <w:p>
            <w:pPr>
              <w:pStyle w:val="51"/>
            </w:pPr>
            <w:r>
              <w:t>993.9</w:t>
            </w:r>
          </w:p>
        </w:tc>
        <w:tc>
          <w:tcPr>
            <w:tcW w:w="529" w:type="dxa"/>
            <w:vAlign w:val="center"/>
          </w:tcPr>
          <w:p>
            <w:pPr>
              <w:pStyle w:val="51"/>
            </w:pPr>
            <w:r>
              <w:t>989.7</w:t>
            </w:r>
          </w:p>
        </w:tc>
        <w:tc>
          <w:tcPr>
            <w:tcW w:w="529" w:type="dxa"/>
            <w:vAlign w:val="center"/>
          </w:tcPr>
          <w:p>
            <w:pPr>
              <w:pStyle w:val="51"/>
            </w:pPr>
            <w:r>
              <w:t>985.9</w:t>
            </w:r>
          </w:p>
        </w:tc>
        <w:tc>
          <w:tcPr>
            <w:tcW w:w="529" w:type="dxa"/>
            <w:vAlign w:val="center"/>
          </w:tcPr>
          <w:p>
            <w:pPr>
              <w:pStyle w:val="51"/>
            </w:pPr>
            <w:r>
              <w:t>984.1</w:t>
            </w:r>
          </w:p>
        </w:tc>
        <w:tc>
          <w:tcPr>
            <w:tcW w:w="529" w:type="dxa"/>
            <w:vAlign w:val="center"/>
          </w:tcPr>
          <w:p>
            <w:pPr>
              <w:pStyle w:val="51"/>
            </w:pPr>
            <w:r>
              <w:t>985.7</w:t>
            </w:r>
          </w:p>
        </w:tc>
        <w:tc>
          <w:tcPr>
            <w:tcW w:w="529" w:type="dxa"/>
            <w:vAlign w:val="center"/>
          </w:tcPr>
          <w:p>
            <w:pPr>
              <w:pStyle w:val="51"/>
            </w:pPr>
            <w:r>
              <w:t>991.7</w:t>
            </w:r>
          </w:p>
        </w:tc>
        <w:tc>
          <w:tcPr>
            <w:tcW w:w="529" w:type="dxa"/>
            <w:vAlign w:val="center"/>
          </w:tcPr>
          <w:p>
            <w:pPr>
              <w:pStyle w:val="51"/>
            </w:pPr>
            <w:r>
              <w:t>998.5</w:t>
            </w:r>
          </w:p>
        </w:tc>
        <w:tc>
          <w:tcPr>
            <w:tcW w:w="634" w:type="dxa"/>
            <w:vAlign w:val="center"/>
          </w:tcPr>
          <w:p>
            <w:pPr>
              <w:pStyle w:val="51"/>
            </w:pPr>
            <w:r>
              <w:t>1002.7</w:t>
            </w:r>
          </w:p>
        </w:tc>
        <w:tc>
          <w:tcPr>
            <w:tcW w:w="634" w:type="dxa"/>
            <w:vAlign w:val="center"/>
          </w:tcPr>
          <w:p>
            <w:pPr>
              <w:pStyle w:val="51"/>
            </w:pPr>
            <w:r>
              <w:t>1004.7</w:t>
            </w:r>
          </w:p>
        </w:tc>
        <w:tc>
          <w:tcPr>
            <w:tcW w:w="901" w:type="dxa"/>
            <w:vAlign w:val="center"/>
          </w:tcPr>
          <w:p>
            <w:pPr>
              <w:pStyle w:val="51"/>
            </w:pPr>
            <w:r>
              <w:t>995.2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Align w:val="center"/>
          </w:tcPr>
          <w:p>
            <w:pPr>
              <w:pStyle w:val="51"/>
            </w:pPr>
            <w:r>
              <w:t>相对湿度%</w:t>
            </w:r>
          </w:p>
        </w:tc>
        <w:tc>
          <w:tcPr>
            <w:tcW w:w="567" w:type="dxa"/>
            <w:vAlign w:val="center"/>
          </w:tcPr>
          <w:p>
            <w:pPr>
              <w:pStyle w:val="51"/>
            </w:pPr>
            <w:r>
              <w:t>平均</w:t>
            </w:r>
          </w:p>
        </w:tc>
        <w:tc>
          <w:tcPr>
            <w:tcW w:w="737" w:type="dxa"/>
            <w:vAlign w:val="center"/>
          </w:tcPr>
          <w:p>
            <w:pPr>
              <w:pStyle w:val="51"/>
            </w:pPr>
            <w:r>
              <w:t>79</w:t>
            </w:r>
          </w:p>
        </w:tc>
        <w:tc>
          <w:tcPr>
            <w:tcW w:w="634" w:type="dxa"/>
            <w:vAlign w:val="center"/>
          </w:tcPr>
          <w:p>
            <w:pPr>
              <w:pStyle w:val="51"/>
            </w:pPr>
            <w:r>
              <w:t>82</w:t>
            </w:r>
          </w:p>
        </w:tc>
        <w:tc>
          <w:tcPr>
            <w:tcW w:w="529" w:type="dxa"/>
            <w:vAlign w:val="center"/>
          </w:tcPr>
          <w:p>
            <w:pPr>
              <w:pStyle w:val="51"/>
            </w:pPr>
            <w:r>
              <w:t>83</w:t>
            </w:r>
          </w:p>
        </w:tc>
        <w:tc>
          <w:tcPr>
            <w:tcW w:w="529" w:type="dxa"/>
            <w:vAlign w:val="center"/>
          </w:tcPr>
          <w:p>
            <w:pPr>
              <w:pStyle w:val="51"/>
            </w:pPr>
            <w:r>
              <w:t>82</w:t>
            </w:r>
          </w:p>
        </w:tc>
        <w:tc>
          <w:tcPr>
            <w:tcW w:w="529" w:type="dxa"/>
            <w:vAlign w:val="center"/>
          </w:tcPr>
          <w:p>
            <w:pPr>
              <w:pStyle w:val="51"/>
            </w:pPr>
            <w:r>
              <w:t>82</w:t>
            </w:r>
          </w:p>
        </w:tc>
        <w:tc>
          <w:tcPr>
            <w:tcW w:w="529" w:type="dxa"/>
            <w:vAlign w:val="center"/>
          </w:tcPr>
          <w:p>
            <w:pPr>
              <w:pStyle w:val="51"/>
            </w:pPr>
            <w:r>
              <w:t>79</w:t>
            </w:r>
          </w:p>
        </w:tc>
        <w:tc>
          <w:tcPr>
            <w:tcW w:w="529" w:type="dxa"/>
            <w:vAlign w:val="center"/>
          </w:tcPr>
          <w:p>
            <w:pPr>
              <w:pStyle w:val="51"/>
            </w:pPr>
            <w:r>
              <w:t>72</w:t>
            </w:r>
          </w:p>
        </w:tc>
        <w:tc>
          <w:tcPr>
            <w:tcW w:w="529" w:type="dxa"/>
            <w:vAlign w:val="center"/>
          </w:tcPr>
          <w:p>
            <w:pPr>
              <w:pStyle w:val="51"/>
            </w:pPr>
            <w:r>
              <w:t>75</w:t>
            </w:r>
          </w:p>
        </w:tc>
        <w:tc>
          <w:tcPr>
            <w:tcW w:w="529" w:type="dxa"/>
            <w:vAlign w:val="center"/>
          </w:tcPr>
          <w:p>
            <w:pPr>
              <w:pStyle w:val="51"/>
            </w:pPr>
            <w:r>
              <w:t>75</w:t>
            </w:r>
          </w:p>
        </w:tc>
        <w:tc>
          <w:tcPr>
            <w:tcW w:w="529" w:type="dxa"/>
            <w:vAlign w:val="center"/>
          </w:tcPr>
          <w:p>
            <w:pPr>
              <w:pStyle w:val="51"/>
            </w:pPr>
            <w:r>
              <w:t>75</w:t>
            </w:r>
          </w:p>
        </w:tc>
        <w:tc>
          <w:tcPr>
            <w:tcW w:w="634" w:type="dxa"/>
            <w:vAlign w:val="center"/>
          </w:tcPr>
          <w:p>
            <w:pPr>
              <w:pStyle w:val="51"/>
            </w:pPr>
            <w:r>
              <w:t>77</w:t>
            </w:r>
          </w:p>
        </w:tc>
        <w:tc>
          <w:tcPr>
            <w:tcW w:w="634" w:type="dxa"/>
            <w:vAlign w:val="center"/>
          </w:tcPr>
          <w:p>
            <w:pPr>
              <w:pStyle w:val="51"/>
            </w:pPr>
            <w:r>
              <w:t>78</w:t>
            </w:r>
          </w:p>
        </w:tc>
        <w:tc>
          <w:tcPr>
            <w:tcW w:w="901" w:type="dxa"/>
            <w:vAlign w:val="center"/>
          </w:tcPr>
          <w:p>
            <w:pPr>
              <w:pStyle w:val="51"/>
            </w:pPr>
            <w: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Align w:val="center"/>
          </w:tcPr>
          <w:p>
            <w:pPr>
              <w:pStyle w:val="51"/>
            </w:pPr>
            <w:r>
              <w:t>降水量mm</w:t>
            </w:r>
          </w:p>
        </w:tc>
        <w:tc>
          <w:tcPr>
            <w:tcW w:w="567" w:type="dxa"/>
            <w:vAlign w:val="center"/>
          </w:tcPr>
          <w:p>
            <w:pPr>
              <w:pStyle w:val="51"/>
            </w:pPr>
            <w:r>
              <w:t>平均</w:t>
            </w:r>
          </w:p>
        </w:tc>
        <w:tc>
          <w:tcPr>
            <w:tcW w:w="737" w:type="dxa"/>
            <w:vAlign w:val="center"/>
          </w:tcPr>
          <w:p>
            <w:pPr>
              <w:pStyle w:val="51"/>
            </w:pPr>
            <w:r>
              <w:t>65.7</w:t>
            </w:r>
          </w:p>
        </w:tc>
        <w:tc>
          <w:tcPr>
            <w:tcW w:w="634" w:type="dxa"/>
            <w:vAlign w:val="center"/>
          </w:tcPr>
          <w:p>
            <w:pPr>
              <w:pStyle w:val="51"/>
            </w:pPr>
            <w:r>
              <w:t>90.0</w:t>
            </w:r>
          </w:p>
        </w:tc>
        <w:tc>
          <w:tcPr>
            <w:tcW w:w="529" w:type="dxa"/>
            <w:vAlign w:val="center"/>
          </w:tcPr>
          <w:p>
            <w:pPr>
              <w:pStyle w:val="51"/>
            </w:pPr>
            <w:r>
              <w:t>135.5</w:t>
            </w:r>
          </w:p>
        </w:tc>
        <w:tc>
          <w:tcPr>
            <w:tcW w:w="529" w:type="dxa"/>
            <w:vAlign w:val="center"/>
          </w:tcPr>
          <w:p>
            <w:pPr>
              <w:pStyle w:val="51"/>
            </w:pPr>
            <w:r>
              <w:t>220.7</w:t>
            </w:r>
          </w:p>
        </w:tc>
        <w:tc>
          <w:tcPr>
            <w:tcW w:w="529" w:type="dxa"/>
            <w:vAlign w:val="center"/>
          </w:tcPr>
          <w:p>
            <w:pPr>
              <w:pStyle w:val="51"/>
            </w:pPr>
            <w:r>
              <w:t>234.1</w:t>
            </w:r>
          </w:p>
        </w:tc>
        <w:tc>
          <w:tcPr>
            <w:tcW w:w="529" w:type="dxa"/>
            <w:vAlign w:val="center"/>
          </w:tcPr>
          <w:p>
            <w:pPr>
              <w:pStyle w:val="51"/>
            </w:pPr>
            <w:r>
              <w:t>170.6</w:t>
            </w:r>
          </w:p>
        </w:tc>
        <w:tc>
          <w:tcPr>
            <w:tcW w:w="529" w:type="dxa"/>
            <w:vAlign w:val="center"/>
          </w:tcPr>
          <w:p>
            <w:pPr>
              <w:pStyle w:val="51"/>
            </w:pPr>
            <w:r>
              <w:t>101.5</w:t>
            </w:r>
          </w:p>
        </w:tc>
        <w:tc>
          <w:tcPr>
            <w:tcW w:w="529" w:type="dxa"/>
            <w:vAlign w:val="center"/>
          </w:tcPr>
          <w:p>
            <w:pPr>
              <w:pStyle w:val="51"/>
            </w:pPr>
            <w:r>
              <w:t>126.6</w:t>
            </w:r>
          </w:p>
        </w:tc>
        <w:tc>
          <w:tcPr>
            <w:tcW w:w="529" w:type="dxa"/>
            <w:vAlign w:val="center"/>
          </w:tcPr>
          <w:p>
            <w:pPr>
              <w:pStyle w:val="51"/>
            </w:pPr>
            <w:r>
              <w:t>63.2</w:t>
            </w:r>
          </w:p>
        </w:tc>
        <w:tc>
          <w:tcPr>
            <w:tcW w:w="529" w:type="dxa"/>
            <w:vAlign w:val="center"/>
          </w:tcPr>
          <w:p>
            <w:pPr>
              <w:pStyle w:val="51"/>
            </w:pPr>
            <w:r>
              <w:t>73.2</w:t>
            </w:r>
          </w:p>
        </w:tc>
        <w:tc>
          <w:tcPr>
            <w:tcW w:w="634" w:type="dxa"/>
            <w:vAlign w:val="center"/>
          </w:tcPr>
          <w:p>
            <w:pPr>
              <w:pStyle w:val="51"/>
            </w:pPr>
            <w:r>
              <w:t>75.1</w:t>
            </w:r>
          </w:p>
        </w:tc>
        <w:tc>
          <w:tcPr>
            <w:tcW w:w="634" w:type="dxa"/>
            <w:vAlign w:val="center"/>
          </w:tcPr>
          <w:p>
            <w:pPr>
              <w:pStyle w:val="51"/>
            </w:pPr>
            <w:r>
              <w:t>55.9</w:t>
            </w:r>
          </w:p>
        </w:tc>
        <w:tc>
          <w:tcPr>
            <w:tcW w:w="901" w:type="dxa"/>
            <w:vAlign w:val="center"/>
          </w:tcPr>
          <w:p>
            <w:pPr>
              <w:pStyle w:val="51"/>
            </w:pPr>
            <w:r>
              <w:t>1411.9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Align w:val="center"/>
          </w:tcPr>
          <w:p>
            <w:pPr>
              <w:pStyle w:val="51"/>
            </w:pPr>
            <w:r>
              <w:t>蒸发量mm</w:t>
            </w:r>
          </w:p>
        </w:tc>
        <w:tc>
          <w:tcPr>
            <w:tcW w:w="567" w:type="dxa"/>
            <w:vAlign w:val="center"/>
          </w:tcPr>
          <w:p>
            <w:pPr>
              <w:pStyle w:val="51"/>
            </w:pPr>
            <w:r>
              <w:t>平均</w:t>
            </w:r>
          </w:p>
        </w:tc>
        <w:tc>
          <w:tcPr>
            <w:tcW w:w="737" w:type="dxa"/>
            <w:vAlign w:val="center"/>
          </w:tcPr>
          <w:p>
            <w:pPr>
              <w:pStyle w:val="51"/>
            </w:pPr>
            <w:r>
              <w:t>49.9</w:t>
            </w:r>
          </w:p>
        </w:tc>
        <w:tc>
          <w:tcPr>
            <w:tcW w:w="634" w:type="dxa"/>
            <w:vAlign w:val="center"/>
          </w:tcPr>
          <w:p>
            <w:pPr>
              <w:pStyle w:val="51"/>
            </w:pPr>
            <w:r>
              <w:t>49.0</w:t>
            </w:r>
          </w:p>
        </w:tc>
        <w:tc>
          <w:tcPr>
            <w:tcW w:w="529" w:type="dxa"/>
            <w:vAlign w:val="center"/>
          </w:tcPr>
          <w:p>
            <w:pPr>
              <w:pStyle w:val="51"/>
            </w:pPr>
            <w:r>
              <w:t>73.4</w:t>
            </w:r>
          </w:p>
        </w:tc>
        <w:tc>
          <w:tcPr>
            <w:tcW w:w="529" w:type="dxa"/>
            <w:vAlign w:val="center"/>
          </w:tcPr>
          <w:p>
            <w:pPr>
              <w:pStyle w:val="51"/>
            </w:pPr>
            <w:r>
              <w:t>103.3</w:t>
            </w:r>
          </w:p>
        </w:tc>
        <w:tc>
          <w:tcPr>
            <w:tcW w:w="529" w:type="dxa"/>
            <w:vAlign w:val="center"/>
          </w:tcPr>
          <w:p>
            <w:pPr>
              <w:pStyle w:val="51"/>
            </w:pPr>
            <w:r>
              <w:t>122.4</w:t>
            </w:r>
          </w:p>
        </w:tc>
        <w:tc>
          <w:tcPr>
            <w:tcW w:w="529" w:type="dxa"/>
            <w:vAlign w:val="center"/>
          </w:tcPr>
          <w:p>
            <w:pPr>
              <w:pStyle w:val="51"/>
            </w:pPr>
            <w:r>
              <w:t>161.9</w:t>
            </w:r>
          </w:p>
        </w:tc>
        <w:tc>
          <w:tcPr>
            <w:tcW w:w="529" w:type="dxa"/>
            <w:vAlign w:val="center"/>
          </w:tcPr>
          <w:p>
            <w:pPr>
              <w:pStyle w:val="51"/>
            </w:pPr>
            <w:r>
              <w:t>242.6</w:t>
            </w:r>
          </w:p>
        </w:tc>
        <w:tc>
          <w:tcPr>
            <w:tcW w:w="529" w:type="dxa"/>
            <w:vAlign w:val="center"/>
          </w:tcPr>
          <w:p>
            <w:pPr>
              <w:pStyle w:val="51"/>
            </w:pPr>
            <w:r>
              <w:t>209.2</w:t>
            </w:r>
          </w:p>
        </w:tc>
        <w:tc>
          <w:tcPr>
            <w:tcW w:w="529" w:type="dxa"/>
            <w:vAlign w:val="center"/>
          </w:tcPr>
          <w:p>
            <w:pPr>
              <w:pStyle w:val="51"/>
            </w:pPr>
            <w:r>
              <w:t>173.2</w:t>
            </w:r>
          </w:p>
        </w:tc>
        <w:tc>
          <w:tcPr>
            <w:tcW w:w="529" w:type="dxa"/>
            <w:vAlign w:val="center"/>
          </w:tcPr>
          <w:p>
            <w:pPr>
              <w:pStyle w:val="51"/>
            </w:pPr>
            <w:r>
              <w:t>131.4</w:t>
            </w:r>
          </w:p>
        </w:tc>
        <w:tc>
          <w:tcPr>
            <w:tcW w:w="634" w:type="dxa"/>
            <w:vAlign w:val="center"/>
          </w:tcPr>
          <w:p>
            <w:pPr>
              <w:pStyle w:val="51"/>
            </w:pPr>
            <w:r>
              <w:t>83.3</w:t>
            </w:r>
          </w:p>
        </w:tc>
        <w:tc>
          <w:tcPr>
            <w:tcW w:w="634" w:type="dxa"/>
            <w:vAlign w:val="center"/>
          </w:tcPr>
          <w:p>
            <w:pPr>
              <w:pStyle w:val="51"/>
            </w:pPr>
            <w:r>
              <w:t>61.0</w:t>
            </w:r>
          </w:p>
        </w:tc>
        <w:tc>
          <w:tcPr>
            <w:tcW w:w="901" w:type="dxa"/>
            <w:vAlign w:val="center"/>
          </w:tcPr>
          <w:p>
            <w:pPr>
              <w:pStyle w:val="51"/>
            </w:pPr>
            <w:r>
              <w:t>1460.6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Merge w:val="restart"/>
            <w:vAlign w:val="center"/>
          </w:tcPr>
          <w:p>
            <w:pPr>
              <w:pStyle w:val="51"/>
            </w:pPr>
            <w:r>
              <w:t>日照量</w:t>
            </w:r>
          </w:p>
        </w:tc>
        <w:tc>
          <w:tcPr>
            <w:tcW w:w="567" w:type="dxa"/>
            <w:vAlign w:val="center"/>
          </w:tcPr>
          <w:p>
            <w:pPr>
              <w:pStyle w:val="51"/>
            </w:pPr>
            <w:r>
              <w:t>时数hr</w:t>
            </w:r>
          </w:p>
        </w:tc>
        <w:tc>
          <w:tcPr>
            <w:tcW w:w="737" w:type="dxa"/>
            <w:vAlign w:val="center"/>
          </w:tcPr>
          <w:p>
            <w:pPr>
              <w:pStyle w:val="51"/>
            </w:pPr>
            <w:r>
              <w:t>76.3</w:t>
            </w:r>
          </w:p>
        </w:tc>
        <w:tc>
          <w:tcPr>
            <w:tcW w:w="634" w:type="dxa"/>
            <w:vAlign w:val="center"/>
          </w:tcPr>
          <w:p>
            <w:pPr>
              <w:pStyle w:val="51"/>
            </w:pPr>
            <w:r>
              <w:t>57.1</w:t>
            </w:r>
          </w:p>
        </w:tc>
        <w:tc>
          <w:tcPr>
            <w:tcW w:w="529" w:type="dxa"/>
            <w:vAlign w:val="center"/>
          </w:tcPr>
          <w:p>
            <w:pPr>
              <w:pStyle w:val="51"/>
            </w:pPr>
            <w:r>
              <w:t>73.3</w:t>
            </w:r>
          </w:p>
        </w:tc>
        <w:tc>
          <w:tcPr>
            <w:tcW w:w="529" w:type="dxa"/>
            <w:vAlign w:val="center"/>
          </w:tcPr>
          <w:p>
            <w:pPr>
              <w:pStyle w:val="51"/>
            </w:pPr>
            <w:r>
              <w:t>98.4</w:t>
            </w:r>
          </w:p>
        </w:tc>
        <w:tc>
          <w:tcPr>
            <w:tcW w:w="529" w:type="dxa"/>
            <w:vAlign w:val="center"/>
          </w:tcPr>
          <w:p>
            <w:pPr>
              <w:pStyle w:val="51"/>
            </w:pPr>
            <w:r>
              <w:t>118.8</w:t>
            </w:r>
          </w:p>
        </w:tc>
        <w:tc>
          <w:tcPr>
            <w:tcW w:w="529" w:type="dxa"/>
            <w:vAlign w:val="center"/>
          </w:tcPr>
          <w:p>
            <w:pPr>
              <w:pStyle w:val="51"/>
            </w:pPr>
            <w:r>
              <w:t>158.7</w:t>
            </w:r>
          </w:p>
        </w:tc>
        <w:tc>
          <w:tcPr>
            <w:tcW w:w="529" w:type="dxa"/>
            <w:vAlign w:val="center"/>
          </w:tcPr>
          <w:p>
            <w:pPr>
              <w:pStyle w:val="51"/>
            </w:pPr>
            <w:r>
              <w:t>261.2</w:t>
            </w:r>
          </w:p>
        </w:tc>
        <w:tc>
          <w:tcPr>
            <w:tcW w:w="529" w:type="dxa"/>
            <w:vAlign w:val="center"/>
          </w:tcPr>
          <w:p>
            <w:pPr>
              <w:pStyle w:val="51"/>
            </w:pPr>
            <w:r>
              <w:t>234.2</w:t>
            </w:r>
          </w:p>
        </w:tc>
        <w:tc>
          <w:tcPr>
            <w:tcW w:w="529" w:type="dxa"/>
            <w:vAlign w:val="center"/>
          </w:tcPr>
          <w:p>
            <w:pPr>
              <w:pStyle w:val="51"/>
            </w:pPr>
            <w:r>
              <w:t>180.0</w:t>
            </w:r>
          </w:p>
        </w:tc>
        <w:tc>
          <w:tcPr>
            <w:tcW w:w="529" w:type="dxa"/>
            <w:vAlign w:val="center"/>
          </w:tcPr>
          <w:p>
            <w:pPr>
              <w:pStyle w:val="51"/>
            </w:pPr>
            <w:r>
              <w:t>143.5</w:t>
            </w:r>
          </w:p>
        </w:tc>
        <w:tc>
          <w:tcPr>
            <w:tcW w:w="634" w:type="dxa"/>
            <w:vAlign w:val="center"/>
          </w:tcPr>
          <w:p>
            <w:pPr>
              <w:pStyle w:val="51"/>
            </w:pPr>
            <w:r>
              <w:t>120.4</w:t>
            </w:r>
          </w:p>
        </w:tc>
        <w:tc>
          <w:tcPr>
            <w:tcW w:w="634" w:type="dxa"/>
            <w:vAlign w:val="center"/>
          </w:tcPr>
          <w:p>
            <w:pPr>
              <w:pStyle w:val="51"/>
            </w:pPr>
            <w:r>
              <w:t>104.1</w:t>
            </w:r>
          </w:p>
        </w:tc>
        <w:tc>
          <w:tcPr>
            <w:tcW w:w="901" w:type="dxa"/>
            <w:vAlign w:val="center"/>
          </w:tcPr>
          <w:p>
            <w:pPr>
              <w:pStyle w:val="51"/>
            </w:pPr>
            <w:r>
              <w:t>1623.1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09" w:type="dxa"/>
            <w:vMerge w:val="continue"/>
            <w:vAlign w:val="center"/>
          </w:tcPr>
          <w:p>
            <w:pPr>
              <w:pStyle w:val="51"/>
            </w:pPr>
          </w:p>
        </w:tc>
        <w:tc>
          <w:tcPr>
            <w:tcW w:w="567" w:type="dxa"/>
            <w:vAlign w:val="center"/>
          </w:tcPr>
          <w:p>
            <w:pPr>
              <w:pStyle w:val="51"/>
            </w:pPr>
            <w:r>
              <w:t>百分率%</w:t>
            </w:r>
          </w:p>
        </w:tc>
        <w:tc>
          <w:tcPr>
            <w:tcW w:w="737" w:type="dxa"/>
            <w:vAlign w:val="center"/>
          </w:tcPr>
          <w:p>
            <w:pPr>
              <w:pStyle w:val="51"/>
            </w:pPr>
            <w:r>
              <w:t>23</w:t>
            </w:r>
          </w:p>
        </w:tc>
        <w:tc>
          <w:tcPr>
            <w:tcW w:w="634" w:type="dxa"/>
            <w:vAlign w:val="center"/>
          </w:tcPr>
          <w:p>
            <w:pPr>
              <w:pStyle w:val="51"/>
            </w:pPr>
            <w:r>
              <w:t>13</w:t>
            </w:r>
          </w:p>
        </w:tc>
        <w:tc>
          <w:tcPr>
            <w:tcW w:w="529" w:type="dxa"/>
            <w:vAlign w:val="center"/>
          </w:tcPr>
          <w:p>
            <w:pPr>
              <w:pStyle w:val="51"/>
            </w:pPr>
            <w:r>
              <w:t>20</w:t>
            </w:r>
          </w:p>
        </w:tc>
        <w:tc>
          <w:tcPr>
            <w:tcW w:w="529" w:type="dxa"/>
            <w:vAlign w:val="center"/>
          </w:tcPr>
          <w:p>
            <w:pPr>
              <w:pStyle w:val="51"/>
            </w:pPr>
            <w:r>
              <w:t>26</w:t>
            </w:r>
          </w:p>
        </w:tc>
        <w:tc>
          <w:tcPr>
            <w:tcW w:w="529" w:type="dxa"/>
            <w:vAlign w:val="center"/>
          </w:tcPr>
          <w:p>
            <w:pPr>
              <w:pStyle w:val="51"/>
            </w:pPr>
            <w:r>
              <w:t>29</w:t>
            </w:r>
          </w:p>
        </w:tc>
        <w:tc>
          <w:tcPr>
            <w:tcW w:w="529" w:type="dxa"/>
            <w:vAlign w:val="center"/>
          </w:tcPr>
          <w:p>
            <w:pPr>
              <w:pStyle w:val="51"/>
            </w:pPr>
            <w:r>
              <w:t>39</w:t>
            </w:r>
          </w:p>
        </w:tc>
        <w:tc>
          <w:tcPr>
            <w:tcW w:w="529" w:type="dxa"/>
            <w:vAlign w:val="center"/>
          </w:tcPr>
          <w:p>
            <w:pPr>
              <w:pStyle w:val="51"/>
            </w:pPr>
            <w:r>
              <w:t>62</w:t>
            </w:r>
          </w:p>
        </w:tc>
        <w:tc>
          <w:tcPr>
            <w:tcW w:w="529" w:type="dxa"/>
            <w:vAlign w:val="center"/>
          </w:tcPr>
          <w:p>
            <w:pPr>
              <w:pStyle w:val="51"/>
            </w:pPr>
            <w:r>
              <w:t>58</w:t>
            </w:r>
          </w:p>
        </w:tc>
        <w:tc>
          <w:tcPr>
            <w:tcW w:w="529" w:type="dxa"/>
            <w:vAlign w:val="center"/>
          </w:tcPr>
          <w:p>
            <w:pPr>
              <w:pStyle w:val="51"/>
            </w:pPr>
            <w:r>
              <w:t>49</w:t>
            </w:r>
          </w:p>
        </w:tc>
        <w:tc>
          <w:tcPr>
            <w:tcW w:w="529" w:type="dxa"/>
            <w:vAlign w:val="center"/>
          </w:tcPr>
          <w:p>
            <w:pPr>
              <w:pStyle w:val="51"/>
            </w:pPr>
            <w:r>
              <w:t>40</w:t>
            </w:r>
          </w:p>
        </w:tc>
        <w:tc>
          <w:tcPr>
            <w:tcW w:w="634" w:type="dxa"/>
            <w:vAlign w:val="center"/>
          </w:tcPr>
          <w:p>
            <w:pPr>
              <w:pStyle w:val="51"/>
            </w:pPr>
            <w:r>
              <w:t>37</w:t>
            </w:r>
          </w:p>
        </w:tc>
        <w:tc>
          <w:tcPr>
            <w:tcW w:w="634" w:type="dxa"/>
            <w:vAlign w:val="center"/>
          </w:tcPr>
          <w:p>
            <w:pPr>
              <w:pStyle w:val="51"/>
            </w:pPr>
            <w:r>
              <w:t>32</w:t>
            </w:r>
          </w:p>
        </w:tc>
        <w:tc>
          <w:tcPr>
            <w:tcW w:w="901" w:type="dxa"/>
            <w:vAlign w:val="center"/>
          </w:tcPr>
          <w:p>
            <w:pPr>
              <w:pStyle w:val="51"/>
            </w:pPr>
            <w:r>
              <w:t>37</w:t>
            </w:r>
          </w:p>
        </w:tc>
      </w:tr>
    </w:tbl>
    <w:p>
      <w:pPr>
        <w:pStyle w:val="49"/>
        <w:ind w:firstLine="480"/>
      </w:pPr>
      <w:r>
        <w:rPr>
          <w:rFonts w:hint="eastAsia"/>
        </w:rPr>
        <w:t>2、</w:t>
      </w:r>
      <w:r>
        <w:t>风向风速</w:t>
      </w:r>
    </w:p>
    <w:p>
      <w:pPr>
        <w:pStyle w:val="49"/>
        <w:ind w:firstLine="480"/>
      </w:pPr>
      <w:r>
        <w:t>评价地区盛行NE风，频率为18%，其次为NNE、N及S风，频率分别为11%、10%和8%。全年静风频率为22%，ESE、SE、SSE、WSW和W五向的风频很小，合计仅为8%。NW和WNW风的频率为0%。评价地区年平均风速为2.3m/s，一年中以七月风速为最大，10、11、12、1、2等五个月的风速较小，因此在冬季不利于大气污染物扩散。一天中白天风速大，夜间风速小，最大风速出现在中午12点左右。评价地区风向风速统计表见表4.1-2。</w:t>
      </w:r>
    </w:p>
    <w:p>
      <w:pPr>
        <w:pStyle w:val="53"/>
      </w:pPr>
      <w:r>
        <w:t>表4.1-2  评价地区风向频率及风速统计表</w:t>
      </w:r>
    </w:p>
    <w:tbl>
      <w:tblPr>
        <w:tblStyle w:val="3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779"/>
        <w:gridCol w:w="868"/>
        <w:gridCol w:w="922"/>
        <w:gridCol w:w="854"/>
        <w:gridCol w:w="946"/>
        <w:gridCol w:w="830"/>
        <w:gridCol w:w="915"/>
        <w:gridCol w:w="821"/>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0" w:type="dxa"/>
            <w:vAlign w:val="center"/>
          </w:tcPr>
          <w:p>
            <w:pPr>
              <w:pStyle w:val="201"/>
            </w:pPr>
            <w:r>
              <w:t>风向</w:t>
            </w:r>
          </w:p>
        </w:tc>
        <w:tc>
          <w:tcPr>
            <w:tcW w:w="779" w:type="dxa"/>
            <w:vAlign w:val="center"/>
          </w:tcPr>
          <w:p>
            <w:pPr>
              <w:pStyle w:val="201"/>
            </w:pPr>
            <w:r>
              <w:t>N</w:t>
            </w:r>
          </w:p>
        </w:tc>
        <w:tc>
          <w:tcPr>
            <w:tcW w:w="868" w:type="dxa"/>
            <w:vAlign w:val="center"/>
          </w:tcPr>
          <w:p>
            <w:pPr>
              <w:pStyle w:val="201"/>
            </w:pPr>
            <w:r>
              <w:t>NNE</w:t>
            </w:r>
          </w:p>
        </w:tc>
        <w:tc>
          <w:tcPr>
            <w:tcW w:w="922" w:type="dxa"/>
            <w:vAlign w:val="center"/>
          </w:tcPr>
          <w:p>
            <w:pPr>
              <w:pStyle w:val="201"/>
            </w:pPr>
            <w:r>
              <w:t>NE</w:t>
            </w:r>
          </w:p>
        </w:tc>
        <w:tc>
          <w:tcPr>
            <w:tcW w:w="854" w:type="dxa"/>
            <w:vAlign w:val="center"/>
          </w:tcPr>
          <w:p>
            <w:pPr>
              <w:pStyle w:val="201"/>
            </w:pPr>
            <w:r>
              <w:t>ENE</w:t>
            </w:r>
          </w:p>
        </w:tc>
        <w:tc>
          <w:tcPr>
            <w:tcW w:w="946" w:type="dxa"/>
            <w:vAlign w:val="center"/>
          </w:tcPr>
          <w:p>
            <w:pPr>
              <w:pStyle w:val="201"/>
            </w:pPr>
            <w:r>
              <w:t>E</w:t>
            </w:r>
          </w:p>
        </w:tc>
        <w:tc>
          <w:tcPr>
            <w:tcW w:w="830" w:type="dxa"/>
            <w:vAlign w:val="center"/>
          </w:tcPr>
          <w:p>
            <w:pPr>
              <w:pStyle w:val="201"/>
            </w:pPr>
            <w:r>
              <w:t>ESE</w:t>
            </w:r>
          </w:p>
        </w:tc>
        <w:tc>
          <w:tcPr>
            <w:tcW w:w="915" w:type="dxa"/>
            <w:vAlign w:val="center"/>
          </w:tcPr>
          <w:p>
            <w:pPr>
              <w:pStyle w:val="201"/>
            </w:pPr>
            <w:r>
              <w:t>SE</w:t>
            </w:r>
          </w:p>
        </w:tc>
        <w:tc>
          <w:tcPr>
            <w:tcW w:w="821" w:type="dxa"/>
            <w:vAlign w:val="center"/>
          </w:tcPr>
          <w:p>
            <w:pPr>
              <w:pStyle w:val="201"/>
            </w:pPr>
            <w:r>
              <w:t>SSE</w:t>
            </w:r>
          </w:p>
        </w:tc>
        <w:tc>
          <w:tcPr>
            <w:tcW w:w="756" w:type="dxa"/>
            <w:vAlign w:val="center"/>
          </w:tcPr>
          <w:p>
            <w:pPr>
              <w:pStyle w:val="201"/>
            </w:pPr>
            <w: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0" w:type="dxa"/>
            <w:vAlign w:val="center"/>
          </w:tcPr>
          <w:p>
            <w:pPr>
              <w:pStyle w:val="201"/>
            </w:pPr>
            <w:r>
              <w:t>风频(%)</w:t>
            </w:r>
          </w:p>
        </w:tc>
        <w:tc>
          <w:tcPr>
            <w:tcW w:w="779" w:type="dxa"/>
            <w:vAlign w:val="center"/>
          </w:tcPr>
          <w:p>
            <w:pPr>
              <w:pStyle w:val="201"/>
            </w:pPr>
            <w:r>
              <w:t>10</w:t>
            </w:r>
          </w:p>
        </w:tc>
        <w:tc>
          <w:tcPr>
            <w:tcW w:w="868" w:type="dxa"/>
            <w:vAlign w:val="center"/>
          </w:tcPr>
          <w:p>
            <w:pPr>
              <w:pStyle w:val="201"/>
            </w:pPr>
            <w:r>
              <w:t>11</w:t>
            </w:r>
          </w:p>
        </w:tc>
        <w:tc>
          <w:tcPr>
            <w:tcW w:w="922" w:type="dxa"/>
            <w:vAlign w:val="center"/>
          </w:tcPr>
          <w:p>
            <w:pPr>
              <w:pStyle w:val="201"/>
            </w:pPr>
            <w:r>
              <w:t>18</w:t>
            </w:r>
          </w:p>
        </w:tc>
        <w:tc>
          <w:tcPr>
            <w:tcW w:w="854" w:type="dxa"/>
            <w:vAlign w:val="center"/>
          </w:tcPr>
          <w:p>
            <w:pPr>
              <w:pStyle w:val="201"/>
            </w:pPr>
            <w:r>
              <w:t>7</w:t>
            </w:r>
          </w:p>
        </w:tc>
        <w:tc>
          <w:tcPr>
            <w:tcW w:w="946" w:type="dxa"/>
            <w:vAlign w:val="center"/>
          </w:tcPr>
          <w:p>
            <w:pPr>
              <w:pStyle w:val="201"/>
            </w:pPr>
            <w:r>
              <w:t>4</w:t>
            </w:r>
          </w:p>
        </w:tc>
        <w:tc>
          <w:tcPr>
            <w:tcW w:w="830" w:type="dxa"/>
            <w:vAlign w:val="center"/>
          </w:tcPr>
          <w:p>
            <w:pPr>
              <w:pStyle w:val="201"/>
            </w:pPr>
            <w:r>
              <w:t>2</w:t>
            </w:r>
          </w:p>
        </w:tc>
        <w:tc>
          <w:tcPr>
            <w:tcW w:w="915" w:type="dxa"/>
            <w:vAlign w:val="center"/>
          </w:tcPr>
          <w:p>
            <w:pPr>
              <w:pStyle w:val="201"/>
            </w:pPr>
            <w:r>
              <w:t>1</w:t>
            </w:r>
          </w:p>
        </w:tc>
        <w:tc>
          <w:tcPr>
            <w:tcW w:w="821" w:type="dxa"/>
            <w:vAlign w:val="center"/>
          </w:tcPr>
          <w:p>
            <w:pPr>
              <w:pStyle w:val="201"/>
            </w:pPr>
            <w:r>
              <w:t>2</w:t>
            </w:r>
          </w:p>
        </w:tc>
        <w:tc>
          <w:tcPr>
            <w:tcW w:w="756" w:type="dxa"/>
            <w:vAlign w:val="center"/>
          </w:tcPr>
          <w:p>
            <w:pPr>
              <w:pStyle w:val="201"/>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0" w:type="dxa"/>
            <w:vAlign w:val="center"/>
          </w:tcPr>
          <w:p>
            <w:pPr>
              <w:pStyle w:val="201"/>
            </w:pPr>
            <w:r>
              <w:t>风速(m/s)</w:t>
            </w:r>
          </w:p>
        </w:tc>
        <w:tc>
          <w:tcPr>
            <w:tcW w:w="779" w:type="dxa"/>
            <w:vAlign w:val="center"/>
          </w:tcPr>
          <w:p>
            <w:pPr>
              <w:pStyle w:val="201"/>
            </w:pPr>
            <w:r>
              <w:t>2.9</w:t>
            </w:r>
          </w:p>
        </w:tc>
        <w:tc>
          <w:tcPr>
            <w:tcW w:w="868" w:type="dxa"/>
            <w:vAlign w:val="center"/>
          </w:tcPr>
          <w:p>
            <w:pPr>
              <w:pStyle w:val="201"/>
            </w:pPr>
            <w:r>
              <w:t>3.0</w:t>
            </w:r>
          </w:p>
        </w:tc>
        <w:tc>
          <w:tcPr>
            <w:tcW w:w="922" w:type="dxa"/>
            <w:vAlign w:val="center"/>
          </w:tcPr>
          <w:p>
            <w:pPr>
              <w:pStyle w:val="201"/>
            </w:pPr>
            <w:r>
              <w:t>3.6</w:t>
            </w:r>
          </w:p>
        </w:tc>
        <w:tc>
          <w:tcPr>
            <w:tcW w:w="854" w:type="dxa"/>
            <w:vAlign w:val="center"/>
          </w:tcPr>
          <w:p>
            <w:pPr>
              <w:pStyle w:val="201"/>
            </w:pPr>
            <w:r>
              <w:t>2.1</w:t>
            </w:r>
          </w:p>
        </w:tc>
        <w:tc>
          <w:tcPr>
            <w:tcW w:w="946" w:type="dxa"/>
            <w:vAlign w:val="center"/>
          </w:tcPr>
          <w:p>
            <w:pPr>
              <w:pStyle w:val="201"/>
            </w:pPr>
            <w:r>
              <w:t>2.4</w:t>
            </w:r>
          </w:p>
        </w:tc>
        <w:tc>
          <w:tcPr>
            <w:tcW w:w="830" w:type="dxa"/>
            <w:vAlign w:val="center"/>
          </w:tcPr>
          <w:p>
            <w:pPr>
              <w:pStyle w:val="201"/>
            </w:pPr>
            <w:r>
              <w:t>2</w:t>
            </w:r>
          </w:p>
        </w:tc>
        <w:tc>
          <w:tcPr>
            <w:tcW w:w="915" w:type="dxa"/>
            <w:vAlign w:val="center"/>
          </w:tcPr>
          <w:p>
            <w:pPr>
              <w:pStyle w:val="201"/>
            </w:pPr>
            <w:r>
              <w:t>2.2</w:t>
            </w:r>
          </w:p>
        </w:tc>
        <w:tc>
          <w:tcPr>
            <w:tcW w:w="821" w:type="dxa"/>
            <w:vAlign w:val="center"/>
          </w:tcPr>
          <w:p>
            <w:pPr>
              <w:pStyle w:val="201"/>
            </w:pPr>
            <w:r>
              <w:t>2.3</w:t>
            </w:r>
          </w:p>
        </w:tc>
        <w:tc>
          <w:tcPr>
            <w:tcW w:w="756" w:type="dxa"/>
            <w:vAlign w:val="center"/>
          </w:tcPr>
          <w:p>
            <w:pPr>
              <w:pStyle w:val="201"/>
            </w:pPr>
            <w: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0" w:type="dxa"/>
            <w:vAlign w:val="center"/>
          </w:tcPr>
          <w:p>
            <w:pPr>
              <w:pStyle w:val="201"/>
            </w:pPr>
            <w:r>
              <w:t>风向</w:t>
            </w:r>
          </w:p>
        </w:tc>
        <w:tc>
          <w:tcPr>
            <w:tcW w:w="779" w:type="dxa"/>
            <w:vAlign w:val="center"/>
          </w:tcPr>
          <w:p>
            <w:pPr>
              <w:pStyle w:val="201"/>
            </w:pPr>
            <w:r>
              <w:t>SSW</w:t>
            </w:r>
          </w:p>
        </w:tc>
        <w:tc>
          <w:tcPr>
            <w:tcW w:w="868" w:type="dxa"/>
            <w:vAlign w:val="center"/>
          </w:tcPr>
          <w:p>
            <w:pPr>
              <w:pStyle w:val="201"/>
            </w:pPr>
            <w:r>
              <w:t>SW</w:t>
            </w:r>
          </w:p>
        </w:tc>
        <w:tc>
          <w:tcPr>
            <w:tcW w:w="922" w:type="dxa"/>
            <w:vAlign w:val="center"/>
          </w:tcPr>
          <w:p>
            <w:pPr>
              <w:pStyle w:val="201"/>
            </w:pPr>
            <w:r>
              <w:t>WSW</w:t>
            </w:r>
          </w:p>
        </w:tc>
        <w:tc>
          <w:tcPr>
            <w:tcW w:w="854" w:type="dxa"/>
            <w:vAlign w:val="center"/>
          </w:tcPr>
          <w:p>
            <w:pPr>
              <w:pStyle w:val="201"/>
            </w:pPr>
            <w:r>
              <w:t>W</w:t>
            </w:r>
          </w:p>
        </w:tc>
        <w:tc>
          <w:tcPr>
            <w:tcW w:w="946" w:type="dxa"/>
            <w:vAlign w:val="center"/>
          </w:tcPr>
          <w:p>
            <w:pPr>
              <w:pStyle w:val="201"/>
            </w:pPr>
            <w:r>
              <w:t>WNW</w:t>
            </w:r>
          </w:p>
        </w:tc>
        <w:tc>
          <w:tcPr>
            <w:tcW w:w="830" w:type="dxa"/>
            <w:vAlign w:val="center"/>
          </w:tcPr>
          <w:p>
            <w:pPr>
              <w:pStyle w:val="201"/>
            </w:pPr>
            <w:r>
              <w:t>NW</w:t>
            </w:r>
          </w:p>
        </w:tc>
        <w:tc>
          <w:tcPr>
            <w:tcW w:w="915" w:type="dxa"/>
            <w:vAlign w:val="center"/>
          </w:tcPr>
          <w:p>
            <w:pPr>
              <w:pStyle w:val="201"/>
            </w:pPr>
            <w:r>
              <w:t>NWN</w:t>
            </w:r>
          </w:p>
        </w:tc>
        <w:tc>
          <w:tcPr>
            <w:tcW w:w="821" w:type="dxa"/>
            <w:vAlign w:val="center"/>
          </w:tcPr>
          <w:p>
            <w:pPr>
              <w:pStyle w:val="201"/>
            </w:pPr>
            <w:r>
              <w:t>G</w:t>
            </w:r>
          </w:p>
        </w:tc>
        <w:tc>
          <w:tcPr>
            <w:tcW w:w="756" w:type="dxa"/>
            <w:vAlign w:val="center"/>
          </w:tcPr>
          <w:p>
            <w:pPr>
              <w:pStyle w:val="201"/>
            </w:pPr>
            <w: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0" w:type="dxa"/>
            <w:vAlign w:val="center"/>
          </w:tcPr>
          <w:p>
            <w:pPr>
              <w:pStyle w:val="201"/>
            </w:pPr>
            <w:r>
              <w:t>风频(%)</w:t>
            </w:r>
          </w:p>
        </w:tc>
        <w:tc>
          <w:tcPr>
            <w:tcW w:w="779" w:type="dxa"/>
            <w:vAlign w:val="center"/>
          </w:tcPr>
          <w:p>
            <w:pPr>
              <w:pStyle w:val="201"/>
            </w:pPr>
            <w:r>
              <w:t>6</w:t>
            </w:r>
          </w:p>
        </w:tc>
        <w:tc>
          <w:tcPr>
            <w:tcW w:w="868" w:type="dxa"/>
            <w:vAlign w:val="center"/>
          </w:tcPr>
          <w:p>
            <w:pPr>
              <w:pStyle w:val="201"/>
            </w:pPr>
            <w:r>
              <w:t>4</w:t>
            </w:r>
          </w:p>
        </w:tc>
        <w:tc>
          <w:tcPr>
            <w:tcW w:w="922" w:type="dxa"/>
            <w:vAlign w:val="center"/>
          </w:tcPr>
          <w:p>
            <w:pPr>
              <w:pStyle w:val="201"/>
            </w:pPr>
            <w:r>
              <w:t>1</w:t>
            </w:r>
          </w:p>
        </w:tc>
        <w:tc>
          <w:tcPr>
            <w:tcW w:w="854" w:type="dxa"/>
            <w:vAlign w:val="center"/>
          </w:tcPr>
          <w:p>
            <w:pPr>
              <w:pStyle w:val="201"/>
            </w:pPr>
            <w:r>
              <w:t>1</w:t>
            </w:r>
          </w:p>
        </w:tc>
        <w:tc>
          <w:tcPr>
            <w:tcW w:w="946" w:type="dxa"/>
            <w:vAlign w:val="center"/>
          </w:tcPr>
          <w:p>
            <w:pPr>
              <w:pStyle w:val="201"/>
            </w:pPr>
            <w:r>
              <w:t>0</w:t>
            </w:r>
          </w:p>
        </w:tc>
        <w:tc>
          <w:tcPr>
            <w:tcW w:w="830" w:type="dxa"/>
            <w:vAlign w:val="center"/>
          </w:tcPr>
          <w:p>
            <w:pPr>
              <w:pStyle w:val="201"/>
            </w:pPr>
            <w:r>
              <w:t>0</w:t>
            </w:r>
          </w:p>
        </w:tc>
        <w:tc>
          <w:tcPr>
            <w:tcW w:w="915" w:type="dxa"/>
            <w:vAlign w:val="center"/>
          </w:tcPr>
          <w:p>
            <w:pPr>
              <w:pStyle w:val="201"/>
            </w:pPr>
            <w:r>
              <w:t>3</w:t>
            </w:r>
          </w:p>
        </w:tc>
        <w:tc>
          <w:tcPr>
            <w:tcW w:w="821" w:type="dxa"/>
            <w:vAlign w:val="center"/>
          </w:tcPr>
          <w:p>
            <w:pPr>
              <w:pStyle w:val="201"/>
            </w:pPr>
            <w:r>
              <w:t>22</w:t>
            </w:r>
          </w:p>
        </w:tc>
        <w:tc>
          <w:tcPr>
            <w:tcW w:w="756" w:type="dxa"/>
            <w:vAlign w:val="center"/>
          </w:tcPr>
          <w:p>
            <w:pPr>
              <w:pStyle w:val="20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70" w:type="dxa"/>
            <w:vAlign w:val="center"/>
          </w:tcPr>
          <w:p>
            <w:pPr>
              <w:pStyle w:val="201"/>
            </w:pPr>
            <w:r>
              <w:t>风速(m/s)</w:t>
            </w:r>
          </w:p>
        </w:tc>
        <w:tc>
          <w:tcPr>
            <w:tcW w:w="779" w:type="dxa"/>
            <w:vAlign w:val="center"/>
          </w:tcPr>
          <w:p>
            <w:pPr>
              <w:pStyle w:val="201"/>
            </w:pPr>
            <w:r>
              <w:t>3.7</w:t>
            </w:r>
          </w:p>
        </w:tc>
        <w:tc>
          <w:tcPr>
            <w:tcW w:w="868" w:type="dxa"/>
            <w:vAlign w:val="center"/>
          </w:tcPr>
          <w:p>
            <w:pPr>
              <w:pStyle w:val="201"/>
            </w:pPr>
            <w:r>
              <w:t>4.4</w:t>
            </w:r>
          </w:p>
        </w:tc>
        <w:tc>
          <w:tcPr>
            <w:tcW w:w="922" w:type="dxa"/>
            <w:vAlign w:val="center"/>
          </w:tcPr>
          <w:p>
            <w:pPr>
              <w:pStyle w:val="201"/>
            </w:pPr>
            <w:r>
              <w:t>3.1</w:t>
            </w:r>
          </w:p>
        </w:tc>
        <w:tc>
          <w:tcPr>
            <w:tcW w:w="854" w:type="dxa"/>
            <w:vAlign w:val="center"/>
          </w:tcPr>
          <w:p>
            <w:pPr>
              <w:pStyle w:val="201"/>
            </w:pPr>
            <w:r>
              <w:t>2.8</w:t>
            </w:r>
          </w:p>
        </w:tc>
        <w:tc>
          <w:tcPr>
            <w:tcW w:w="946" w:type="dxa"/>
            <w:vAlign w:val="center"/>
          </w:tcPr>
          <w:p>
            <w:pPr>
              <w:pStyle w:val="201"/>
            </w:pPr>
            <w:r>
              <w:t>/</w:t>
            </w:r>
          </w:p>
        </w:tc>
        <w:tc>
          <w:tcPr>
            <w:tcW w:w="830" w:type="dxa"/>
            <w:vAlign w:val="center"/>
          </w:tcPr>
          <w:p>
            <w:pPr>
              <w:pStyle w:val="201"/>
            </w:pPr>
            <w:r>
              <w:t>/</w:t>
            </w:r>
          </w:p>
        </w:tc>
        <w:tc>
          <w:tcPr>
            <w:tcW w:w="915" w:type="dxa"/>
            <w:vAlign w:val="center"/>
          </w:tcPr>
          <w:p>
            <w:pPr>
              <w:pStyle w:val="201"/>
            </w:pPr>
            <w:r>
              <w:t>2.0</w:t>
            </w:r>
          </w:p>
        </w:tc>
        <w:tc>
          <w:tcPr>
            <w:tcW w:w="821" w:type="dxa"/>
            <w:vAlign w:val="center"/>
          </w:tcPr>
          <w:p>
            <w:pPr>
              <w:pStyle w:val="201"/>
            </w:pPr>
            <w:r>
              <w:t>/</w:t>
            </w:r>
          </w:p>
        </w:tc>
        <w:tc>
          <w:tcPr>
            <w:tcW w:w="756" w:type="dxa"/>
            <w:vAlign w:val="center"/>
          </w:tcPr>
          <w:p>
            <w:pPr>
              <w:pStyle w:val="201"/>
            </w:pPr>
            <w:r>
              <w:t>2.4</w:t>
            </w:r>
          </w:p>
        </w:tc>
      </w:tr>
    </w:tbl>
    <w:p>
      <w:pPr>
        <w:pStyle w:val="49"/>
        <w:ind w:firstLine="480"/>
      </w:pPr>
      <w:r>
        <w:rPr>
          <w:rFonts w:hint="eastAsia"/>
        </w:rPr>
        <w:t>3、</w:t>
      </w:r>
      <w:r>
        <w:t>逆温情况</w:t>
      </w:r>
    </w:p>
    <w:p>
      <w:pPr>
        <w:pStyle w:val="49"/>
        <w:ind w:firstLine="480"/>
      </w:pPr>
      <w:r>
        <w:t>低空气温的垂直分布，对大气污染物的扩散、稀释影响很大。当气温随高度增加而递减时，有利于大气污染物向空间的扩散、稀释；但当气温随高度增加而增加时，即出现逆温过程，不利于大气污染物的扩散稀释，容易形成“熏烟”现象，造成近地层大气污染。</w:t>
      </w:r>
    </w:p>
    <w:p>
      <w:pPr>
        <w:pStyle w:val="49"/>
        <w:ind w:firstLine="480"/>
      </w:pPr>
      <w:r>
        <w:t>根据永州市气象站观测资料分析，建设地附近以贴地辐射逆温为主，夏季逆温自19时开始至次日6时开始消散，平均强度1.2℃/100m，逆温平均厚度160m，逆温最大厚度250m；冬季逆温自19时开始至次日9时开始消散，逆温强度1.3℃/100m，逆温平均厚度200m，逆温最大厚度774m。</w:t>
      </w:r>
    </w:p>
    <w:p>
      <w:pPr>
        <w:pStyle w:val="4"/>
      </w:pPr>
      <w:bookmarkStart w:id="165" w:name="_Toc194481165"/>
      <w:r>
        <w:t xml:space="preserve">4.1.4 </w:t>
      </w:r>
      <w:r>
        <w:rPr>
          <w:rFonts w:ascii="宋体" w:hAnsi="宋体"/>
        </w:rPr>
        <w:t>水文水系</w:t>
      </w:r>
      <w:bookmarkEnd w:id="165"/>
    </w:p>
    <w:p>
      <w:pPr>
        <w:pStyle w:val="49"/>
        <w:ind w:firstLine="480"/>
      </w:pPr>
      <w:r>
        <w:rPr>
          <w:rFonts w:hint="eastAsia"/>
        </w:rPr>
        <w:t>本项目周边的河流主要为湘江。</w:t>
      </w:r>
    </w:p>
    <w:p>
      <w:pPr>
        <w:pStyle w:val="49"/>
        <w:ind w:firstLine="480"/>
      </w:pPr>
      <w:r>
        <w:rPr>
          <w:rFonts w:hint="eastAsia"/>
        </w:rPr>
        <w:t>湘江是永州境内最大的过境河，为长江主要支流之一。发源于湖南省永州市海拔近</w:t>
      </w:r>
      <w:r>
        <w:t>2000</w:t>
      </w:r>
      <w:r>
        <w:rPr>
          <w:rFonts w:hint="eastAsia"/>
        </w:rPr>
        <w:t>米的九嶷山脚蓝山县野狗山麓，上游称潇水，零陵以北开始称湘江，向东流经永州、永州、株洲、湘潭、长沙，至湘阴县入洞庭湖后归长江。全长</w:t>
      </w:r>
      <w:r>
        <w:t>817</w:t>
      </w:r>
      <w:r>
        <w:rPr>
          <w:rFonts w:hint="eastAsia"/>
        </w:rPr>
        <w:t>公里，流域面积</w:t>
      </w:r>
      <w:r>
        <w:t>92,300</w:t>
      </w:r>
      <w:r>
        <w:rPr>
          <w:rFonts w:hint="eastAsia"/>
        </w:rPr>
        <w:t>平方公里。上游水急滩多，中下游水量丰富，水流平稳。干支流大部可通航，旧时是两湖与两广的重要交通运输线路。湘江在永州市内流程</w:t>
      </w:r>
      <w:r>
        <w:t>227.2</w:t>
      </w:r>
      <w:r>
        <w:rPr>
          <w:rFonts w:hint="eastAsia"/>
        </w:rPr>
        <w:t>公里，自然落差</w:t>
      </w:r>
      <w:r>
        <w:t>55.3</w:t>
      </w:r>
      <w:r>
        <w:rPr>
          <w:rFonts w:hint="eastAsia"/>
        </w:rPr>
        <w:t>米，水量丰富，水流深，水质好，终年可通航，是境内重要的水陆交通命脉和工农业生产及人民生活用水的源泉。据老埠头水文站近期实测资料显示：每年平均流量为621m</w:t>
      </w:r>
      <w:r>
        <w:rPr>
          <w:rFonts w:hint="eastAsia"/>
          <w:vertAlign w:val="superscript"/>
        </w:rPr>
        <w:t>3</w:t>
      </w:r>
      <w:r>
        <w:rPr>
          <w:rFonts w:hint="eastAsia"/>
        </w:rPr>
        <w:t>/s，最大平均流量928m</w:t>
      </w:r>
      <w:r>
        <w:rPr>
          <w:rFonts w:hint="eastAsia"/>
          <w:vertAlign w:val="superscript"/>
        </w:rPr>
        <w:t>3</w:t>
      </w:r>
      <w:r>
        <w:rPr>
          <w:rFonts w:hint="eastAsia"/>
        </w:rPr>
        <w:t>/s，最少平均流量314 m</w:t>
      </w:r>
      <w:r>
        <w:rPr>
          <w:rFonts w:hint="eastAsia"/>
          <w:vertAlign w:val="superscript"/>
        </w:rPr>
        <w:t>3</w:t>
      </w:r>
      <w:r>
        <w:rPr>
          <w:rFonts w:hint="eastAsia"/>
        </w:rPr>
        <w:t>/s，历年实测最大洪峰流量14700m</w:t>
      </w:r>
      <w:r>
        <w:rPr>
          <w:rFonts w:hint="eastAsia"/>
          <w:vertAlign w:val="superscript"/>
        </w:rPr>
        <w:t>3</w:t>
      </w:r>
      <w:r>
        <w:rPr>
          <w:rFonts w:hint="eastAsia"/>
        </w:rPr>
        <w:t>/s。</w:t>
      </w:r>
    </w:p>
    <w:p>
      <w:pPr>
        <w:pStyle w:val="4"/>
      </w:pPr>
      <w:bookmarkStart w:id="166" w:name="_Toc194481166"/>
      <w:r>
        <w:t>4.1.5 生态环境</w:t>
      </w:r>
      <w:bookmarkEnd w:id="166"/>
    </w:p>
    <w:p>
      <w:pPr>
        <w:pStyle w:val="49"/>
        <w:ind w:firstLine="480"/>
      </w:pPr>
      <w:r>
        <w:rPr>
          <w:rFonts w:hint="eastAsia"/>
        </w:rPr>
        <w:t xml:space="preserve">永州市属湘南植被区，植被属中亚热带常绿阔叶林。多数地段为山岗丘陵地带，由于垦殖历史长，植被次生性强，岗地有成片的人工马尾松林、杉木林等，常绿阔叶林仅零星分布，森林覆盖率 </w:t>
      </w:r>
      <w:r>
        <w:rPr>
          <w:rFonts w:cs="Times New Roman"/>
        </w:rPr>
        <w:t>30%</w:t>
      </w:r>
      <w:r>
        <w:rPr>
          <w:rFonts w:hint="eastAsia"/>
        </w:rPr>
        <w:t>左右。经过漫长的物竞天择和人工选优，已经形成了以松、杉、竹、柑橘、油茶等为主的优势树种。农田以水田为主，农作物种类繁多，包含了粮、油、果、蔬等，主要有水稻、红薯、大豆、玉米、油菜、花生等。经济类农产品有柑橘、甘蔗、烟草、茶叶等。</w:t>
      </w:r>
    </w:p>
    <w:p>
      <w:pPr>
        <w:pStyle w:val="49"/>
        <w:ind w:firstLine="480"/>
      </w:pPr>
      <w:r>
        <w:rPr>
          <w:rFonts w:hint="eastAsia"/>
        </w:rPr>
        <w:t>冷水滩区境内主要是以乔、灌木为主的天然或人工植物群落，分</w:t>
      </w:r>
      <w:r>
        <w:rPr>
          <w:rFonts w:cs="Times New Roman"/>
        </w:rPr>
        <w:t>7</w:t>
      </w:r>
      <w:r>
        <w:rPr>
          <w:rFonts w:hint="eastAsia"/>
        </w:rPr>
        <w:t xml:space="preserve">大类，其中乔、灌木 </w:t>
      </w:r>
      <w:r>
        <w:rPr>
          <w:rFonts w:cs="Times New Roman"/>
        </w:rPr>
        <w:t xml:space="preserve">84 </w:t>
      </w:r>
      <w:r>
        <w:rPr>
          <w:rFonts w:hint="eastAsia"/>
        </w:rPr>
        <w:t>科、</w:t>
      </w:r>
      <w:r>
        <w:rPr>
          <w:rFonts w:cs="Times New Roman"/>
        </w:rPr>
        <w:t xml:space="preserve">230 </w:t>
      </w:r>
      <w:r>
        <w:rPr>
          <w:rFonts w:hint="eastAsia"/>
        </w:rPr>
        <w:t>属、</w:t>
      </w:r>
      <w:r>
        <w:rPr>
          <w:rFonts w:cs="Times New Roman"/>
        </w:rPr>
        <w:t xml:space="preserve">669 </w:t>
      </w:r>
      <w:r>
        <w:rPr>
          <w:rFonts w:hint="eastAsia"/>
        </w:rPr>
        <w:t xml:space="preserve">种。有林地 </w:t>
      </w:r>
      <w:r>
        <w:rPr>
          <w:rFonts w:cs="Times New Roman"/>
        </w:rPr>
        <w:t xml:space="preserve">6 </w:t>
      </w:r>
      <w:r>
        <w:rPr>
          <w:rFonts w:hint="eastAsia"/>
        </w:rPr>
        <w:t>万公顷，森林蓄积量达</w:t>
      </w:r>
      <w:r>
        <w:rPr>
          <w:rFonts w:cs="Times New Roman"/>
        </w:rPr>
        <w:t xml:space="preserve">180 </w:t>
      </w:r>
      <w:r>
        <w:rPr>
          <w:rFonts w:hint="eastAsia"/>
        </w:rPr>
        <w:t xml:space="preserve">万立方米；可开发荒地 </w:t>
      </w:r>
      <w:r>
        <w:rPr>
          <w:rFonts w:cs="Times New Roman"/>
        </w:rPr>
        <w:t>6.2</w:t>
      </w:r>
      <w:r>
        <w:rPr>
          <w:rFonts w:hint="eastAsia"/>
        </w:rPr>
        <w:t>万公顷，林果资源达</w:t>
      </w:r>
      <w:r>
        <w:rPr>
          <w:rFonts w:cs="Times New Roman"/>
        </w:rPr>
        <w:t>120</w:t>
      </w:r>
      <w:r>
        <w:rPr>
          <w:rFonts w:hint="eastAsia"/>
        </w:rPr>
        <w:t xml:space="preserve">多种，主要有杉、松、柑桔、桃、李、橙等。冷水滩区境内动物种类繁多，有野生脊椎动物 </w:t>
      </w:r>
      <w:r>
        <w:rPr>
          <w:rFonts w:cs="Times New Roman"/>
        </w:rPr>
        <w:t xml:space="preserve">3 </w:t>
      </w:r>
      <w:r>
        <w:rPr>
          <w:rFonts w:hint="eastAsia"/>
        </w:rPr>
        <w:t xml:space="preserve">类 </w:t>
      </w:r>
      <w:r>
        <w:rPr>
          <w:rFonts w:cs="Times New Roman"/>
        </w:rPr>
        <w:t xml:space="preserve">39 </w:t>
      </w:r>
      <w:r>
        <w:rPr>
          <w:rFonts w:hint="eastAsia"/>
        </w:rPr>
        <w:t xml:space="preserve">科 </w:t>
      </w:r>
      <w:r>
        <w:rPr>
          <w:rFonts w:cs="Times New Roman"/>
        </w:rPr>
        <w:t xml:space="preserve">73 </w:t>
      </w:r>
      <w:r>
        <w:rPr>
          <w:rFonts w:hint="eastAsia"/>
        </w:rPr>
        <w:t xml:space="preserve">种。有水产资源 </w:t>
      </w:r>
      <w:r>
        <w:rPr>
          <w:rFonts w:cs="Times New Roman"/>
        </w:rPr>
        <w:t>80</w:t>
      </w:r>
      <w:r>
        <w:rPr>
          <w:rFonts w:hint="eastAsia"/>
        </w:rPr>
        <w:t>余种，可养水面</w:t>
      </w:r>
      <w:r>
        <w:rPr>
          <w:rFonts w:cs="Times New Roman"/>
        </w:rPr>
        <w:t xml:space="preserve">6000 </w:t>
      </w:r>
      <w:r>
        <w:rPr>
          <w:rFonts w:hint="eastAsia"/>
        </w:rPr>
        <w:t>多公顷，以青、草、鲢、鳙、鳊、鲫、鲤、甲等鱼为主，稀有珍贵鱼种有竹鱼、回沙鱼等。</w:t>
      </w:r>
    </w:p>
    <w:p>
      <w:pPr>
        <w:pStyle w:val="49"/>
        <w:ind w:firstLine="480"/>
      </w:pPr>
      <w:r>
        <w:rPr>
          <w:rFonts w:hint="eastAsia"/>
        </w:rPr>
        <w:t>本项目及周边不涉及生态敏感区，无濒危保护植物分布。区内野生动物较少，以林地生态区常见种类为主，项目用地范围内及周边无国家保护野生动植物和古树名木分布。</w:t>
      </w:r>
    </w:p>
    <w:p>
      <w:pPr>
        <w:pStyle w:val="3"/>
      </w:pPr>
      <w:bookmarkStart w:id="167" w:name="_Toc194481167"/>
      <w:r>
        <w:rPr>
          <w:rFonts w:hint="eastAsia"/>
        </w:rPr>
        <w:t>4</w:t>
      </w:r>
      <w:r>
        <w:t>.</w:t>
      </w:r>
      <w:r>
        <w:rPr>
          <w:rFonts w:hint="eastAsia"/>
        </w:rPr>
        <w:t>2</w:t>
      </w:r>
      <w:r>
        <w:t xml:space="preserve"> </w:t>
      </w:r>
      <w:r>
        <w:rPr>
          <w:rFonts w:hint="eastAsia" w:ascii="宋体" w:hAnsi="宋体"/>
        </w:rPr>
        <w:t>环境质量现状与评价</w:t>
      </w:r>
      <w:bookmarkEnd w:id="167"/>
    </w:p>
    <w:p>
      <w:pPr>
        <w:pStyle w:val="4"/>
      </w:pPr>
      <w:bookmarkStart w:id="168" w:name="_Toc194481168"/>
      <w:r>
        <w:t>4.</w:t>
      </w:r>
      <w:r>
        <w:rPr>
          <w:rFonts w:hint="eastAsia"/>
        </w:rPr>
        <w:t>2</w:t>
      </w:r>
      <w:r>
        <w:t xml:space="preserve">.1 </w:t>
      </w:r>
      <w:r>
        <w:rPr>
          <w:rFonts w:hint="eastAsia"/>
        </w:rPr>
        <w:t>大气环境质量现状调查与评价</w:t>
      </w:r>
      <w:bookmarkEnd w:id="168"/>
    </w:p>
    <w:p>
      <w:pPr>
        <w:pStyle w:val="5"/>
      </w:pPr>
      <w:r>
        <w:rPr>
          <w:rFonts w:hint="eastAsia"/>
        </w:rPr>
        <w:t>4.2.1.</w:t>
      </w:r>
      <w:r>
        <w:t>1</w:t>
      </w:r>
      <w:r>
        <w:rPr>
          <w:rFonts w:hint="eastAsia"/>
        </w:rPr>
        <w:t xml:space="preserve"> 项目所在区域达标性分析</w:t>
      </w:r>
    </w:p>
    <w:p>
      <w:pPr>
        <w:pStyle w:val="49"/>
        <w:ind w:firstLine="480"/>
      </w:pPr>
      <w:r>
        <w:t>本项目</w:t>
      </w:r>
      <w:r>
        <w:rPr>
          <w:rFonts w:hint="eastAsia"/>
        </w:rPr>
        <w:t>位于永州市冷水滩区岚角山街道飞跃村、高桥头村</w:t>
      </w:r>
      <w:r>
        <w:t>，本项目所在地区属于典型的农村地区，</w:t>
      </w:r>
      <w:r>
        <w:rPr>
          <w:rFonts w:hint="eastAsia"/>
        </w:rPr>
        <w:t>尚未进行环境空气环境功能区的划分。</w:t>
      </w:r>
      <w:r>
        <w:t>根据《环境空气质量标准》中环境空气质量功能区分类，属于二类区，执行《环境空气质量标准》（GB3095-2012）及其修改单中二级标准。</w:t>
      </w:r>
    </w:p>
    <w:p>
      <w:pPr>
        <w:pStyle w:val="49"/>
        <w:ind w:firstLine="480"/>
      </w:pPr>
      <w:r>
        <w:t>为了</w:t>
      </w:r>
      <w:r>
        <w:rPr>
          <w:rFonts w:hint="eastAsia"/>
        </w:rPr>
        <w:t>永州市冷水滩区</w:t>
      </w:r>
      <w:r>
        <w:t>环境</w:t>
      </w:r>
      <w:r>
        <w:rPr>
          <w:rFonts w:hint="eastAsia"/>
        </w:rPr>
        <w:t>空气</w:t>
      </w:r>
      <w:r>
        <w:t>质量现状，</w:t>
      </w:r>
      <w:bookmarkStart w:id="169" w:name="_Hlk172040114"/>
      <w:r>
        <w:rPr>
          <w:rFonts w:hint="eastAsia"/>
        </w:rPr>
        <w:t>本次环评收集了</w:t>
      </w:r>
      <w:r>
        <w:rPr>
          <w:rFonts w:hint="eastAsia"/>
          <w:szCs w:val="32"/>
        </w:rPr>
        <w:t>永州市生态环境局发布的《关于2</w:t>
      </w:r>
      <w:r>
        <w:rPr>
          <w:szCs w:val="32"/>
        </w:rPr>
        <w:t>02</w:t>
      </w:r>
      <w:r>
        <w:rPr>
          <w:rFonts w:hint="eastAsia"/>
          <w:szCs w:val="32"/>
        </w:rPr>
        <w:t>4年1</w:t>
      </w:r>
      <w:r>
        <w:rPr>
          <w:szCs w:val="32"/>
        </w:rPr>
        <w:t>2</w:t>
      </w:r>
      <w:r>
        <w:rPr>
          <w:rFonts w:hint="eastAsia"/>
          <w:szCs w:val="32"/>
        </w:rPr>
        <w:t>月份全市环境质量状况的通报》中附件4</w:t>
      </w:r>
      <w:r>
        <w:rPr>
          <w:szCs w:val="32"/>
        </w:rPr>
        <w:t xml:space="preserve"> </w:t>
      </w:r>
      <w:r>
        <w:rPr>
          <w:rFonts w:hint="eastAsia"/>
          <w:szCs w:val="32"/>
        </w:rPr>
        <w:t>《</w:t>
      </w:r>
      <w:r>
        <w:rPr>
          <w:szCs w:val="32"/>
        </w:rPr>
        <w:t>20</w:t>
      </w:r>
      <w:r>
        <w:rPr>
          <w:rFonts w:hint="eastAsia"/>
          <w:szCs w:val="32"/>
        </w:rPr>
        <w:t>25年1-12月全市城市环境空气质量污染物浓度状况</w:t>
      </w:r>
      <w:r>
        <w:rPr>
          <w:szCs w:val="32"/>
        </w:rPr>
        <w:t>》中</w:t>
      </w:r>
      <w:r>
        <w:rPr>
          <w:rFonts w:hint="eastAsia"/>
          <w:szCs w:val="32"/>
        </w:rPr>
        <w:t>冷水滩区</w:t>
      </w:r>
      <w:r>
        <w:rPr>
          <w:szCs w:val="32"/>
        </w:rPr>
        <w:t>环境空气质量现状数据</w:t>
      </w:r>
      <w:bookmarkEnd w:id="169"/>
      <w:r>
        <w:rPr>
          <w:rFonts w:hint="eastAsia"/>
        </w:rPr>
        <w:t>，具体数据统计情况详见表4.2-1。</w:t>
      </w:r>
    </w:p>
    <w:p>
      <w:pPr>
        <w:pStyle w:val="53"/>
      </w:pPr>
      <w:r>
        <w:rPr>
          <w:rFonts w:hint="eastAsia"/>
        </w:rPr>
        <w:t xml:space="preserve">表4.2-1   区域环境空气质量现状评价表（冷水滩区）  </w:t>
      </w:r>
      <w:r>
        <w:t>单位：</w:t>
      </w:r>
      <w:r>
        <w:rPr>
          <w:szCs w:val="21"/>
        </w:rPr>
        <w:t>µ</w:t>
      </w:r>
      <w:r>
        <w:t>g/m</w:t>
      </w:r>
      <w:r>
        <w:rPr>
          <w:vertAlign w:val="superscript"/>
        </w:rPr>
        <w:t>3</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153"/>
        <w:gridCol w:w="1372"/>
        <w:gridCol w:w="1072"/>
        <w:gridCol w:w="1332"/>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38"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污染物</w:t>
            </w:r>
          </w:p>
        </w:tc>
        <w:tc>
          <w:tcPr>
            <w:tcW w:w="126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年评价指标</w:t>
            </w:r>
          </w:p>
        </w:tc>
        <w:tc>
          <w:tcPr>
            <w:tcW w:w="805"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现状浓度</w:t>
            </w:r>
          </w:p>
        </w:tc>
        <w:tc>
          <w:tcPr>
            <w:tcW w:w="629"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标准值</w:t>
            </w:r>
          </w:p>
        </w:tc>
        <w:tc>
          <w:tcPr>
            <w:tcW w:w="782"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占标率/%</w:t>
            </w:r>
          </w:p>
        </w:tc>
        <w:tc>
          <w:tcPr>
            <w:tcW w:w="68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38"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SO</w:t>
            </w:r>
            <w:r>
              <w:rPr>
                <w:rFonts w:hint="eastAsia" w:eastAsia="宋体"/>
                <w:color w:val="000000"/>
                <w:kern w:val="2"/>
                <w:sz w:val="21"/>
                <w:szCs w:val="21"/>
                <w:vertAlign w:val="subscript"/>
              </w:rPr>
              <w:t>2</w:t>
            </w:r>
          </w:p>
        </w:tc>
        <w:tc>
          <w:tcPr>
            <w:tcW w:w="126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年平均质量浓度</w:t>
            </w:r>
          </w:p>
        </w:tc>
        <w:tc>
          <w:tcPr>
            <w:tcW w:w="805"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9</w:t>
            </w:r>
          </w:p>
        </w:tc>
        <w:tc>
          <w:tcPr>
            <w:tcW w:w="629"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60</w:t>
            </w:r>
          </w:p>
        </w:tc>
        <w:tc>
          <w:tcPr>
            <w:tcW w:w="782"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15</w:t>
            </w:r>
          </w:p>
        </w:tc>
        <w:tc>
          <w:tcPr>
            <w:tcW w:w="68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38"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NO</w:t>
            </w:r>
            <w:r>
              <w:rPr>
                <w:rFonts w:hint="eastAsia" w:eastAsia="宋体"/>
                <w:color w:val="000000"/>
                <w:kern w:val="2"/>
                <w:sz w:val="21"/>
                <w:szCs w:val="21"/>
                <w:vertAlign w:val="subscript"/>
              </w:rPr>
              <w:t>2</w:t>
            </w:r>
          </w:p>
        </w:tc>
        <w:tc>
          <w:tcPr>
            <w:tcW w:w="126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年平均质量浓度</w:t>
            </w:r>
          </w:p>
        </w:tc>
        <w:tc>
          <w:tcPr>
            <w:tcW w:w="805"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13</w:t>
            </w:r>
          </w:p>
        </w:tc>
        <w:tc>
          <w:tcPr>
            <w:tcW w:w="629"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40</w:t>
            </w:r>
          </w:p>
        </w:tc>
        <w:tc>
          <w:tcPr>
            <w:tcW w:w="782"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32.5</w:t>
            </w:r>
          </w:p>
        </w:tc>
        <w:tc>
          <w:tcPr>
            <w:tcW w:w="68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38"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PM</w:t>
            </w:r>
            <w:r>
              <w:rPr>
                <w:rFonts w:hint="eastAsia" w:eastAsia="宋体"/>
                <w:color w:val="000000"/>
                <w:kern w:val="2"/>
                <w:sz w:val="21"/>
                <w:szCs w:val="21"/>
                <w:vertAlign w:val="subscript"/>
              </w:rPr>
              <w:t>10</w:t>
            </w:r>
          </w:p>
        </w:tc>
        <w:tc>
          <w:tcPr>
            <w:tcW w:w="126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年平均质量浓度</w:t>
            </w:r>
          </w:p>
        </w:tc>
        <w:tc>
          <w:tcPr>
            <w:tcW w:w="805"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45</w:t>
            </w:r>
          </w:p>
        </w:tc>
        <w:tc>
          <w:tcPr>
            <w:tcW w:w="629"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70</w:t>
            </w:r>
          </w:p>
        </w:tc>
        <w:tc>
          <w:tcPr>
            <w:tcW w:w="782" w:type="pct"/>
            <w:vAlign w:val="center"/>
          </w:tcPr>
          <w:p>
            <w:pPr>
              <w:pStyle w:val="79"/>
              <w:spacing w:line="240" w:lineRule="auto"/>
              <w:ind w:firstLine="0"/>
              <w:jc w:val="center"/>
              <w:rPr>
                <w:rFonts w:hint="eastAsia" w:eastAsia="宋体"/>
                <w:color w:val="000000"/>
                <w:kern w:val="2"/>
                <w:sz w:val="21"/>
                <w:szCs w:val="21"/>
              </w:rPr>
            </w:pPr>
            <w:r>
              <w:rPr>
                <w:rFonts w:hint="eastAsia" w:eastAsia="宋体"/>
                <w:color w:val="000000"/>
                <w:kern w:val="2"/>
                <w:sz w:val="21"/>
                <w:szCs w:val="21"/>
              </w:rPr>
              <w:t>64.3</w:t>
            </w:r>
          </w:p>
        </w:tc>
        <w:tc>
          <w:tcPr>
            <w:tcW w:w="68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38"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PM</w:t>
            </w:r>
            <w:r>
              <w:rPr>
                <w:rFonts w:hint="eastAsia" w:eastAsia="宋体"/>
                <w:color w:val="000000"/>
                <w:kern w:val="2"/>
                <w:sz w:val="21"/>
                <w:szCs w:val="21"/>
                <w:vertAlign w:val="subscript"/>
              </w:rPr>
              <w:t>2.5</w:t>
            </w:r>
          </w:p>
        </w:tc>
        <w:tc>
          <w:tcPr>
            <w:tcW w:w="126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年平均质量浓度</w:t>
            </w:r>
          </w:p>
        </w:tc>
        <w:tc>
          <w:tcPr>
            <w:tcW w:w="805"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35</w:t>
            </w:r>
          </w:p>
        </w:tc>
        <w:tc>
          <w:tcPr>
            <w:tcW w:w="629"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35</w:t>
            </w:r>
          </w:p>
        </w:tc>
        <w:tc>
          <w:tcPr>
            <w:tcW w:w="782" w:type="pct"/>
            <w:vAlign w:val="center"/>
          </w:tcPr>
          <w:p>
            <w:pPr>
              <w:pStyle w:val="79"/>
              <w:spacing w:line="240" w:lineRule="auto"/>
              <w:ind w:firstLine="0"/>
              <w:jc w:val="center"/>
              <w:rPr>
                <w:rFonts w:hint="eastAsia" w:eastAsia="宋体"/>
                <w:color w:val="000000"/>
                <w:kern w:val="2"/>
                <w:sz w:val="21"/>
                <w:szCs w:val="21"/>
              </w:rPr>
            </w:pPr>
            <w:r>
              <w:rPr>
                <w:rFonts w:hint="eastAsia" w:eastAsia="宋体"/>
                <w:color w:val="000000"/>
                <w:kern w:val="2"/>
                <w:sz w:val="21"/>
                <w:szCs w:val="21"/>
              </w:rPr>
              <w:t>100</w:t>
            </w:r>
          </w:p>
        </w:tc>
        <w:tc>
          <w:tcPr>
            <w:tcW w:w="68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38"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CO</w:t>
            </w:r>
          </w:p>
        </w:tc>
        <w:tc>
          <w:tcPr>
            <w:tcW w:w="126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年平均质量浓度</w:t>
            </w:r>
          </w:p>
        </w:tc>
        <w:tc>
          <w:tcPr>
            <w:tcW w:w="805"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1.0</w:t>
            </w:r>
          </w:p>
        </w:tc>
        <w:tc>
          <w:tcPr>
            <w:tcW w:w="629"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4</w:t>
            </w:r>
          </w:p>
        </w:tc>
        <w:tc>
          <w:tcPr>
            <w:tcW w:w="782" w:type="pct"/>
            <w:vAlign w:val="center"/>
          </w:tcPr>
          <w:p>
            <w:pPr>
              <w:pStyle w:val="79"/>
              <w:spacing w:line="240" w:lineRule="auto"/>
              <w:ind w:firstLine="0"/>
              <w:jc w:val="center"/>
              <w:rPr>
                <w:rFonts w:hint="eastAsia" w:eastAsia="宋体"/>
                <w:color w:val="000000"/>
                <w:kern w:val="2"/>
                <w:sz w:val="21"/>
                <w:szCs w:val="21"/>
              </w:rPr>
            </w:pPr>
            <w:r>
              <w:rPr>
                <w:rFonts w:hint="eastAsia" w:eastAsia="宋体"/>
                <w:color w:val="000000"/>
                <w:kern w:val="2"/>
                <w:sz w:val="21"/>
                <w:szCs w:val="21"/>
              </w:rPr>
              <w:t>25</w:t>
            </w:r>
          </w:p>
        </w:tc>
        <w:tc>
          <w:tcPr>
            <w:tcW w:w="68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38"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O</w:t>
            </w:r>
            <w:r>
              <w:rPr>
                <w:rFonts w:hint="eastAsia" w:eastAsia="宋体"/>
                <w:color w:val="000000"/>
                <w:kern w:val="2"/>
                <w:sz w:val="21"/>
                <w:szCs w:val="21"/>
                <w:vertAlign w:val="subscript"/>
              </w:rPr>
              <w:t>3</w:t>
            </w:r>
          </w:p>
        </w:tc>
        <w:tc>
          <w:tcPr>
            <w:tcW w:w="126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年8h平均质量浓度</w:t>
            </w:r>
          </w:p>
        </w:tc>
        <w:tc>
          <w:tcPr>
            <w:tcW w:w="805"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128</w:t>
            </w:r>
          </w:p>
        </w:tc>
        <w:tc>
          <w:tcPr>
            <w:tcW w:w="629"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160</w:t>
            </w:r>
          </w:p>
        </w:tc>
        <w:tc>
          <w:tcPr>
            <w:tcW w:w="782" w:type="pct"/>
            <w:vAlign w:val="center"/>
          </w:tcPr>
          <w:p>
            <w:pPr>
              <w:pStyle w:val="79"/>
              <w:spacing w:line="240" w:lineRule="auto"/>
              <w:ind w:firstLine="0"/>
              <w:jc w:val="center"/>
              <w:rPr>
                <w:rFonts w:hint="eastAsia" w:eastAsia="宋体"/>
                <w:color w:val="000000"/>
                <w:kern w:val="2"/>
                <w:sz w:val="21"/>
                <w:szCs w:val="21"/>
              </w:rPr>
            </w:pPr>
            <w:r>
              <w:rPr>
                <w:rFonts w:hint="eastAsia" w:eastAsia="宋体"/>
                <w:color w:val="000000"/>
                <w:kern w:val="2"/>
                <w:sz w:val="21"/>
                <w:szCs w:val="21"/>
              </w:rPr>
              <w:t>80</w:t>
            </w:r>
          </w:p>
        </w:tc>
        <w:tc>
          <w:tcPr>
            <w:tcW w:w="683" w:type="pct"/>
            <w:vAlign w:val="center"/>
          </w:tcPr>
          <w:p>
            <w:pPr>
              <w:pStyle w:val="79"/>
              <w:spacing w:line="240" w:lineRule="auto"/>
              <w:ind w:firstLine="0"/>
              <w:jc w:val="center"/>
              <w:rPr>
                <w:rFonts w:eastAsia="宋体"/>
                <w:color w:val="000000"/>
                <w:kern w:val="2"/>
                <w:sz w:val="21"/>
                <w:szCs w:val="21"/>
              </w:rPr>
            </w:pPr>
            <w:r>
              <w:rPr>
                <w:rFonts w:hint="eastAsia" w:eastAsia="宋体"/>
                <w:color w:val="000000"/>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5000" w:type="pct"/>
            <w:gridSpan w:val="6"/>
            <w:vAlign w:val="center"/>
          </w:tcPr>
          <w:p>
            <w:pPr>
              <w:pStyle w:val="79"/>
              <w:spacing w:line="240" w:lineRule="auto"/>
              <w:ind w:firstLine="0"/>
              <w:rPr>
                <w:rFonts w:eastAsia="宋体"/>
                <w:color w:val="000000"/>
                <w:kern w:val="2"/>
                <w:sz w:val="21"/>
                <w:szCs w:val="21"/>
              </w:rPr>
            </w:pPr>
            <w:r>
              <w:rPr>
                <w:rFonts w:eastAsia="宋体"/>
                <w:color w:val="000000"/>
                <w:kern w:val="2"/>
                <w:sz w:val="21"/>
                <w:szCs w:val="21"/>
              </w:rPr>
              <w:t>单位：µg/m</w:t>
            </w:r>
            <w:r>
              <w:rPr>
                <w:rFonts w:eastAsia="宋体"/>
                <w:color w:val="000000"/>
                <w:kern w:val="2"/>
                <w:sz w:val="21"/>
                <w:szCs w:val="21"/>
                <w:vertAlign w:val="superscript"/>
              </w:rPr>
              <w:t>3</w:t>
            </w:r>
            <w:r>
              <w:rPr>
                <w:rFonts w:eastAsia="宋体"/>
                <w:color w:val="000000"/>
                <w:kern w:val="2"/>
                <w:sz w:val="21"/>
                <w:szCs w:val="21"/>
              </w:rPr>
              <w:t>（CO为mg/m</w:t>
            </w:r>
            <w:r>
              <w:rPr>
                <w:rFonts w:eastAsia="宋体"/>
                <w:color w:val="000000"/>
                <w:kern w:val="2"/>
                <w:sz w:val="21"/>
                <w:szCs w:val="21"/>
                <w:vertAlign w:val="superscript"/>
              </w:rPr>
              <w:t>3</w:t>
            </w:r>
            <w:r>
              <w:rPr>
                <w:rFonts w:eastAsia="宋体"/>
                <w:color w:val="000000"/>
                <w:kern w:val="2"/>
                <w:sz w:val="21"/>
                <w:szCs w:val="21"/>
              </w:rPr>
              <w:t>）</w:t>
            </w:r>
          </w:p>
        </w:tc>
      </w:tr>
    </w:tbl>
    <w:p>
      <w:pPr>
        <w:pStyle w:val="49"/>
        <w:ind w:firstLine="480"/>
        <w:rPr>
          <w:szCs w:val="32"/>
        </w:rPr>
      </w:pPr>
      <w:bookmarkStart w:id="170" w:name="_Hlk196232906"/>
      <w:r>
        <w:rPr>
          <w:rFonts w:hint="eastAsia" w:ascii="宋体" w:hAnsi="宋体"/>
          <w:color w:val="000000"/>
        </w:rPr>
        <w:t>由上表可知，</w:t>
      </w:r>
      <w:bookmarkStart w:id="171" w:name="_Hlk172040119"/>
      <w:r>
        <w:rPr>
          <w:rFonts w:hint="eastAsia"/>
          <w:color w:val="000000"/>
          <w:szCs w:val="32"/>
        </w:rPr>
        <w:t>S</w:t>
      </w:r>
      <w:r>
        <w:rPr>
          <w:color w:val="000000"/>
          <w:szCs w:val="32"/>
        </w:rPr>
        <w:t>O</w:t>
      </w:r>
      <w:r>
        <w:rPr>
          <w:color w:val="000000"/>
          <w:szCs w:val="32"/>
          <w:vertAlign w:val="subscript"/>
        </w:rPr>
        <w:t>2</w:t>
      </w:r>
      <w:r>
        <w:rPr>
          <w:rFonts w:hint="eastAsia"/>
          <w:color w:val="000000"/>
          <w:szCs w:val="32"/>
        </w:rPr>
        <w:t>、</w:t>
      </w:r>
      <w:r>
        <w:rPr>
          <w:rFonts w:hint="eastAsia"/>
          <w:szCs w:val="32"/>
        </w:rPr>
        <w:t>NO</w:t>
      </w:r>
      <w:r>
        <w:rPr>
          <w:rFonts w:hint="eastAsia"/>
          <w:szCs w:val="32"/>
          <w:vertAlign w:val="subscript"/>
        </w:rPr>
        <w:t>2</w:t>
      </w:r>
      <w:r>
        <w:rPr>
          <w:rFonts w:hint="eastAsia"/>
          <w:szCs w:val="32"/>
        </w:rPr>
        <w:t>、CO、O</w:t>
      </w:r>
      <w:r>
        <w:rPr>
          <w:rFonts w:hint="eastAsia"/>
          <w:szCs w:val="32"/>
          <w:vertAlign w:val="subscript"/>
        </w:rPr>
        <w:t>3</w:t>
      </w:r>
      <w:r>
        <w:rPr>
          <w:rFonts w:hint="eastAsia"/>
          <w:szCs w:val="32"/>
        </w:rPr>
        <w:t>、PM</w:t>
      </w:r>
      <w:r>
        <w:rPr>
          <w:rFonts w:hint="eastAsia"/>
          <w:szCs w:val="32"/>
          <w:vertAlign w:val="subscript"/>
        </w:rPr>
        <w:t>2.5</w:t>
      </w:r>
      <w:r>
        <w:rPr>
          <w:rFonts w:hint="eastAsia"/>
          <w:szCs w:val="32"/>
        </w:rPr>
        <w:t>、PM</w:t>
      </w:r>
      <w:r>
        <w:rPr>
          <w:rFonts w:hint="eastAsia"/>
          <w:szCs w:val="32"/>
          <w:vertAlign w:val="subscript"/>
        </w:rPr>
        <w:t>10</w:t>
      </w:r>
      <w:r>
        <w:rPr>
          <w:rFonts w:hint="eastAsia"/>
          <w:szCs w:val="32"/>
        </w:rPr>
        <w:t>质量浓度均能够满足《环境空气质量标准》（GB3095-2012）及2018年修改单中二级标准要求，冷水滩区为达标区。</w:t>
      </w:r>
    </w:p>
    <w:bookmarkEnd w:id="170"/>
    <w:bookmarkEnd w:id="171"/>
    <w:p>
      <w:pPr>
        <w:pStyle w:val="5"/>
      </w:pPr>
      <w:r>
        <w:rPr>
          <w:rFonts w:hint="eastAsia"/>
        </w:rPr>
        <w:t>4.2.1.2 环境空气质量现状补充监测与评价</w:t>
      </w:r>
    </w:p>
    <w:p>
      <w:pPr>
        <w:pStyle w:val="49"/>
        <w:ind w:firstLine="480"/>
      </w:pPr>
      <w:r>
        <w:rPr>
          <w:rFonts w:hint="eastAsia"/>
        </w:rPr>
        <w:t>针对本项目排放的特征污染物NH</w:t>
      </w:r>
      <w:r>
        <w:rPr>
          <w:rFonts w:hint="eastAsia"/>
          <w:vertAlign w:val="subscript"/>
        </w:rPr>
        <w:t>3</w:t>
      </w:r>
      <w:r>
        <w:rPr>
          <w:rFonts w:hint="eastAsia"/>
        </w:rPr>
        <w:t>、H</w:t>
      </w:r>
      <w:r>
        <w:rPr>
          <w:rFonts w:hint="eastAsia"/>
          <w:vertAlign w:val="subscript"/>
        </w:rPr>
        <w:t>2</w:t>
      </w:r>
      <w:r>
        <w:rPr>
          <w:rFonts w:hint="eastAsia"/>
        </w:rPr>
        <w:t>S、臭气浓度、颗粒物，建设单位委托湖南西南检验检测有限公司于2024年12月17~2024年12月24日对拟建项目周边环境空气质量现状进行了为期7天的现状补充监测。</w:t>
      </w:r>
    </w:p>
    <w:p>
      <w:pPr>
        <w:pStyle w:val="49"/>
        <w:ind w:firstLine="480"/>
        <w:rPr>
          <w:color w:val="000000"/>
        </w:rPr>
      </w:pPr>
      <w:r>
        <w:rPr>
          <w:rFonts w:hint="eastAsia"/>
          <w:color w:val="000000"/>
        </w:rPr>
        <w:t>1、监测布点</w:t>
      </w:r>
    </w:p>
    <w:p>
      <w:pPr>
        <w:pStyle w:val="49"/>
        <w:ind w:firstLine="480"/>
        <w:rPr>
          <w:color w:val="000000"/>
        </w:rPr>
      </w:pPr>
      <w:r>
        <w:rPr>
          <w:rFonts w:hint="eastAsia"/>
        </w:rPr>
        <w:t>根据《环境影响评价技术导则 大气环境》（</w:t>
      </w:r>
      <w:r>
        <w:rPr>
          <w:rFonts w:cs="Times New Roman"/>
        </w:rPr>
        <w:t>HJ2.2-2018</w:t>
      </w:r>
      <w:r>
        <w:rPr>
          <w:rFonts w:hint="eastAsia"/>
        </w:rPr>
        <w:t>），</w:t>
      </w:r>
      <w:r>
        <w:rPr>
          <w:rFonts w:cs="Times New Roman"/>
        </w:rPr>
        <w:t xml:space="preserve">6.3.2 </w:t>
      </w:r>
      <w:r>
        <w:rPr>
          <w:rFonts w:hint="eastAsia"/>
        </w:rPr>
        <w:t>监测布点要求，以近</w:t>
      </w:r>
      <w:r>
        <w:rPr>
          <w:rFonts w:cs="Times New Roman"/>
        </w:rPr>
        <w:t xml:space="preserve">20 </w:t>
      </w:r>
      <w:r>
        <w:rPr>
          <w:rFonts w:hint="eastAsia"/>
        </w:rPr>
        <w:t xml:space="preserve">年统计的当地主导风向为轴向，在厂址及主导风向下风向 </w:t>
      </w:r>
      <w:r>
        <w:rPr>
          <w:rFonts w:cs="Times New Roman"/>
        </w:rPr>
        <w:t xml:space="preserve">5km </w:t>
      </w:r>
      <w:r>
        <w:rPr>
          <w:rFonts w:hint="eastAsia"/>
        </w:rPr>
        <w:t xml:space="preserve">范围内设置 </w:t>
      </w:r>
      <w:r>
        <w:rPr>
          <w:rFonts w:cs="Times New Roman"/>
        </w:rPr>
        <w:t xml:space="preserve">1~2 </w:t>
      </w:r>
      <w:r>
        <w:rPr>
          <w:rFonts w:hint="eastAsia"/>
        </w:rPr>
        <w:t>个监测点位。</w:t>
      </w:r>
      <w:r>
        <w:rPr>
          <w:rFonts w:hint="eastAsia"/>
          <w:color w:val="000000"/>
        </w:rPr>
        <w:t>具体布置详见表4.2-2，监测点位图见附图五。</w:t>
      </w:r>
    </w:p>
    <w:p>
      <w:pPr>
        <w:pStyle w:val="53"/>
      </w:pPr>
      <w:r>
        <w:rPr>
          <w:rFonts w:hint="eastAsia"/>
        </w:rPr>
        <w:t>表4.2-2   环境空气质量现状监测点位一览表</w:t>
      </w:r>
    </w:p>
    <w:tbl>
      <w:tblPr>
        <w:tblStyle w:val="39"/>
        <w:tblW w:w="8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868"/>
        <w:gridCol w:w="1868"/>
        <w:gridCol w:w="1195"/>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2173" w:type="dxa"/>
            <w:vMerge w:val="restart"/>
            <w:vAlign w:val="center"/>
          </w:tcPr>
          <w:p>
            <w:pPr>
              <w:pStyle w:val="22"/>
              <w:jc w:val="center"/>
              <w:rPr>
                <w:rFonts w:hAnsi="Times New Roman"/>
                <w:color w:val="000000"/>
                <w:sz w:val="21"/>
              </w:rPr>
            </w:pPr>
            <w:r>
              <w:rPr>
                <w:rFonts w:hint="eastAsia" w:hAnsi="Times New Roman"/>
                <w:color w:val="000000"/>
                <w:sz w:val="21"/>
              </w:rPr>
              <w:t>监测点名称</w:t>
            </w:r>
          </w:p>
        </w:tc>
        <w:tc>
          <w:tcPr>
            <w:tcW w:w="3736" w:type="dxa"/>
            <w:gridSpan w:val="2"/>
            <w:vAlign w:val="center"/>
          </w:tcPr>
          <w:p>
            <w:pPr>
              <w:pStyle w:val="22"/>
              <w:jc w:val="center"/>
              <w:rPr>
                <w:rFonts w:hAnsi="Times New Roman"/>
                <w:color w:val="000000"/>
                <w:sz w:val="21"/>
              </w:rPr>
            </w:pPr>
            <w:r>
              <w:rPr>
                <w:rFonts w:hint="eastAsia" w:hAnsi="Times New Roman"/>
                <w:color w:val="000000"/>
                <w:sz w:val="21"/>
              </w:rPr>
              <w:t>监测点坐标</w:t>
            </w:r>
          </w:p>
        </w:tc>
        <w:tc>
          <w:tcPr>
            <w:tcW w:w="1195" w:type="dxa"/>
            <w:vMerge w:val="restart"/>
            <w:vAlign w:val="center"/>
          </w:tcPr>
          <w:p>
            <w:pPr>
              <w:pStyle w:val="22"/>
              <w:jc w:val="center"/>
              <w:rPr>
                <w:rFonts w:hAnsi="Times New Roman"/>
                <w:color w:val="000000"/>
                <w:sz w:val="21"/>
              </w:rPr>
            </w:pPr>
            <w:r>
              <w:rPr>
                <w:rFonts w:hint="eastAsia" w:hAnsi="Times New Roman"/>
                <w:color w:val="000000"/>
                <w:sz w:val="21"/>
              </w:rPr>
              <w:t>相对厂址方位</w:t>
            </w:r>
          </w:p>
        </w:tc>
        <w:tc>
          <w:tcPr>
            <w:tcW w:w="1352" w:type="dxa"/>
            <w:vMerge w:val="restart"/>
            <w:vAlign w:val="center"/>
          </w:tcPr>
          <w:p>
            <w:pPr>
              <w:pStyle w:val="22"/>
              <w:jc w:val="center"/>
              <w:rPr>
                <w:rFonts w:hAnsi="Times New Roman"/>
                <w:color w:val="000000"/>
                <w:sz w:val="21"/>
              </w:rPr>
            </w:pPr>
            <w:r>
              <w:rPr>
                <w:rFonts w:hint="eastAsia" w:hAnsi="Times New Roman"/>
                <w:color w:val="000000"/>
                <w:sz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2173" w:type="dxa"/>
            <w:vMerge w:val="continue"/>
            <w:vAlign w:val="center"/>
          </w:tcPr>
          <w:p>
            <w:pPr>
              <w:pStyle w:val="22"/>
              <w:ind w:firstLine="420" w:firstLineChars="200"/>
              <w:jc w:val="center"/>
              <w:rPr>
                <w:rFonts w:hAnsi="Times New Roman"/>
                <w:color w:val="000000"/>
                <w:sz w:val="21"/>
              </w:rPr>
            </w:pPr>
          </w:p>
        </w:tc>
        <w:tc>
          <w:tcPr>
            <w:tcW w:w="1868" w:type="dxa"/>
            <w:vAlign w:val="center"/>
          </w:tcPr>
          <w:p>
            <w:pPr>
              <w:pStyle w:val="22"/>
              <w:jc w:val="center"/>
              <w:rPr>
                <w:rFonts w:hAnsi="Times New Roman"/>
                <w:iCs/>
                <w:color w:val="000000"/>
                <w:sz w:val="21"/>
              </w:rPr>
            </w:pPr>
            <w:r>
              <w:rPr>
                <w:rFonts w:hint="eastAsia" w:hAnsi="Times New Roman"/>
                <w:iCs/>
                <w:color w:val="000000"/>
                <w:sz w:val="21"/>
              </w:rPr>
              <w:t>经度</w:t>
            </w:r>
          </w:p>
        </w:tc>
        <w:tc>
          <w:tcPr>
            <w:tcW w:w="1868" w:type="dxa"/>
            <w:vAlign w:val="center"/>
          </w:tcPr>
          <w:p>
            <w:pPr>
              <w:pStyle w:val="22"/>
              <w:jc w:val="center"/>
              <w:rPr>
                <w:rFonts w:hAnsi="Times New Roman"/>
                <w:iCs/>
                <w:color w:val="000000"/>
                <w:sz w:val="21"/>
              </w:rPr>
            </w:pPr>
            <w:r>
              <w:rPr>
                <w:rFonts w:hint="eastAsia" w:hAnsi="Times New Roman"/>
                <w:iCs/>
                <w:color w:val="000000"/>
                <w:sz w:val="21"/>
              </w:rPr>
              <w:t>纬度</w:t>
            </w:r>
          </w:p>
        </w:tc>
        <w:tc>
          <w:tcPr>
            <w:tcW w:w="1195" w:type="dxa"/>
            <w:vMerge w:val="continue"/>
            <w:vAlign w:val="center"/>
          </w:tcPr>
          <w:p>
            <w:pPr>
              <w:pStyle w:val="22"/>
              <w:ind w:firstLine="421" w:firstLineChars="200"/>
              <w:jc w:val="center"/>
              <w:rPr>
                <w:rFonts w:hAnsi="Times New Roman"/>
                <w:b/>
                <w:bCs/>
                <w:color w:val="000000"/>
                <w:sz w:val="21"/>
              </w:rPr>
            </w:pPr>
          </w:p>
        </w:tc>
        <w:tc>
          <w:tcPr>
            <w:tcW w:w="1352" w:type="dxa"/>
            <w:vMerge w:val="continue"/>
            <w:vAlign w:val="center"/>
          </w:tcPr>
          <w:p>
            <w:pPr>
              <w:pStyle w:val="22"/>
              <w:ind w:firstLine="421" w:firstLineChars="200"/>
              <w:jc w:val="center"/>
              <w:rPr>
                <w:rFonts w:hAnsi="Times New Roman"/>
                <w:b/>
                <w:bCs/>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2173" w:type="dxa"/>
            <w:vAlign w:val="center"/>
          </w:tcPr>
          <w:p>
            <w:pPr>
              <w:pStyle w:val="22"/>
              <w:jc w:val="center"/>
              <w:rPr>
                <w:rFonts w:hAnsi="Times New Roman"/>
                <w:color w:val="000000"/>
                <w:sz w:val="21"/>
              </w:rPr>
            </w:pPr>
            <w:r>
              <w:rPr>
                <w:rFonts w:hint="eastAsia" w:hAnsi="Times New Roman"/>
                <w:color w:val="000000"/>
                <w:sz w:val="21"/>
              </w:rPr>
              <w:t>G1项目所在地</w:t>
            </w:r>
          </w:p>
        </w:tc>
        <w:tc>
          <w:tcPr>
            <w:tcW w:w="1868" w:type="dxa"/>
            <w:vAlign w:val="center"/>
          </w:tcPr>
          <w:p>
            <w:pPr>
              <w:pStyle w:val="22"/>
              <w:jc w:val="center"/>
              <w:rPr>
                <w:rFonts w:hAnsi="Times New Roman" w:cs="Times New Roman"/>
                <w:color w:val="000000"/>
                <w:sz w:val="21"/>
                <w:szCs w:val="22"/>
              </w:rPr>
            </w:pPr>
            <w:r>
              <w:rPr>
                <w:rFonts w:hint="eastAsia"/>
                <w:sz w:val="21"/>
                <w:szCs w:val="22"/>
              </w:rPr>
              <w:t>111</w:t>
            </w:r>
            <w:r>
              <w:rPr>
                <w:rFonts w:hAnsi="Times New Roman" w:cs="Times New Roman"/>
                <w:color w:val="000000"/>
                <w:sz w:val="21"/>
                <w:szCs w:val="22"/>
              </w:rPr>
              <w:t>°</w:t>
            </w:r>
            <w:r>
              <w:rPr>
                <w:rFonts w:hint="eastAsia"/>
                <w:sz w:val="21"/>
                <w:szCs w:val="22"/>
              </w:rPr>
              <w:t>40'05.8240"</w:t>
            </w:r>
          </w:p>
        </w:tc>
        <w:tc>
          <w:tcPr>
            <w:tcW w:w="1868" w:type="dxa"/>
            <w:vAlign w:val="center"/>
          </w:tcPr>
          <w:p>
            <w:pPr>
              <w:pStyle w:val="22"/>
              <w:jc w:val="center"/>
              <w:rPr>
                <w:rFonts w:hAnsi="Times New Roman" w:cs="Times New Roman"/>
                <w:color w:val="000000"/>
                <w:sz w:val="21"/>
                <w:szCs w:val="22"/>
              </w:rPr>
            </w:pPr>
            <w:r>
              <w:rPr>
                <w:rFonts w:hint="eastAsia"/>
                <w:sz w:val="21"/>
                <w:szCs w:val="22"/>
              </w:rPr>
              <w:t>26</w:t>
            </w:r>
            <w:r>
              <w:rPr>
                <w:rFonts w:hAnsi="Times New Roman" w:cs="Times New Roman"/>
                <w:color w:val="000000"/>
                <w:sz w:val="21"/>
                <w:szCs w:val="22"/>
              </w:rPr>
              <w:t>°</w:t>
            </w:r>
            <w:r>
              <w:rPr>
                <w:rFonts w:hint="eastAsia"/>
                <w:sz w:val="21"/>
                <w:szCs w:val="22"/>
              </w:rPr>
              <w:t>21'19.8139"</w:t>
            </w:r>
          </w:p>
        </w:tc>
        <w:tc>
          <w:tcPr>
            <w:tcW w:w="1195" w:type="dxa"/>
            <w:vAlign w:val="center"/>
          </w:tcPr>
          <w:p>
            <w:pPr>
              <w:pStyle w:val="22"/>
              <w:jc w:val="center"/>
              <w:rPr>
                <w:rFonts w:hAnsi="Times New Roman"/>
                <w:color w:val="000000"/>
                <w:sz w:val="21"/>
              </w:rPr>
            </w:pPr>
            <w:r>
              <w:rPr>
                <w:rFonts w:hint="eastAsia" w:hAnsi="Times New Roman"/>
                <w:color w:val="000000"/>
                <w:sz w:val="21"/>
              </w:rPr>
              <w:t>/</w:t>
            </w:r>
          </w:p>
        </w:tc>
        <w:tc>
          <w:tcPr>
            <w:tcW w:w="1352" w:type="dxa"/>
            <w:vAlign w:val="center"/>
          </w:tcPr>
          <w:p>
            <w:pPr>
              <w:pStyle w:val="22"/>
              <w:jc w:val="center"/>
              <w:rPr>
                <w:rFonts w:hAnsi="Times New Roman"/>
                <w:color w:val="000000"/>
                <w:sz w:val="21"/>
              </w:rPr>
            </w:pPr>
            <w:r>
              <w:rPr>
                <w:rFonts w:hint="eastAsia" w:hAnsi="Times New Roman"/>
                <w:color w:val="00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2173" w:type="dxa"/>
            <w:vAlign w:val="center"/>
          </w:tcPr>
          <w:p>
            <w:pPr>
              <w:pStyle w:val="22"/>
              <w:jc w:val="center"/>
              <w:rPr>
                <w:rFonts w:hAnsi="Times New Roman"/>
                <w:color w:val="000000"/>
                <w:sz w:val="21"/>
              </w:rPr>
            </w:pPr>
            <w:r>
              <w:rPr>
                <w:rFonts w:hAnsi="Times New Roman"/>
                <w:color w:val="000000"/>
                <w:sz w:val="21"/>
              </w:rPr>
              <w:t>G</w:t>
            </w:r>
            <w:r>
              <w:rPr>
                <w:rFonts w:hint="eastAsia" w:hAnsi="Times New Roman"/>
                <w:color w:val="000000"/>
                <w:sz w:val="21"/>
              </w:rPr>
              <w:t>2</w:t>
            </w:r>
            <w:r>
              <w:rPr>
                <w:rFonts w:hAnsi="Times New Roman"/>
                <w:color w:val="000000"/>
                <w:sz w:val="21"/>
              </w:rPr>
              <w:t xml:space="preserve"> </w:t>
            </w:r>
            <w:r>
              <w:rPr>
                <w:rFonts w:hint="eastAsia" w:hAnsi="Times New Roman"/>
                <w:color w:val="000000"/>
                <w:sz w:val="21"/>
              </w:rPr>
              <w:t>门口洞</w:t>
            </w:r>
          </w:p>
        </w:tc>
        <w:tc>
          <w:tcPr>
            <w:tcW w:w="1868" w:type="dxa"/>
            <w:vAlign w:val="center"/>
          </w:tcPr>
          <w:p>
            <w:pPr>
              <w:pStyle w:val="22"/>
              <w:jc w:val="center"/>
              <w:rPr>
                <w:rFonts w:hAnsi="Times New Roman" w:cs="Times New Roman"/>
                <w:color w:val="000000"/>
                <w:sz w:val="21"/>
                <w:szCs w:val="22"/>
              </w:rPr>
            </w:pPr>
            <w:r>
              <w:rPr>
                <w:rFonts w:hint="eastAsia" w:hAnsi="Times New Roman" w:cs="Times New Roman"/>
                <w:color w:val="000000"/>
                <w:sz w:val="21"/>
                <w:szCs w:val="22"/>
              </w:rPr>
              <w:t>111</w:t>
            </w:r>
            <w:r>
              <w:rPr>
                <w:rFonts w:hAnsi="Times New Roman" w:cs="Times New Roman"/>
                <w:color w:val="000000"/>
                <w:sz w:val="21"/>
                <w:szCs w:val="22"/>
              </w:rPr>
              <w:t>°</w:t>
            </w:r>
            <w:r>
              <w:rPr>
                <w:rFonts w:hint="eastAsia" w:hAnsi="Times New Roman" w:cs="Times New Roman"/>
                <w:color w:val="000000"/>
                <w:sz w:val="21"/>
                <w:szCs w:val="22"/>
              </w:rPr>
              <w:t>39'48.0938"</w:t>
            </w:r>
          </w:p>
        </w:tc>
        <w:tc>
          <w:tcPr>
            <w:tcW w:w="1868" w:type="dxa"/>
            <w:vAlign w:val="center"/>
          </w:tcPr>
          <w:p>
            <w:pPr>
              <w:pStyle w:val="22"/>
              <w:jc w:val="center"/>
              <w:rPr>
                <w:rFonts w:hAnsi="Times New Roman" w:cs="Times New Roman"/>
                <w:color w:val="000000"/>
                <w:sz w:val="21"/>
                <w:szCs w:val="22"/>
              </w:rPr>
            </w:pPr>
            <w:r>
              <w:rPr>
                <w:rFonts w:hint="eastAsia" w:hAnsi="Times New Roman" w:cs="Times New Roman"/>
                <w:color w:val="000000"/>
                <w:sz w:val="21"/>
                <w:szCs w:val="22"/>
              </w:rPr>
              <w:t>26</w:t>
            </w:r>
            <w:r>
              <w:rPr>
                <w:rFonts w:hAnsi="Times New Roman" w:cs="Times New Roman"/>
                <w:color w:val="000000"/>
                <w:sz w:val="21"/>
                <w:szCs w:val="22"/>
              </w:rPr>
              <w:t>°</w:t>
            </w:r>
            <w:r>
              <w:rPr>
                <w:rFonts w:hint="eastAsia" w:hAnsi="Times New Roman" w:cs="Times New Roman"/>
                <w:color w:val="000000"/>
                <w:sz w:val="21"/>
                <w:szCs w:val="22"/>
              </w:rPr>
              <w:t>20'57.1565"</w:t>
            </w:r>
          </w:p>
        </w:tc>
        <w:tc>
          <w:tcPr>
            <w:tcW w:w="1195" w:type="dxa"/>
            <w:vAlign w:val="center"/>
          </w:tcPr>
          <w:p>
            <w:pPr>
              <w:pStyle w:val="22"/>
              <w:jc w:val="center"/>
              <w:rPr>
                <w:rFonts w:hAnsi="Times New Roman"/>
                <w:color w:val="000000"/>
                <w:sz w:val="21"/>
              </w:rPr>
            </w:pPr>
            <w:r>
              <w:rPr>
                <w:rFonts w:hint="eastAsia" w:hAnsi="Times New Roman"/>
                <w:color w:val="000000"/>
                <w:sz w:val="21"/>
              </w:rPr>
              <w:t>西南</w:t>
            </w:r>
          </w:p>
        </w:tc>
        <w:tc>
          <w:tcPr>
            <w:tcW w:w="1352" w:type="dxa"/>
            <w:vAlign w:val="center"/>
          </w:tcPr>
          <w:p>
            <w:pPr>
              <w:pStyle w:val="22"/>
              <w:jc w:val="center"/>
              <w:rPr>
                <w:rFonts w:hAnsi="Times New Roman"/>
                <w:color w:val="000000"/>
                <w:sz w:val="21"/>
              </w:rPr>
            </w:pPr>
            <w:r>
              <w:rPr>
                <w:rFonts w:hint="eastAsia" w:hAnsi="Times New Roman"/>
                <w:color w:val="000000"/>
                <w:sz w:val="21"/>
              </w:rPr>
              <w:t>735</w:t>
            </w:r>
          </w:p>
        </w:tc>
      </w:tr>
    </w:tbl>
    <w:p>
      <w:pPr>
        <w:pStyle w:val="49"/>
        <w:ind w:firstLine="480"/>
      </w:pPr>
      <w:r>
        <w:rPr>
          <w:rFonts w:hint="eastAsia"/>
        </w:rPr>
        <w:t>2、监测时间及频次</w:t>
      </w:r>
    </w:p>
    <w:p>
      <w:pPr>
        <w:pStyle w:val="49"/>
        <w:ind w:firstLine="480"/>
      </w:pPr>
      <w:r>
        <w:t>环境空气监测中的采样点、采样环境、采样高度及采样频率，按HJ664及相关评价标准规定的环境监测技术规范执行。各点位监测时间及频次见下表。</w:t>
      </w:r>
    </w:p>
    <w:p>
      <w:pPr>
        <w:pStyle w:val="53"/>
      </w:pPr>
      <w:r>
        <w:rPr>
          <w:rFonts w:hint="eastAsia"/>
        </w:rPr>
        <w:t xml:space="preserve">表4.2-3   </w:t>
      </w:r>
      <w:r>
        <w:t>监测时间及频次一览表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2335"/>
        <w:gridCol w:w="2146"/>
        <w:gridCol w:w="179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9" w:type="pct"/>
            <w:vAlign w:val="center"/>
          </w:tcPr>
          <w:p>
            <w:pPr>
              <w:pStyle w:val="51"/>
            </w:pPr>
            <w:r>
              <w:t>监测点位</w:t>
            </w:r>
          </w:p>
        </w:tc>
        <w:tc>
          <w:tcPr>
            <w:tcW w:w="1371" w:type="pct"/>
            <w:vAlign w:val="center"/>
          </w:tcPr>
          <w:p>
            <w:pPr>
              <w:pStyle w:val="51"/>
            </w:pPr>
            <w:r>
              <w:t>监测因子</w:t>
            </w:r>
          </w:p>
        </w:tc>
        <w:tc>
          <w:tcPr>
            <w:tcW w:w="1260" w:type="pct"/>
            <w:vAlign w:val="center"/>
          </w:tcPr>
          <w:p>
            <w:pPr>
              <w:pStyle w:val="51"/>
            </w:pPr>
            <w:r>
              <w:t>监测时间</w:t>
            </w:r>
          </w:p>
        </w:tc>
        <w:tc>
          <w:tcPr>
            <w:tcW w:w="1054" w:type="pct"/>
            <w:vAlign w:val="center"/>
          </w:tcPr>
          <w:p>
            <w:pPr>
              <w:pStyle w:val="51"/>
            </w:pPr>
            <w:r>
              <w:t>监测值</w:t>
            </w:r>
          </w:p>
        </w:tc>
        <w:tc>
          <w:tcPr>
            <w:tcW w:w="656" w:type="pct"/>
            <w:vAlign w:val="center"/>
          </w:tcPr>
          <w:p>
            <w:pPr>
              <w:pStyle w:val="51"/>
            </w:pPr>
            <w:r>
              <w:t>监测天数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9" w:type="pct"/>
            <w:vMerge w:val="restart"/>
            <w:vAlign w:val="center"/>
          </w:tcPr>
          <w:p>
            <w:pPr>
              <w:pStyle w:val="51"/>
            </w:pPr>
            <w:r>
              <w:t>G1、G2</w:t>
            </w:r>
          </w:p>
        </w:tc>
        <w:tc>
          <w:tcPr>
            <w:tcW w:w="1371" w:type="pct"/>
            <w:vAlign w:val="center"/>
          </w:tcPr>
          <w:p>
            <w:pPr>
              <w:pStyle w:val="51"/>
            </w:pPr>
            <w:r>
              <w:rPr>
                <w:rFonts w:hint="eastAsia"/>
              </w:rPr>
              <w:t>NH</w:t>
            </w:r>
            <w:r>
              <w:rPr>
                <w:rFonts w:hint="eastAsia"/>
                <w:vertAlign w:val="subscript"/>
              </w:rPr>
              <w:t>3</w:t>
            </w:r>
          </w:p>
        </w:tc>
        <w:tc>
          <w:tcPr>
            <w:tcW w:w="1260" w:type="pct"/>
            <w:vMerge w:val="restart"/>
            <w:vAlign w:val="center"/>
          </w:tcPr>
          <w:p>
            <w:pPr>
              <w:pStyle w:val="51"/>
              <w:rPr>
                <w:color w:val="FF0000"/>
              </w:rPr>
            </w:pPr>
            <w:r>
              <w:rPr>
                <w:rFonts w:hint="eastAsia"/>
                <w:spacing w:val="-5"/>
              </w:rPr>
              <w:t>2024.12.17~2024.12.24</w:t>
            </w:r>
          </w:p>
        </w:tc>
        <w:tc>
          <w:tcPr>
            <w:tcW w:w="1054" w:type="pct"/>
            <w:vAlign w:val="center"/>
          </w:tcPr>
          <w:p>
            <w:pPr>
              <w:pStyle w:val="51"/>
            </w:pPr>
            <w:r>
              <w:t>小时均值</w:t>
            </w:r>
          </w:p>
        </w:tc>
        <w:tc>
          <w:tcPr>
            <w:tcW w:w="656" w:type="pct"/>
            <w:vAlign w:val="center"/>
          </w:tcPr>
          <w:p>
            <w:pPr>
              <w:pStyle w:val="51"/>
            </w:pPr>
            <w:r>
              <w:t>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vAlign w:val="center"/>
          </w:tcPr>
          <w:p>
            <w:pPr>
              <w:pStyle w:val="51"/>
            </w:pPr>
          </w:p>
        </w:tc>
        <w:tc>
          <w:tcPr>
            <w:tcW w:w="1371" w:type="pct"/>
            <w:vAlign w:val="center"/>
          </w:tcPr>
          <w:p>
            <w:pPr>
              <w:pStyle w:val="51"/>
              <w:rPr>
                <w:spacing w:val="-5"/>
              </w:rPr>
            </w:pPr>
            <w:r>
              <w:rPr>
                <w:rFonts w:hint="eastAsia"/>
              </w:rPr>
              <w:t>H</w:t>
            </w:r>
            <w:r>
              <w:rPr>
                <w:rFonts w:hint="eastAsia"/>
                <w:vertAlign w:val="subscript"/>
              </w:rPr>
              <w:t>2</w:t>
            </w:r>
            <w:r>
              <w:rPr>
                <w:rFonts w:hint="eastAsia"/>
              </w:rPr>
              <w:t>S</w:t>
            </w:r>
          </w:p>
        </w:tc>
        <w:tc>
          <w:tcPr>
            <w:tcW w:w="1260" w:type="pct"/>
            <w:vMerge w:val="continue"/>
            <w:vAlign w:val="center"/>
          </w:tcPr>
          <w:p>
            <w:pPr>
              <w:pStyle w:val="51"/>
            </w:pPr>
          </w:p>
        </w:tc>
        <w:tc>
          <w:tcPr>
            <w:tcW w:w="1054" w:type="pct"/>
            <w:vAlign w:val="center"/>
          </w:tcPr>
          <w:p>
            <w:pPr>
              <w:pStyle w:val="51"/>
            </w:pPr>
            <w:r>
              <w:t>小时均值</w:t>
            </w:r>
          </w:p>
        </w:tc>
        <w:tc>
          <w:tcPr>
            <w:tcW w:w="656" w:type="pct"/>
            <w:vAlign w:val="center"/>
          </w:tcPr>
          <w:p>
            <w:pPr>
              <w:pStyle w:val="51"/>
            </w:pPr>
            <w:r>
              <w:t>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vAlign w:val="center"/>
          </w:tcPr>
          <w:p>
            <w:pPr>
              <w:pStyle w:val="51"/>
            </w:pPr>
          </w:p>
        </w:tc>
        <w:tc>
          <w:tcPr>
            <w:tcW w:w="1371" w:type="pct"/>
            <w:vAlign w:val="center"/>
          </w:tcPr>
          <w:p>
            <w:pPr>
              <w:pStyle w:val="51"/>
            </w:pPr>
            <w:r>
              <w:rPr>
                <w:rFonts w:hint="eastAsia"/>
              </w:rPr>
              <w:t>臭气浓度</w:t>
            </w:r>
          </w:p>
        </w:tc>
        <w:tc>
          <w:tcPr>
            <w:tcW w:w="1260" w:type="pct"/>
            <w:vMerge w:val="continue"/>
            <w:vAlign w:val="center"/>
          </w:tcPr>
          <w:p>
            <w:pPr>
              <w:pStyle w:val="51"/>
            </w:pPr>
          </w:p>
        </w:tc>
        <w:tc>
          <w:tcPr>
            <w:tcW w:w="1054" w:type="pct"/>
            <w:vAlign w:val="center"/>
          </w:tcPr>
          <w:p>
            <w:pPr>
              <w:pStyle w:val="51"/>
            </w:pPr>
            <w:r>
              <w:rPr>
                <w:rFonts w:hint="eastAsia"/>
              </w:rPr>
              <w:t>/</w:t>
            </w:r>
          </w:p>
        </w:tc>
        <w:tc>
          <w:tcPr>
            <w:tcW w:w="656" w:type="pct"/>
            <w:vAlign w:val="center"/>
          </w:tcPr>
          <w:p>
            <w:pPr>
              <w:pStyle w:val="51"/>
            </w:pPr>
            <w:r>
              <w:t>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vAlign w:val="center"/>
          </w:tcPr>
          <w:p>
            <w:pPr>
              <w:pStyle w:val="51"/>
            </w:pPr>
          </w:p>
        </w:tc>
        <w:tc>
          <w:tcPr>
            <w:tcW w:w="1371" w:type="pct"/>
            <w:vAlign w:val="center"/>
          </w:tcPr>
          <w:p>
            <w:pPr>
              <w:pStyle w:val="51"/>
            </w:pPr>
            <w:r>
              <w:rPr>
                <w:rFonts w:hint="eastAsia"/>
              </w:rPr>
              <w:t>颗粒物</w:t>
            </w:r>
          </w:p>
        </w:tc>
        <w:tc>
          <w:tcPr>
            <w:tcW w:w="1260" w:type="pct"/>
            <w:vMerge w:val="continue"/>
            <w:vAlign w:val="center"/>
          </w:tcPr>
          <w:p>
            <w:pPr>
              <w:pStyle w:val="51"/>
            </w:pPr>
          </w:p>
        </w:tc>
        <w:tc>
          <w:tcPr>
            <w:tcW w:w="1054" w:type="pct"/>
            <w:vAlign w:val="center"/>
          </w:tcPr>
          <w:p>
            <w:pPr>
              <w:pStyle w:val="51"/>
            </w:pPr>
            <w:r>
              <w:rPr>
                <w:rFonts w:hint="eastAsia"/>
              </w:rPr>
              <w:t>日均值</w:t>
            </w:r>
          </w:p>
        </w:tc>
        <w:tc>
          <w:tcPr>
            <w:tcW w:w="656" w:type="pct"/>
            <w:vAlign w:val="center"/>
          </w:tcPr>
          <w:p>
            <w:pPr>
              <w:pStyle w:val="51"/>
            </w:pPr>
            <w:r>
              <w:t>7d</w:t>
            </w:r>
          </w:p>
        </w:tc>
      </w:tr>
    </w:tbl>
    <w:p>
      <w:pPr>
        <w:pStyle w:val="49"/>
        <w:ind w:firstLine="480"/>
      </w:pPr>
      <w:r>
        <w:rPr>
          <w:rFonts w:hint="eastAsia"/>
        </w:rPr>
        <w:t>3、评价方法</w:t>
      </w:r>
    </w:p>
    <w:p>
      <w:pPr>
        <w:pStyle w:val="49"/>
        <w:ind w:firstLine="480"/>
      </w:pPr>
      <w:r>
        <w:t>用单因子指数法作大气环境质量现状评价，统计各监测点的平均浓度范围和超标率。环境空气质量现状评价采用单项大气污染分指数，其计算公式为：</w:t>
      </w:r>
    </w:p>
    <w:p>
      <w:pPr>
        <w:pStyle w:val="49"/>
        <w:ind w:firstLine="480"/>
        <w:jc w:val="center"/>
      </w:pPr>
      <w:r>
        <w:rPr>
          <w:position w:val="-30"/>
        </w:rPr>
        <w:drawing>
          <wp:inline distT="0" distB="0" distL="0" distR="0">
            <wp:extent cx="533400" cy="428625"/>
            <wp:effectExtent l="0" t="0" r="0" b="0"/>
            <wp:docPr id="116241975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2419758" name="图片 1"/>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533400" cy="428625"/>
                    </a:xfrm>
                    <a:prstGeom prst="rect">
                      <a:avLst/>
                    </a:prstGeom>
                    <a:noFill/>
                    <a:ln>
                      <a:noFill/>
                    </a:ln>
                  </pic:spPr>
                </pic:pic>
              </a:graphicData>
            </a:graphic>
          </wp:inline>
        </w:drawing>
      </w:r>
    </w:p>
    <w:p>
      <w:pPr>
        <w:pStyle w:val="49"/>
        <w:ind w:firstLine="480"/>
      </w:pPr>
      <w:r>
        <w:t>式中：</w:t>
      </w:r>
      <w:r>
        <w:rPr>
          <w:i/>
          <w:iCs/>
        </w:rPr>
        <w:t>P</w:t>
      </w:r>
      <w:r>
        <w:rPr>
          <w:i/>
          <w:iCs/>
          <w:vertAlign w:val="subscript"/>
        </w:rPr>
        <w:t>i</w:t>
      </w:r>
      <w:r>
        <w:t xml:space="preserve"> —第 </w:t>
      </w:r>
      <w:r>
        <w:rPr>
          <w:i/>
          <w:iCs/>
        </w:rPr>
        <w:t xml:space="preserve">i </w:t>
      </w:r>
      <w:r>
        <w:t>项污染物的大气质量指数；</w:t>
      </w:r>
    </w:p>
    <w:p>
      <w:pPr>
        <w:pStyle w:val="49"/>
        <w:ind w:firstLine="480"/>
      </w:pPr>
      <w:r>
        <w:t xml:space="preserve">            </w:t>
      </w:r>
      <w:r>
        <w:rPr>
          <w:i/>
          <w:iCs/>
        </w:rPr>
        <w:t>C</w:t>
      </w:r>
      <w:r>
        <w:rPr>
          <w:i/>
          <w:iCs/>
          <w:vertAlign w:val="subscript"/>
        </w:rPr>
        <w:t>i</w:t>
      </w:r>
      <w:r>
        <w:t>—</w:t>
      </w:r>
      <w:r>
        <w:rPr>
          <w:rFonts w:hint="eastAsia"/>
        </w:rPr>
        <w:t>第</w:t>
      </w:r>
      <w:r>
        <w:t xml:space="preserve"> </w:t>
      </w:r>
      <w:r>
        <w:rPr>
          <w:i/>
          <w:iCs/>
        </w:rPr>
        <w:t xml:space="preserve">i </w:t>
      </w:r>
      <w:r>
        <w:t>项污染物的实测值，</w:t>
      </w:r>
      <w:r>
        <w:rPr>
          <w:position w:val="4"/>
        </w:rPr>
        <w:t>μ</w:t>
      </w:r>
      <w:r>
        <w:t>g/m</w:t>
      </w:r>
      <w:r>
        <w:rPr>
          <w:vertAlign w:val="superscript"/>
        </w:rPr>
        <w:t>3</w:t>
      </w:r>
      <w:r>
        <w:t>；</w:t>
      </w:r>
    </w:p>
    <w:p>
      <w:pPr>
        <w:pStyle w:val="49"/>
        <w:ind w:firstLine="480"/>
      </w:pPr>
      <w:r>
        <w:t xml:space="preserve">       </w:t>
      </w:r>
      <w:r>
        <w:rPr>
          <w:i/>
          <w:iCs/>
        </w:rPr>
        <w:t xml:space="preserve"> C</w:t>
      </w:r>
      <w:r>
        <w:rPr>
          <w:i/>
          <w:iCs/>
          <w:vertAlign w:val="subscript"/>
        </w:rPr>
        <w:t>oi</w:t>
      </w:r>
      <w:r>
        <w:rPr>
          <w:i/>
          <w:iCs/>
        </w:rPr>
        <w:t xml:space="preserve"> </w:t>
      </w:r>
      <w:r>
        <w:t>—第</w:t>
      </w:r>
      <w:r>
        <w:rPr>
          <w:i/>
          <w:iCs/>
        </w:rPr>
        <w:t xml:space="preserve"> i </w:t>
      </w:r>
      <w:r>
        <w:t>项污染物的标准值，</w:t>
      </w:r>
      <w:r>
        <w:rPr>
          <w:position w:val="4"/>
        </w:rPr>
        <w:t>μ</w:t>
      </w:r>
      <w:r>
        <w:t>g/m</w:t>
      </w:r>
      <w:r>
        <w:rPr>
          <w:vertAlign w:val="superscript"/>
        </w:rPr>
        <w:t>3</w:t>
      </w:r>
      <w:r>
        <w:t>。</w:t>
      </w:r>
    </w:p>
    <w:p>
      <w:pPr>
        <w:pStyle w:val="49"/>
        <w:ind w:firstLine="480"/>
      </w:pPr>
      <w:r>
        <w:rPr>
          <w:rFonts w:hint="eastAsia"/>
        </w:rPr>
        <w:t>4、评价标准</w:t>
      </w:r>
    </w:p>
    <w:p>
      <w:pPr>
        <w:pStyle w:val="49"/>
        <w:ind w:firstLine="480"/>
      </w:pPr>
      <w:r>
        <w:rPr>
          <w:color w:val="000000"/>
        </w:rPr>
        <w:t>本项目所在区域属于二类环境空气质量功能区，</w:t>
      </w:r>
      <w:r>
        <w:rPr>
          <w:rFonts w:hint="eastAsia"/>
        </w:rPr>
        <w:t>NH</w:t>
      </w:r>
      <w:r>
        <w:rPr>
          <w:rFonts w:hint="eastAsia"/>
          <w:vertAlign w:val="subscript"/>
        </w:rPr>
        <w:t>3</w:t>
      </w:r>
      <w:r>
        <w:rPr>
          <w:rFonts w:hint="eastAsia"/>
        </w:rPr>
        <w:t>、H</w:t>
      </w:r>
      <w:r>
        <w:rPr>
          <w:rFonts w:hint="eastAsia"/>
          <w:vertAlign w:val="subscript"/>
        </w:rPr>
        <w:t>2</w:t>
      </w:r>
      <w:r>
        <w:rPr>
          <w:rFonts w:hint="eastAsia"/>
        </w:rPr>
        <w:t>S</w:t>
      </w:r>
      <w:r>
        <w:rPr>
          <w:rFonts w:hint="eastAsia" w:cs="Times New Roman"/>
          <w:color w:val="000000"/>
        </w:rPr>
        <w:t>执行</w:t>
      </w:r>
      <w:r>
        <w:rPr>
          <w:rFonts w:cs="Times New Roman"/>
          <w:color w:val="000000"/>
        </w:rPr>
        <w:t>《环境影响评价技术导则 大气环境》（HJ 2.2- 2018）附录D中其他污染物空气质量浓度参考限值</w:t>
      </w:r>
      <w:r>
        <w:rPr>
          <w:rFonts w:hint="eastAsia" w:cs="Times New Roman"/>
          <w:color w:val="000000"/>
        </w:rPr>
        <w:t>；臭气浓度仅作本底调查，无质量标准，不评价</w:t>
      </w:r>
      <w:r>
        <w:rPr>
          <w:rFonts w:hint="eastAsia"/>
        </w:rPr>
        <w:t>；颗粒物执行</w:t>
      </w:r>
      <w:r>
        <w:rPr>
          <w:color w:val="000000"/>
        </w:rPr>
        <w:t>《环境空气质量标准》（GB3095-2012）</w:t>
      </w:r>
      <w:r>
        <w:rPr>
          <w:rFonts w:hint="eastAsia"/>
          <w:color w:val="000000"/>
        </w:rPr>
        <w:t>及</w:t>
      </w:r>
      <w:r>
        <w:rPr>
          <w:rFonts w:hint="eastAsia"/>
          <w:szCs w:val="32"/>
        </w:rPr>
        <w:t>2018年修改单中二级标准要求。</w:t>
      </w:r>
    </w:p>
    <w:p>
      <w:pPr>
        <w:pStyle w:val="49"/>
        <w:ind w:firstLine="480"/>
      </w:pPr>
      <w:r>
        <w:rPr>
          <w:rFonts w:hint="eastAsia"/>
        </w:rPr>
        <w:t>5、监测结果</w:t>
      </w:r>
    </w:p>
    <w:p>
      <w:pPr>
        <w:pStyle w:val="49"/>
        <w:ind w:firstLine="480"/>
      </w:pPr>
      <w:r>
        <w:t>各项目指标监测数据见下表</w:t>
      </w:r>
      <w:r>
        <w:rPr>
          <w:rFonts w:hint="eastAsia"/>
        </w:rPr>
        <w:t>4</w:t>
      </w:r>
      <w:r>
        <w:t>.</w:t>
      </w:r>
      <w:r>
        <w:rPr>
          <w:rFonts w:hint="eastAsia"/>
        </w:rPr>
        <w:t>2</w:t>
      </w:r>
      <w:r>
        <w:t>-4。</w:t>
      </w:r>
    </w:p>
    <w:p>
      <w:pPr>
        <w:pStyle w:val="53"/>
      </w:pPr>
      <w:r>
        <w:t>表</w:t>
      </w:r>
      <w:r>
        <w:rPr>
          <w:rFonts w:hint="eastAsia"/>
        </w:rPr>
        <w:t>4.2</w:t>
      </w:r>
      <w:r>
        <w:t>-4 环境空气质量现状监测结果统计与评价  单位：</w:t>
      </w:r>
      <w:r>
        <w:rPr>
          <w:rFonts w:hint="eastAsia"/>
        </w:rPr>
        <w:t>m</w:t>
      </w:r>
      <w:r>
        <w:t>g/m</w:t>
      </w:r>
      <w:r>
        <w:rPr>
          <w:snapToGrid w:val="0"/>
          <w:kern w:val="18"/>
          <w:vertAlign w:val="superscript"/>
        </w:rPr>
        <w:t>3</w:t>
      </w:r>
    </w:p>
    <w:tbl>
      <w:tblPr>
        <w:tblStyle w:val="39"/>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2143"/>
        <w:gridCol w:w="1607"/>
        <w:gridCol w:w="691"/>
        <w:gridCol w:w="924"/>
        <w:gridCol w:w="916"/>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Align w:val="center"/>
          </w:tcPr>
          <w:p>
            <w:pPr>
              <w:pStyle w:val="51"/>
            </w:pPr>
            <w:r>
              <w:t>监测点位</w:t>
            </w:r>
          </w:p>
        </w:tc>
        <w:tc>
          <w:tcPr>
            <w:tcW w:w="2143" w:type="dxa"/>
            <w:vAlign w:val="center"/>
          </w:tcPr>
          <w:p>
            <w:pPr>
              <w:pStyle w:val="51"/>
            </w:pPr>
            <w:r>
              <w:t>项目</w:t>
            </w:r>
          </w:p>
        </w:tc>
        <w:tc>
          <w:tcPr>
            <w:tcW w:w="1607" w:type="dxa"/>
            <w:vAlign w:val="center"/>
          </w:tcPr>
          <w:p>
            <w:pPr>
              <w:pStyle w:val="51"/>
            </w:pPr>
            <w:r>
              <w:t>监测值范围</w:t>
            </w:r>
          </w:p>
        </w:tc>
        <w:tc>
          <w:tcPr>
            <w:tcW w:w="691" w:type="dxa"/>
            <w:vAlign w:val="center"/>
          </w:tcPr>
          <w:p>
            <w:pPr>
              <w:pStyle w:val="51"/>
            </w:pPr>
            <w:r>
              <w:t>超标率</w:t>
            </w:r>
          </w:p>
        </w:tc>
        <w:tc>
          <w:tcPr>
            <w:tcW w:w="924" w:type="dxa"/>
            <w:vAlign w:val="center"/>
          </w:tcPr>
          <w:p>
            <w:pPr>
              <w:pStyle w:val="51"/>
            </w:pPr>
            <w:r>
              <w:t>最大超标倍数</w:t>
            </w:r>
          </w:p>
        </w:tc>
        <w:tc>
          <w:tcPr>
            <w:tcW w:w="916" w:type="dxa"/>
            <w:vAlign w:val="center"/>
          </w:tcPr>
          <w:p>
            <w:pPr>
              <w:pStyle w:val="51"/>
            </w:pPr>
            <w:r>
              <w:t>评价</w:t>
            </w:r>
          </w:p>
          <w:p>
            <w:pPr>
              <w:pStyle w:val="51"/>
            </w:pPr>
            <w:r>
              <w:t>结果</w:t>
            </w:r>
          </w:p>
        </w:tc>
        <w:tc>
          <w:tcPr>
            <w:tcW w:w="1044" w:type="dxa"/>
            <w:vAlign w:val="center"/>
          </w:tcPr>
          <w:p>
            <w:pPr>
              <w:pStyle w:val="51"/>
            </w:pPr>
            <w:r>
              <w:t>评价</w:t>
            </w:r>
          </w:p>
          <w:p>
            <w:pPr>
              <w:pStyle w:val="51"/>
            </w:pPr>
            <w: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restart"/>
            <w:vAlign w:val="center"/>
          </w:tcPr>
          <w:p>
            <w:pPr>
              <w:pStyle w:val="51"/>
            </w:pPr>
            <w:r>
              <w:t>G1</w:t>
            </w:r>
            <w:r>
              <w:rPr>
                <w:rFonts w:hint="eastAsia"/>
              </w:rPr>
              <w:t>项目所在地</w:t>
            </w:r>
          </w:p>
        </w:tc>
        <w:tc>
          <w:tcPr>
            <w:tcW w:w="2143" w:type="dxa"/>
            <w:vAlign w:val="center"/>
          </w:tcPr>
          <w:p>
            <w:pPr>
              <w:pStyle w:val="51"/>
            </w:pPr>
            <w:r>
              <w:rPr>
                <w:rFonts w:hint="eastAsia"/>
              </w:rPr>
              <w:t>NH</w:t>
            </w:r>
            <w:r>
              <w:rPr>
                <w:rFonts w:hint="eastAsia"/>
                <w:vertAlign w:val="subscript"/>
              </w:rPr>
              <w:t>3</w:t>
            </w:r>
            <w:r>
              <w:t>（小时值）</w:t>
            </w:r>
          </w:p>
        </w:tc>
        <w:tc>
          <w:tcPr>
            <w:tcW w:w="1607" w:type="dxa"/>
            <w:vAlign w:val="center"/>
          </w:tcPr>
          <w:p>
            <w:pPr>
              <w:pStyle w:val="51"/>
            </w:pPr>
            <w:r>
              <w:rPr>
                <w:rFonts w:hint="eastAsia"/>
              </w:rPr>
              <w:t>0.12~0.17</w:t>
            </w:r>
          </w:p>
        </w:tc>
        <w:tc>
          <w:tcPr>
            <w:tcW w:w="691" w:type="dxa"/>
            <w:vAlign w:val="center"/>
          </w:tcPr>
          <w:p>
            <w:pPr>
              <w:pStyle w:val="51"/>
            </w:pPr>
            <w:r>
              <w:t>0</w:t>
            </w:r>
          </w:p>
        </w:tc>
        <w:tc>
          <w:tcPr>
            <w:tcW w:w="924" w:type="dxa"/>
            <w:vAlign w:val="center"/>
          </w:tcPr>
          <w:p>
            <w:pPr>
              <w:pStyle w:val="51"/>
            </w:pPr>
            <w:r>
              <w:t>0</w:t>
            </w:r>
          </w:p>
        </w:tc>
        <w:tc>
          <w:tcPr>
            <w:tcW w:w="916" w:type="dxa"/>
            <w:vAlign w:val="center"/>
          </w:tcPr>
          <w:p>
            <w:pPr>
              <w:pStyle w:val="51"/>
            </w:pPr>
            <w:r>
              <w:t>达标</w:t>
            </w:r>
          </w:p>
        </w:tc>
        <w:tc>
          <w:tcPr>
            <w:tcW w:w="1044" w:type="dxa"/>
            <w:vAlign w:val="center"/>
          </w:tcPr>
          <w:p>
            <w:pPr>
              <w:pStyle w:val="51"/>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18" w:type="dxa"/>
            <w:vMerge w:val="continue"/>
            <w:vAlign w:val="center"/>
          </w:tcPr>
          <w:p>
            <w:pPr>
              <w:pStyle w:val="51"/>
            </w:pPr>
          </w:p>
        </w:tc>
        <w:tc>
          <w:tcPr>
            <w:tcW w:w="2143" w:type="dxa"/>
            <w:vAlign w:val="center"/>
          </w:tcPr>
          <w:p>
            <w:pPr>
              <w:pStyle w:val="51"/>
            </w:pPr>
            <w:r>
              <w:rPr>
                <w:rFonts w:hint="eastAsia"/>
              </w:rPr>
              <w:t>H</w:t>
            </w:r>
            <w:r>
              <w:rPr>
                <w:rFonts w:hint="eastAsia"/>
                <w:vertAlign w:val="subscript"/>
              </w:rPr>
              <w:t>2</w:t>
            </w:r>
            <w:r>
              <w:rPr>
                <w:rFonts w:hint="eastAsia"/>
              </w:rPr>
              <w:t>S</w:t>
            </w:r>
            <w:r>
              <w:t>（小时值）</w:t>
            </w:r>
          </w:p>
        </w:tc>
        <w:tc>
          <w:tcPr>
            <w:tcW w:w="1607" w:type="dxa"/>
            <w:vAlign w:val="center"/>
          </w:tcPr>
          <w:p>
            <w:pPr>
              <w:pStyle w:val="51"/>
            </w:pPr>
            <w:r>
              <w:rPr>
                <w:rFonts w:hint="eastAsia"/>
              </w:rPr>
              <w:t>0.004~0.009</w:t>
            </w:r>
          </w:p>
        </w:tc>
        <w:tc>
          <w:tcPr>
            <w:tcW w:w="691" w:type="dxa"/>
            <w:vAlign w:val="center"/>
          </w:tcPr>
          <w:p>
            <w:pPr>
              <w:pStyle w:val="51"/>
            </w:pPr>
            <w:r>
              <w:t>0</w:t>
            </w:r>
          </w:p>
        </w:tc>
        <w:tc>
          <w:tcPr>
            <w:tcW w:w="924" w:type="dxa"/>
            <w:vAlign w:val="center"/>
          </w:tcPr>
          <w:p>
            <w:pPr>
              <w:pStyle w:val="51"/>
            </w:pPr>
            <w:r>
              <w:t>0</w:t>
            </w:r>
          </w:p>
        </w:tc>
        <w:tc>
          <w:tcPr>
            <w:tcW w:w="916" w:type="dxa"/>
            <w:vAlign w:val="center"/>
          </w:tcPr>
          <w:p>
            <w:pPr>
              <w:pStyle w:val="51"/>
            </w:pPr>
            <w:r>
              <w:t>达标</w:t>
            </w:r>
          </w:p>
        </w:tc>
        <w:tc>
          <w:tcPr>
            <w:tcW w:w="1044" w:type="dxa"/>
            <w:vAlign w:val="center"/>
          </w:tcPr>
          <w:p>
            <w:pPr>
              <w:pStyle w:val="51"/>
            </w:pPr>
            <w:r>
              <w:rPr>
                <w:rFonts w:hint="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18" w:type="dxa"/>
            <w:vMerge w:val="continue"/>
            <w:vAlign w:val="center"/>
          </w:tcPr>
          <w:p>
            <w:pPr>
              <w:pStyle w:val="51"/>
            </w:pPr>
          </w:p>
        </w:tc>
        <w:tc>
          <w:tcPr>
            <w:tcW w:w="2143" w:type="dxa"/>
            <w:vAlign w:val="center"/>
          </w:tcPr>
          <w:p>
            <w:pPr>
              <w:pStyle w:val="51"/>
            </w:pPr>
            <w:r>
              <w:rPr>
                <w:rFonts w:hint="eastAsia"/>
              </w:rPr>
              <w:t>臭气浓度（无量纲）</w:t>
            </w:r>
          </w:p>
        </w:tc>
        <w:tc>
          <w:tcPr>
            <w:tcW w:w="1607" w:type="dxa"/>
            <w:vAlign w:val="center"/>
          </w:tcPr>
          <w:p>
            <w:pPr>
              <w:pStyle w:val="51"/>
            </w:pPr>
            <w:r>
              <w:rPr>
                <w:rFonts w:hint="eastAsia"/>
              </w:rPr>
              <w:t>11~15</w:t>
            </w:r>
          </w:p>
        </w:tc>
        <w:tc>
          <w:tcPr>
            <w:tcW w:w="691" w:type="dxa"/>
            <w:vAlign w:val="center"/>
          </w:tcPr>
          <w:p>
            <w:pPr>
              <w:pStyle w:val="51"/>
            </w:pPr>
            <w:r>
              <w:rPr>
                <w:rFonts w:hint="eastAsia"/>
              </w:rPr>
              <w:t>/</w:t>
            </w:r>
          </w:p>
        </w:tc>
        <w:tc>
          <w:tcPr>
            <w:tcW w:w="924" w:type="dxa"/>
            <w:vAlign w:val="center"/>
          </w:tcPr>
          <w:p>
            <w:pPr>
              <w:pStyle w:val="51"/>
            </w:pPr>
            <w:r>
              <w:rPr>
                <w:rFonts w:hint="eastAsia"/>
              </w:rPr>
              <w:t>/</w:t>
            </w:r>
          </w:p>
        </w:tc>
        <w:tc>
          <w:tcPr>
            <w:tcW w:w="916" w:type="dxa"/>
            <w:vAlign w:val="center"/>
          </w:tcPr>
          <w:p>
            <w:pPr>
              <w:pStyle w:val="51"/>
            </w:pPr>
            <w:r>
              <w:rPr>
                <w:rFonts w:hint="eastAsia"/>
              </w:rPr>
              <w:t>/</w:t>
            </w:r>
          </w:p>
        </w:tc>
        <w:tc>
          <w:tcPr>
            <w:tcW w:w="1044"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18" w:type="dxa"/>
            <w:vMerge w:val="continue"/>
            <w:vAlign w:val="center"/>
          </w:tcPr>
          <w:p>
            <w:pPr>
              <w:pStyle w:val="51"/>
            </w:pPr>
          </w:p>
        </w:tc>
        <w:tc>
          <w:tcPr>
            <w:tcW w:w="2143" w:type="dxa"/>
            <w:vAlign w:val="center"/>
          </w:tcPr>
          <w:p>
            <w:pPr>
              <w:pStyle w:val="51"/>
            </w:pPr>
            <w:r>
              <w:rPr>
                <w:rFonts w:hint="eastAsia"/>
              </w:rPr>
              <w:t>颗粒物（日均值）</w:t>
            </w:r>
          </w:p>
        </w:tc>
        <w:tc>
          <w:tcPr>
            <w:tcW w:w="1607" w:type="dxa"/>
            <w:vAlign w:val="center"/>
          </w:tcPr>
          <w:p>
            <w:pPr>
              <w:pStyle w:val="51"/>
            </w:pPr>
            <w:r>
              <w:rPr>
                <w:rFonts w:hint="eastAsia"/>
              </w:rPr>
              <w:t>0.165~0.184</w:t>
            </w:r>
          </w:p>
        </w:tc>
        <w:tc>
          <w:tcPr>
            <w:tcW w:w="691" w:type="dxa"/>
            <w:vAlign w:val="center"/>
          </w:tcPr>
          <w:p>
            <w:pPr>
              <w:pStyle w:val="51"/>
            </w:pPr>
            <w:r>
              <w:t>0</w:t>
            </w:r>
          </w:p>
        </w:tc>
        <w:tc>
          <w:tcPr>
            <w:tcW w:w="924" w:type="dxa"/>
            <w:vAlign w:val="center"/>
          </w:tcPr>
          <w:p>
            <w:pPr>
              <w:pStyle w:val="51"/>
            </w:pPr>
            <w:r>
              <w:t>0</w:t>
            </w:r>
          </w:p>
        </w:tc>
        <w:tc>
          <w:tcPr>
            <w:tcW w:w="916" w:type="dxa"/>
            <w:vAlign w:val="center"/>
          </w:tcPr>
          <w:p>
            <w:pPr>
              <w:pStyle w:val="51"/>
            </w:pPr>
            <w:r>
              <w:t>达标</w:t>
            </w:r>
          </w:p>
        </w:tc>
        <w:tc>
          <w:tcPr>
            <w:tcW w:w="1044" w:type="dxa"/>
            <w:vAlign w:val="center"/>
          </w:tcPr>
          <w:p>
            <w:pPr>
              <w:pStyle w:val="51"/>
            </w:pPr>
            <w:r>
              <w:rPr>
                <w:rFonts w:hint="eastAsi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restart"/>
            <w:vAlign w:val="center"/>
          </w:tcPr>
          <w:p>
            <w:pPr>
              <w:pStyle w:val="51"/>
            </w:pPr>
            <w:r>
              <w:t>G2</w:t>
            </w:r>
          </w:p>
          <w:p>
            <w:pPr>
              <w:pStyle w:val="51"/>
              <w:rPr>
                <w:color w:val="000000"/>
              </w:rPr>
            </w:pPr>
            <w:r>
              <w:rPr>
                <w:rFonts w:hint="eastAsia"/>
                <w:color w:val="000000"/>
              </w:rPr>
              <w:t>门口洞</w:t>
            </w:r>
          </w:p>
        </w:tc>
        <w:tc>
          <w:tcPr>
            <w:tcW w:w="2143" w:type="dxa"/>
            <w:vAlign w:val="center"/>
          </w:tcPr>
          <w:p>
            <w:pPr>
              <w:pStyle w:val="51"/>
            </w:pPr>
            <w:r>
              <w:rPr>
                <w:rFonts w:hint="eastAsia"/>
              </w:rPr>
              <w:t>NH</w:t>
            </w:r>
            <w:r>
              <w:rPr>
                <w:rFonts w:hint="eastAsia"/>
                <w:vertAlign w:val="subscript"/>
              </w:rPr>
              <w:t>3</w:t>
            </w:r>
            <w:r>
              <w:t>（小时值）</w:t>
            </w:r>
          </w:p>
        </w:tc>
        <w:tc>
          <w:tcPr>
            <w:tcW w:w="1607" w:type="dxa"/>
            <w:vAlign w:val="center"/>
          </w:tcPr>
          <w:p>
            <w:pPr>
              <w:pStyle w:val="51"/>
            </w:pPr>
            <w:r>
              <w:rPr>
                <w:rFonts w:hint="eastAsia"/>
              </w:rPr>
              <w:t>0.12~0.18</w:t>
            </w:r>
          </w:p>
        </w:tc>
        <w:tc>
          <w:tcPr>
            <w:tcW w:w="691" w:type="dxa"/>
            <w:vAlign w:val="center"/>
          </w:tcPr>
          <w:p>
            <w:pPr>
              <w:pStyle w:val="51"/>
            </w:pPr>
            <w:r>
              <w:t>0</w:t>
            </w:r>
          </w:p>
        </w:tc>
        <w:tc>
          <w:tcPr>
            <w:tcW w:w="924" w:type="dxa"/>
            <w:vAlign w:val="center"/>
          </w:tcPr>
          <w:p>
            <w:pPr>
              <w:pStyle w:val="51"/>
            </w:pPr>
            <w:r>
              <w:t>0</w:t>
            </w:r>
          </w:p>
        </w:tc>
        <w:tc>
          <w:tcPr>
            <w:tcW w:w="916" w:type="dxa"/>
            <w:vAlign w:val="center"/>
          </w:tcPr>
          <w:p>
            <w:pPr>
              <w:pStyle w:val="51"/>
            </w:pPr>
            <w:r>
              <w:t>达标</w:t>
            </w:r>
          </w:p>
        </w:tc>
        <w:tc>
          <w:tcPr>
            <w:tcW w:w="1044" w:type="dxa"/>
            <w:vAlign w:val="center"/>
          </w:tcPr>
          <w:p>
            <w:pPr>
              <w:pStyle w:val="51"/>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pPr>
              <w:pStyle w:val="51"/>
            </w:pPr>
          </w:p>
        </w:tc>
        <w:tc>
          <w:tcPr>
            <w:tcW w:w="2143" w:type="dxa"/>
            <w:vAlign w:val="center"/>
          </w:tcPr>
          <w:p>
            <w:pPr>
              <w:pStyle w:val="51"/>
            </w:pPr>
            <w:r>
              <w:rPr>
                <w:rFonts w:hint="eastAsia"/>
              </w:rPr>
              <w:t>H</w:t>
            </w:r>
            <w:r>
              <w:rPr>
                <w:rFonts w:hint="eastAsia"/>
                <w:vertAlign w:val="subscript"/>
              </w:rPr>
              <w:t>2</w:t>
            </w:r>
            <w:r>
              <w:rPr>
                <w:rFonts w:hint="eastAsia"/>
              </w:rPr>
              <w:t>S</w:t>
            </w:r>
            <w:r>
              <w:t>（小时值）</w:t>
            </w:r>
          </w:p>
        </w:tc>
        <w:tc>
          <w:tcPr>
            <w:tcW w:w="1607" w:type="dxa"/>
            <w:vAlign w:val="center"/>
          </w:tcPr>
          <w:p>
            <w:pPr>
              <w:pStyle w:val="51"/>
            </w:pPr>
            <w:r>
              <w:rPr>
                <w:rFonts w:hint="eastAsia"/>
              </w:rPr>
              <w:t>0.004~0.009</w:t>
            </w:r>
          </w:p>
        </w:tc>
        <w:tc>
          <w:tcPr>
            <w:tcW w:w="691" w:type="dxa"/>
            <w:vAlign w:val="center"/>
          </w:tcPr>
          <w:p>
            <w:pPr>
              <w:pStyle w:val="51"/>
            </w:pPr>
            <w:r>
              <w:t>0</w:t>
            </w:r>
          </w:p>
        </w:tc>
        <w:tc>
          <w:tcPr>
            <w:tcW w:w="924" w:type="dxa"/>
            <w:vAlign w:val="center"/>
          </w:tcPr>
          <w:p>
            <w:pPr>
              <w:pStyle w:val="51"/>
            </w:pPr>
            <w:r>
              <w:t>0</w:t>
            </w:r>
          </w:p>
        </w:tc>
        <w:tc>
          <w:tcPr>
            <w:tcW w:w="916" w:type="dxa"/>
            <w:vAlign w:val="center"/>
          </w:tcPr>
          <w:p>
            <w:pPr>
              <w:pStyle w:val="51"/>
            </w:pPr>
            <w:r>
              <w:t>达标</w:t>
            </w:r>
          </w:p>
        </w:tc>
        <w:tc>
          <w:tcPr>
            <w:tcW w:w="1044" w:type="dxa"/>
            <w:vAlign w:val="center"/>
          </w:tcPr>
          <w:p>
            <w:pPr>
              <w:pStyle w:val="51"/>
            </w:pPr>
            <w:r>
              <w:rPr>
                <w:rFonts w:hint="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pPr>
              <w:pStyle w:val="51"/>
            </w:pPr>
          </w:p>
        </w:tc>
        <w:tc>
          <w:tcPr>
            <w:tcW w:w="2143" w:type="dxa"/>
            <w:vAlign w:val="center"/>
          </w:tcPr>
          <w:p>
            <w:pPr>
              <w:pStyle w:val="51"/>
            </w:pPr>
            <w:r>
              <w:rPr>
                <w:rFonts w:hint="eastAsia"/>
              </w:rPr>
              <w:t>臭气浓度（无量纲）</w:t>
            </w:r>
          </w:p>
        </w:tc>
        <w:tc>
          <w:tcPr>
            <w:tcW w:w="1607" w:type="dxa"/>
            <w:vAlign w:val="center"/>
          </w:tcPr>
          <w:p>
            <w:pPr>
              <w:pStyle w:val="51"/>
            </w:pPr>
            <w:r>
              <w:rPr>
                <w:rFonts w:hint="eastAsia"/>
              </w:rPr>
              <w:t>13~17</w:t>
            </w:r>
          </w:p>
        </w:tc>
        <w:tc>
          <w:tcPr>
            <w:tcW w:w="691" w:type="dxa"/>
            <w:vAlign w:val="center"/>
          </w:tcPr>
          <w:p>
            <w:pPr>
              <w:pStyle w:val="51"/>
            </w:pPr>
            <w:r>
              <w:rPr>
                <w:rFonts w:hint="eastAsia"/>
              </w:rPr>
              <w:t>/</w:t>
            </w:r>
          </w:p>
        </w:tc>
        <w:tc>
          <w:tcPr>
            <w:tcW w:w="924" w:type="dxa"/>
            <w:vAlign w:val="center"/>
          </w:tcPr>
          <w:p>
            <w:pPr>
              <w:pStyle w:val="51"/>
            </w:pPr>
            <w:r>
              <w:rPr>
                <w:rFonts w:hint="eastAsia"/>
              </w:rPr>
              <w:t>/</w:t>
            </w:r>
          </w:p>
        </w:tc>
        <w:tc>
          <w:tcPr>
            <w:tcW w:w="916" w:type="dxa"/>
            <w:vAlign w:val="center"/>
          </w:tcPr>
          <w:p>
            <w:pPr>
              <w:pStyle w:val="51"/>
            </w:pPr>
            <w:r>
              <w:rPr>
                <w:rFonts w:hint="eastAsia"/>
              </w:rPr>
              <w:t>/</w:t>
            </w:r>
          </w:p>
        </w:tc>
        <w:tc>
          <w:tcPr>
            <w:tcW w:w="1044"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pPr>
              <w:pStyle w:val="51"/>
            </w:pPr>
          </w:p>
        </w:tc>
        <w:tc>
          <w:tcPr>
            <w:tcW w:w="2143" w:type="dxa"/>
            <w:vAlign w:val="center"/>
          </w:tcPr>
          <w:p>
            <w:pPr>
              <w:pStyle w:val="51"/>
            </w:pPr>
            <w:r>
              <w:rPr>
                <w:rFonts w:hint="eastAsia"/>
              </w:rPr>
              <w:t>颗粒物（日均值）</w:t>
            </w:r>
          </w:p>
        </w:tc>
        <w:tc>
          <w:tcPr>
            <w:tcW w:w="1607" w:type="dxa"/>
            <w:vAlign w:val="center"/>
          </w:tcPr>
          <w:p>
            <w:pPr>
              <w:pStyle w:val="51"/>
            </w:pPr>
            <w:r>
              <w:rPr>
                <w:rFonts w:hint="eastAsia"/>
              </w:rPr>
              <w:t>0.176~0.198</w:t>
            </w:r>
          </w:p>
        </w:tc>
        <w:tc>
          <w:tcPr>
            <w:tcW w:w="691" w:type="dxa"/>
            <w:vAlign w:val="center"/>
          </w:tcPr>
          <w:p>
            <w:pPr>
              <w:pStyle w:val="51"/>
            </w:pPr>
            <w:r>
              <w:rPr>
                <w:rFonts w:hint="eastAsia"/>
              </w:rPr>
              <w:t>0</w:t>
            </w:r>
          </w:p>
        </w:tc>
        <w:tc>
          <w:tcPr>
            <w:tcW w:w="924" w:type="dxa"/>
            <w:vAlign w:val="center"/>
          </w:tcPr>
          <w:p>
            <w:pPr>
              <w:pStyle w:val="51"/>
            </w:pPr>
            <w:r>
              <w:rPr>
                <w:rFonts w:hint="eastAsia"/>
              </w:rPr>
              <w:t>0</w:t>
            </w:r>
          </w:p>
        </w:tc>
        <w:tc>
          <w:tcPr>
            <w:tcW w:w="916" w:type="dxa"/>
            <w:vAlign w:val="center"/>
          </w:tcPr>
          <w:p>
            <w:pPr>
              <w:pStyle w:val="51"/>
            </w:pPr>
            <w:r>
              <w:t>达标</w:t>
            </w:r>
          </w:p>
        </w:tc>
        <w:tc>
          <w:tcPr>
            <w:tcW w:w="1044" w:type="dxa"/>
            <w:vAlign w:val="center"/>
          </w:tcPr>
          <w:p>
            <w:pPr>
              <w:pStyle w:val="51"/>
            </w:pPr>
            <w:r>
              <w:rPr>
                <w:rFonts w:hint="eastAsia"/>
              </w:rPr>
              <w:t>0.3</w:t>
            </w:r>
          </w:p>
        </w:tc>
      </w:tr>
    </w:tbl>
    <w:p>
      <w:pPr>
        <w:pStyle w:val="49"/>
        <w:ind w:firstLine="480"/>
      </w:pPr>
      <w:r>
        <w:rPr>
          <w:rFonts w:hint="eastAsia"/>
        </w:rPr>
        <w:t>6、评价结果</w:t>
      </w:r>
    </w:p>
    <w:p>
      <w:pPr>
        <w:pStyle w:val="49"/>
        <w:ind w:firstLine="480"/>
      </w:pPr>
      <w:r>
        <w:t>NH</w:t>
      </w:r>
      <w:r>
        <w:rPr>
          <w:vertAlign w:val="subscript"/>
        </w:rPr>
        <w:t>3</w:t>
      </w:r>
      <w:r>
        <w:t>、H</w:t>
      </w:r>
      <w:r>
        <w:rPr>
          <w:vertAlign w:val="subscript"/>
        </w:rPr>
        <w:t>2</w:t>
      </w:r>
      <w:r>
        <w:t>S</w:t>
      </w:r>
      <w:r>
        <w:rPr>
          <w:rFonts w:hint="eastAsia" w:ascii="宋体" w:hAnsi="宋体"/>
        </w:rPr>
        <w:t>《环境影响评价技术导则</w:t>
      </w:r>
      <w:r>
        <w:t xml:space="preserve"> </w:t>
      </w:r>
      <w:r>
        <w:rPr>
          <w:rFonts w:hint="eastAsia" w:ascii="宋体" w:hAnsi="宋体"/>
        </w:rPr>
        <w:t>大气环境》（</w:t>
      </w:r>
      <w:r>
        <w:t>HJ 2.2- 2018</w:t>
      </w:r>
      <w:r>
        <w:rPr>
          <w:rFonts w:hint="eastAsia" w:ascii="宋体" w:hAnsi="宋体"/>
        </w:rPr>
        <w:t>）附录</w:t>
      </w:r>
      <w:r>
        <w:t>D</w:t>
      </w:r>
      <w:r>
        <w:rPr>
          <w:rFonts w:hint="eastAsia" w:ascii="宋体" w:hAnsi="宋体"/>
        </w:rPr>
        <w:t>中其他污染物空气质量浓度参考限值</w:t>
      </w:r>
      <w:r>
        <w:rPr>
          <w:rFonts w:hint="eastAsia"/>
        </w:rPr>
        <w:t>；颗粒物满足</w:t>
      </w:r>
      <w:r>
        <w:rPr>
          <w:color w:val="000000"/>
        </w:rPr>
        <w:t>《环境空气质量标准》（GB3095-2012）</w:t>
      </w:r>
      <w:r>
        <w:rPr>
          <w:rFonts w:hint="eastAsia"/>
          <w:color w:val="000000"/>
        </w:rPr>
        <w:t>及</w:t>
      </w:r>
      <w:r>
        <w:rPr>
          <w:rFonts w:hint="eastAsia"/>
          <w:szCs w:val="32"/>
        </w:rPr>
        <w:t>2018年修改单中二级标准要求。</w:t>
      </w:r>
      <w:r>
        <w:t>由此说明，项目所在区域的环境空气质量良好。</w:t>
      </w:r>
    </w:p>
    <w:p>
      <w:pPr>
        <w:pStyle w:val="4"/>
      </w:pPr>
      <w:bookmarkStart w:id="172" w:name="_Toc194481169"/>
      <w:r>
        <w:t>4.</w:t>
      </w:r>
      <w:r>
        <w:rPr>
          <w:rFonts w:hint="eastAsia"/>
        </w:rPr>
        <w:t>2</w:t>
      </w:r>
      <w:r>
        <w:t>.</w:t>
      </w:r>
      <w:r>
        <w:rPr>
          <w:rFonts w:hint="eastAsia"/>
        </w:rPr>
        <w:t>2</w:t>
      </w:r>
      <w:r>
        <w:t xml:space="preserve"> </w:t>
      </w:r>
      <w:r>
        <w:rPr>
          <w:rFonts w:hint="eastAsia"/>
        </w:rPr>
        <w:t>地表水环境质量现状调查与评价</w:t>
      </w:r>
      <w:bookmarkEnd w:id="172"/>
    </w:p>
    <w:p>
      <w:pPr>
        <w:pStyle w:val="5"/>
      </w:pPr>
      <w:r>
        <w:rPr>
          <w:rFonts w:hint="eastAsia"/>
        </w:rPr>
        <w:t>4.2.1.</w:t>
      </w:r>
      <w:r>
        <w:t>1</w:t>
      </w:r>
      <w:r>
        <w:rPr>
          <w:rFonts w:hint="eastAsia"/>
        </w:rPr>
        <w:t xml:space="preserve"> 常规监控断面监测数据</w:t>
      </w:r>
    </w:p>
    <w:p>
      <w:pPr>
        <w:pStyle w:val="49"/>
        <w:ind w:firstLine="480"/>
        <w:rPr>
          <w:szCs w:val="32"/>
        </w:rPr>
      </w:pPr>
      <w:r>
        <w:rPr>
          <w:rFonts w:hint="eastAsia"/>
          <w:szCs w:val="32"/>
        </w:rPr>
        <w:t>根据永州市生态环境局发布的《永州市11月份环境质量状况》，项目附近的湘江曲河断面水质稳定，满足《地表水环境质量标准》（GB3838-2002）中</w:t>
      </w:r>
      <w:r>
        <w:rPr>
          <w:rFonts w:cs="Times New Roman"/>
          <w:szCs w:val="32"/>
        </w:rPr>
        <w:t>Ⅱ</w:t>
      </w:r>
      <w:r>
        <w:rPr>
          <w:rFonts w:hint="eastAsia"/>
          <w:szCs w:val="32"/>
        </w:rPr>
        <w:t>类水质标准。</w:t>
      </w:r>
    </w:p>
    <w:p>
      <w:pPr>
        <w:pStyle w:val="5"/>
      </w:pPr>
      <w:r>
        <w:rPr>
          <w:rFonts w:hint="eastAsia"/>
        </w:rPr>
        <w:t>4.2.1.2 现状监测数据</w:t>
      </w:r>
    </w:p>
    <w:p>
      <w:pPr>
        <w:pStyle w:val="49"/>
        <w:ind w:firstLine="480"/>
      </w:pPr>
      <w:r>
        <w:rPr>
          <w:rFonts w:hint="eastAsia"/>
        </w:rPr>
        <w:t>为了解本项目周边地表水环境现状，建设单位委托湖南西南检验检测有限公司于2024年12月17~12月19日对项目所在区域的地表水环境质量现状进行了监测。</w:t>
      </w:r>
    </w:p>
    <w:p>
      <w:pPr>
        <w:pStyle w:val="205"/>
        <w:ind w:firstLine="480"/>
      </w:pPr>
      <w:r>
        <w:rPr>
          <w:rFonts w:hint="eastAsia"/>
        </w:rPr>
        <w:t>1、监测工作内容</w:t>
      </w:r>
    </w:p>
    <w:p>
      <w:pPr>
        <w:pStyle w:val="205"/>
        <w:ind w:firstLine="480"/>
      </w:pPr>
      <w:r>
        <w:rPr>
          <w:rFonts w:hint="eastAsia"/>
        </w:rPr>
        <w:t>本次地表水环境监测内容详见表4.2-5，具体监测断面详见附图。</w:t>
      </w:r>
    </w:p>
    <w:p>
      <w:pPr>
        <w:pStyle w:val="207"/>
        <w:ind w:firstLine="422"/>
        <w:rPr>
          <w:rFonts w:hint="eastAsia"/>
          <w:snapToGrid w:val="0"/>
          <w:kern w:val="18"/>
          <w:vertAlign w:val="superscript"/>
        </w:rPr>
      </w:pPr>
      <w:r>
        <w:t>表</w:t>
      </w:r>
      <w:r>
        <w:rPr>
          <w:rFonts w:hint="eastAsia"/>
        </w:rPr>
        <w:t>4.2</w:t>
      </w:r>
      <w:r>
        <w:t>-</w:t>
      </w:r>
      <w:r>
        <w:rPr>
          <w:rFonts w:hint="eastAsia"/>
        </w:rPr>
        <w:t>5</w:t>
      </w:r>
      <w:r>
        <w:t xml:space="preserve"> </w:t>
      </w:r>
      <w:r>
        <w:rPr>
          <w:rFonts w:hint="eastAsia"/>
        </w:rPr>
        <w:t>地表水环境监测内容</w:t>
      </w:r>
    </w:p>
    <w:tbl>
      <w:tblPr>
        <w:tblStyle w:val="39"/>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793"/>
        <w:gridCol w:w="2551"/>
        <w:gridCol w:w="1843"/>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754" w:type="dxa"/>
            <w:vAlign w:val="center"/>
          </w:tcPr>
          <w:p>
            <w:pPr>
              <w:pStyle w:val="201"/>
            </w:pPr>
            <w:r>
              <w:rPr>
                <w:rFonts w:hint="eastAsia"/>
              </w:rPr>
              <w:t>编号</w:t>
            </w:r>
          </w:p>
        </w:tc>
        <w:tc>
          <w:tcPr>
            <w:tcW w:w="1793" w:type="dxa"/>
            <w:vAlign w:val="center"/>
          </w:tcPr>
          <w:p>
            <w:pPr>
              <w:pStyle w:val="201"/>
            </w:pPr>
            <w:r>
              <w:rPr>
                <w:rFonts w:hint="eastAsia"/>
              </w:rPr>
              <w:t>监测点位</w:t>
            </w:r>
          </w:p>
        </w:tc>
        <w:tc>
          <w:tcPr>
            <w:tcW w:w="2551" w:type="dxa"/>
            <w:vAlign w:val="center"/>
          </w:tcPr>
          <w:p>
            <w:pPr>
              <w:pStyle w:val="201"/>
            </w:pPr>
            <w:r>
              <w:rPr>
                <w:rFonts w:hint="eastAsia"/>
              </w:rPr>
              <w:t>监测因子</w:t>
            </w:r>
          </w:p>
        </w:tc>
        <w:tc>
          <w:tcPr>
            <w:tcW w:w="1843" w:type="dxa"/>
            <w:vAlign w:val="center"/>
          </w:tcPr>
          <w:p>
            <w:pPr>
              <w:pStyle w:val="201"/>
            </w:pPr>
            <w:r>
              <w:rPr>
                <w:rFonts w:hint="eastAsia"/>
              </w:rPr>
              <w:t>监测时间</w:t>
            </w:r>
          </w:p>
        </w:tc>
        <w:tc>
          <w:tcPr>
            <w:tcW w:w="1371" w:type="dxa"/>
            <w:vAlign w:val="center"/>
          </w:tcPr>
          <w:p>
            <w:pPr>
              <w:pStyle w:val="201"/>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754" w:type="dxa"/>
            <w:vAlign w:val="center"/>
          </w:tcPr>
          <w:p>
            <w:pPr>
              <w:pStyle w:val="201"/>
            </w:pPr>
            <w:r>
              <w:rPr>
                <w:rFonts w:hint="eastAsia"/>
              </w:rPr>
              <w:t>W1</w:t>
            </w:r>
          </w:p>
        </w:tc>
        <w:tc>
          <w:tcPr>
            <w:tcW w:w="1793" w:type="dxa"/>
            <w:vAlign w:val="center"/>
          </w:tcPr>
          <w:p>
            <w:pPr>
              <w:pStyle w:val="201"/>
            </w:pPr>
            <w:r>
              <w:rPr>
                <w:rFonts w:hint="eastAsia"/>
              </w:rPr>
              <w:t>项目所在地水塘</w:t>
            </w:r>
          </w:p>
        </w:tc>
        <w:tc>
          <w:tcPr>
            <w:tcW w:w="2551" w:type="dxa"/>
            <w:vAlign w:val="center"/>
          </w:tcPr>
          <w:p>
            <w:pPr>
              <w:pStyle w:val="201"/>
            </w:pPr>
            <w:r>
              <w:rPr>
                <w:rFonts w:hint="eastAsia"/>
              </w:rPr>
              <w:t>pH、COD、BOD</w:t>
            </w:r>
            <w:r>
              <w:rPr>
                <w:rFonts w:hint="eastAsia"/>
                <w:vertAlign w:val="subscript"/>
              </w:rPr>
              <w:t>5</w:t>
            </w:r>
            <w:r>
              <w:rPr>
                <w:rFonts w:hint="eastAsia"/>
              </w:rPr>
              <w:t>、SS、氨氮、总磷、粪大肠菌群</w:t>
            </w:r>
          </w:p>
        </w:tc>
        <w:tc>
          <w:tcPr>
            <w:tcW w:w="1843" w:type="dxa"/>
            <w:vAlign w:val="center"/>
          </w:tcPr>
          <w:p>
            <w:pPr>
              <w:pStyle w:val="201"/>
            </w:pPr>
            <w:r>
              <w:rPr>
                <w:rFonts w:hint="eastAsia"/>
              </w:rPr>
              <w:t>2024年12月17日~12月19日</w:t>
            </w:r>
          </w:p>
        </w:tc>
        <w:tc>
          <w:tcPr>
            <w:tcW w:w="1371" w:type="dxa"/>
            <w:vAlign w:val="center"/>
          </w:tcPr>
          <w:p>
            <w:pPr>
              <w:pStyle w:val="201"/>
            </w:pPr>
            <w:r>
              <w:rPr>
                <w:rFonts w:hint="eastAsia"/>
              </w:rPr>
              <w:t>监测1天，每天1次</w:t>
            </w:r>
          </w:p>
        </w:tc>
      </w:tr>
    </w:tbl>
    <w:p>
      <w:pPr>
        <w:pStyle w:val="49"/>
        <w:ind w:firstLine="480"/>
      </w:pPr>
      <w:r>
        <w:rPr>
          <w:rFonts w:hint="eastAsia"/>
        </w:rPr>
        <w:t>2、监测结果统计分析</w:t>
      </w:r>
    </w:p>
    <w:p>
      <w:pPr>
        <w:pStyle w:val="49"/>
        <w:ind w:firstLine="480"/>
      </w:pPr>
      <w:r>
        <w:rPr>
          <w:rFonts w:hint="eastAsia"/>
        </w:rPr>
        <w:t>地表水监测及统计分析结果见表4.2-6。</w:t>
      </w:r>
    </w:p>
    <w:p>
      <w:pPr>
        <w:pStyle w:val="53"/>
        <w:rPr>
          <w:snapToGrid w:val="0"/>
          <w:kern w:val="18"/>
          <w:vertAlign w:val="superscript"/>
        </w:rPr>
      </w:pPr>
      <w:r>
        <w:t>表</w:t>
      </w:r>
      <w:r>
        <w:rPr>
          <w:rFonts w:hint="eastAsia"/>
        </w:rPr>
        <w:t>4.2</w:t>
      </w:r>
      <w:r>
        <w:t>-</w:t>
      </w:r>
      <w:r>
        <w:rPr>
          <w:rFonts w:hint="eastAsia"/>
        </w:rPr>
        <w:t>6</w:t>
      </w:r>
      <w:r>
        <w:t xml:space="preserve"> </w:t>
      </w:r>
      <w:r>
        <w:rPr>
          <w:rFonts w:hint="eastAsia"/>
        </w:rPr>
        <w:t>地表水环境质量现状监测结果</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473"/>
        <w:gridCol w:w="977"/>
        <w:gridCol w:w="1200"/>
        <w:gridCol w:w="1201"/>
        <w:gridCol w:w="1201"/>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pPr>
              <w:pStyle w:val="51"/>
            </w:pPr>
            <w:r>
              <w:rPr>
                <w:rFonts w:hint="eastAsia"/>
              </w:rPr>
              <w:t>点位名称</w:t>
            </w:r>
          </w:p>
        </w:tc>
        <w:tc>
          <w:tcPr>
            <w:tcW w:w="1473" w:type="dxa"/>
            <w:vMerge w:val="restart"/>
            <w:vAlign w:val="center"/>
          </w:tcPr>
          <w:p>
            <w:pPr>
              <w:pStyle w:val="51"/>
            </w:pPr>
            <w:r>
              <w:rPr>
                <w:rFonts w:hint="eastAsia"/>
              </w:rPr>
              <w:t>检测项目</w:t>
            </w:r>
          </w:p>
        </w:tc>
        <w:tc>
          <w:tcPr>
            <w:tcW w:w="977" w:type="dxa"/>
            <w:vMerge w:val="restart"/>
            <w:vAlign w:val="center"/>
          </w:tcPr>
          <w:p>
            <w:pPr>
              <w:pStyle w:val="51"/>
            </w:pPr>
            <w:r>
              <w:rPr>
                <w:rFonts w:hint="eastAsia"/>
              </w:rPr>
              <w:t>单位</w:t>
            </w:r>
          </w:p>
        </w:tc>
        <w:tc>
          <w:tcPr>
            <w:tcW w:w="3602" w:type="dxa"/>
            <w:gridSpan w:val="3"/>
            <w:vAlign w:val="center"/>
          </w:tcPr>
          <w:p>
            <w:pPr>
              <w:pStyle w:val="51"/>
            </w:pPr>
            <w:r>
              <w:rPr>
                <w:rFonts w:hint="eastAsia"/>
              </w:rPr>
              <w:t>采样时间及检测结果</w:t>
            </w:r>
          </w:p>
        </w:tc>
        <w:tc>
          <w:tcPr>
            <w:tcW w:w="1174" w:type="dxa"/>
            <w:vMerge w:val="restart"/>
            <w:vAlign w:val="center"/>
          </w:tcPr>
          <w:p>
            <w:pPr>
              <w:pStyle w:val="51"/>
            </w:pPr>
            <w:r>
              <w:rPr>
                <w:rFonts w:hint="eastAsi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pPr>
              <w:pStyle w:val="51"/>
            </w:pPr>
          </w:p>
        </w:tc>
        <w:tc>
          <w:tcPr>
            <w:tcW w:w="1473" w:type="dxa"/>
            <w:vMerge w:val="continue"/>
            <w:vAlign w:val="center"/>
          </w:tcPr>
          <w:p>
            <w:pPr>
              <w:pStyle w:val="51"/>
            </w:pPr>
          </w:p>
        </w:tc>
        <w:tc>
          <w:tcPr>
            <w:tcW w:w="977" w:type="dxa"/>
            <w:vMerge w:val="continue"/>
            <w:vAlign w:val="center"/>
          </w:tcPr>
          <w:p>
            <w:pPr>
              <w:pStyle w:val="51"/>
            </w:pPr>
          </w:p>
        </w:tc>
        <w:tc>
          <w:tcPr>
            <w:tcW w:w="1200" w:type="dxa"/>
            <w:vAlign w:val="center"/>
          </w:tcPr>
          <w:p>
            <w:pPr>
              <w:pStyle w:val="51"/>
            </w:pPr>
            <w:r>
              <w:rPr>
                <w:rFonts w:hint="eastAsia"/>
              </w:rPr>
              <w:t>2024.12.17</w:t>
            </w:r>
          </w:p>
        </w:tc>
        <w:tc>
          <w:tcPr>
            <w:tcW w:w="1201" w:type="dxa"/>
            <w:vAlign w:val="center"/>
          </w:tcPr>
          <w:p>
            <w:pPr>
              <w:pStyle w:val="51"/>
            </w:pPr>
            <w:r>
              <w:rPr>
                <w:rFonts w:hint="eastAsia"/>
              </w:rPr>
              <w:t>2024.12.18</w:t>
            </w:r>
          </w:p>
        </w:tc>
        <w:tc>
          <w:tcPr>
            <w:tcW w:w="1201" w:type="dxa"/>
            <w:vAlign w:val="center"/>
          </w:tcPr>
          <w:p>
            <w:pPr>
              <w:pStyle w:val="51"/>
            </w:pPr>
            <w:r>
              <w:rPr>
                <w:rFonts w:hint="eastAsia"/>
              </w:rPr>
              <w:t>2024.12.19</w:t>
            </w:r>
          </w:p>
        </w:tc>
        <w:tc>
          <w:tcPr>
            <w:tcW w:w="117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70" w:type="dxa"/>
            <w:vMerge w:val="restart"/>
            <w:vAlign w:val="center"/>
          </w:tcPr>
          <w:p>
            <w:pPr>
              <w:pStyle w:val="51"/>
            </w:pPr>
            <w:r>
              <w:rPr>
                <w:rFonts w:hint="eastAsia"/>
              </w:rPr>
              <w:t>项目所在地水塘</w:t>
            </w:r>
          </w:p>
        </w:tc>
        <w:tc>
          <w:tcPr>
            <w:tcW w:w="1473" w:type="dxa"/>
            <w:vAlign w:val="center"/>
          </w:tcPr>
          <w:p>
            <w:pPr>
              <w:pStyle w:val="51"/>
            </w:pPr>
            <w:r>
              <w:rPr>
                <w:rFonts w:hint="eastAsia"/>
              </w:rPr>
              <w:t>pH</w:t>
            </w:r>
          </w:p>
        </w:tc>
        <w:tc>
          <w:tcPr>
            <w:tcW w:w="977" w:type="dxa"/>
            <w:vAlign w:val="center"/>
          </w:tcPr>
          <w:p>
            <w:pPr>
              <w:pStyle w:val="51"/>
            </w:pPr>
            <w:r>
              <w:rPr>
                <w:rFonts w:hint="eastAsia"/>
              </w:rPr>
              <w:t>无量纲</w:t>
            </w:r>
          </w:p>
        </w:tc>
        <w:tc>
          <w:tcPr>
            <w:tcW w:w="1200" w:type="dxa"/>
            <w:vAlign w:val="center"/>
          </w:tcPr>
          <w:p>
            <w:pPr>
              <w:pStyle w:val="51"/>
            </w:pPr>
            <w:r>
              <w:rPr>
                <w:rFonts w:hint="eastAsia"/>
              </w:rPr>
              <w:t>7.3</w:t>
            </w:r>
          </w:p>
        </w:tc>
        <w:tc>
          <w:tcPr>
            <w:tcW w:w="1201" w:type="dxa"/>
            <w:vAlign w:val="center"/>
          </w:tcPr>
          <w:p>
            <w:pPr>
              <w:pStyle w:val="51"/>
            </w:pPr>
            <w:r>
              <w:rPr>
                <w:rFonts w:hint="eastAsia"/>
              </w:rPr>
              <w:t>7.2</w:t>
            </w:r>
          </w:p>
        </w:tc>
        <w:tc>
          <w:tcPr>
            <w:tcW w:w="1201" w:type="dxa"/>
            <w:vAlign w:val="center"/>
          </w:tcPr>
          <w:p>
            <w:pPr>
              <w:pStyle w:val="51"/>
            </w:pPr>
            <w:r>
              <w:rPr>
                <w:rFonts w:hint="eastAsia"/>
              </w:rPr>
              <w:t>7.3</w:t>
            </w:r>
          </w:p>
        </w:tc>
        <w:tc>
          <w:tcPr>
            <w:tcW w:w="1174" w:type="dxa"/>
            <w:vAlign w:val="center"/>
          </w:tcPr>
          <w:p>
            <w:pPr>
              <w:pStyle w:val="51"/>
            </w:pPr>
            <w:r>
              <w:rPr>
                <w:rFonts w:hint="eastAsi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pPr>
              <w:pStyle w:val="51"/>
            </w:pPr>
          </w:p>
        </w:tc>
        <w:tc>
          <w:tcPr>
            <w:tcW w:w="1473" w:type="dxa"/>
            <w:vAlign w:val="center"/>
          </w:tcPr>
          <w:p>
            <w:pPr>
              <w:pStyle w:val="51"/>
            </w:pPr>
            <w:r>
              <w:rPr>
                <w:rFonts w:hint="eastAsia"/>
              </w:rPr>
              <w:t>COD</w:t>
            </w:r>
          </w:p>
        </w:tc>
        <w:tc>
          <w:tcPr>
            <w:tcW w:w="977" w:type="dxa"/>
            <w:vAlign w:val="center"/>
          </w:tcPr>
          <w:p>
            <w:pPr>
              <w:pStyle w:val="51"/>
            </w:pPr>
            <w:r>
              <w:rPr>
                <w:rFonts w:hint="eastAsia"/>
              </w:rPr>
              <w:t>mg/L</w:t>
            </w:r>
          </w:p>
        </w:tc>
        <w:tc>
          <w:tcPr>
            <w:tcW w:w="1200" w:type="dxa"/>
            <w:vAlign w:val="center"/>
          </w:tcPr>
          <w:p>
            <w:pPr>
              <w:pStyle w:val="51"/>
            </w:pPr>
            <w:r>
              <w:rPr>
                <w:rFonts w:hint="eastAsia"/>
              </w:rPr>
              <w:t>11</w:t>
            </w:r>
          </w:p>
        </w:tc>
        <w:tc>
          <w:tcPr>
            <w:tcW w:w="1201" w:type="dxa"/>
            <w:vAlign w:val="center"/>
          </w:tcPr>
          <w:p>
            <w:pPr>
              <w:pStyle w:val="51"/>
            </w:pPr>
            <w:r>
              <w:rPr>
                <w:rFonts w:hint="eastAsia"/>
              </w:rPr>
              <w:t>13</w:t>
            </w:r>
          </w:p>
        </w:tc>
        <w:tc>
          <w:tcPr>
            <w:tcW w:w="1201" w:type="dxa"/>
            <w:vAlign w:val="center"/>
          </w:tcPr>
          <w:p>
            <w:pPr>
              <w:pStyle w:val="51"/>
            </w:pPr>
            <w:r>
              <w:rPr>
                <w:rFonts w:hint="eastAsia"/>
              </w:rPr>
              <w:t>12</w:t>
            </w:r>
          </w:p>
        </w:tc>
        <w:tc>
          <w:tcPr>
            <w:tcW w:w="1174" w:type="dxa"/>
            <w:vAlign w:val="center"/>
          </w:tcPr>
          <w:p>
            <w:pPr>
              <w:pStyle w:val="51"/>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pPr>
              <w:pStyle w:val="51"/>
            </w:pPr>
          </w:p>
        </w:tc>
        <w:tc>
          <w:tcPr>
            <w:tcW w:w="1473" w:type="dxa"/>
            <w:vAlign w:val="center"/>
          </w:tcPr>
          <w:p>
            <w:pPr>
              <w:pStyle w:val="51"/>
            </w:pPr>
            <w:r>
              <w:rPr>
                <w:rFonts w:hint="eastAsia"/>
              </w:rPr>
              <w:t>BOD</w:t>
            </w:r>
            <w:r>
              <w:rPr>
                <w:rFonts w:hint="eastAsia"/>
                <w:vertAlign w:val="subscript"/>
              </w:rPr>
              <w:t>5</w:t>
            </w:r>
          </w:p>
        </w:tc>
        <w:tc>
          <w:tcPr>
            <w:tcW w:w="977" w:type="dxa"/>
          </w:tcPr>
          <w:p>
            <w:pPr>
              <w:pStyle w:val="51"/>
            </w:pPr>
            <w:r>
              <w:rPr>
                <w:rFonts w:hint="eastAsia"/>
              </w:rPr>
              <w:t>mg/L</w:t>
            </w:r>
          </w:p>
        </w:tc>
        <w:tc>
          <w:tcPr>
            <w:tcW w:w="1200" w:type="dxa"/>
            <w:vAlign w:val="center"/>
          </w:tcPr>
          <w:p>
            <w:pPr>
              <w:pStyle w:val="51"/>
            </w:pPr>
            <w:r>
              <w:rPr>
                <w:rFonts w:hint="eastAsia"/>
              </w:rPr>
              <w:t>2.2</w:t>
            </w:r>
          </w:p>
        </w:tc>
        <w:tc>
          <w:tcPr>
            <w:tcW w:w="1201" w:type="dxa"/>
            <w:vAlign w:val="center"/>
          </w:tcPr>
          <w:p>
            <w:pPr>
              <w:pStyle w:val="51"/>
            </w:pPr>
            <w:r>
              <w:rPr>
                <w:rFonts w:hint="eastAsia"/>
              </w:rPr>
              <w:t>2.6</w:t>
            </w:r>
          </w:p>
        </w:tc>
        <w:tc>
          <w:tcPr>
            <w:tcW w:w="1201" w:type="dxa"/>
            <w:vAlign w:val="center"/>
          </w:tcPr>
          <w:p>
            <w:pPr>
              <w:pStyle w:val="51"/>
            </w:pPr>
            <w:r>
              <w:rPr>
                <w:rFonts w:hint="eastAsia"/>
              </w:rPr>
              <w:t>2.4</w:t>
            </w:r>
          </w:p>
        </w:tc>
        <w:tc>
          <w:tcPr>
            <w:tcW w:w="1174" w:type="dxa"/>
            <w:vAlign w:val="center"/>
          </w:tcPr>
          <w:p>
            <w:pPr>
              <w:pStyle w:val="51"/>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pPr>
              <w:pStyle w:val="51"/>
            </w:pPr>
          </w:p>
        </w:tc>
        <w:tc>
          <w:tcPr>
            <w:tcW w:w="1473" w:type="dxa"/>
            <w:vAlign w:val="center"/>
          </w:tcPr>
          <w:p>
            <w:pPr>
              <w:pStyle w:val="51"/>
            </w:pPr>
            <w:r>
              <w:rPr>
                <w:rFonts w:hint="eastAsia"/>
              </w:rPr>
              <w:t>SS</w:t>
            </w:r>
          </w:p>
        </w:tc>
        <w:tc>
          <w:tcPr>
            <w:tcW w:w="977" w:type="dxa"/>
          </w:tcPr>
          <w:p>
            <w:pPr>
              <w:pStyle w:val="51"/>
            </w:pPr>
            <w:r>
              <w:rPr>
                <w:rFonts w:hint="eastAsia"/>
              </w:rPr>
              <w:t>mg/L</w:t>
            </w:r>
          </w:p>
        </w:tc>
        <w:tc>
          <w:tcPr>
            <w:tcW w:w="1200" w:type="dxa"/>
            <w:vAlign w:val="center"/>
          </w:tcPr>
          <w:p>
            <w:pPr>
              <w:pStyle w:val="51"/>
            </w:pPr>
            <w:r>
              <w:rPr>
                <w:rFonts w:hint="eastAsia"/>
              </w:rPr>
              <w:t>11</w:t>
            </w:r>
          </w:p>
        </w:tc>
        <w:tc>
          <w:tcPr>
            <w:tcW w:w="1201" w:type="dxa"/>
            <w:vAlign w:val="center"/>
          </w:tcPr>
          <w:p>
            <w:pPr>
              <w:pStyle w:val="51"/>
            </w:pPr>
            <w:r>
              <w:rPr>
                <w:rFonts w:hint="eastAsia"/>
              </w:rPr>
              <w:t>10</w:t>
            </w:r>
          </w:p>
        </w:tc>
        <w:tc>
          <w:tcPr>
            <w:tcW w:w="1201" w:type="dxa"/>
            <w:vAlign w:val="center"/>
          </w:tcPr>
          <w:p>
            <w:pPr>
              <w:pStyle w:val="51"/>
            </w:pPr>
            <w:r>
              <w:rPr>
                <w:rFonts w:hint="eastAsia"/>
              </w:rPr>
              <w:t>12</w:t>
            </w:r>
          </w:p>
        </w:tc>
        <w:tc>
          <w:tcPr>
            <w:tcW w:w="1174"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pPr>
              <w:pStyle w:val="51"/>
            </w:pPr>
          </w:p>
        </w:tc>
        <w:tc>
          <w:tcPr>
            <w:tcW w:w="1473" w:type="dxa"/>
            <w:vAlign w:val="center"/>
          </w:tcPr>
          <w:p>
            <w:pPr>
              <w:pStyle w:val="51"/>
            </w:pPr>
            <w:r>
              <w:rPr>
                <w:rFonts w:hint="eastAsia"/>
              </w:rPr>
              <w:t>氨氮</w:t>
            </w:r>
          </w:p>
        </w:tc>
        <w:tc>
          <w:tcPr>
            <w:tcW w:w="977" w:type="dxa"/>
          </w:tcPr>
          <w:p>
            <w:pPr>
              <w:pStyle w:val="51"/>
            </w:pPr>
            <w:r>
              <w:rPr>
                <w:rFonts w:hint="eastAsia"/>
              </w:rPr>
              <w:t>mg/L</w:t>
            </w:r>
          </w:p>
        </w:tc>
        <w:tc>
          <w:tcPr>
            <w:tcW w:w="1200" w:type="dxa"/>
            <w:vAlign w:val="center"/>
          </w:tcPr>
          <w:p>
            <w:pPr>
              <w:pStyle w:val="51"/>
            </w:pPr>
            <w:r>
              <w:rPr>
                <w:rFonts w:hint="eastAsia"/>
              </w:rPr>
              <w:t>0.856</w:t>
            </w:r>
          </w:p>
        </w:tc>
        <w:tc>
          <w:tcPr>
            <w:tcW w:w="1201" w:type="dxa"/>
            <w:vAlign w:val="center"/>
          </w:tcPr>
          <w:p>
            <w:pPr>
              <w:pStyle w:val="51"/>
            </w:pPr>
            <w:r>
              <w:rPr>
                <w:rFonts w:hint="eastAsia"/>
              </w:rPr>
              <w:t>0.810</w:t>
            </w:r>
          </w:p>
        </w:tc>
        <w:tc>
          <w:tcPr>
            <w:tcW w:w="1201" w:type="dxa"/>
            <w:vAlign w:val="center"/>
          </w:tcPr>
          <w:p>
            <w:pPr>
              <w:pStyle w:val="51"/>
            </w:pPr>
            <w:r>
              <w:rPr>
                <w:rFonts w:hint="eastAsia"/>
              </w:rPr>
              <w:t>0.887</w:t>
            </w:r>
          </w:p>
        </w:tc>
        <w:tc>
          <w:tcPr>
            <w:tcW w:w="1174" w:type="dxa"/>
            <w:vAlign w:val="center"/>
          </w:tcPr>
          <w:p>
            <w:pPr>
              <w:pStyle w:val="51"/>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pPr>
              <w:pStyle w:val="51"/>
            </w:pPr>
          </w:p>
        </w:tc>
        <w:tc>
          <w:tcPr>
            <w:tcW w:w="1473" w:type="dxa"/>
            <w:vAlign w:val="center"/>
          </w:tcPr>
          <w:p>
            <w:pPr>
              <w:pStyle w:val="51"/>
            </w:pPr>
            <w:r>
              <w:rPr>
                <w:rFonts w:hint="eastAsia"/>
              </w:rPr>
              <w:t>总磷</w:t>
            </w:r>
          </w:p>
        </w:tc>
        <w:tc>
          <w:tcPr>
            <w:tcW w:w="977" w:type="dxa"/>
          </w:tcPr>
          <w:p>
            <w:pPr>
              <w:pStyle w:val="51"/>
            </w:pPr>
            <w:r>
              <w:rPr>
                <w:rFonts w:hint="eastAsia"/>
              </w:rPr>
              <w:t>mg/L</w:t>
            </w:r>
          </w:p>
        </w:tc>
        <w:tc>
          <w:tcPr>
            <w:tcW w:w="1200" w:type="dxa"/>
            <w:vAlign w:val="center"/>
          </w:tcPr>
          <w:p>
            <w:pPr>
              <w:pStyle w:val="51"/>
            </w:pPr>
            <w:r>
              <w:rPr>
                <w:rFonts w:hint="eastAsia"/>
              </w:rPr>
              <w:t>0.06</w:t>
            </w:r>
          </w:p>
        </w:tc>
        <w:tc>
          <w:tcPr>
            <w:tcW w:w="1201" w:type="dxa"/>
            <w:vAlign w:val="center"/>
          </w:tcPr>
          <w:p>
            <w:pPr>
              <w:pStyle w:val="51"/>
            </w:pPr>
            <w:r>
              <w:rPr>
                <w:rFonts w:hint="eastAsia"/>
              </w:rPr>
              <w:t>0.07</w:t>
            </w:r>
          </w:p>
        </w:tc>
        <w:tc>
          <w:tcPr>
            <w:tcW w:w="1201" w:type="dxa"/>
            <w:vAlign w:val="center"/>
          </w:tcPr>
          <w:p>
            <w:pPr>
              <w:pStyle w:val="51"/>
            </w:pPr>
            <w:r>
              <w:rPr>
                <w:rFonts w:hint="eastAsia"/>
              </w:rPr>
              <w:t>0.09</w:t>
            </w:r>
          </w:p>
        </w:tc>
        <w:tc>
          <w:tcPr>
            <w:tcW w:w="1174" w:type="dxa"/>
            <w:vAlign w:val="center"/>
          </w:tcPr>
          <w:p>
            <w:pPr>
              <w:pStyle w:val="51"/>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pPr>
              <w:pStyle w:val="51"/>
            </w:pPr>
          </w:p>
        </w:tc>
        <w:tc>
          <w:tcPr>
            <w:tcW w:w="1473" w:type="dxa"/>
            <w:vAlign w:val="center"/>
          </w:tcPr>
          <w:p>
            <w:pPr>
              <w:pStyle w:val="51"/>
            </w:pPr>
            <w:r>
              <w:rPr>
                <w:rFonts w:hint="eastAsia"/>
              </w:rPr>
              <w:t>粪大肠菌群</w:t>
            </w:r>
          </w:p>
        </w:tc>
        <w:tc>
          <w:tcPr>
            <w:tcW w:w="977" w:type="dxa"/>
          </w:tcPr>
          <w:p>
            <w:pPr>
              <w:pStyle w:val="51"/>
            </w:pPr>
            <w:r>
              <w:rPr>
                <w:rFonts w:hint="eastAsia"/>
              </w:rPr>
              <w:t>MPN/L</w:t>
            </w:r>
          </w:p>
        </w:tc>
        <w:tc>
          <w:tcPr>
            <w:tcW w:w="1200" w:type="dxa"/>
            <w:vAlign w:val="center"/>
          </w:tcPr>
          <w:p>
            <w:pPr>
              <w:pStyle w:val="51"/>
            </w:pPr>
            <w:r>
              <w:rPr>
                <w:rFonts w:hint="eastAsia"/>
              </w:rPr>
              <w:t>50</w:t>
            </w:r>
          </w:p>
        </w:tc>
        <w:tc>
          <w:tcPr>
            <w:tcW w:w="1201" w:type="dxa"/>
            <w:vAlign w:val="center"/>
          </w:tcPr>
          <w:p>
            <w:pPr>
              <w:pStyle w:val="51"/>
            </w:pPr>
            <w:r>
              <w:rPr>
                <w:rFonts w:hint="eastAsia"/>
              </w:rPr>
              <w:t>50</w:t>
            </w:r>
          </w:p>
        </w:tc>
        <w:tc>
          <w:tcPr>
            <w:tcW w:w="1201" w:type="dxa"/>
            <w:vAlign w:val="center"/>
          </w:tcPr>
          <w:p>
            <w:pPr>
              <w:pStyle w:val="51"/>
            </w:pPr>
            <w:r>
              <w:rPr>
                <w:rFonts w:hint="eastAsia"/>
              </w:rPr>
              <w:t>40</w:t>
            </w:r>
          </w:p>
        </w:tc>
        <w:tc>
          <w:tcPr>
            <w:tcW w:w="1174" w:type="dxa"/>
            <w:vAlign w:val="center"/>
          </w:tcPr>
          <w:p>
            <w:pPr>
              <w:pStyle w:val="51"/>
            </w:pPr>
            <w:r>
              <w:rPr>
                <w:rFonts w:hint="eastAsi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7"/>
            <w:vAlign w:val="center"/>
          </w:tcPr>
          <w:p>
            <w:pPr>
              <w:pStyle w:val="51"/>
              <w:jc w:val="both"/>
            </w:pPr>
            <w:r>
              <w:rPr>
                <w:rFonts w:hint="eastAsia"/>
              </w:rPr>
              <w:t>注：1、检测结果中“L”表示该项目的检测结果低于该方法的检出限；</w:t>
            </w:r>
          </w:p>
          <w:p>
            <w:pPr>
              <w:pStyle w:val="51"/>
              <w:ind w:firstLine="420" w:firstLineChars="200"/>
              <w:jc w:val="both"/>
            </w:pPr>
            <w:r>
              <w:rPr>
                <w:rFonts w:hint="eastAsia"/>
              </w:rPr>
              <w:t>2、标准限值依据《地表水环境质量标准》（</w:t>
            </w:r>
            <w:r>
              <w:rPr>
                <w:rFonts w:cs="Times New Roman"/>
              </w:rPr>
              <w:t>GB3838-2002</w:t>
            </w:r>
            <w:r>
              <w:rPr>
                <w:rFonts w:hint="eastAsia"/>
              </w:rPr>
              <w:t>）表1中</w:t>
            </w:r>
            <w:r>
              <w:rPr>
                <w:rFonts w:cs="Times New Roman"/>
              </w:rPr>
              <w:t xml:space="preserve">III </w:t>
            </w:r>
            <w:r>
              <w:rPr>
                <w:rFonts w:hint="eastAsia"/>
              </w:rPr>
              <w:t>类标准。</w:t>
            </w:r>
          </w:p>
        </w:tc>
      </w:tr>
    </w:tbl>
    <w:p>
      <w:pPr>
        <w:pStyle w:val="49"/>
        <w:ind w:firstLine="480"/>
      </w:pPr>
      <w:r>
        <w:rPr>
          <w:rFonts w:hint="eastAsia"/>
        </w:rPr>
        <w:t>根据上表可知，项目所在地水塘除总磷外其他监测因子均满足《地表水环境质量标准》（</w:t>
      </w:r>
      <w:r>
        <w:rPr>
          <w:rFonts w:cs="Times New Roman"/>
        </w:rPr>
        <w:t>GB3838-2002</w:t>
      </w:r>
      <w:r>
        <w:rPr>
          <w:rFonts w:hint="eastAsia"/>
        </w:rPr>
        <w:t>）</w:t>
      </w:r>
      <w:r>
        <w:rPr>
          <w:rFonts w:cs="Times New Roman"/>
        </w:rPr>
        <w:t xml:space="preserve">III </w:t>
      </w:r>
      <w:r>
        <w:rPr>
          <w:rFonts w:hint="eastAsia"/>
        </w:rPr>
        <w:t>类水质标准。根据调查，总磷超标是由于有周边村民在水塘中养鱼导致。</w:t>
      </w:r>
    </w:p>
    <w:p>
      <w:pPr>
        <w:pStyle w:val="4"/>
      </w:pPr>
      <w:bookmarkStart w:id="173" w:name="_Toc194481170"/>
      <w:r>
        <w:t>4.</w:t>
      </w:r>
      <w:r>
        <w:rPr>
          <w:rFonts w:hint="eastAsia"/>
        </w:rPr>
        <w:t>2</w:t>
      </w:r>
      <w:r>
        <w:t>.</w:t>
      </w:r>
      <w:r>
        <w:rPr>
          <w:rFonts w:hint="eastAsia"/>
        </w:rPr>
        <w:t>3</w:t>
      </w:r>
      <w:r>
        <w:t xml:space="preserve"> </w:t>
      </w:r>
      <w:r>
        <w:rPr>
          <w:rFonts w:hint="eastAsia"/>
        </w:rPr>
        <w:t>地下水环境质量现状调查与评价</w:t>
      </w:r>
      <w:bookmarkEnd w:id="173"/>
    </w:p>
    <w:p>
      <w:pPr>
        <w:pStyle w:val="49"/>
        <w:ind w:firstLine="480"/>
      </w:pPr>
      <w:r>
        <w:rPr>
          <w:rFonts w:hint="eastAsia"/>
        </w:rPr>
        <w:t>本项目地下水环境影响评价等级为“三级”，根据《环境影响评价技术导则 地下水环境》（</w:t>
      </w:r>
      <w:r>
        <w:t xml:space="preserve">HJ </w:t>
      </w:r>
      <w:r>
        <w:rPr>
          <w:rFonts w:hint="eastAsia"/>
        </w:rPr>
        <w:t>610</w:t>
      </w:r>
      <w:r>
        <w:t>-20</w:t>
      </w:r>
      <w:r>
        <w:rPr>
          <w:rFonts w:hint="eastAsia"/>
        </w:rPr>
        <w:t>16）中要求，三级地评价项目</w:t>
      </w:r>
      <w:r>
        <w:t>地下水水质监测点位不少于 3 个，水位监测点位不少于 6 个。</w:t>
      </w:r>
      <w:r>
        <w:rPr>
          <w:rFonts w:hint="eastAsia"/>
        </w:rPr>
        <w:t>为了解本项目周边地下水环境现状，建设单位委托湖南西南检验检测有限公司于2024年12月17日对项目所在区域的地下水环境质量现状及水位进行了监测。</w:t>
      </w:r>
    </w:p>
    <w:p>
      <w:pPr>
        <w:pStyle w:val="49"/>
        <w:ind w:firstLine="480"/>
      </w:pPr>
      <w:r>
        <w:rPr>
          <w:rFonts w:hint="eastAsia"/>
        </w:rPr>
        <w:t>1、监测工作内容</w:t>
      </w:r>
    </w:p>
    <w:p>
      <w:pPr>
        <w:pStyle w:val="49"/>
        <w:ind w:firstLine="480"/>
      </w:pPr>
      <w:bookmarkStart w:id="174" w:name="_Hlk178254709"/>
      <w:r>
        <w:rPr>
          <w:rFonts w:hint="eastAsia"/>
        </w:rPr>
        <w:t>本次地下水水质监测点位共设有3个，水位监测点位6个，</w:t>
      </w:r>
      <w:bookmarkEnd w:id="174"/>
      <w:r>
        <w:rPr>
          <w:rFonts w:hint="eastAsia"/>
        </w:rPr>
        <w:t>地下水环境监测内容详见表4.2-7，具体监测点位详见附图五。</w:t>
      </w:r>
    </w:p>
    <w:p>
      <w:pPr>
        <w:pStyle w:val="53"/>
        <w:rPr>
          <w:snapToGrid w:val="0"/>
          <w:kern w:val="18"/>
          <w:vertAlign w:val="superscript"/>
        </w:rPr>
      </w:pPr>
      <w:r>
        <w:t>表</w:t>
      </w:r>
      <w:r>
        <w:rPr>
          <w:rFonts w:hint="eastAsia"/>
        </w:rPr>
        <w:t>4.2</w:t>
      </w:r>
      <w:r>
        <w:t>-</w:t>
      </w:r>
      <w:r>
        <w:rPr>
          <w:rFonts w:hint="eastAsia"/>
        </w:rPr>
        <w:t>7</w:t>
      </w:r>
      <w:r>
        <w:t xml:space="preserve"> </w:t>
      </w:r>
      <w:r>
        <w:rPr>
          <w:rFonts w:hint="eastAsia"/>
        </w:rPr>
        <w:t>地下水环境监测内容</w:t>
      </w:r>
    </w:p>
    <w:tbl>
      <w:tblPr>
        <w:tblStyle w:val="40"/>
        <w:tblW w:w="86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76"/>
        <w:gridCol w:w="4819"/>
        <w:gridCol w:w="127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68" w:type="dxa"/>
            <w:vAlign w:val="center"/>
          </w:tcPr>
          <w:p>
            <w:pPr>
              <w:pStyle w:val="51"/>
            </w:pPr>
            <w:r>
              <w:rPr>
                <w:rFonts w:hint="eastAsia"/>
              </w:rPr>
              <w:t>编号</w:t>
            </w:r>
          </w:p>
        </w:tc>
        <w:tc>
          <w:tcPr>
            <w:tcW w:w="1276" w:type="dxa"/>
            <w:vAlign w:val="center"/>
          </w:tcPr>
          <w:p>
            <w:pPr>
              <w:pStyle w:val="51"/>
            </w:pPr>
            <w:r>
              <w:rPr>
                <w:rFonts w:hint="eastAsia"/>
              </w:rPr>
              <w:t>监测点位</w:t>
            </w:r>
          </w:p>
          <w:p>
            <w:pPr>
              <w:pStyle w:val="51"/>
            </w:pPr>
            <w:r>
              <w:rPr>
                <w:rFonts w:hint="eastAsia"/>
              </w:rPr>
              <w:t>名称</w:t>
            </w:r>
          </w:p>
        </w:tc>
        <w:tc>
          <w:tcPr>
            <w:tcW w:w="4819" w:type="dxa"/>
            <w:vAlign w:val="center"/>
          </w:tcPr>
          <w:p>
            <w:pPr>
              <w:pStyle w:val="51"/>
            </w:pPr>
            <w:r>
              <w:rPr>
                <w:rFonts w:hint="eastAsia"/>
              </w:rPr>
              <w:t>监测因子</w:t>
            </w:r>
          </w:p>
        </w:tc>
        <w:tc>
          <w:tcPr>
            <w:tcW w:w="1276" w:type="dxa"/>
            <w:vAlign w:val="center"/>
          </w:tcPr>
          <w:p>
            <w:pPr>
              <w:pStyle w:val="51"/>
            </w:pPr>
            <w:r>
              <w:rPr>
                <w:rFonts w:hint="eastAsia"/>
              </w:rPr>
              <w:t>监测时间</w:t>
            </w:r>
          </w:p>
        </w:tc>
        <w:tc>
          <w:tcPr>
            <w:tcW w:w="709" w:type="dxa"/>
            <w:vAlign w:val="center"/>
          </w:tcPr>
          <w:p>
            <w:pPr>
              <w:pStyle w:val="51"/>
            </w:pPr>
            <w:r>
              <w:rPr>
                <w:rFonts w:hint="eastAsia"/>
              </w:rPr>
              <w:t>监测</w:t>
            </w:r>
          </w:p>
          <w:p>
            <w:pPr>
              <w:pStyle w:val="51"/>
            </w:pPr>
            <w:r>
              <w:rPr>
                <w:rFonts w:hint="eastAsia"/>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68" w:type="dxa"/>
            <w:vAlign w:val="center"/>
          </w:tcPr>
          <w:p>
            <w:pPr>
              <w:pStyle w:val="51"/>
            </w:pPr>
            <w:r>
              <w:rPr>
                <w:rFonts w:hint="eastAsia"/>
              </w:rPr>
              <w:t>D1</w:t>
            </w:r>
          </w:p>
        </w:tc>
        <w:tc>
          <w:tcPr>
            <w:tcW w:w="1276" w:type="dxa"/>
            <w:vAlign w:val="center"/>
          </w:tcPr>
          <w:p>
            <w:pPr>
              <w:pStyle w:val="51"/>
            </w:pPr>
            <w:r>
              <w:rPr>
                <w:rFonts w:hint="eastAsia"/>
              </w:rPr>
              <w:t>项目所在地</w:t>
            </w:r>
          </w:p>
        </w:tc>
        <w:tc>
          <w:tcPr>
            <w:tcW w:w="4819" w:type="dxa"/>
            <w:vMerge w:val="restart"/>
            <w:vAlign w:val="center"/>
          </w:tcPr>
          <w:p>
            <w:pPr>
              <w:pStyle w:val="51"/>
            </w:pPr>
            <w:r>
              <w:rPr>
                <w:rFonts w:cs="Times New Roman"/>
              </w:rPr>
              <w:t>pH</w:t>
            </w:r>
            <w:r>
              <w:rPr>
                <w:rFonts w:hint="eastAsia"/>
              </w:rPr>
              <w:t>、</w:t>
            </w:r>
            <w:r>
              <w:rPr>
                <w:szCs w:val="21"/>
              </w:rPr>
              <w:t>K</w:t>
            </w:r>
            <w:r>
              <w:rPr>
                <w:szCs w:val="21"/>
                <w:vertAlign w:val="superscript"/>
              </w:rPr>
              <w:t>+</w:t>
            </w:r>
            <w:r>
              <w:rPr>
                <w:rFonts w:hint="eastAsia"/>
                <w:szCs w:val="21"/>
              </w:rPr>
              <w:t>、</w:t>
            </w:r>
            <w:r>
              <w:rPr>
                <w:szCs w:val="21"/>
              </w:rPr>
              <w:t>Na</w:t>
            </w:r>
            <w:r>
              <w:rPr>
                <w:szCs w:val="21"/>
                <w:vertAlign w:val="superscript"/>
              </w:rPr>
              <w:t>+</w:t>
            </w:r>
            <w:r>
              <w:rPr>
                <w:rFonts w:hint="eastAsia"/>
                <w:szCs w:val="21"/>
              </w:rPr>
              <w:t>、</w:t>
            </w:r>
            <w:r>
              <w:rPr>
                <w:szCs w:val="21"/>
              </w:rPr>
              <w:t>Ca</w:t>
            </w:r>
            <w:r>
              <w:rPr>
                <w:szCs w:val="21"/>
                <w:vertAlign w:val="superscript"/>
              </w:rPr>
              <w:t>2+</w:t>
            </w:r>
            <w:r>
              <w:rPr>
                <w:rFonts w:hint="eastAsia"/>
                <w:szCs w:val="21"/>
              </w:rPr>
              <w:t>、</w:t>
            </w:r>
            <w:r>
              <w:rPr>
                <w:szCs w:val="21"/>
              </w:rPr>
              <w:t>Mg</w:t>
            </w:r>
            <w:r>
              <w:rPr>
                <w:szCs w:val="21"/>
                <w:vertAlign w:val="superscript"/>
              </w:rPr>
              <w:t>2+</w:t>
            </w:r>
            <w:r>
              <w:rPr>
                <w:rFonts w:hint="eastAsia"/>
                <w:szCs w:val="21"/>
              </w:rPr>
              <w:t>、</w:t>
            </w:r>
            <w:r>
              <w:rPr>
                <w:szCs w:val="21"/>
              </w:rPr>
              <w:t>CO</w:t>
            </w:r>
            <w:r>
              <w:rPr>
                <w:szCs w:val="21"/>
                <w:vertAlign w:val="subscript"/>
              </w:rPr>
              <w:t>3</w:t>
            </w:r>
            <w:r>
              <w:rPr>
                <w:szCs w:val="21"/>
                <w:vertAlign w:val="superscript"/>
              </w:rPr>
              <w:t>2-</w:t>
            </w:r>
            <w:r>
              <w:rPr>
                <w:rFonts w:hint="eastAsia"/>
                <w:szCs w:val="21"/>
              </w:rPr>
              <w:t>、</w:t>
            </w:r>
            <w:r>
              <w:rPr>
                <w:szCs w:val="21"/>
              </w:rPr>
              <w:t>HCO</w:t>
            </w:r>
            <w:r>
              <w:rPr>
                <w:szCs w:val="21"/>
                <w:vertAlign w:val="superscript"/>
              </w:rPr>
              <w:t>-</w:t>
            </w:r>
            <w:r>
              <w:rPr>
                <w:rFonts w:hint="eastAsia"/>
                <w:szCs w:val="21"/>
              </w:rPr>
              <w:t>、Cl</w:t>
            </w:r>
            <w:r>
              <w:rPr>
                <w:szCs w:val="21"/>
                <w:vertAlign w:val="superscript"/>
              </w:rPr>
              <w:t>-</w:t>
            </w:r>
            <w:r>
              <w:rPr>
                <w:rFonts w:hint="eastAsia"/>
                <w:szCs w:val="21"/>
              </w:rPr>
              <w:t>、SO</w:t>
            </w:r>
            <w:r>
              <w:rPr>
                <w:rFonts w:hint="eastAsia"/>
                <w:szCs w:val="21"/>
                <w:vertAlign w:val="subscript"/>
              </w:rPr>
              <w:t>4</w:t>
            </w:r>
            <w:r>
              <w:rPr>
                <w:rFonts w:hint="eastAsia"/>
                <w:szCs w:val="21"/>
                <w:vertAlign w:val="superscript"/>
              </w:rPr>
              <w:t>2-</w:t>
            </w:r>
            <w:r>
              <w:rPr>
                <w:rFonts w:hint="eastAsia"/>
                <w:szCs w:val="21"/>
              </w:rPr>
              <w:t>、</w:t>
            </w:r>
            <w:r>
              <w:rPr>
                <w:rFonts w:hint="eastAsia"/>
              </w:rPr>
              <w:t>氨氮、砷、硝酸盐、亚硝酸盐、挥发性酚类、氰化物、汞、总大肠菌群、菌落总数、水位</w:t>
            </w:r>
          </w:p>
        </w:tc>
        <w:tc>
          <w:tcPr>
            <w:tcW w:w="1276" w:type="dxa"/>
            <w:vMerge w:val="restart"/>
            <w:vAlign w:val="center"/>
          </w:tcPr>
          <w:p>
            <w:pPr>
              <w:pStyle w:val="51"/>
            </w:pPr>
            <w:r>
              <w:rPr>
                <w:rFonts w:hint="eastAsia"/>
              </w:rPr>
              <w:t>2024.12.17~12.19</w:t>
            </w:r>
          </w:p>
        </w:tc>
        <w:tc>
          <w:tcPr>
            <w:tcW w:w="709" w:type="dxa"/>
            <w:vMerge w:val="restart"/>
            <w:vAlign w:val="center"/>
          </w:tcPr>
          <w:p>
            <w:pPr>
              <w:pStyle w:val="51"/>
            </w:pPr>
            <w:r>
              <w:rPr>
                <w:rFonts w:hint="eastAsia"/>
              </w:rPr>
              <w:t>每个点位每天监测1次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68" w:type="dxa"/>
            <w:vAlign w:val="center"/>
          </w:tcPr>
          <w:p>
            <w:pPr>
              <w:pStyle w:val="51"/>
            </w:pPr>
            <w:r>
              <w:rPr>
                <w:rFonts w:hint="eastAsia"/>
              </w:rPr>
              <w:t>D2</w:t>
            </w:r>
          </w:p>
        </w:tc>
        <w:tc>
          <w:tcPr>
            <w:tcW w:w="1276" w:type="dxa"/>
            <w:vAlign w:val="center"/>
          </w:tcPr>
          <w:p>
            <w:pPr>
              <w:pStyle w:val="51"/>
            </w:pPr>
            <w:r>
              <w:rPr>
                <w:rFonts w:hint="eastAsia"/>
              </w:rPr>
              <w:t>门口洞</w:t>
            </w:r>
          </w:p>
        </w:tc>
        <w:tc>
          <w:tcPr>
            <w:tcW w:w="4819" w:type="dxa"/>
            <w:vMerge w:val="continue"/>
            <w:vAlign w:val="center"/>
          </w:tcPr>
          <w:p>
            <w:pPr>
              <w:pStyle w:val="51"/>
            </w:pPr>
          </w:p>
        </w:tc>
        <w:tc>
          <w:tcPr>
            <w:tcW w:w="1276" w:type="dxa"/>
            <w:vMerge w:val="continue"/>
            <w:vAlign w:val="center"/>
          </w:tcPr>
          <w:p>
            <w:pPr>
              <w:pStyle w:val="51"/>
            </w:pPr>
          </w:p>
        </w:tc>
        <w:tc>
          <w:tcPr>
            <w:tcW w:w="709"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68" w:type="dxa"/>
            <w:vAlign w:val="center"/>
          </w:tcPr>
          <w:p>
            <w:pPr>
              <w:pStyle w:val="51"/>
            </w:pPr>
            <w:r>
              <w:rPr>
                <w:rFonts w:hint="eastAsia"/>
              </w:rPr>
              <w:t>D3</w:t>
            </w:r>
          </w:p>
        </w:tc>
        <w:tc>
          <w:tcPr>
            <w:tcW w:w="1276" w:type="dxa"/>
            <w:vAlign w:val="center"/>
          </w:tcPr>
          <w:p>
            <w:pPr>
              <w:pStyle w:val="51"/>
            </w:pPr>
            <w:r>
              <w:rPr>
                <w:rFonts w:hint="eastAsia"/>
              </w:rPr>
              <w:t>对江岭莫家</w:t>
            </w:r>
          </w:p>
        </w:tc>
        <w:tc>
          <w:tcPr>
            <w:tcW w:w="4819" w:type="dxa"/>
            <w:vMerge w:val="continue"/>
            <w:vAlign w:val="center"/>
          </w:tcPr>
          <w:p>
            <w:pPr>
              <w:pStyle w:val="51"/>
            </w:pPr>
          </w:p>
        </w:tc>
        <w:tc>
          <w:tcPr>
            <w:tcW w:w="1276" w:type="dxa"/>
            <w:vMerge w:val="continue"/>
            <w:vAlign w:val="center"/>
          </w:tcPr>
          <w:p>
            <w:pPr>
              <w:pStyle w:val="51"/>
            </w:pPr>
          </w:p>
        </w:tc>
        <w:tc>
          <w:tcPr>
            <w:tcW w:w="709"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68" w:type="dxa"/>
            <w:vAlign w:val="center"/>
          </w:tcPr>
          <w:p>
            <w:pPr>
              <w:pStyle w:val="51"/>
            </w:pPr>
            <w:r>
              <w:rPr>
                <w:rFonts w:hint="eastAsia"/>
              </w:rPr>
              <w:t>D4</w:t>
            </w:r>
          </w:p>
        </w:tc>
        <w:tc>
          <w:tcPr>
            <w:tcW w:w="1276" w:type="dxa"/>
            <w:vAlign w:val="center"/>
          </w:tcPr>
          <w:p>
            <w:pPr>
              <w:pStyle w:val="51"/>
              <w:rPr>
                <w:color w:val="000000"/>
              </w:rPr>
            </w:pPr>
            <w:r>
              <w:rPr>
                <w:rFonts w:hint="eastAsia"/>
              </w:rPr>
              <w:t>高背塘</w:t>
            </w:r>
          </w:p>
        </w:tc>
        <w:tc>
          <w:tcPr>
            <w:tcW w:w="4819" w:type="dxa"/>
            <w:vAlign w:val="center"/>
          </w:tcPr>
          <w:p>
            <w:pPr>
              <w:pStyle w:val="51"/>
            </w:pPr>
            <w:r>
              <w:rPr>
                <w:rFonts w:hint="eastAsia"/>
              </w:rPr>
              <w:t>水位</w:t>
            </w:r>
          </w:p>
        </w:tc>
        <w:tc>
          <w:tcPr>
            <w:tcW w:w="1276" w:type="dxa"/>
            <w:vMerge w:val="continue"/>
            <w:vAlign w:val="center"/>
          </w:tcPr>
          <w:p>
            <w:pPr>
              <w:pStyle w:val="51"/>
            </w:pPr>
          </w:p>
        </w:tc>
        <w:tc>
          <w:tcPr>
            <w:tcW w:w="709"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68" w:type="dxa"/>
            <w:vAlign w:val="center"/>
          </w:tcPr>
          <w:p>
            <w:pPr>
              <w:pStyle w:val="51"/>
            </w:pPr>
            <w:r>
              <w:rPr>
                <w:rFonts w:hint="eastAsia"/>
              </w:rPr>
              <w:t>D5</w:t>
            </w:r>
          </w:p>
        </w:tc>
        <w:tc>
          <w:tcPr>
            <w:tcW w:w="1276" w:type="dxa"/>
            <w:vAlign w:val="center"/>
          </w:tcPr>
          <w:p>
            <w:pPr>
              <w:pStyle w:val="51"/>
              <w:rPr>
                <w:color w:val="000000"/>
              </w:rPr>
            </w:pPr>
            <w:r>
              <w:rPr>
                <w:rFonts w:hint="eastAsia"/>
              </w:rPr>
              <w:t>奢仔口</w:t>
            </w:r>
          </w:p>
        </w:tc>
        <w:tc>
          <w:tcPr>
            <w:tcW w:w="4819" w:type="dxa"/>
            <w:vAlign w:val="center"/>
          </w:tcPr>
          <w:p>
            <w:pPr>
              <w:pStyle w:val="51"/>
            </w:pPr>
            <w:r>
              <w:rPr>
                <w:rFonts w:hint="eastAsia"/>
              </w:rPr>
              <w:t>水位</w:t>
            </w:r>
          </w:p>
        </w:tc>
        <w:tc>
          <w:tcPr>
            <w:tcW w:w="1276" w:type="dxa"/>
            <w:vMerge w:val="continue"/>
            <w:vAlign w:val="center"/>
          </w:tcPr>
          <w:p>
            <w:pPr>
              <w:pStyle w:val="51"/>
            </w:pPr>
          </w:p>
        </w:tc>
        <w:tc>
          <w:tcPr>
            <w:tcW w:w="709"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68" w:type="dxa"/>
            <w:vAlign w:val="center"/>
          </w:tcPr>
          <w:p>
            <w:pPr>
              <w:pStyle w:val="51"/>
            </w:pPr>
            <w:r>
              <w:rPr>
                <w:rFonts w:hint="eastAsia"/>
              </w:rPr>
              <w:t>D6</w:t>
            </w:r>
          </w:p>
        </w:tc>
        <w:tc>
          <w:tcPr>
            <w:tcW w:w="1276" w:type="dxa"/>
            <w:vAlign w:val="center"/>
          </w:tcPr>
          <w:p>
            <w:pPr>
              <w:pStyle w:val="51"/>
              <w:rPr>
                <w:color w:val="000000"/>
              </w:rPr>
            </w:pPr>
            <w:r>
              <w:rPr>
                <w:rFonts w:hint="eastAsia"/>
              </w:rPr>
              <w:t>北塘莫家</w:t>
            </w:r>
          </w:p>
        </w:tc>
        <w:tc>
          <w:tcPr>
            <w:tcW w:w="4819" w:type="dxa"/>
            <w:vAlign w:val="center"/>
          </w:tcPr>
          <w:p>
            <w:pPr>
              <w:pStyle w:val="51"/>
            </w:pPr>
            <w:r>
              <w:rPr>
                <w:rFonts w:hint="eastAsia"/>
              </w:rPr>
              <w:t>水位</w:t>
            </w:r>
          </w:p>
        </w:tc>
        <w:tc>
          <w:tcPr>
            <w:tcW w:w="1276" w:type="dxa"/>
            <w:vMerge w:val="continue"/>
            <w:vAlign w:val="center"/>
          </w:tcPr>
          <w:p>
            <w:pPr>
              <w:pStyle w:val="51"/>
            </w:pPr>
          </w:p>
        </w:tc>
        <w:tc>
          <w:tcPr>
            <w:tcW w:w="709" w:type="dxa"/>
            <w:vMerge w:val="continue"/>
            <w:vAlign w:val="center"/>
          </w:tcPr>
          <w:p>
            <w:pPr>
              <w:pStyle w:val="51"/>
            </w:pPr>
          </w:p>
        </w:tc>
      </w:tr>
    </w:tbl>
    <w:p>
      <w:pPr>
        <w:pStyle w:val="49"/>
        <w:ind w:firstLine="480"/>
      </w:pPr>
      <w:r>
        <w:rPr>
          <w:rFonts w:hint="eastAsia"/>
        </w:rPr>
        <w:t>2、监测结果统计分析</w:t>
      </w:r>
    </w:p>
    <w:p>
      <w:pPr>
        <w:pStyle w:val="205"/>
        <w:ind w:firstLine="480"/>
        <w:rPr>
          <w:szCs w:val="32"/>
        </w:rPr>
      </w:pPr>
      <w:bookmarkStart w:id="175" w:name="_Hlk178254879"/>
      <w:r>
        <w:rPr>
          <w:rFonts w:hint="eastAsia"/>
          <w:szCs w:val="32"/>
        </w:rPr>
        <w:t>项目地下水水位监测结果见下表。</w:t>
      </w:r>
    </w:p>
    <w:p>
      <w:pPr>
        <w:pStyle w:val="207"/>
        <w:ind w:left="480" w:firstLine="422"/>
        <w:rPr>
          <w:rFonts w:hint="eastAsia"/>
        </w:rPr>
      </w:pPr>
      <w:r>
        <w:t>表</w:t>
      </w:r>
      <w:r>
        <w:rPr>
          <w:rFonts w:hint="eastAsia"/>
        </w:rPr>
        <w:t>4.2</w:t>
      </w:r>
      <w:r>
        <w:t>-</w:t>
      </w:r>
      <w:r>
        <w:rPr>
          <w:rFonts w:hint="eastAsia"/>
        </w:rPr>
        <w:t>8</w:t>
      </w:r>
      <w:r>
        <w:t xml:space="preserve"> </w:t>
      </w:r>
      <w:r>
        <w:rPr>
          <w:rFonts w:hint="eastAsia"/>
        </w:rPr>
        <w:t>地下水水位监测结果</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1774"/>
        <w:gridCol w:w="1775"/>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vAlign w:val="center"/>
          </w:tcPr>
          <w:p>
            <w:pPr>
              <w:pStyle w:val="51"/>
            </w:pPr>
            <w:r>
              <w:rPr>
                <w:rFonts w:hint="eastAsia"/>
              </w:rPr>
              <w:t>编号</w:t>
            </w:r>
          </w:p>
        </w:tc>
        <w:tc>
          <w:tcPr>
            <w:tcW w:w="1559" w:type="dxa"/>
            <w:shd w:val="clear" w:color="auto" w:fill="auto"/>
            <w:vAlign w:val="center"/>
          </w:tcPr>
          <w:p>
            <w:pPr>
              <w:pStyle w:val="51"/>
            </w:pPr>
            <w:r>
              <w:rPr>
                <w:rFonts w:hint="eastAsia"/>
              </w:rPr>
              <w:t>监测点位</w:t>
            </w:r>
          </w:p>
        </w:tc>
        <w:tc>
          <w:tcPr>
            <w:tcW w:w="1774" w:type="dxa"/>
            <w:shd w:val="clear" w:color="auto" w:fill="auto"/>
            <w:vAlign w:val="center"/>
          </w:tcPr>
          <w:p>
            <w:pPr>
              <w:pStyle w:val="51"/>
            </w:pPr>
            <w:r>
              <w:rPr>
                <w:rFonts w:hint="eastAsia"/>
              </w:rPr>
              <w:t>高程（m）</w:t>
            </w:r>
          </w:p>
        </w:tc>
        <w:tc>
          <w:tcPr>
            <w:tcW w:w="1775" w:type="dxa"/>
            <w:shd w:val="clear" w:color="auto" w:fill="auto"/>
            <w:vAlign w:val="center"/>
          </w:tcPr>
          <w:p>
            <w:pPr>
              <w:pStyle w:val="51"/>
            </w:pPr>
            <w:r>
              <w:rPr>
                <w:rFonts w:hint="eastAsia"/>
              </w:rPr>
              <w:t>水位标高（m）</w:t>
            </w:r>
          </w:p>
        </w:tc>
        <w:tc>
          <w:tcPr>
            <w:tcW w:w="1775" w:type="dxa"/>
            <w:shd w:val="clear" w:color="auto" w:fill="auto"/>
            <w:vAlign w:val="center"/>
          </w:tcPr>
          <w:p>
            <w:pPr>
              <w:pStyle w:val="51"/>
            </w:pPr>
            <w:r>
              <w:rPr>
                <w:rFonts w:hint="eastAsia"/>
              </w:rPr>
              <w:t>水位埋深（m）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vAlign w:val="center"/>
          </w:tcPr>
          <w:p>
            <w:pPr>
              <w:pStyle w:val="51"/>
            </w:pPr>
            <w:r>
              <w:rPr>
                <w:rFonts w:hint="eastAsia"/>
              </w:rPr>
              <w:t>D1</w:t>
            </w:r>
          </w:p>
        </w:tc>
        <w:tc>
          <w:tcPr>
            <w:tcW w:w="1559" w:type="dxa"/>
            <w:shd w:val="clear" w:color="auto" w:fill="auto"/>
            <w:vAlign w:val="center"/>
          </w:tcPr>
          <w:p>
            <w:pPr>
              <w:pStyle w:val="51"/>
            </w:pPr>
            <w:r>
              <w:rPr>
                <w:rFonts w:hint="eastAsia"/>
              </w:rPr>
              <w:t>项目所在地</w:t>
            </w:r>
          </w:p>
        </w:tc>
        <w:tc>
          <w:tcPr>
            <w:tcW w:w="1774" w:type="dxa"/>
            <w:shd w:val="clear" w:color="auto" w:fill="auto"/>
            <w:vAlign w:val="center"/>
          </w:tcPr>
          <w:p>
            <w:pPr>
              <w:pStyle w:val="51"/>
            </w:pPr>
            <w:r>
              <w:rPr>
                <w:rFonts w:hint="eastAsia"/>
              </w:rPr>
              <w:t>120.5</w:t>
            </w:r>
          </w:p>
        </w:tc>
        <w:tc>
          <w:tcPr>
            <w:tcW w:w="1775" w:type="dxa"/>
            <w:shd w:val="clear" w:color="auto" w:fill="auto"/>
            <w:vAlign w:val="bottom"/>
          </w:tcPr>
          <w:p>
            <w:pPr>
              <w:pStyle w:val="51"/>
            </w:pPr>
            <w:r>
              <w:rPr>
                <w:rFonts w:hint="eastAsia"/>
              </w:rPr>
              <w:t>119</w:t>
            </w:r>
          </w:p>
        </w:tc>
        <w:tc>
          <w:tcPr>
            <w:tcW w:w="1775" w:type="dxa"/>
            <w:shd w:val="clear" w:color="auto" w:fill="auto"/>
            <w:vAlign w:val="center"/>
          </w:tcPr>
          <w:p>
            <w:pPr>
              <w:pStyle w:val="51"/>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vAlign w:val="center"/>
          </w:tcPr>
          <w:p>
            <w:pPr>
              <w:pStyle w:val="51"/>
            </w:pPr>
            <w:r>
              <w:rPr>
                <w:rFonts w:hint="eastAsia"/>
              </w:rPr>
              <w:t>D2</w:t>
            </w:r>
          </w:p>
        </w:tc>
        <w:tc>
          <w:tcPr>
            <w:tcW w:w="1559" w:type="dxa"/>
            <w:shd w:val="clear" w:color="auto" w:fill="auto"/>
            <w:vAlign w:val="center"/>
          </w:tcPr>
          <w:p>
            <w:pPr>
              <w:pStyle w:val="51"/>
            </w:pPr>
            <w:r>
              <w:rPr>
                <w:rFonts w:hint="eastAsia"/>
              </w:rPr>
              <w:t>门口洞</w:t>
            </w:r>
          </w:p>
        </w:tc>
        <w:tc>
          <w:tcPr>
            <w:tcW w:w="1774" w:type="dxa"/>
            <w:shd w:val="clear" w:color="auto" w:fill="auto"/>
            <w:vAlign w:val="center"/>
          </w:tcPr>
          <w:p>
            <w:pPr>
              <w:pStyle w:val="51"/>
            </w:pPr>
            <w:r>
              <w:rPr>
                <w:rFonts w:hint="eastAsia"/>
              </w:rPr>
              <w:t>114</w:t>
            </w:r>
          </w:p>
        </w:tc>
        <w:tc>
          <w:tcPr>
            <w:tcW w:w="1775" w:type="dxa"/>
            <w:shd w:val="clear" w:color="auto" w:fill="auto"/>
            <w:vAlign w:val="bottom"/>
          </w:tcPr>
          <w:p>
            <w:pPr>
              <w:pStyle w:val="51"/>
            </w:pPr>
            <w:r>
              <w:rPr>
                <w:rFonts w:hint="eastAsia"/>
              </w:rPr>
              <w:t>112.5</w:t>
            </w:r>
          </w:p>
        </w:tc>
        <w:tc>
          <w:tcPr>
            <w:tcW w:w="1775" w:type="dxa"/>
            <w:shd w:val="clear" w:color="auto" w:fill="auto"/>
            <w:vAlign w:val="center"/>
          </w:tcPr>
          <w:p>
            <w:pPr>
              <w:pStyle w:val="51"/>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shd w:val="clear" w:color="auto" w:fill="auto"/>
            <w:vAlign w:val="center"/>
          </w:tcPr>
          <w:p>
            <w:pPr>
              <w:pStyle w:val="51"/>
            </w:pPr>
            <w:r>
              <w:rPr>
                <w:rFonts w:hint="eastAsia"/>
              </w:rPr>
              <w:t>D3</w:t>
            </w:r>
          </w:p>
        </w:tc>
        <w:tc>
          <w:tcPr>
            <w:tcW w:w="1559" w:type="dxa"/>
            <w:shd w:val="clear" w:color="auto" w:fill="auto"/>
            <w:vAlign w:val="center"/>
          </w:tcPr>
          <w:p>
            <w:pPr>
              <w:pStyle w:val="51"/>
            </w:pPr>
            <w:r>
              <w:rPr>
                <w:rFonts w:hint="eastAsia"/>
              </w:rPr>
              <w:t>对江岭莫家</w:t>
            </w:r>
          </w:p>
        </w:tc>
        <w:tc>
          <w:tcPr>
            <w:tcW w:w="1774" w:type="dxa"/>
            <w:shd w:val="clear" w:color="auto" w:fill="auto"/>
            <w:vAlign w:val="center"/>
          </w:tcPr>
          <w:p>
            <w:pPr>
              <w:pStyle w:val="51"/>
            </w:pPr>
            <w:r>
              <w:rPr>
                <w:rFonts w:hint="eastAsia"/>
              </w:rPr>
              <w:t>112.2</w:t>
            </w:r>
          </w:p>
        </w:tc>
        <w:tc>
          <w:tcPr>
            <w:tcW w:w="1775" w:type="dxa"/>
            <w:shd w:val="clear" w:color="auto" w:fill="auto"/>
            <w:vAlign w:val="bottom"/>
          </w:tcPr>
          <w:p>
            <w:pPr>
              <w:pStyle w:val="51"/>
            </w:pPr>
            <w:r>
              <w:rPr>
                <w:rFonts w:hint="eastAsia"/>
              </w:rPr>
              <w:t>110.4</w:t>
            </w:r>
          </w:p>
        </w:tc>
        <w:tc>
          <w:tcPr>
            <w:tcW w:w="1775" w:type="dxa"/>
            <w:shd w:val="clear" w:color="auto" w:fill="auto"/>
            <w:vAlign w:val="center"/>
          </w:tcPr>
          <w:p>
            <w:pPr>
              <w:pStyle w:val="51"/>
            </w:pPr>
            <w:r>
              <w:rPr>
                <w:rFonts w:hint="eastAsi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vAlign w:val="center"/>
          </w:tcPr>
          <w:p>
            <w:pPr>
              <w:pStyle w:val="51"/>
            </w:pPr>
            <w:r>
              <w:rPr>
                <w:rFonts w:hint="eastAsia"/>
              </w:rPr>
              <w:t>D4</w:t>
            </w:r>
          </w:p>
        </w:tc>
        <w:tc>
          <w:tcPr>
            <w:tcW w:w="1559" w:type="dxa"/>
            <w:shd w:val="clear" w:color="auto" w:fill="auto"/>
            <w:vAlign w:val="center"/>
          </w:tcPr>
          <w:p>
            <w:pPr>
              <w:pStyle w:val="51"/>
            </w:pPr>
            <w:r>
              <w:rPr>
                <w:rFonts w:hint="eastAsia"/>
              </w:rPr>
              <w:t>高背塘</w:t>
            </w:r>
          </w:p>
        </w:tc>
        <w:tc>
          <w:tcPr>
            <w:tcW w:w="1774" w:type="dxa"/>
            <w:shd w:val="clear" w:color="auto" w:fill="auto"/>
            <w:vAlign w:val="center"/>
          </w:tcPr>
          <w:p>
            <w:pPr>
              <w:pStyle w:val="51"/>
            </w:pPr>
            <w:r>
              <w:rPr>
                <w:rFonts w:hint="eastAsia"/>
              </w:rPr>
              <w:t>119.8</w:t>
            </w:r>
          </w:p>
        </w:tc>
        <w:tc>
          <w:tcPr>
            <w:tcW w:w="1775" w:type="dxa"/>
            <w:shd w:val="clear" w:color="auto" w:fill="auto"/>
            <w:vAlign w:val="bottom"/>
          </w:tcPr>
          <w:p>
            <w:pPr>
              <w:pStyle w:val="51"/>
            </w:pPr>
            <w:r>
              <w:rPr>
                <w:rFonts w:hint="eastAsia"/>
              </w:rPr>
              <w:t>117.7</w:t>
            </w:r>
          </w:p>
        </w:tc>
        <w:tc>
          <w:tcPr>
            <w:tcW w:w="1775" w:type="dxa"/>
            <w:shd w:val="clear" w:color="auto" w:fill="auto"/>
            <w:vAlign w:val="center"/>
          </w:tcPr>
          <w:p>
            <w:pPr>
              <w:pStyle w:val="51"/>
            </w:pPr>
            <w:r>
              <w:rPr>
                <w:rFonts w:hint="eastAsi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vAlign w:val="center"/>
          </w:tcPr>
          <w:p>
            <w:pPr>
              <w:pStyle w:val="51"/>
            </w:pPr>
            <w:r>
              <w:rPr>
                <w:rFonts w:hint="eastAsia"/>
              </w:rPr>
              <w:t>D5</w:t>
            </w:r>
          </w:p>
        </w:tc>
        <w:tc>
          <w:tcPr>
            <w:tcW w:w="1559" w:type="dxa"/>
            <w:shd w:val="clear" w:color="auto" w:fill="auto"/>
            <w:vAlign w:val="center"/>
          </w:tcPr>
          <w:p>
            <w:pPr>
              <w:pStyle w:val="51"/>
            </w:pPr>
            <w:r>
              <w:rPr>
                <w:rFonts w:hint="eastAsia"/>
              </w:rPr>
              <w:t>奢仔口</w:t>
            </w:r>
          </w:p>
        </w:tc>
        <w:tc>
          <w:tcPr>
            <w:tcW w:w="1774" w:type="dxa"/>
            <w:shd w:val="clear" w:color="auto" w:fill="auto"/>
            <w:vAlign w:val="center"/>
          </w:tcPr>
          <w:p>
            <w:pPr>
              <w:pStyle w:val="51"/>
            </w:pPr>
            <w:r>
              <w:rPr>
                <w:rFonts w:hint="eastAsia"/>
              </w:rPr>
              <w:t>121.8</w:t>
            </w:r>
          </w:p>
        </w:tc>
        <w:tc>
          <w:tcPr>
            <w:tcW w:w="1775" w:type="dxa"/>
            <w:shd w:val="clear" w:color="auto" w:fill="auto"/>
            <w:vAlign w:val="bottom"/>
          </w:tcPr>
          <w:p>
            <w:pPr>
              <w:pStyle w:val="51"/>
            </w:pPr>
            <w:r>
              <w:rPr>
                <w:rFonts w:hint="eastAsia"/>
              </w:rPr>
              <w:t>119.9</w:t>
            </w:r>
          </w:p>
        </w:tc>
        <w:tc>
          <w:tcPr>
            <w:tcW w:w="1775" w:type="dxa"/>
            <w:shd w:val="clear" w:color="auto" w:fill="auto"/>
            <w:vAlign w:val="center"/>
          </w:tcPr>
          <w:p>
            <w:pPr>
              <w:pStyle w:val="51"/>
            </w:pPr>
            <w:r>
              <w:rPr>
                <w:rFonts w:hint="eastAsi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vAlign w:val="center"/>
          </w:tcPr>
          <w:p>
            <w:pPr>
              <w:pStyle w:val="51"/>
            </w:pPr>
            <w:r>
              <w:rPr>
                <w:rFonts w:hint="eastAsia"/>
              </w:rPr>
              <w:t>D6</w:t>
            </w:r>
          </w:p>
        </w:tc>
        <w:tc>
          <w:tcPr>
            <w:tcW w:w="1559" w:type="dxa"/>
            <w:shd w:val="clear" w:color="auto" w:fill="auto"/>
            <w:vAlign w:val="center"/>
          </w:tcPr>
          <w:p>
            <w:pPr>
              <w:pStyle w:val="51"/>
            </w:pPr>
            <w:r>
              <w:rPr>
                <w:rFonts w:hint="eastAsia"/>
              </w:rPr>
              <w:t>北塘莫家</w:t>
            </w:r>
          </w:p>
        </w:tc>
        <w:tc>
          <w:tcPr>
            <w:tcW w:w="1774" w:type="dxa"/>
            <w:shd w:val="clear" w:color="auto" w:fill="auto"/>
            <w:vAlign w:val="center"/>
          </w:tcPr>
          <w:p>
            <w:pPr>
              <w:pStyle w:val="51"/>
            </w:pPr>
            <w:r>
              <w:rPr>
                <w:rFonts w:hint="eastAsia"/>
              </w:rPr>
              <w:t>113.9</w:t>
            </w:r>
          </w:p>
        </w:tc>
        <w:tc>
          <w:tcPr>
            <w:tcW w:w="1775" w:type="dxa"/>
            <w:shd w:val="clear" w:color="auto" w:fill="auto"/>
            <w:vAlign w:val="bottom"/>
          </w:tcPr>
          <w:p>
            <w:pPr>
              <w:pStyle w:val="51"/>
            </w:pPr>
            <w:r>
              <w:rPr>
                <w:rFonts w:hint="eastAsia"/>
              </w:rPr>
              <w:t>112.5</w:t>
            </w:r>
          </w:p>
        </w:tc>
        <w:tc>
          <w:tcPr>
            <w:tcW w:w="1775" w:type="dxa"/>
            <w:shd w:val="clear" w:color="auto" w:fill="auto"/>
            <w:vAlign w:val="center"/>
          </w:tcPr>
          <w:p>
            <w:pPr>
              <w:pStyle w:val="51"/>
            </w:pPr>
            <w:r>
              <w:rPr>
                <w:rFonts w:hint="eastAsia"/>
              </w:rPr>
              <w:t>1.4</w:t>
            </w:r>
          </w:p>
        </w:tc>
      </w:tr>
      <w:bookmarkEnd w:id="175"/>
    </w:tbl>
    <w:p>
      <w:pPr>
        <w:pStyle w:val="49"/>
        <w:ind w:firstLine="480"/>
      </w:pPr>
      <w:r>
        <w:rPr>
          <w:rFonts w:hint="eastAsia"/>
        </w:rPr>
        <w:t>地下水监测及统计分析结果见表4.2-9。</w:t>
      </w:r>
    </w:p>
    <w:p>
      <w:pPr>
        <w:pStyle w:val="53"/>
      </w:pPr>
      <w:r>
        <w:t>表</w:t>
      </w:r>
      <w:r>
        <w:rPr>
          <w:rFonts w:hint="eastAsia"/>
        </w:rPr>
        <w:t>4.2</w:t>
      </w:r>
      <w:r>
        <w:t>-</w:t>
      </w:r>
      <w:r>
        <w:rPr>
          <w:rFonts w:hint="eastAsia"/>
        </w:rPr>
        <w:t>9</w:t>
      </w:r>
      <w:r>
        <w:t xml:space="preserve"> </w:t>
      </w:r>
      <w:r>
        <w:rPr>
          <w:rFonts w:hint="eastAsia"/>
        </w:rPr>
        <w:t>地下水环境质量现状监测结果</w:t>
      </w:r>
    </w:p>
    <w:tbl>
      <w:tblPr>
        <w:tblStyle w:val="39"/>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701"/>
        <w:gridCol w:w="1418"/>
        <w:gridCol w:w="170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72" w:type="dxa"/>
            <w:shd w:val="clear" w:color="auto" w:fill="auto"/>
            <w:vAlign w:val="center"/>
          </w:tcPr>
          <w:p>
            <w:pPr>
              <w:pStyle w:val="51"/>
            </w:pPr>
            <w:r>
              <w:rPr>
                <w:rFonts w:hint="eastAsia"/>
              </w:rPr>
              <w:t>采样点位</w:t>
            </w:r>
          </w:p>
        </w:tc>
        <w:tc>
          <w:tcPr>
            <w:tcW w:w="1701" w:type="dxa"/>
            <w:shd w:val="clear" w:color="auto" w:fill="auto"/>
            <w:vAlign w:val="center"/>
          </w:tcPr>
          <w:p>
            <w:pPr>
              <w:pStyle w:val="51"/>
            </w:pPr>
            <w:r>
              <w:rPr>
                <w:rFonts w:hint="eastAsia"/>
              </w:rPr>
              <w:t>D1项目所在地</w:t>
            </w:r>
          </w:p>
        </w:tc>
        <w:tc>
          <w:tcPr>
            <w:tcW w:w="1418" w:type="dxa"/>
            <w:shd w:val="clear" w:color="auto" w:fill="auto"/>
            <w:vAlign w:val="center"/>
          </w:tcPr>
          <w:p>
            <w:pPr>
              <w:pStyle w:val="51"/>
            </w:pPr>
            <w:r>
              <w:rPr>
                <w:rFonts w:hint="eastAsia"/>
              </w:rPr>
              <w:t>D2门口洞</w:t>
            </w:r>
          </w:p>
        </w:tc>
        <w:tc>
          <w:tcPr>
            <w:tcW w:w="1701" w:type="dxa"/>
            <w:shd w:val="clear" w:color="auto" w:fill="auto"/>
            <w:vAlign w:val="center"/>
          </w:tcPr>
          <w:p>
            <w:pPr>
              <w:pStyle w:val="51"/>
            </w:pPr>
            <w:r>
              <w:rPr>
                <w:rFonts w:hint="eastAsia"/>
              </w:rPr>
              <w:t>D3对江岭莫家</w:t>
            </w:r>
          </w:p>
        </w:tc>
        <w:tc>
          <w:tcPr>
            <w:tcW w:w="992" w:type="dxa"/>
            <w:vMerge w:val="restart"/>
            <w:shd w:val="clear" w:color="auto" w:fill="auto"/>
            <w:vAlign w:val="center"/>
          </w:tcPr>
          <w:p>
            <w:pPr>
              <w:pStyle w:val="51"/>
            </w:pPr>
            <w:r>
              <w:rPr>
                <w:rFonts w:hint="eastAsia"/>
              </w:rPr>
              <w:t>标准</w:t>
            </w:r>
          </w:p>
          <w:p>
            <w:pPr>
              <w:pStyle w:val="51"/>
            </w:pPr>
            <w:r>
              <w:rPr>
                <w:rFonts w:hint="eastAsia"/>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72" w:type="dxa"/>
            <w:shd w:val="clear" w:color="auto" w:fill="auto"/>
            <w:vAlign w:val="center"/>
          </w:tcPr>
          <w:p>
            <w:pPr>
              <w:pStyle w:val="51"/>
            </w:pPr>
            <w:r>
              <w:rPr>
                <w:rFonts w:hint="eastAsia"/>
              </w:rPr>
              <w:t>采样日期</w:t>
            </w:r>
          </w:p>
        </w:tc>
        <w:tc>
          <w:tcPr>
            <w:tcW w:w="4820" w:type="dxa"/>
            <w:gridSpan w:val="3"/>
            <w:shd w:val="clear" w:color="auto" w:fill="auto"/>
            <w:vAlign w:val="center"/>
          </w:tcPr>
          <w:p>
            <w:pPr>
              <w:pStyle w:val="51"/>
            </w:pPr>
            <w:r>
              <w:rPr>
                <w:rFonts w:hint="eastAsia"/>
              </w:rPr>
              <w:t>2024.4.17</w:t>
            </w:r>
          </w:p>
        </w:tc>
        <w:tc>
          <w:tcPr>
            <w:tcW w:w="992" w:type="dxa"/>
            <w:vMerge w:val="continue"/>
            <w:shd w:val="clear" w:color="auto" w:fill="auto"/>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监测项目</w:t>
            </w:r>
          </w:p>
        </w:tc>
        <w:tc>
          <w:tcPr>
            <w:tcW w:w="4820" w:type="dxa"/>
            <w:gridSpan w:val="3"/>
            <w:shd w:val="clear" w:color="auto" w:fill="auto"/>
            <w:vAlign w:val="center"/>
          </w:tcPr>
          <w:p>
            <w:pPr>
              <w:pStyle w:val="51"/>
            </w:pPr>
            <w:r>
              <w:rPr>
                <w:rFonts w:hint="eastAsia"/>
              </w:rPr>
              <w:t>检测结果</w:t>
            </w:r>
          </w:p>
        </w:tc>
        <w:tc>
          <w:tcPr>
            <w:tcW w:w="992" w:type="dxa"/>
            <w:vMerge w:val="continue"/>
            <w:shd w:val="clear" w:color="auto" w:fill="auto"/>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pH</w:t>
            </w:r>
          </w:p>
        </w:tc>
        <w:tc>
          <w:tcPr>
            <w:tcW w:w="1701" w:type="dxa"/>
            <w:shd w:val="clear" w:color="auto" w:fill="auto"/>
            <w:vAlign w:val="center"/>
          </w:tcPr>
          <w:p>
            <w:pPr>
              <w:pStyle w:val="51"/>
            </w:pPr>
            <w:r>
              <w:rPr>
                <w:rFonts w:hint="eastAsia" w:ascii="宋体" w:hAnsi="宋体"/>
                <w:szCs w:val="21"/>
              </w:rPr>
              <w:t>7.2</w:t>
            </w:r>
          </w:p>
        </w:tc>
        <w:tc>
          <w:tcPr>
            <w:tcW w:w="1418" w:type="dxa"/>
            <w:shd w:val="clear" w:color="auto" w:fill="auto"/>
            <w:vAlign w:val="center"/>
          </w:tcPr>
          <w:p>
            <w:pPr>
              <w:pStyle w:val="51"/>
            </w:pPr>
            <w:r>
              <w:rPr>
                <w:rFonts w:hint="eastAsia" w:ascii="宋体" w:hAnsi="宋体"/>
                <w:szCs w:val="21"/>
              </w:rPr>
              <w:t>7.3</w:t>
            </w:r>
          </w:p>
        </w:tc>
        <w:tc>
          <w:tcPr>
            <w:tcW w:w="1701" w:type="dxa"/>
            <w:shd w:val="clear" w:color="auto" w:fill="auto"/>
            <w:vAlign w:val="center"/>
          </w:tcPr>
          <w:p>
            <w:pPr>
              <w:pStyle w:val="51"/>
            </w:pPr>
            <w:r>
              <w:rPr>
                <w:rFonts w:hint="eastAsia" w:ascii="宋体" w:hAnsi="宋体"/>
                <w:szCs w:val="21"/>
              </w:rPr>
              <w:t>7.3</w:t>
            </w:r>
          </w:p>
        </w:tc>
        <w:tc>
          <w:tcPr>
            <w:tcW w:w="992" w:type="dxa"/>
            <w:shd w:val="clear" w:color="auto" w:fill="auto"/>
            <w:vAlign w:val="center"/>
          </w:tcPr>
          <w:p>
            <w:pPr>
              <w:pStyle w:val="51"/>
            </w:pPr>
            <w:r>
              <w:rPr>
                <w:rFonts w:hint="eastAsia"/>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挥发酚（mg/L）</w:t>
            </w:r>
          </w:p>
        </w:tc>
        <w:tc>
          <w:tcPr>
            <w:tcW w:w="1701" w:type="dxa"/>
            <w:shd w:val="clear" w:color="auto" w:fill="auto"/>
            <w:vAlign w:val="center"/>
          </w:tcPr>
          <w:p>
            <w:pPr>
              <w:pStyle w:val="51"/>
            </w:pPr>
            <w:r>
              <w:rPr>
                <w:rFonts w:hint="eastAsia"/>
              </w:rPr>
              <w:t>0.0003L</w:t>
            </w:r>
          </w:p>
        </w:tc>
        <w:tc>
          <w:tcPr>
            <w:tcW w:w="1418" w:type="dxa"/>
            <w:shd w:val="clear" w:color="auto" w:fill="auto"/>
            <w:vAlign w:val="center"/>
          </w:tcPr>
          <w:p>
            <w:pPr>
              <w:pStyle w:val="51"/>
            </w:pPr>
            <w:r>
              <w:rPr>
                <w:rFonts w:hint="eastAsia"/>
              </w:rPr>
              <w:t>0.0003L</w:t>
            </w:r>
          </w:p>
        </w:tc>
        <w:tc>
          <w:tcPr>
            <w:tcW w:w="1701" w:type="dxa"/>
            <w:shd w:val="clear" w:color="auto" w:fill="auto"/>
            <w:vAlign w:val="center"/>
          </w:tcPr>
          <w:p>
            <w:pPr>
              <w:pStyle w:val="51"/>
            </w:pPr>
            <w:r>
              <w:rPr>
                <w:rFonts w:hint="eastAsia"/>
              </w:rPr>
              <w:t>0.0003L</w:t>
            </w:r>
          </w:p>
        </w:tc>
        <w:tc>
          <w:tcPr>
            <w:tcW w:w="992" w:type="dxa"/>
            <w:shd w:val="clear" w:color="auto" w:fill="auto"/>
            <w:vAlign w:val="center"/>
          </w:tcPr>
          <w:p>
            <w:pPr>
              <w:pStyle w:val="51"/>
            </w:pPr>
            <w:r>
              <w:rPr>
                <w:rFonts w:hint="eastAsi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氰化物（mg/L）</w:t>
            </w:r>
          </w:p>
        </w:tc>
        <w:tc>
          <w:tcPr>
            <w:tcW w:w="1701" w:type="dxa"/>
            <w:shd w:val="clear" w:color="auto" w:fill="auto"/>
            <w:vAlign w:val="center"/>
          </w:tcPr>
          <w:p>
            <w:pPr>
              <w:pStyle w:val="51"/>
            </w:pPr>
            <w:r>
              <w:rPr>
                <w:rFonts w:hint="eastAsia"/>
              </w:rPr>
              <w:t>0.004L</w:t>
            </w:r>
          </w:p>
        </w:tc>
        <w:tc>
          <w:tcPr>
            <w:tcW w:w="1418" w:type="dxa"/>
            <w:shd w:val="clear" w:color="auto" w:fill="auto"/>
            <w:vAlign w:val="center"/>
          </w:tcPr>
          <w:p>
            <w:pPr>
              <w:pStyle w:val="51"/>
            </w:pPr>
            <w:r>
              <w:rPr>
                <w:rFonts w:hint="eastAsia"/>
              </w:rPr>
              <w:t>0.004L</w:t>
            </w:r>
          </w:p>
        </w:tc>
        <w:tc>
          <w:tcPr>
            <w:tcW w:w="1701" w:type="dxa"/>
            <w:shd w:val="clear" w:color="auto" w:fill="auto"/>
            <w:vAlign w:val="center"/>
          </w:tcPr>
          <w:p>
            <w:pPr>
              <w:pStyle w:val="51"/>
            </w:pPr>
            <w:r>
              <w:rPr>
                <w:rFonts w:hint="eastAsia"/>
              </w:rPr>
              <w:t>0.004L</w:t>
            </w:r>
          </w:p>
        </w:tc>
        <w:tc>
          <w:tcPr>
            <w:tcW w:w="992" w:type="dxa"/>
            <w:shd w:val="clear" w:color="auto" w:fill="auto"/>
            <w:vAlign w:val="center"/>
          </w:tcPr>
          <w:p>
            <w:pPr>
              <w:pStyle w:val="51"/>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氨氮（mg/L）</w:t>
            </w:r>
          </w:p>
        </w:tc>
        <w:tc>
          <w:tcPr>
            <w:tcW w:w="1701" w:type="dxa"/>
            <w:shd w:val="clear" w:color="auto" w:fill="auto"/>
            <w:vAlign w:val="center"/>
          </w:tcPr>
          <w:p>
            <w:pPr>
              <w:pStyle w:val="51"/>
            </w:pPr>
            <w:r>
              <w:rPr>
                <w:rFonts w:hint="eastAsia"/>
              </w:rPr>
              <w:t>0.325</w:t>
            </w:r>
          </w:p>
        </w:tc>
        <w:tc>
          <w:tcPr>
            <w:tcW w:w="1418" w:type="dxa"/>
            <w:shd w:val="clear" w:color="auto" w:fill="auto"/>
            <w:vAlign w:val="center"/>
          </w:tcPr>
          <w:p>
            <w:pPr>
              <w:pStyle w:val="51"/>
            </w:pPr>
            <w:r>
              <w:rPr>
                <w:rFonts w:hint="eastAsia"/>
              </w:rPr>
              <w:t>0.310</w:t>
            </w:r>
          </w:p>
        </w:tc>
        <w:tc>
          <w:tcPr>
            <w:tcW w:w="1701" w:type="dxa"/>
            <w:shd w:val="clear" w:color="auto" w:fill="auto"/>
            <w:vAlign w:val="center"/>
          </w:tcPr>
          <w:p>
            <w:pPr>
              <w:pStyle w:val="51"/>
            </w:pPr>
            <w:r>
              <w:rPr>
                <w:rFonts w:hint="eastAsia"/>
              </w:rPr>
              <w:t>0.279</w:t>
            </w:r>
          </w:p>
        </w:tc>
        <w:tc>
          <w:tcPr>
            <w:tcW w:w="992" w:type="dxa"/>
            <w:shd w:val="clear" w:color="auto" w:fill="auto"/>
            <w:vAlign w:val="center"/>
          </w:tcPr>
          <w:p>
            <w:pPr>
              <w:pStyle w:val="51"/>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汞（mg/L）</w:t>
            </w:r>
          </w:p>
        </w:tc>
        <w:tc>
          <w:tcPr>
            <w:tcW w:w="1701" w:type="dxa"/>
            <w:shd w:val="clear" w:color="auto" w:fill="auto"/>
            <w:vAlign w:val="center"/>
          </w:tcPr>
          <w:p>
            <w:pPr>
              <w:pStyle w:val="51"/>
            </w:pPr>
            <w:r>
              <w:rPr>
                <w:rFonts w:hint="eastAsia"/>
              </w:rPr>
              <w:t>0.00004L</w:t>
            </w:r>
          </w:p>
        </w:tc>
        <w:tc>
          <w:tcPr>
            <w:tcW w:w="1418" w:type="dxa"/>
            <w:shd w:val="clear" w:color="auto" w:fill="auto"/>
            <w:vAlign w:val="center"/>
          </w:tcPr>
          <w:p>
            <w:pPr>
              <w:pStyle w:val="51"/>
            </w:pPr>
            <w:r>
              <w:rPr>
                <w:rFonts w:hint="eastAsia"/>
              </w:rPr>
              <w:t>0.00004L</w:t>
            </w:r>
          </w:p>
        </w:tc>
        <w:tc>
          <w:tcPr>
            <w:tcW w:w="1701" w:type="dxa"/>
            <w:shd w:val="clear" w:color="auto" w:fill="auto"/>
            <w:vAlign w:val="center"/>
          </w:tcPr>
          <w:p>
            <w:pPr>
              <w:pStyle w:val="51"/>
            </w:pPr>
            <w:r>
              <w:rPr>
                <w:rFonts w:hint="eastAsia"/>
              </w:rPr>
              <w:t>0.00004L</w:t>
            </w:r>
          </w:p>
        </w:tc>
        <w:tc>
          <w:tcPr>
            <w:tcW w:w="992" w:type="dxa"/>
            <w:shd w:val="clear" w:color="auto" w:fill="auto"/>
            <w:vAlign w:val="center"/>
          </w:tcPr>
          <w:p>
            <w:pPr>
              <w:pStyle w:val="51"/>
            </w:pPr>
            <w:r>
              <w:rPr>
                <w:rFonts w:hint="eastAsi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砷（mg/L）</w:t>
            </w:r>
          </w:p>
        </w:tc>
        <w:tc>
          <w:tcPr>
            <w:tcW w:w="1701" w:type="dxa"/>
            <w:shd w:val="clear" w:color="auto" w:fill="auto"/>
            <w:vAlign w:val="center"/>
          </w:tcPr>
          <w:p>
            <w:pPr>
              <w:pStyle w:val="51"/>
            </w:pPr>
            <w:r>
              <w:rPr>
                <w:rFonts w:hint="eastAsia"/>
              </w:rPr>
              <w:t>0.0003L</w:t>
            </w:r>
          </w:p>
        </w:tc>
        <w:tc>
          <w:tcPr>
            <w:tcW w:w="1418" w:type="dxa"/>
            <w:shd w:val="clear" w:color="auto" w:fill="auto"/>
            <w:vAlign w:val="center"/>
          </w:tcPr>
          <w:p>
            <w:pPr>
              <w:pStyle w:val="51"/>
            </w:pPr>
            <w:r>
              <w:rPr>
                <w:rFonts w:hint="eastAsia"/>
              </w:rPr>
              <w:t>0.0003L</w:t>
            </w:r>
          </w:p>
        </w:tc>
        <w:tc>
          <w:tcPr>
            <w:tcW w:w="1701" w:type="dxa"/>
            <w:shd w:val="clear" w:color="auto" w:fill="auto"/>
            <w:vAlign w:val="center"/>
          </w:tcPr>
          <w:p>
            <w:pPr>
              <w:pStyle w:val="51"/>
            </w:pPr>
            <w:r>
              <w:rPr>
                <w:rFonts w:hint="eastAsia"/>
              </w:rPr>
              <w:t>0.0003L</w:t>
            </w:r>
          </w:p>
        </w:tc>
        <w:tc>
          <w:tcPr>
            <w:tcW w:w="992" w:type="dxa"/>
            <w:shd w:val="clear" w:color="auto" w:fill="auto"/>
            <w:vAlign w:val="center"/>
          </w:tcPr>
          <w:p>
            <w:pPr>
              <w:pStyle w:val="51"/>
            </w:pPr>
            <w:r>
              <w:rPr>
                <w:rFonts w:hint="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钾（mg/L）</w:t>
            </w:r>
          </w:p>
        </w:tc>
        <w:tc>
          <w:tcPr>
            <w:tcW w:w="1701" w:type="dxa"/>
            <w:shd w:val="clear" w:color="auto" w:fill="auto"/>
            <w:vAlign w:val="center"/>
          </w:tcPr>
          <w:p>
            <w:pPr>
              <w:pStyle w:val="51"/>
            </w:pPr>
            <w:r>
              <w:rPr>
                <w:rFonts w:hint="eastAsia"/>
              </w:rPr>
              <w:t>0.99</w:t>
            </w:r>
          </w:p>
        </w:tc>
        <w:tc>
          <w:tcPr>
            <w:tcW w:w="1418" w:type="dxa"/>
            <w:shd w:val="clear" w:color="auto" w:fill="auto"/>
            <w:vAlign w:val="center"/>
          </w:tcPr>
          <w:p>
            <w:pPr>
              <w:pStyle w:val="51"/>
            </w:pPr>
            <w:r>
              <w:rPr>
                <w:rFonts w:hint="eastAsia"/>
              </w:rPr>
              <w:t>1.74</w:t>
            </w:r>
          </w:p>
        </w:tc>
        <w:tc>
          <w:tcPr>
            <w:tcW w:w="1701" w:type="dxa"/>
            <w:shd w:val="clear" w:color="auto" w:fill="auto"/>
            <w:vAlign w:val="center"/>
          </w:tcPr>
          <w:p>
            <w:pPr>
              <w:pStyle w:val="51"/>
            </w:pPr>
            <w:r>
              <w:rPr>
                <w:rFonts w:hint="eastAsia"/>
              </w:rPr>
              <w:t>1.72</w:t>
            </w:r>
          </w:p>
        </w:tc>
        <w:tc>
          <w:tcPr>
            <w:tcW w:w="992" w:type="dxa"/>
            <w:shd w:val="clear" w:color="auto" w:fill="auto"/>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钠（mg/L）</w:t>
            </w:r>
          </w:p>
        </w:tc>
        <w:tc>
          <w:tcPr>
            <w:tcW w:w="1701" w:type="dxa"/>
            <w:shd w:val="clear" w:color="auto" w:fill="auto"/>
            <w:vAlign w:val="center"/>
          </w:tcPr>
          <w:p>
            <w:pPr>
              <w:pStyle w:val="51"/>
            </w:pPr>
            <w:r>
              <w:rPr>
                <w:rFonts w:hint="eastAsia"/>
              </w:rPr>
              <w:t>249</w:t>
            </w:r>
          </w:p>
        </w:tc>
        <w:tc>
          <w:tcPr>
            <w:tcW w:w="1418" w:type="dxa"/>
            <w:shd w:val="clear" w:color="auto" w:fill="auto"/>
            <w:vAlign w:val="center"/>
          </w:tcPr>
          <w:p>
            <w:pPr>
              <w:pStyle w:val="51"/>
            </w:pPr>
            <w:r>
              <w:rPr>
                <w:rFonts w:hint="eastAsia"/>
              </w:rPr>
              <w:t>76.6</w:t>
            </w:r>
          </w:p>
        </w:tc>
        <w:tc>
          <w:tcPr>
            <w:tcW w:w="1701" w:type="dxa"/>
            <w:shd w:val="clear" w:color="auto" w:fill="auto"/>
            <w:vAlign w:val="center"/>
          </w:tcPr>
          <w:p>
            <w:pPr>
              <w:pStyle w:val="51"/>
            </w:pPr>
            <w:r>
              <w:rPr>
                <w:rFonts w:hint="eastAsia"/>
              </w:rPr>
              <w:t>54.6</w:t>
            </w:r>
          </w:p>
        </w:tc>
        <w:tc>
          <w:tcPr>
            <w:tcW w:w="992" w:type="dxa"/>
            <w:shd w:val="clear" w:color="auto" w:fill="auto"/>
            <w:vAlign w:val="center"/>
          </w:tcPr>
          <w:p>
            <w:pPr>
              <w:pStyle w:val="51"/>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钙（mg/L）</w:t>
            </w:r>
          </w:p>
        </w:tc>
        <w:tc>
          <w:tcPr>
            <w:tcW w:w="1701" w:type="dxa"/>
            <w:shd w:val="clear" w:color="auto" w:fill="auto"/>
            <w:vAlign w:val="center"/>
          </w:tcPr>
          <w:p>
            <w:pPr>
              <w:pStyle w:val="51"/>
            </w:pPr>
            <w:r>
              <w:rPr>
                <w:rFonts w:hint="eastAsia"/>
              </w:rPr>
              <w:t>2.70</w:t>
            </w:r>
          </w:p>
        </w:tc>
        <w:tc>
          <w:tcPr>
            <w:tcW w:w="1418" w:type="dxa"/>
            <w:shd w:val="clear" w:color="auto" w:fill="auto"/>
            <w:vAlign w:val="center"/>
          </w:tcPr>
          <w:p>
            <w:pPr>
              <w:pStyle w:val="51"/>
            </w:pPr>
            <w:r>
              <w:rPr>
                <w:rFonts w:hint="eastAsia"/>
              </w:rPr>
              <w:t>57.0</w:t>
            </w:r>
          </w:p>
        </w:tc>
        <w:tc>
          <w:tcPr>
            <w:tcW w:w="1701" w:type="dxa"/>
            <w:shd w:val="clear" w:color="auto" w:fill="auto"/>
            <w:vAlign w:val="center"/>
          </w:tcPr>
          <w:p>
            <w:pPr>
              <w:pStyle w:val="51"/>
            </w:pPr>
            <w:r>
              <w:rPr>
                <w:rFonts w:hint="eastAsia"/>
              </w:rPr>
              <w:t>66.0</w:t>
            </w:r>
          </w:p>
        </w:tc>
        <w:tc>
          <w:tcPr>
            <w:tcW w:w="992" w:type="dxa"/>
            <w:shd w:val="clear" w:color="auto" w:fill="auto"/>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镁（mg/L）</w:t>
            </w:r>
          </w:p>
        </w:tc>
        <w:tc>
          <w:tcPr>
            <w:tcW w:w="1701" w:type="dxa"/>
            <w:shd w:val="clear" w:color="auto" w:fill="auto"/>
            <w:vAlign w:val="center"/>
          </w:tcPr>
          <w:p>
            <w:pPr>
              <w:pStyle w:val="51"/>
            </w:pPr>
            <w:r>
              <w:rPr>
                <w:rFonts w:hint="eastAsia"/>
              </w:rPr>
              <w:t>0.942</w:t>
            </w:r>
          </w:p>
        </w:tc>
        <w:tc>
          <w:tcPr>
            <w:tcW w:w="1418" w:type="dxa"/>
            <w:shd w:val="clear" w:color="auto" w:fill="auto"/>
            <w:vAlign w:val="center"/>
          </w:tcPr>
          <w:p>
            <w:pPr>
              <w:pStyle w:val="51"/>
            </w:pPr>
            <w:r>
              <w:rPr>
                <w:rFonts w:hint="eastAsia"/>
              </w:rPr>
              <w:t>5.98</w:t>
            </w:r>
          </w:p>
        </w:tc>
        <w:tc>
          <w:tcPr>
            <w:tcW w:w="1701" w:type="dxa"/>
            <w:shd w:val="clear" w:color="auto" w:fill="auto"/>
            <w:vAlign w:val="center"/>
          </w:tcPr>
          <w:p>
            <w:pPr>
              <w:pStyle w:val="51"/>
            </w:pPr>
            <w:r>
              <w:rPr>
                <w:rFonts w:hint="eastAsia"/>
              </w:rPr>
              <w:t>2.55</w:t>
            </w:r>
          </w:p>
        </w:tc>
        <w:tc>
          <w:tcPr>
            <w:tcW w:w="992" w:type="dxa"/>
            <w:shd w:val="clear" w:color="auto" w:fill="auto"/>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t>碳酸</w:t>
            </w:r>
            <w:r>
              <w:rPr>
                <w:rFonts w:hint="eastAsia"/>
              </w:rPr>
              <w:t>盐（</w:t>
            </w:r>
            <w:r>
              <w:t>CO32-</w:t>
            </w:r>
            <w:r>
              <w:rPr>
                <w:rFonts w:hint="eastAsia"/>
              </w:rPr>
              <w:t>）</w:t>
            </w:r>
            <w:r>
              <w:t>（mol/L）</w:t>
            </w:r>
          </w:p>
        </w:tc>
        <w:tc>
          <w:tcPr>
            <w:tcW w:w="1701" w:type="dxa"/>
            <w:shd w:val="clear" w:color="auto" w:fill="auto"/>
            <w:vAlign w:val="center"/>
          </w:tcPr>
          <w:p>
            <w:pPr>
              <w:pStyle w:val="51"/>
            </w:pPr>
            <w:r>
              <w:rPr>
                <w:rFonts w:hint="eastAsia"/>
              </w:rPr>
              <w:t>未检出</w:t>
            </w:r>
          </w:p>
        </w:tc>
        <w:tc>
          <w:tcPr>
            <w:tcW w:w="1418" w:type="dxa"/>
            <w:shd w:val="clear" w:color="auto" w:fill="auto"/>
            <w:vAlign w:val="center"/>
          </w:tcPr>
          <w:p>
            <w:pPr>
              <w:pStyle w:val="51"/>
            </w:pPr>
            <w:r>
              <w:rPr>
                <w:rFonts w:hint="eastAsia"/>
              </w:rPr>
              <w:t>未检出</w:t>
            </w:r>
          </w:p>
        </w:tc>
        <w:tc>
          <w:tcPr>
            <w:tcW w:w="1701" w:type="dxa"/>
            <w:shd w:val="clear" w:color="auto" w:fill="auto"/>
            <w:vAlign w:val="center"/>
          </w:tcPr>
          <w:p>
            <w:pPr>
              <w:pStyle w:val="51"/>
            </w:pPr>
            <w:r>
              <w:rPr>
                <w:rFonts w:hint="eastAsia"/>
              </w:rPr>
              <w:t>未检出</w:t>
            </w:r>
          </w:p>
        </w:tc>
        <w:tc>
          <w:tcPr>
            <w:tcW w:w="992" w:type="dxa"/>
            <w:shd w:val="clear" w:color="auto" w:fill="auto"/>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重碳酸盐（</w:t>
            </w:r>
            <w:r>
              <w:t>HCO-</w:t>
            </w:r>
            <w:r>
              <w:rPr>
                <w:rFonts w:hint="eastAsia"/>
              </w:rPr>
              <w:t>）</w:t>
            </w:r>
            <w:r>
              <w:t>（mol/L）</w:t>
            </w:r>
          </w:p>
        </w:tc>
        <w:tc>
          <w:tcPr>
            <w:tcW w:w="1701" w:type="dxa"/>
            <w:shd w:val="clear" w:color="auto" w:fill="auto"/>
            <w:vAlign w:val="center"/>
          </w:tcPr>
          <w:p>
            <w:pPr>
              <w:pStyle w:val="51"/>
            </w:pPr>
            <w:r>
              <w:rPr>
                <w:rFonts w:hint="eastAsia"/>
              </w:rPr>
              <w:t>1.05</w:t>
            </w:r>
          </w:p>
        </w:tc>
        <w:tc>
          <w:tcPr>
            <w:tcW w:w="1418" w:type="dxa"/>
            <w:shd w:val="clear" w:color="auto" w:fill="auto"/>
            <w:vAlign w:val="center"/>
          </w:tcPr>
          <w:p>
            <w:pPr>
              <w:pStyle w:val="51"/>
            </w:pPr>
            <w:r>
              <w:rPr>
                <w:rFonts w:hint="eastAsia"/>
              </w:rPr>
              <w:t>1.15</w:t>
            </w:r>
          </w:p>
        </w:tc>
        <w:tc>
          <w:tcPr>
            <w:tcW w:w="1701" w:type="dxa"/>
            <w:shd w:val="clear" w:color="auto" w:fill="auto"/>
            <w:vAlign w:val="center"/>
          </w:tcPr>
          <w:p>
            <w:pPr>
              <w:pStyle w:val="51"/>
            </w:pPr>
            <w:r>
              <w:rPr>
                <w:rFonts w:hint="eastAsia"/>
              </w:rPr>
              <w:t>1.07</w:t>
            </w:r>
          </w:p>
        </w:tc>
        <w:tc>
          <w:tcPr>
            <w:tcW w:w="992" w:type="dxa"/>
            <w:shd w:val="clear" w:color="auto" w:fill="auto"/>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硝酸盐</w:t>
            </w:r>
            <w:r>
              <w:t>（mg/L）</w:t>
            </w:r>
          </w:p>
        </w:tc>
        <w:tc>
          <w:tcPr>
            <w:tcW w:w="1701" w:type="dxa"/>
            <w:shd w:val="clear" w:color="auto" w:fill="auto"/>
            <w:vAlign w:val="center"/>
          </w:tcPr>
          <w:p>
            <w:pPr>
              <w:pStyle w:val="51"/>
            </w:pPr>
            <w:r>
              <w:rPr>
                <w:rFonts w:hint="eastAsia"/>
              </w:rPr>
              <w:t>0.690</w:t>
            </w:r>
          </w:p>
        </w:tc>
        <w:tc>
          <w:tcPr>
            <w:tcW w:w="1418" w:type="dxa"/>
            <w:shd w:val="clear" w:color="auto" w:fill="auto"/>
            <w:vAlign w:val="center"/>
          </w:tcPr>
          <w:p>
            <w:pPr>
              <w:pStyle w:val="51"/>
            </w:pPr>
            <w:r>
              <w:rPr>
                <w:rFonts w:hint="eastAsia"/>
              </w:rPr>
              <w:t>0.698</w:t>
            </w:r>
          </w:p>
        </w:tc>
        <w:tc>
          <w:tcPr>
            <w:tcW w:w="1701" w:type="dxa"/>
            <w:shd w:val="clear" w:color="auto" w:fill="auto"/>
            <w:vAlign w:val="center"/>
          </w:tcPr>
          <w:p>
            <w:pPr>
              <w:pStyle w:val="51"/>
            </w:pPr>
            <w:r>
              <w:rPr>
                <w:rFonts w:hint="eastAsia"/>
              </w:rPr>
              <w:t>0.677</w:t>
            </w:r>
          </w:p>
        </w:tc>
        <w:tc>
          <w:tcPr>
            <w:tcW w:w="992" w:type="dxa"/>
            <w:shd w:val="clear" w:color="auto" w:fill="auto"/>
            <w:vAlign w:val="center"/>
          </w:tcPr>
          <w:p>
            <w:pPr>
              <w:pStyle w:val="51"/>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亚硝酸盐</w:t>
            </w:r>
            <w:r>
              <w:t>（mg/L）</w:t>
            </w:r>
          </w:p>
        </w:tc>
        <w:tc>
          <w:tcPr>
            <w:tcW w:w="1701" w:type="dxa"/>
            <w:shd w:val="clear" w:color="auto" w:fill="auto"/>
            <w:vAlign w:val="center"/>
          </w:tcPr>
          <w:p>
            <w:pPr>
              <w:pStyle w:val="51"/>
            </w:pPr>
            <w:r>
              <w:rPr>
                <w:rFonts w:hint="eastAsia"/>
              </w:rPr>
              <w:t>2.05</w:t>
            </w:r>
          </w:p>
        </w:tc>
        <w:tc>
          <w:tcPr>
            <w:tcW w:w="1418" w:type="dxa"/>
            <w:shd w:val="clear" w:color="auto" w:fill="auto"/>
            <w:vAlign w:val="center"/>
          </w:tcPr>
          <w:p>
            <w:pPr>
              <w:pStyle w:val="51"/>
            </w:pPr>
            <w:r>
              <w:rPr>
                <w:rFonts w:hint="eastAsia"/>
              </w:rPr>
              <w:t>2.20</w:t>
            </w:r>
          </w:p>
        </w:tc>
        <w:tc>
          <w:tcPr>
            <w:tcW w:w="1701" w:type="dxa"/>
            <w:shd w:val="clear" w:color="auto" w:fill="auto"/>
            <w:vAlign w:val="center"/>
          </w:tcPr>
          <w:p>
            <w:pPr>
              <w:pStyle w:val="51"/>
            </w:pPr>
            <w:r>
              <w:rPr>
                <w:rFonts w:hint="eastAsia"/>
              </w:rPr>
              <w:t>2.14</w:t>
            </w:r>
          </w:p>
        </w:tc>
        <w:tc>
          <w:tcPr>
            <w:tcW w:w="992" w:type="dxa"/>
            <w:shd w:val="clear" w:color="auto" w:fill="auto"/>
            <w:vAlign w:val="center"/>
          </w:tcPr>
          <w:p>
            <w:pPr>
              <w:pStyle w:val="51"/>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六价铬</w:t>
            </w:r>
            <w:r>
              <w:t>（mg/L）</w:t>
            </w:r>
          </w:p>
        </w:tc>
        <w:tc>
          <w:tcPr>
            <w:tcW w:w="1701" w:type="dxa"/>
            <w:shd w:val="clear" w:color="auto" w:fill="auto"/>
            <w:vAlign w:val="center"/>
          </w:tcPr>
          <w:p>
            <w:pPr>
              <w:pStyle w:val="51"/>
            </w:pPr>
            <w:r>
              <w:rPr>
                <w:rFonts w:hint="eastAsia"/>
              </w:rPr>
              <w:t>0.004L</w:t>
            </w:r>
          </w:p>
        </w:tc>
        <w:tc>
          <w:tcPr>
            <w:tcW w:w="1418" w:type="dxa"/>
            <w:shd w:val="clear" w:color="auto" w:fill="auto"/>
            <w:vAlign w:val="center"/>
          </w:tcPr>
          <w:p>
            <w:pPr>
              <w:pStyle w:val="51"/>
            </w:pPr>
            <w:r>
              <w:rPr>
                <w:rFonts w:hint="eastAsia"/>
              </w:rPr>
              <w:t>0.004L</w:t>
            </w:r>
          </w:p>
        </w:tc>
        <w:tc>
          <w:tcPr>
            <w:tcW w:w="1701" w:type="dxa"/>
            <w:shd w:val="clear" w:color="auto" w:fill="auto"/>
            <w:vAlign w:val="center"/>
          </w:tcPr>
          <w:p>
            <w:pPr>
              <w:pStyle w:val="51"/>
            </w:pPr>
            <w:r>
              <w:rPr>
                <w:rFonts w:hint="eastAsia"/>
              </w:rPr>
              <w:t>0.004L</w:t>
            </w:r>
          </w:p>
        </w:tc>
        <w:tc>
          <w:tcPr>
            <w:tcW w:w="992" w:type="dxa"/>
            <w:shd w:val="clear" w:color="auto" w:fill="auto"/>
            <w:vAlign w:val="center"/>
          </w:tcPr>
          <w:p>
            <w:pPr>
              <w:pStyle w:val="51"/>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总硬度</w:t>
            </w:r>
            <w:r>
              <w:t>（mg/L）</w:t>
            </w:r>
          </w:p>
        </w:tc>
        <w:tc>
          <w:tcPr>
            <w:tcW w:w="1701" w:type="dxa"/>
            <w:shd w:val="clear" w:color="auto" w:fill="auto"/>
            <w:vAlign w:val="center"/>
          </w:tcPr>
          <w:p>
            <w:pPr>
              <w:pStyle w:val="51"/>
            </w:pPr>
            <w:r>
              <w:rPr>
                <w:rFonts w:hint="eastAsia"/>
              </w:rPr>
              <w:t>133</w:t>
            </w:r>
          </w:p>
        </w:tc>
        <w:tc>
          <w:tcPr>
            <w:tcW w:w="1418" w:type="dxa"/>
            <w:shd w:val="clear" w:color="auto" w:fill="auto"/>
            <w:vAlign w:val="center"/>
          </w:tcPr>
          <w:p>
            <w:pPr>
              <w:pStyle w:val="51"/>
            </w:pPr>
            <w:r>
              <w:rPr>
                <w:rFonts w:hint="eastAsia"/>
              </w:rPr>
              <w:t>112</w:t>
            </w:r>
          </w:p>
        </w:tc>
        <w:tc>
          <w:tcPr>
            <w:tcW w:w="1701" w:type="dxa"/>
            <w:shd w:val="clear" w:color="auto" w:fill="auto"/>
            <w:vAlign w:val="center"/>
          </w:tcPr>
          <w:p>
            <w:pPr>
              <w:pStyle w:val="51"/>
            </w:pPr>
            <w:r>
              <w:rPr>
                <w:rFonts w:hint="eastAsia"/>
              </w:rPr>
              <w:t>159</w:t>
            </w:r>
          </w:p>
        </w:tc>
        <w:tc>
          <w:tcPr>
            <w:tcW w:w="992" w:type="dxa"/>
            <w:shd w:val="clear" w:color="auto" w:fill="auto"/>
            <w:vAlign w:val="center"/>
          </w:tcPr>
          <w:p>
            <w:pPr>
              <w:pStyle w:val="51"/>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铅</w:t>
            </w:r>
            <w:r>
              <w:t>（mg/L）</w:t>
            </w:r>
          </w:p>
        </w:tc>
        <w:tc>
          <w:tcPr>
            <w:tcW w:w="1701" w:type="dxa"/>
            <w:shd w:val="clear" w:color="auto" w:fill="auto"/>
            <w:vAlign w:val="center"/>
          </w:tcPr>
          <w:p>
            <w:pPr>
              <w:pStyle w:val="51"/>
            </w:pPr>
            <w:r>
              <w:rPr>
                <w:rFonts w:hint="eastAsia"/>
              </w:rPr>
              <w:t>0.00017</w:t>
            </w:r>
          </w:p>
        </w:tc>
        <w:tc>
          <w:tcPr>
            <w:tcW w:w="1418" w:type="dxa"/>
            <w:shd w:val="clear" w:color="auto" w:fill="auto"/>
            <w:vAlign w:val="center"/>
          </w:tcPr>
          <w:p>
            <w:pPr>
              <w:pStyle w:val="51"/>
            </w:pPr>
            <w:r>
              <w:rPr>
                <w:rFonts w:hint="eastAsia"/>
              </w:rPr>
              <w:t>0.00009L</w:t>
            </w:r>
          </w:p>
        </w:tc>
        <w:tc>
          <w:tcPr>
            <w:tcW w:w="1701" w:type="dxa"/>
            <w:shd w:val="clear" w:color="auto" w:fill="auto"/>
            <w:vAlign w:val="center"/>
          </w:tcPr>
          <w:p>
            <w:pPr>
              <w:pStyle w:val="51"/>
            </w:pPr>
            <w:r>
              <w:rPr>
                <w:rFonts w:hint="eastAsia"/>
              </w:rPr>
              <w:t>0.00009L</w:t>
            </w:r>
          </w:p>
        </w:tc>
        <w:tc>
          <w:tcPr>
            <w:tcW w:w="992" w:type="dxa"/>
            <w:shd w:val="clear" w:color="auto" w:fill="auto"/>
            <w:vAlign w:val="center"/>
          </w:tcPr>
          <w:p>
            <w:pPr>
              <w:pStyle w:val="51"/>
            </w:pPr>
            <w:r>
              <w:rPr>
                <w:rFonts w:hint="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氟化物</w:t>
            </w:r>
            <w:r>
              <w:t>（mg/L）</w:t>
            </w:r>
          </w:p>
        </w:tc>
        <w:tc>
          <w:tcPr>
            <w:tcW w:w="1701" w:type="dxa"/>
            <w:shd w:val="clear" w:color="auto" w:fill="auto"/>
            <w:vAlign w:val="center"/>
          </w:tcPr>
          <w:p>
            <w:pPr>
              <w:pStyle w:val="51"/>
            </w:pPr>
            <w:r>
              <w:rPr>
                <w:rFonts w:hint="eastAsia"/>
              </w:rPr>
              <w:t>14.9</w:t>
            </w:r>
          </w:p>
        </w:tc>
        <w:tc>
          <w:tcPr>
            <w:tcW w:w="1418" w:type="dxa"/>
            <w:shd w:val="clear" w:color="auto" w:fill="auto"/>
            <w:vAlign w:val="center"/>
          </w:tcPr>
          <w:p>
            <w:pPr>
              <w:pStyle w:val="51"/>
            </w:pPr>
            <w:r>
              <w:rPr>
                <w:rFonts w:hint="eastAsia"/>
              </w:rPr>
              <w:t>15.1</w:t>
            </w:r>
          </w:p>
        </w:tc>
        <w:tc>
          <w:tcPr>
            <w:tcW w:w="1701" w:type="dxa"/>
            <w:shd w:val="clear" w:color="auto" w:fill="auto"/>
            <w:vAlign w:val="center"/>
          </w:tcPr>
          <w:p>
            <w:pPr>
              <w:pStyle w:val="51"/>
            </w:pPr>
            <w:r>
              <w:rPr>
                <w:rFonts w:hint="eastAsia"/>
              </w:rPr>
              <w:t>15.2</w:t>
            </w:r>
          </w:p>
        </w:tc>
        <w:tc>
          <w:tcPr>
            <w:tcW w:w="992" w:type="dxa"/>
            <w:shd w:val="clear" w:color="auto" w:fill="auto"/>
            <w:vAlign w:val="center"/>
          </w:tcPr>
          <w:p>
            <w:pPr>
              <w:pStyle w:val="51"/>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镉</w:t>
            </w:r>
            <w:r>
              <w:t>（mg/L）</w:t>
            </w:r>
          </w:p>
        </w:tc>
        <w:tc>
          <w:tcPr>
            <w:tcW w:w="1701" w:type="dxa"/>
            <w:shd w:val="clear" w:color="auto" w:fill="auto"/>
            <w:vAlign w:val="center"/>
          </w:tcPr>
          <w:p>
            <w:pPr>
              <w:pStyle w:val="51"/>
            </w:pPr>
            <w:r>
              <w:rPr>
                <w:rFonts w:hint="eastAsia"/>
              </w:rPr>
              <w:t>0.00005L</w:t>
            </w:r>
          </w:p>
        </w:tc>
        <w:tc>
          <w:tcPr>
            <w:tcW w:w="1418" w:type="dxa"/>
            <w:shd w:val="clear" w:color="auto" w:fill="auto"/>
            <w:vAlign w:val="center"/>
          </w:tcPr>
          <w:p>
            <w:pPr>
              <w:pStyle w:val="51"/>
            </w:pPr>
            <w:r>
              <w:rPr>
                <w:rFonts w:hint="eastAsia"/>
              </w:rPr>
              <w:t>0.00005L</w:t>
            </w:r>
          </w:p>
        </w:tc>
        <w:tc>
          <w:tcPr>
            <w:tcW w:w="1701" w:type="dxa"/>
            <w:shd w:val="clear" w:color="auto" w:fill="auto"/>
            <w:vAlign w:val="center"/>
          </w:tcPr>
          <w:p>
            <w:pPr>
              <w:pStyle w:val="51"/>
            </w:pPr>
            <w:r>
              <w:rPr>
                <w:rFonts w:hint="eastAsia"/>
              </w:rPr>
              <w:t>0.00005L</w:t>
            </w:r>
          </w:p>
        </w:tc>
        <w:tc>
          <w:tcPr>
            <w:tcW w:w="992" w:type="dxa"/>
            <w:shd w:val="clear" w:color="auto" w:fill="auto"/>
            <w:vAlign w:val="center"/>
          </w:tcPr>
          <w:p>
            <w:pPr>
              <w:pStyle w:val="51"/>
            </w:pPr>
            <w:r>
              <w:rPr>
                <w:rFonts w:hint="eastAsi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铁</w:t>
            </w:r>
            <w:r>
              <w:t>（mg/L）</w:t>
            </w:r>
          </w:p>
        </w:tc>
        <w:tc>
          <w:tcPr>
            <w:tcW w:w="1701" w:type="dxa"/>
            <w:shd w:val="clear" w:color="auto" w:fill="auto"/>
            <w:vAlign w:val="center"/>
          </w:tcPr>
          <w:p>
            <w:pPr>
              <w:pStyle w:val="51"/>
            </w:pPr>
            <w:r>
              <w:rPr>
                <w:rFonts w:hint="eastAsia"/>
              </w:rPr>
              <w:t>0.00082L</w:t>
            </w:r>
          </w:p>
        </w:tc>
        <w:tc>
          <w:tcPr>
            <w:tcW w:w="1418" w:type="dxa"/>
            <w:shd w:val="clear" w:color="auto" w:fill="auto"/>
            <w:vAlign w:val="center"/>
          </w:tcPr>
          <w:p>
            <w:pPr>
              <w:pStyle w:val="51"/>
            </w:pPr>
            <w:r>
              <w:rPr>
                <w:rFonts w:hint="eastAsia"/>
              </w:rPr>
              <w:t>0.00082L</w:t>
            </w:r>
          </w:p>
        </w:tc>
        <w:tc>
          <w:tcPr>
            <w:tcW w:w="1701" w:type="dxa"/>
            <w:shd w:val="clear" w:color="auto" w:fill="auto"/>
            <w:vAlign w:val="center"/>
          </w:tcPr>
          <w:p>
            <w:pPr>
              <w:pStyle w:val="51"/>
            </w:pPr>
            <w:r>
              <w:rPr>
                <w:rFonts w:hint="eastAsia"/>
              </w:rPr>
              <w:t>0.00090</w:t>
            </w:r>
          </w:p>
        </w:tc>
        <w:tc>
          <w:tcPr>
            <w:tcW w:w="992" w:type="dxa"/>
            <w:shd w:val="clear" w:color="auto" w:fill="auto"/>
            <w:vAlign w:val="center"/>
          </w:tcPr>
          <w:p>
            <w:pPr>
              <w:pStyle w:val="51"/>
            </w:pPr>
            <w:r>
              <w:rPr>
                <w:rFonts w:hint="eastAsi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锰</w:t>
            </w:r>
            <w:r>
              <w:t>（mg/L）</w:t>
            </w:r>
          </w:p>
        </w:tc>
        <w:tc>
          <w:tcPr>
            <w:tcW w:w="1701" w:type="dxa"/>
            <w:shd w:val="clear" w:color="auto" w:fill="auto"/>
            <w:vAlign w:val="center"/>
          </w:tcPr>
          <w:p>
            <w:pPr>
              <w:pStyle w:val="51"/>
            </w:pPr>
            <w:r>
              <w:rPr>
                <w:rFonts w:hint="eastAsia"/>
              </w:rPr>
              <w:t>0.00082</w:t>
            </w:r>
          </w:p>
        </w:tc>
        <w:tc>
          <w:tcPr>
            <w:tcW w:w="1418" w:type="dxa"/>
            <w:shd w:val="clear" w:color="auto" w:fill="auto"/>
            <w:vAlign w:val="center"/>
          </w:tcPr>
          <w:p>
            <w:pPr>
              <w:pStyle w:val="51"/>
            </w:pPr>
            <w:r>
              <w:rPr>
                <w:rFonts w:hint="eastAsia"/>
              </w:rPr>
              <w:t>0.00026</w:t>
            </w:r>
          </w:p>
        </w:tc>
        <w:tc>
          <w:tcPr>
            <w:tcW w:w="1701" w:type="dxa"/>
            <w:shd w:val="clear" w:color="auto" w:fill="auto"/>
            <w:vAlign w:val="center"/>
          </w:tcPr>
          <w:p>
            <w:pPr>
              <w:pStyle w:val="51"/>
            </w:pPr>
            <w:r>
              <w:rPr>
                <w:rFonts w:hint="eastAsia"/>
              </w:rPr>
              <w:t>0.00013</w:t>
            </w:r>
          </w:p>
        </w:tc>
        <w:tc>
          <w:tcPr>
            <w:tcW w:w="992" w:type="dxa"/>
            <w:shd w:val="clear" w:color="auto" w:fill="auto"/>
            <w:vAlign w:val="center"/>
          </w:tcPr>
          <w:p>
            <w:pPr>
              <w:pStyle w:val="51"/>
            </w:pPr>
            <w:r>
              <w:rPr>
                <w:rFonts w:hint="eastAsia"/>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溶解性总固体</w:t>
            </w:r>
            <w:r>
              <w:t>（mg/L）</w:t>
            </w:r>
          </w:p>
        </w:tc>
        <w:tc>
          <w:tcPr>
            <w:tcW w:w="1701" w:type="dxa"/>
            <w:shd w:val="clear" w:color="auto" w:fill="auto"/>
            <w:vAlign w:val="center"/>
          </w:tcPr>
          <w:p>
            <w:pPr>
              <w:pStyle w:val="51"/>
            </w:pPr>
            <w:r>
              <w:rPr>
                <w:rFonts w:hint="eastAsia"/>
              </w:rPr>
              <w:t>202</w:t>
            </w:r>
          </w:p>
        </w:tc>
        <w:tc>
          <w:tcPr>
            <w:tcW w:w="1418" w:type="dxa"/>
            <w:shd w:val="clear" w:color="auto" w:fill="auto"/>
            <w:vAlign w:val="center"/>
          </w:tcPr>
          <w:p>
            <w:pPr>
              <w:pStyle w:val="51"/>
            </w:pPr>
            <w:r>
              <w:rPr>
                <w:rFonts w:hint="eastAsia"/>
              </w:rPr>
              <w:t>190</w:t>
            </w:r>
          </w:p>
        </w:tc>
        <w:tc>
          <w:tcPr>
            <w:tcW w:w="1701" w:type="dxa"/>
            <w:shd w:val="clear" w:color="auto" w:fill="auto"/>
            <w:vAlign w:val="center"/>
          </w:tcPr>
          <w:p>
            <w:pPr>
              <w:pStyle w:val="51"/>
            </w:pPr>
            <w:r>
              <w:rPr>
                <w:rFonts w:hint="eastAsia"/>
              </w:rPr>
              <w:t>237</w:t>
            </w:r>
          </w:p>
        </w:tc>
        <w:tc>
          <w:tcPr>
            <w:tcW w:w="992" w:type="dxa"/>
            <w:shd w:val="clear" w:color="auto" w:fill="auto"/>
            <w:vAlign w:val="center"/>
          </w:tcPr>
          <w:p>
            <w:pPr>
              <w:pStyle w:val="51"/>
            </w:pPr>
            <w:r>
              <w:rPr>
                <w:rFonts w:hint="eastAsi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耗氧量</w:t>
            </w:r>
            <w:r>
              <w:t>（mg/L）</w:t>
            </w:r>
          </w:p>
        </w:tc>
        <w:tc>
          <w:tcPr>
            <w:tcW w:w="1701" w:type="dxa"/>
            <w:shd w:val="clear" w:color="auto" w:fill="auto"/>
            <w:vAlign w:val="center"/>
          </w:tcPr>
          <w:p>
            <w:pPr>
              <w:pStyle w:val="51"/>
            </w:pPr>
            <w:r>
              <w:rPr>
                <w:rFonts w:hint="eastAsia"/>
              </w:rPr>
              <w:t>1.51</w:t>
            </w:r>
          </w:p>
        </w:tc>
        <w:tc>
          <w:tcPr>
            <w:tcW w:w="1418" w:type="dxa"/>
            <w:shd w:val="clear" w:color="auto" w:fill="auto"/>
            <w:vAlign w:val="center"/>
          </w:tcPr>
          <w:p>
            <w:pPr>
              <w:pStyle w:val="51"/>
            </w:pPr>
            <w:r>
              <w:rPr>
                <w:rFonts w:hint="eastAsia"/>
              </w:rPr>
              <w:t>1.76</w:t>
            </w:r>
          </w:p>
        </w:tc>
        <w:tc>
          <w:tcPr>
            <w:tcW w:w="1701" w:type="dxa"/>
            <w:shd w:val="clear" w:color="auto" w:fill="auto"/>
            <w:vAlign w:val="center"/>
          </w:tcPr>
          <w:p>
            <w:pPr>
              <w:pStyle w:val="51"/>
            </w:pPr>
            <w:r>
              <w:rPr>
                <w:rFonts w:hint="eastAsia"/>
              </w:rPr>
              <w:t>1.33</w:t>
            </w:r>
          </w:p>
        </w:tc>
        <w:tc>
          <w:tcPr>
            <w:tcW w:w="992" w:type="dxa"/>
            <w:shd w:val="clear" w:color="auto" w:fill="auto"/>
            <w:vAlign w:val="center"/>
          </w:tcPr>
          <w:p>
            <w:pPr>
              <w:pStyle w:val="51"/>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hint="eastAsia"/>
              </w:rPr>
              <w:t>氯化物</w:t>
            </w:r>
            <w:r>
              <w:t>（mg/L）</w:t>
            </w:r>
          </w:p>
        </w:tc>
        <w:tc>
          <w:tcPr>
            <w:tcW w:w="1701" w:type="dxa"/>
            <w:shd w:val="clear" w:color="auto" w:fill="auto"/>
            <w:vAlign w:val="center"/>
          </w:tcPr>
          <w:p>
            <w:pPr>
              <w:pStyle w:val="51"/>
            </w:pPr>
            <w:r>
              <w:rPr>
                <w:rFonts w:hint="eastAsia"/>
              </w:rPr>
              <w:t>2.96</w:t>
            </w:r>
          </w:p>
        </w:tc>
        <w:tc>
          <w:tcPr>
            <w:tcW w:w="1418" w:type="dxa"/>
            <w:shd w:val="clear" w:color="auto" w:fill="auto"/>
            <w:vAlign w:val="center"/>
          </w:tcPr>
          <w:p>
            <w:pPr>
              <w:pStyle w:val="51"/>
            </w:pPr>
            <w:r>
              <w:rPr>
                <w:rFonts w:hint="eastAsia"/>
              </w:rPr>
              <w:t>2.89</w:t>
            </w:r>
          </w:p>
        </w:tc>
        <w:tc>
          <w:tcPr>
            <w:tcW w:w="1701" w:type="dxa"/>
            <w:shd w:val="clear" w:color="auto" w:fill="auto"/>
            <w:vAlign w:val="center"/>
          </w:tcPr>
          <w:p>
            <w:pPr>
              <w:pStyle w:val="51"/>
            </w:pPr>
            <w:r>
              <w:rPr>
                <w:rFonts w:hint="eastAsia"/>
              </w:rPr>
              <w:t>2.86</w:t>
            </w:r>
          </w:p>
        </w:tc>
        <w:tc>
          <w:tcPr>
            <w:tcW w:w="992" w:type="dxa"/>
            <w:shd w:val="clear" w:color="auto" w:fill="auto"/>
            <w:vAlign w:val="center"/>
          </w:tcPr>
          <w:p>
            <w:pPr>
              <w:pStyle w:val="51"/>
            </w:pPr>
            <w:r>
              <w:rPr>
                <w:rFonts w:hint="eastAsi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72" w:type="dxa"/>
            <w:shd w:val="clear" w:color="auto" w:fill="auto"/>
            <w:vAlign w:val="center"/>
          </w:tcPr>
          <w:p>
            <w:pPr>
              <w:pStyle w:val="51"/>
            </w:pPr>
            <w:r>
              <w:rPr>
                <w:rFonts w:cs="Times New Roman"/>
                <w:szCs w:val="21"/>
              </w:rPr>
              <w:t>总大肠菌</w:t>
            </w:r>
            <w:r>
              <w:rPr>
                <w:rFonts w:hint="eastAsia" w:cs="Times New Roman"/>
                <w:szCs w:val="21"/>
              </w:rPr>
              <w:t>群（</w:t>
            </w:r>
            <w:r>
              <w:rPr>
                <w:rFonts w:cs="Times New Roman"/>
                <w:szCs w:val="21"/>
              </w:rPr>
              <w:t>MPN/100mL</w:t>
            </w:r>
            <w:r>
              <w:rPr>
                <w:rFonts w:hint="eastAsia" w:cs="Times New Roman"/>
                <w:szCs w:val="21"/>
              </w:rPr>
              <w:t>）</w:t>
            </w:r>
          </w:p>
        </w:tc>
        <w:tc>
          <w:tcPr>
            <w:tcW w:w="1701" w:type="dxa"/>
            <w:shd w:val="clear" w:color="auto" w:fill="auto"/>
            <w:vAlign w:val="center"/>
          </w:tcPr>
          <w:p>
            <w:pPr>
              <w:pStyle w:val="51"/>
            </w:pPr>
            <w:r>
              <w:rPr>
                <w:rFonts w:hint="eastAsia" w:ascii="宋体" w:hAnsi="宋体" w:cs="Times New Roman"/>
                <w:szCs w:val="21"/>
              </w:rPr>
              <w:t>＜</w:t>
            </w:r>
            <w:r>
              <w:rPr>
                <w:rFonts w:hint="eastAsia"/>
              </w:rPr>
              <w:t>2</w:t>
            </w:r>
          </w:p>
        </w:tc>
        <w:tc>
          <w:tcPr>
            <w:tcW w:w="1418" w:type="dxa"/>
            <w:shd w:val="clear" w:color="auto" w:fill="auto"/>
            <w:vAlign w:val="center"/>
          </w:tcPr>
          <w:p>
            <w:pPr>
              <w:pStyle w:val="51"/>
            </w:pPr>
            <w:r>
              <w:rPr>
                <w:rFonts w:hint="eastAsia" w:ascii="宋体" w:hAnsi="宋体" w:cs="Times New Roman"/>
                <w:szCs w:val="21"/>
              </w:rPr>
              <w:t>＜</w:t>
            </w:r>
            <w:r>
              <w:rPr>
                <w:rFonts w:hint="eastAsia"/>
              </w:rPr>
              <w:t>2</w:t>
            </w:r>
          </w:p>
        </w:tc>
        <w:tc>
          <w:tcPr>
            <w:tcW w:w="1701" w:type="dxa"/>
            <w:shd w:val="clear" w:color="auto" w:fill="auto"/>
            <w:vAlign w:val="center"/>
          </w:tcPr>
          <w:p>
            <w:pPr>
              <w:pStyle w:val="51"/>
            </w:pPr>
            <w:r>
              <w:rPr>
                <w:rFonts w:hint="eastAsia" w:ascii="宋体" w:hAnsi="宋体" w:cs="Times New Roman"/>
                <w:szCs w:val="21"/>
              </w:rPr>
              <w:t>＜</w:t>
            </w:r>
            <w:r>
              <w:rPr>
                <w:rFonts w:hint="eastAsia"/>
              </w:rPr>
              <w:t>2</w:t>
            </w:r>
          </w:p>
        </w:tc>
        <w:tc>
          <w:tcPr>
            <w:tcW w:w="992" w:type="dxa"/>
            <w:shd w:val="clear" w:color="auto" w:fill="auto"/>
            <w:vAlign w:val="center"/>
          </w:tcPr>
          <w:p>
            <w:pPr>
              <w:pStyle w:val="51"/>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972" w:type="dxa"/>
            <w:shd w:val="clear" w:color="auto" w:fill="auto"/>
            <w:vAlign w:val="center"/>
          </w:tcPr>
          <w:p>
            <w:pPr>
              <w:pStyle w:val="51"/>
            </w:pPr>
            <w:r>
              <w:rPr>
                <w:rFonts w:cs="Times New Roman"/>
                <w:szCs w:val="21"/>
              </w:rPr>
              <w:t>菌落总数（个/mL）</w:t>
            </w:r>
          </w:p>
        </w:tc>
        <w:tc>
          <w:tcPr>
            <w:tcW w:w="1701" w:type="dxa"/>
            <w:shd w:val="clear" w:color="auto" w:fill="auto"/>
            <w:vAlign w:val="center"/>
          </w:tcPr>
          <w:p>
            <w:pPr>
              <w:pStyle w:val="51"/>
            </w:pPr>
            <w:r>
              <w:rPr>
                <w:rFonts w:hint="eastAsia"/>
              </w:rPr>
              <w:t>11</w:t>
            </w:r>
          </w:p>
        </w:tc>
        <w:tc>
          <w:tcPr>
            <w:tcW w:w="1418" w:type="dxa"/>
            <w:shd w:val="clear" w:color="auto" w:fill="auto"/>
            <w:vAlign w:val="center"/>
          </w:tcPr>
          <w:p>
            <w:pPr>
              <w:pStyle w:val="51"/>
            </w:pPr>
            <w:r>
              <w:rPr>
                <w:rFonts w:hint="eastAsia"/>
              </w:rPr>
              <w:t>10</w:t>
            </w:r>
          </w:p>
        </w:tc>
        <w:tc>
          <w:tcPr>
            <w:tcW w:w="1701" w:type="dxa"/>
            <w:shd w:val="clear" w:color="auto" w:fill="auto"/>
            <w:vAlign w:val="center"/>
          </w:tcPr>
          <w:p>
            <w:pPr>
              <w:pStyle w:val="51"/>
            </w:pPr>
            <w:r>
              <w:rPr>
                <w:rFonts w:hint="eastAsia"/>
              </w:rPr>
              <w:t>12</w:t>
            </w:r>
          </w:p>
        </w:tc>
        <w:tc>
          <w:tcPr>
            <w:tcW w:w="992" w:type="dxa"/>
            <w:shd w:val="clear" w:color="auto" w:fill="auto"/>
            <w:vAlign w:val="center"/>
          </w:tcPr>
          <w:p>
            <w:pPr>
              <w:pStyle w:val="51"/>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784" w:type="dxa"/>
            <w:gridSpan w:val="5"/>
            <w:shd w:val="clear" w:color="auto" w:fill="auto"/>
            <w:vAlign w:val="center"/>
          </w:tcPr>
          <w:p>
            <w:pPr>
              <w:pStyle w:val="51"/>
              <w:jc w:val="both"/>
            </w:pPr>
            <w:r>
              <w:rPr>
                <w:rFonts w:hint="eastAsia"/>
              </w:rPr>
              <w:t>注：1、检测结果中“L”表示该项目的检测结果低于该方法的检出限；</w:t>
            </w:r>
          </w:p>
          <w:p>
            <w:pPr>
              <w:pStyle w:val="51"/>
              <w:ind w:firstLine="420" w:firstLineChars="200"/>
              <w:jc w:val="both"/>
            </w:pPr>
            <w:r>
              <w:rPr>
                <w:rFonts w:hint="eastAsia"/>
              </w:rPr>
              <w:t>2、标准限值依据</w:t>
            </w:r>
            <w:r>
              <w:t>《地下水质量标准》（GB/T14848-2017）</w:t>
            </w:r>
            <w:r>
              <w:rPr>
                <w:rFonts w:hint="eastAsia"/>
              </w:rPr>
              <w:t>中</w:t>
            </w:r>
            <w:r>
              <w:rPr>
                <w:rFonts w:cs="Times New Roman"/>
              </w:rPr>
              <w:t xml:space="preserve">III </w:t>
            </w:r>
            <w:r>
              <w:rPr>
                <w:rFonts w:hint="eastAsia"/>
              </w:rPr>
              <w:t>类标准。</w:t>
            </w:r>
          </w:p>
        </w:tc>
      </w:tr>
    </w:tbl>
    <w:p>
      <w:pPr>
        <w:pStyle w:val="49"/>
        <w:ind w:firstLine="480"/>
        <w:rPr>
          <w:szCs w:val="32"/>
        </w:rPr>
      </w:pPr>
      <w:r>
        <w:rPr>
          <w:rFonts w:hint="eastAsia"/>
          <w:szCs w:val="32"/>
        </w:rPr>
        <w:t>由</w:t>
      </w:r>
      <w:r>
        <w:rPr>
          <w:szCs w:val="32"/>
        </w:rPr>
        <w:t>上表监测数据可知</w:t>
      </w:r>
      <w:r>
        <w:rPr>
          <w:rFonts w:hint="eastAsia"/>
          <w:szCs w:val="32"/>
        </w:rPr>
        <w:t>，</w:t>
      </w:r>
      <w:r>
        <w:rPr>
          <w:rFonts w:hint="eastAsia" w:ascii="宋体" w:hAnsi="宋体"/>
          <w:color w:val="000000" w:themeColor="text1"/>
          <w14:textFill>
            <w14:solidFill>
              <w14:schemeClr w14:val="tx1"/>
            </w14:solidFill>
          </w14:textFill>
        </w:rPr>
        <w:t>区域地下水的主要补给来源为大气降水和地表常年河溪水，区内地下水的径流主要受评价区西部湘江水位控制，</w:t>
      </w:r>
      <w:r>
        <w:rPr>
          <w:rFonts w:ascii="宋体" w:hAnsi="宋体"/>
          <w:color w:val="000000" w:themeColor="text1"/>
          <w14:textFill>
            <w14:solidFill>
              <w14:schemeClr w14:val="tx1"/>
            </w14:solidFill>
          </w14:textFill>
        </w:rPr>
        <w:t>地下水流</w:t>
      </w:r>
      <w:r>
        <w:rPr>
          <w:rFonts w:hint="eastAsia" w:ascii="宋体" w:hAnsi="宋体"/>
          <w:color w:val="000000" w:themeColor="text1"/>
          <w14:textFill>
            <w14:solidFill>
              <w14:schemeClr w14:val="tx1"/>
            </w14:solidFill>
          </w14:textFill>
        </w:rPr>
        <w:t>总体</w:t>
      </w:r>
      <w:r>
        <w:rPr>
          <w:rFonts w:ascii="宋体" w:hAnsi="宋体"/>
          <w:color w:val="000000" w:themeColor="text1"/>
          <w14:textFill>
            <w14:solidFill>
              <w14:schemeClr w14:val="tx1"/>
            </w14:solidFill>
          </w14:textFill>
        </w:rPr>
        <w:t>自</w:t>
      </w:r>
      <w:r>
        <w:rPr>
          <w:rFonts w:hint="eastAsia" w:ascii="宋体" w:hAnsi="宋体"/>
          <w:color w:val="000000" w:themeColor="text1"/>
          <w14:textFill>
            <w14:solidFill>
              <w14:schemeClr w14:val="tx1"/>
            </w14:solidFill>
          </w14:textFill>
        </w:rPr>
        <w:t>东</w:t>
      </w:r>
      <w:r>
        <w:rPr>
          <w:rFonts w:ascii="宋体" w:hAnsi="宋体"/>
          <w:color w:val="000000" w:themeColor="text1"/>
          <w14:textFill>
            <w14:solidFill>
              <w14:schemeClr w14:val="tx1"/>
            </w14:solidFill>
          </w14:textFill>
        </w:rPr>
        <w:t>向</w:t>
      </w:r>
      <w:r>
        <w:rPr>
          <w:rFonts w:hint="eastAsia" w:ascii="宋体" w:hAnsi="宋体"/>
          <w:color w:val="000000" w:themeColor="text1"/>
          <w14:textFill>
            <w14:solidFill>
              <w14:schemeClr w14:val="tx1"/>
            </w14:solidFill>
          </w14:textFill>
        </w:rPr>
        <w:t>西</w:t>
      </w:r>
      <w:r>
        <w:rPr>
          <w:rFonts w:ascii="宋体" w:hAnsi="宋体"/>
          <w:color w:val="000000" w:themeColor="text1"/>
          <w14:textFill>
            <w14:solidFill>
              <w14:schemeClr w14:val="tx1"/>
            </w14:solidFill>
          </w14:textFill>
        </w:rPr>
        <w:t>流入</w:t>
      </w:r>
      <w:r>
        <w:rPr>
          <w:rFonts w:hint="eastAsia" w:ascii="宋体" w:hAnsi="宋体"/>
          <w:color w:val="000000" w:themeColor="text1"/>
          <w14:textFill>
            <w14:solidFill>
              <w14:schemeClr w14:val="tx1"/>
            </w14:solidFill>
          </w14:textFill>
        </w:rPr>
        <w:t>湘江。</w:t>
      </w:r>
      <w:r>
        <w:rPr>
          <w:szCs w:val="32"/>
        </w:rPr>
        <w:t>项目</w:t>
      </w:r>
      <w:r>
        <w:rPr>
          <w:rFonts w:hint="eastAsia"/>
          <w:szCs w:val="32"/>
        </w:rPr>
        <w:t>所在地、门口洞、对江岭莫家</w:t>
      </w:r>
      <w:r>
        <w:rPr>
          <w:szCs w:val="32"/>
        </w:rPr>
        <w:t>各项监测因子均符合</w:t>
      </w:r>
      <w:r>
        <w:t>《地下水质量标准》（GB/T14848-2017）</w:t>
      </w:r>
      <w:r>
        <w:rPr>
          <w:szCs w:val="32"/>
        </w:rPr>
        <w:t>中III类标准。</w:t>
      </w:r>
    </w:p>
    <w:p>
      <w:pPr>
        <w:pStyle w:val="4"/>
      </w:pPr>
      <w:bookmarkStart w:id="176" w:name="_Toc194481171"/>
      <w:r>
        <w:t>4.</w:t>
      </w:r>
      <w:r>
        <w:rPr>
          <w:rFonts w:hint="eastAsia"/>
        </w:rPr>
        <w:t>2</w:t>
      </w:r>
      <w:r>
        <w:t>.</w:t>
      </w:r>
      <w:r>
        <w:rPr>
          <w:rFonts w:hint="eastAsia"/>
        </w:rPr>
        <w:t>4</w:t>
      </w:r>
      <w:r>
        <w:t xml:space="preserve"> </w:t>
      </w:r>
      <w:r>
        <w:rPr>
          <w:rFonts w:hint="eastAsia"/>
        </w:rPr>
        <w:t>土壤环境质量现状调查与评价</w:t>
      </w:r>
      <w:bookmarkEnd w:id="176"/>
    </w:p>
    <w:p>
      <w:pPr>
        <w:pStyle w:val="49"/>
        <w:ind w:firstLine="480"/>
      </w:pPr>
      <w:r>
        <w:rPr>
          <w:rFonts w:hint="eastAsia"/>
        </w:rPr>
        <w:t>本项目土壤环境影响评价等级为“三级”，根据《环境影响评价技术导则 土壤环境（试行）》（</w:t>
      </w:r>
      <w:r>
        <w:rPr>
          <w:rFonts w:cs="Times New Roman"/>
        </w:rPr>
        <w:t>HJ 964-2018</w:t>
      </w:r>
      <w:r>
        <w:rPr>
          <w:rFonts w:hint="eastAsia"/>
        </w:rPr>
        <w:t>）中现状监测点数量要求，三级土壤环境评价项目污染影响型需在项目占地范围内监测</w:t>
      </w:r>
      <w:r>
        <w:rPr>
          <w:rFonts w:cs="Times New Roman"/>
        </w:rPr>
        <w:t>3</w:t>
      </w:r>
      <w:r>
        <w:rPr>
          <w:rFonts w:hint="eastAsia"/>
        </w:rPr>
        <w:t>个表层样点。</w:t>
      </w:r>
    </w:p>
    <w:p>
      <w:pPr>
        <w:pStyle w:val="49"/>
        <w:ind w:firstLine="480"/>
      </w:pPr>
      <w:r>
        <w:rPr>
          <w:rFonts w:hint="eastAsia"/>
        </w:rPr>
        <w:t>建设单位委托湖南西南检验检测有限公司于2024年12月17日对项目占地范围内的土壤环境质量现状进行了监测。</w:t>
      </w:r>
    </w:p>
    <w:p>
      <w:pPr>
        <w:pStyle w:val="49"/>
        <w:ind w:firstLine="480"/>
      </w:pPr>
      <w:r>
        <w:rPr>
          <w:rFonts w:hint="eastAsia"/>
        </w:rPr>
        <w:t>1、监测工作内容</w:t>
      </w:r>
    </w:p>
    <w:p>
      <w:pPr>
        <w:pStyle w:val="49"/>
        <w:ind w:firstLine="480"/>
      </w:pPr>
      <w:r>
        <w:rPr>
          <w:rFonts w:hint="eastAsia"/>
        </w:rPr>
        <w:t>土壤环境监测内容详见表4.2-10，具体监测点位详见附图六。</w:t>
      </w:r>
    </w:p>
    <w:p>
      <w:pPr>
        <w:pStyle w:val="53"/>
        <w:rPr>
          <w:snapToGrid w:val="0"/>
          <w:kern w:val="18"/>
          <w:vertAlign w:val="superscript"/>
        </w:rPr>
      </w:pPr>
      <w:r>
        <w:t>表</w:t>
      </w:r>
      <w:r>
        <w:rPr>
          <w:rFonts w:hint="eastAsia"/>
        </w:rPr>
        <w:t>4.2</w:t>
      </w:r>
      <w:r>
        <w:t>-</w:t>
      </w:r>
      <w:r>
        <w:rPr>
          <w:rFonts w:hint="eastAsia"/>
        </w:rPr>
        <w:t>10</w:t>
      </w:r>
      <w:r>
        <w:t xml:space="preserve"> </w:t>
      </w:r>
      <w:r>
        <w:rPr>
          <w:rFonts w:hint="eastAsia"/>
        </w:rPr>
        <w:t>土壤环境监测内容</w:t>
      </w:r>
    </w:p>
    <w:tbl>
      <w:tblPr>
        <w:tblStyle w:val="40"/>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295"/>
        <w:gridCol w:w="1134"/>
        <w:gridCol w:w="2167"/>
        <w:gridCol w:w="1134"/>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pStyle w:val="51"/>
            </w:pPr>
            <w:r>
              <w:rPr>
                <w:rFonts w:hint="eastAsia"/>
              </w:rPr>
              <w:t>编号</w:t>
            </w:r>
          </w:p>
        </w:tc>
        <w:tc>
          <w:tcPr>
            <w:tcW w:w="1295" w:type="dxa"/>
            <w:vAlign w:val="center"/>
          </w:tcPr>
          <w:p>
            <w:pPr>
              <w:pStyle w:val="51"/>
            </w:pPr>
            <w:r>
              <w:rPr>
                <w:rFonts w:hint="eastAsia"/>
              </w:rPr>
              <w:t>监测点位</w:t>
            </w:r>
          </w:p>
        </w:tc>
        <w:tc>
          <w:tcPr>
            <w:tcW w:w="1134" w:type="dxa"/>
            <w:vAlign w:val="center"/>
          </w:tcPr>
          <w:p>
            <w:pPr>
              <w:pStyle w:val="51"/>
            </w:pPr>
            <w:r>
              <w:rPr>
                <w:rFonts w:hint="eastAsia"/>
              </w:rPr>
              <w:t>相对位置</w:t>
            </w:r>
          </w:p>
        </w:tc>
        <w:tc>
          <w:tcPr>
            <w:tcW w:w="2167" w:type="dxa"/>
            <w:vAlign w:val="center"/>
          </w:tcPr>
          <w:p>
            <w:pPr>
              <w:pStyle w:val="51"/>
            </w:pPr>
            <w:r>
              <w:rPr>
                <w:rFonts w:hint="eastAsia"/>
              </w:rPr>
              <w:t>监测因子</w:t>
            </w:r>
          </w:p>
        </w:tc>
        <w:tc>
          <w:tcPr>
            <w:tcW w:w="1134" w:type="dxa"/>
            <w:vAlign w:val="center"/>
          </w:tcPr>
          <w:p>
            <w:pPr>
              <w:pStyle w:val="51"/>
            </w:pPr>
            <w:r>
              <w:rPr>
                <w:rFonts w:hint="eastAsia"/>
              </w:rPr>
              <w:t>取样类型</w:t>
            </w:r>
          </w:p>
        </w:tc>
        <w:tc>
          <w:tcPr>
            <w:tcW w:w="1276" w:type="dxa"/>
            <w:vAlign w:val="center"/>
          </w:tcPr>
          <w:p>
            <w:pPr>
              <w:pStyle w:val="51"/>
            </w:pPr>
            <w:r>
              <w:rPr>
                <w:rFonts w:hint="eastAsia"/>
              </w:rPr>
              <w:t>监测时间</w:t>
            </w:r>
          </w:p>
        </w:tc>
        <w:tc>
          <w:tcPr>
            <w:tcW w:w="1134" w:type="dxa"/>
            <w:vAlign w:val="center"/>
          </w:tcPr>
          <w:p>
            <w:pPr>
              <w:pStyle w:val="51"/>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pStyle w:val="51"/>
            </w:pPr>
            <w:r>
              <w:rPr>
                <w:rFonts w:hint="eastAsia"/>
              </w:rPr>
              <w:t>T1</w:t>
            </w:r>
          </w:p>
        </w:tc>
        <w:tc>
          <w:tcPr>
            <w:tcW w:w="1295" w:type="dxa"/>
            <w:vAlign w:val="center"/>
          </w:tcPr>
          <w:p>
            <w:pPr>
              <w:pStyle w:val="51"/>
            </w:pPr>
            <w:r>
              <w:rPr>
                <w:rFonts w:hint="eastAsia"/>
              </w:rPr>
              <w:t>场区北侧</w:t>
            </w:r>
          </w:p>
        </w:tc>
        <w:tc>
          <w:tcPr>
            <w:tcW w:w="1134" w:type="dxa"/>
            <w:vMerge w:val="restart"/>
            <w:vAlign w:val="center"/>
          </w:tcPr>
          <w:p>
            <w:pPr>
              <w:pStyle w:val="51"/>
            </w:pPr>
            <w:r>
              <w:rPr>
                <w:rFonts w:hint="eastAsia"/>
              </w:rPr>
              <w:t>项目占地范围内</w:t>
            </w:r>
          </w:p>
        </w:tc>
        <w:tc>
          <w:tcPr>
            <w:tcW w:w="2167" w:type="dxa"/>
            <w:vMerge w:val="restart"/>
            <w:vAlign w:val="center"/>
          </w:tcPr>
          <w:p>
            <w:pPr>
              <w:pStyle w:val="51"/>
              <w:rPr>
                <w:rFonts w:cs="Times New Roman"/>
                <w:sz w:val="24"/>
              </w:rPr>
            </w:pPr>
            <w:r>
              <w:rPr>
                <w:rFonts w:cs="Times New Roman"/>
                <w:szCs w:val="21"/>
              </w:rPr>
              <w:t>pH、铜、铅、锌、镉、汞、砷、镍、铬</w:t>
            </w:r>
          </w:p>
        </w:tc>
        <w:tc>
          <w:tcPr>
            <w:tcW w:w="1134" w:type="dxa"/>
            <w:vMerge w:val="restart"/>
            <w:vAlign w:val="center"/>
          </w:tcPr>
          <w:p>
            <w:pPr>
              <w:pStyle w:val="51"/>
            </w:pPr>
            <w:r>
              <w:rPr>
                <w:rFonts w:hint="eastAsia"/>
              </w:rPr>
              <w:t>表层样</w:t>
            </w:r>
          </w:p>
        </w:tc>
        <w:tc>
          <w:tcPr>
            <w:tcW w:w="1276" w:type="dxa"/>
            <w:vMerge w:val="restart"/>
            <w:vAlign w:val="center"/>
          </w:tcPr>
          <w:p>
            <w:pPr>
              <w:pStyle w:val="51"/>
            </w:pPr>
            <w:r>
              <w:rPr>
                <w:rFonts w:hint="eastAsia"/>
              </w:rPr>
              <w:t>2024年12月17日</w:t>
            </w:r>
          </w:p>
        </w:tc>
        <w:tc>
          <w:tcPr>
            <w:tcW w:w="1134" w:type="dxa"/>
            <w:vMerge w:val="restart"/>
            <w:vAlign w:val="center"/>
          </w:tcPr>
          <w:p>
            <w:pPr>
              <w:pStyle w:val="51"/>
            </w:pPr>
            <w:r>
              <w:rPr>
                <w:rFonts w:hint="eastAsia"/>
              </w:rPr>
              <w:t>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pStyle w:val="51"/>
            </w:pPr>
            <w:r>
              <w:rPr>
                <w:rFonts w:hint="eastAsia"/>
              </w:rPr>
              <w:t>T2</w:t>
            </w:r>
          </w:p>
        </w:tc>
        <w:tc>
          <w:tcPr>
            <w:tcW w:w="1295" w:type="dxa"/>
            <w:vAlign w:val="center"/>
          </w:tcPr>
          <w:p>
            <w:pPr>
              <w:pStyle w:val="51"/>
            </w:pPr>
            <w:r>
              <w:rPr>
                <w:rFonts w:hint="eastAsia"/>
              </w:rPr>
              <w:t>场区西侧</w:t>
            </w:r>
          </w:p>
        </w:tc>
        <w:tc>
          <w:tcPr>
            <w:tcW w:w="1134" w:type="dxa"/>
            <w:vMerge w:val="continue"/>
            <w:vAlign w:val="center"/>
          </w:tcPr>
          <w:p>
            <w:pPr>
              <w:pStyle w:val="51"/>
            </w:pPr>
          </w:p>
        </w:tc>
        <w:tc>
          <w:tcPr>
            <w:tcW w:w="2167" w:type="dxa"/>
            <w:vMerge w:val="continue"/>
            <w:vAlign w:val="center"/>
          </w:tcPr>
          <w:p>
            <w:pPr>
              <w:pStyle w:val="51"/>
            </w:pPr>
          </w:p>
        </w:tc>
        <w:tc>
          <w:tcPr>
            <w:tcW w:w="1134" w:type="dxa"/>
            <w:vMerge w:val="continue"/>
            <w:vAlign w:val="center"/>
          </w:tcPr>
          <w:p>
            <w:pPr>
              <w:pStyle w:val="51"/>
            </w:pPr>
          </w:p>
        </w:tc>
        <w:tc>
          <w:tcPr>
            <w:tcW w:w="1276" w:type="dxa"/>
            <w:vMerge w:val="continue"/>
            <w:vAlign w:val="center"/>
          </w:tcPr>
          <w:p>
            <w:pPr>
              <w:pStyle w:val="51"/>
            </w:pP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86" w:type="dxa"/>
            <w:vAlign w:val="center"/>
          </w:tcPr>
          <w:p>
            <w:pPr>
              <w:pStyle w:val="51"/>
            </w:pPr>
            <w:r>
              <w:rPr>
                <w:rFonts w:hint="eastAsia"/>
              </w:rPr>
              <w:t>T3</w:t>
            </w:r>
          </w:p>
        </w:tc>
        <w:tc>
          <w:tcPr>
            <w:tcW w:w="1295" w:type="dxa"/>
            <w:vAlign w:val="center"/>
          </w:tcPr>
          <w:p>
            <w:pPr>
              <w:pStyle w:val="51"/>
            </w:pPr>
            <w:r>
              <w:rPr>
                <w:rFonts w:hint="eastAsia"/>
              </w:rPr>
              <w:t>场区东侧</w:t>
            </w:r>
          </w:p>
        </w:tc>
        <w:tc>
          <w:tcPr>
            <w:tcW w:w="1134" w:type="dxa"/>
            <w:vMerge w:val="continue"/>
            <w:vAlign w:val="center"/>
          </w:tcPr>
          <w:p>
            <w:pPr>
              <w:pStyle w:val="51"/>
            </w:pPr>
          </w:p>
        </w:tc>
        <w:tc>
          <w:tcPr>
            <w:tcW w:w="2167" w:type="dxa"/>
            <w:vMerge w:val="continue"/>
            <w:vAlign w:val="center"/>
          </w:tcPr>
          <w:p>
            <w:pPr>
              <w:pStyle w:val="51"/>
            </w:pPr>
          </w:p>
        </w:tc>
        <w:tc>
          <w:tcPr>
            <w:tcW w:w="1134" w:type="dxa"/>
            <w:vMerge w:val="continue"/>
            <w:vAlign w:val="center"/>
          </w:tcPr>
          <w:p>
            <w:pPr>
              <w:pStyle w:val="51"/>
            </w:pPr>
          </w:p>
        </w:tc>
        <w:tc>
          <w:tcPr>
            <w:tcW w:w="1276" w:type="dxa"/>
            <w:vMerge w:val="continue"/>
            <w:vAlign w:val="center"/>
          </w:tcPr>
          <w:p>
            <w:pPr>
              <w:pStyle w:val="51"/>
            </w:pPr>
          </w:p>
        </w:tc>
        <w:tc>
          <w:tcPr>
            <w:tcW w:w="1134" w:type="dxa"/>
            <w:vMerge w:val="continue"/>
            <w:vAlign w:val="center"/>
          </w:tcPr>
          <w:p>
            <w:pPr>
              <w:pStyle w:val="51"/>
            </w:pPr>
          </w:p>
        </w:tc>
      </w:tr>
    </w:tbl>
    <w:p>
      <w:pPr>
        <w:pStyle w:val="49"/>
        <w:ind w:firstLine="480"/>
      </w:pPr>
      <w:r>
        <w:rPr>
          <w:rFonts w:hint="eastAsia"/>
        </w:rPr>
        <w:t>2、监测结果统计分析</w:t>
      </w:r>
    </w:p>
    <w:p>
      <w:pPr>
        <w:pStyle w:val="49"/>
        <w:ind w:firstLine="480"/>
      </w:pPr>
      <w:r>
        <w:rPr>
          <w:rFonts w:hint="eastAsia"/>
        </w:rPr>
        <w:t>土壤监测及统计分析结果见表4.2-10。</w:t>
      </w:r>
    </w:p>
    <w:p>
      <w:pPr>
        <w:pStyle w:val="53"/>
      </w:pPr>
      <w:r>
        <w:t>表</w:t>
      </w:r>
      <w:r>
        <w:rPr>
          <w:rFonts w:hint="eastAsia"/>
        </w:rPr>
        <w:t>4.2</w:t>
      </w:r>
      <w:r>
        <w:t>-</w:t>
      </w:r>
      <w:r>
        <w:rPr>
          <w:rFonts w:hint="eastAsia"/>
        </w:rPr>
        <w:t>11土壤环境质量现状监测结果（mg/kg，pH：无量纲）</w:t>
      </w:r>
    </w:p>
    <w:tbl>
      <w:tblPr>
        <w:tblStyle w:val="3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559"/>
        <w:gridCol w:w="1559"/>
        <w:gridCol w:w="1559"/>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22" w:type="dxa"/>
            <w:shd w:val="clear" w:color="auto" w:fill="auto"/>
            <w:vAlign w:val="center"/>
          </w:tcPr>
          <w:p>
            <w:pPr>
              <w:pStyle w:val="51"/>
            </w:pPr>
            <w:r>
              <w:rPr>
                <w:rFonts w:hint="eastAsia"/>
              </w:rPr>
              <w:t>采样点位</w:t>
            </w:r>
          </w:p>
        </w:tc>
        <w:tc>
          <w:tcPr>
            <w:tcW w:w="1559" w:type="dxa"/>
            <w:shd w:val="clear" w:color="auto" w:fill="auto"/>
            <w:vAlign w:val="center"/>
          </w:tcPr>
          <w:p>
            <w:pPr>
              <w:pStyle w:val="51"/>
            </w:pPr>
            <w:r>
              <w:rPr>
                <w:rFonts w:hint="eastAsia"/>
              </w:rPr>
              <w:t>T1场区北侧</w:t>
            </w:r>
          </w:p>
        </w:tc>
        <w:tc>
          <w:tcPr>
            <w:tcW w:w="1559" w:type="dxa"/>
            <w:shd w:val="clear" w:color="auto" w:fill="auto"/>
            <w:vAlign w:val="center"/>
          </w:tcPr>
          <w:p>
            <w:pPr>
              <w:pStyle w:val="51"/>
            </w:pPr>
            <w:r>
              <w:rPr>
                <w:rFonts w:hint="eastAsia"/>
              </w:rPr>
              <w:t>T2场区西侧</w:t>
            </w:r>
          </w:p>
        </w:tc>
        <w:tc>
          <w:tcPr>
            <w:tcW w:w="1559" w:type="dxa"/>
            <w:shd w:val="clear" w:color="auto" w:fill="auto"/>
            <w:vAlign w:val="center"/>
          </w:tcPr>
          <w:p>
            <w:pPr>
              <w:pStyle w:val="51"/>
            </w:pPr>
            <w:r>
              <w:rPr>
                <w:rFonts w:hint="eastAsia"/>
              </w:rPr>
              <w:t>T3场区东侧</w:t>
            </w:r>
          </w:p>
        </w:tc>
        <w:tc>
          <w:tcPr>
            <w:tcW w:w="2410" w:type="dxa"/>
            <w:vMerge w:val="restart"/>
            <w:shd w:val="clear" w:color="auto" w:fill="auto"/>
            <w:vAlign w:val="center"/>
          </w:tcPr>
          <w:p>
            <w:pPr>
              <w:pStyle w:val="51"/>
            </w:pPr>
            <w:r>
              <w:rPr>
                <w:rFonts w:hint="eastAsi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22" w:type="dxa"/>
            <w:shd w:val="clear" w:color="auto" w:fill="auto"/>
            <w:vAlign w:val="center"/>
          </w:tcPr>
          <w:p>
            <w:pPr>
              <w:pStyle w:val="51"/>
            </w:pPr>
            <w:r>
              <w:rPr>
                <w:rFonts w:hint="eastAsia"/>
              </w:rPr>
              <w:t>采样日期</w:t>
            </w:r>
          </w:p>
        </w:tc>
        <w:tc>
          <w:tcPr>
            <w:tcW w:w="4677" w:type="dxa"/>
            <w:gridSpan w:val="3"/>
            <w:shd w:val="clear" w:color="auto" w:fill="auto"/>
            <w:vAlign w:val="center"/>
          </w:tcPr>
          <w:p>
            <w:pPr>
              <w:pStyle w:val="51"/>
            </w:pPr>
            <w:r>
              <w:rPr>
                <w:rFonts w:hint="eastAsia"/>
              </w:rPr>
              <w:t>2024.12.17</w:t>
            </w:r>
          </w:p>
        </w:tc>
        <w:tc>
          <w:tcPr>
            <w:tcW w:w="2410" w:type="dxa"/>
            <w:vMerge w:val="continue"/>
            <w:shd w:val="clear" w:color="auto" w:fill="auto"/>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pPr>
            <w:r>
              <w:rPr>
                <w:rFonts w:hint="eastAsia"/>
              </w:rPr>
              <w:t>监测项目</w:t>
            </w:r>
          </w:p>
        </w:tc>
        <w:tc>
          <w:tcPr>
            <w:tcW w:w="4677" w:type="dxa"/>
            <w:gridSpan w:val="3"/>
            <w:shd w:val="clear" w:color="auto" w:fill="auto"/>
            <w:vAlign w:val="center"/>
          </w:tcPr>
          <w:p>
            <w:pPr>
              <w:pStyle w:val="51"/>
            </w:pPr>
            <w:r>
              <w:rPr>
                <w:rFonts w:hint="eastAsia"/>
              </w:rPr>
              <w:t>检测结果</w:t>
            </w:r>
          </w:p>
        </w:tc>
        <w:tc>
          <w:tcPr>
            <w:tcW w:w="2410" w:type="dxa"/>
            <w:vMerge w:val="continue"/>
            <w:shd w:val="clear" w:color="auto" w:fill="auto"/>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cs="Times New Roman"/>
                <w:color w:val="000000"/>
                <w:szCs w:val="21"/>
              </w:rPr>
              <w:t>pH</w:t>
            </w:r>
          </w:p>
        </w:tc>
        <w:tc>
          <w:tcPr>
            <w:tcW w:w="1559" w:type="dxa"/>
            <w:shd w:val="clear" w:color="auto" w:fill="auto"/>
            <w:vAlign w:val="center"/>
          </w:tcPr>
          <w:p>
            <w:pPr>
              <w:pStyle w:val="51"/>
            </w:pPr>
            <w:r>
              <w:rPr>
                <w:rFonts w:hint="eastAsia"/>
              </w:rPr>
              <w:t>6.22</w:t>
            </w:r>
          </w:p>
        </w:tc>
        <w:tc>
          <w:tcPr>
            <w:tcW w:w="1559" w:type="dxa"/>
            <w:shd w:val="clear" w:color="auto" w:fill="auto"/>
            <w:vAlign w:val="center"/>
          </w:tcPr>
          <w:p>
            <w:pPr>
              <w:pStyle w:val="51"/>
            </w:pPr>
            <w:r>
              <w:rPr>
                <w:rFonts w:hint="eastAsia"/>
              </w:rPr>
              <w:t>6.57</w:t>
            </w:r>
          </w:p>
        </w:tc>
        <w:tc>
          <w:tcPr>
            <w:tcW w:w="1559" w:type="dxa"/>
            <w:shd w:val="clear" w:color="auto" w:fill="auto"/>
            <w:vAlign w:val="center"/>
          </w:tcPr>
          <w:p>
            <w:pPr>
              <w:pStyle w:val="51"/>
            </w:pPr>
            <w:r>
              <w:rPr>
                <w:rFonts w:hint="eastAsia"/>
              </w:rPr>
              <w:t>6.42</w:t>
            </w:r>
          </w:p>
        </w:tc>
        <w:tc>
          <w:tcPr>
            <w:tcW w:w="2410" w:type="dxa"/>
            <w:shd w:val="clear" w:color="auto" w:fill="auto"/>
            <w:vAlign w:val="center"/>
          </w:tcPr>
          <w:p>
            <w:pPr>
              <w:pStyle w:val="51"/>
            </w:pPr>
            <w:r>
              <w:rPr>
                <w:rFonts w:hint="eastAsia" w:cs="Times New Roman"/>
                <w:szCs w:val="21"/>
              </w:rPr>
              <w:t>5.5</w:t>
            </w:r>
            <w:r>
              <w:rPr>
                <w:rFonts w:hint="eastAsia" w:ascii="宋体" w:hAnsi="宋体" w:cs="Times New Roman"/>
                <w:szCs w:val="21"/>
              </w:rPr>
              <w:t>＜</w:t>
            </w:r>
            <w:r>
              <w:rPr>
                <w:rFonts w:hint="eastAsia" w:cs="Times New Roman"/>
                <w:szCs w:val="21"/>
              </w:rPr>
              <w:t>pH≤6.5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hint="eastAsia"/>
              </w:rPr>
              <w:t>汞</w:t>
            </w:r>
          </w:p>
        </w:tc>
        <w:tc>
          <w:tcPr>
            <w:tcW w:w="1559" w:type="dxa"/>
            <w:shd w:val="clear" w:color="auto" w:fill="auto"/>
            <w:vAlign w:val="center"/>
          </w:tcPr>
          <w:p>
            <w:pPr>
              <w:pStyle w:val="51"/>
            </w:pPr>
            <w:r>
              <w:rPr>
                <w:rFonts w:hint="eastAsia"/>
              </w:rPr>
              <w:t>0.621</w:t>
            </w:r>
          </w:p>
        </w:tc>
        <w:tc>
          <w:tcPr>
            <w:tcW w:w="1559" w:type="dxa"/>
            <w:shd w:val="clear" w:color="auto" w:fill="auto"/>
            <w:vAlign w:val="center"/>
          </w:tcPr>
          <w:p>
            <w:pPr>
              <w:pStyle w:val="51"/>
            </w:pPr>
            <w:r>
              <w:rPr>
                <w:rFonts w:hint="eastAsia"/>
              </w:rPr>
              <w:t>0.569</w:t>
            </w:r>
          </w:p>
        </w:tc>
        <w:tc>
          <w:tcPr>
            <w:tcW w:w="1559" w:type="dxa"/>
            <w:shd w:val="clear" w:color="auto" w:fill="auto"/>
            <w:vAlign w:val="center"/>
          </w:tcPr>
          <w:p>
            <w:pPr>
              <w:pStyle w:val="51"/>
            </w:pPr>
            <w:r>
              <w:rPr>
                <w:rFonts w:hint="eastAsia"/>
              </w:rPr>
              <w:t>0.456</w:t>
            </w:r>
          </w:p>
        </w:tc>
        <w:tc>
          <w:tcPr>
            <w:tcW w:w="2410" w:type="dxa"/>
            <w:shd w:val="clear" w:color="auto" w:fill="auto"/>
            <w:vAlign w:val="center"/>
          </w:tcPr>
          <w:p>
            <w:pPr>
              <w:pStyle w:val="51"/>
            </w:pPr>
            <w:r>
              <w:rPr>
                <w:rFonts w:hint="eastAsi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hint="eastAsia"/>
              </w:rPr>
              <w:t>砷</w:t>
            </w:r>
          </w:p>
        </w:tc>
        <w:tc>
          <w:tcPr>
            <w:tcW w:w="1559" w:type="dxa"/>
            <w:shd w:val="clear" w:color="auto" w:fill="auto"/>
            <w:vAlign w:val="center"/>
          </w:tcPr>
          <w:p>
            <w:pPr>
              <w:pStyle w:val="51"/>
            </w:pPr>
            <w:r>
              <w:rPr>
                <w:rFonts w:hint="eastAsia"/>
              </w:rPr>
              <w:t>31.2</w:t>
            </w:r>
          </w:p>
        </w:tc>
        <w:tc>
          <w:tcPr>
            <w:tcW w:w="1559" w:type="dxa"/>
            <w:shd w:val="clear" w:color="auto" w:fill="auto"/>
            <w:vAlign w:val="center"/>
          </w:tcPr>
          <w:p>
            <w:pPr>
              <w:pStyle w:val="51"/>
            </w:pPr>
            <w:r>
              <w:rPr>
                <w:rFonts w:hint="eastAsia"/>
              </w:rPr>
              <w:t>29.4</w:t>
            </w:r>
          </w:p>
        </w:tc>
        <w:tc>
          <w:tcPr>
            <w:tcW w:w="1559" w:type="dxa"/>
            <w:shd w:val="clear" w:color="auto" w:fill="auto"/>
            <w:vAlign w:val="center"/>
          </w:tcPr>
          <w:p>
            <w:pPr>
              <w:pStyle w:val="51"/>
            </w:pPr>
            <w:r>
              <w:rPr>
                <w:rFonts w:hint="eastAsia"/>
              </w:rPr>
              <w:t>28.5</w:t>
            </w:r>
          </w:p>
        </w:tc>
        <w:tc>
          <w:tcPr>
            <w:tcW w:w="2410" w:type="dxa"/>
            <w:shd w:val="clear" w:color="auto" w:fill="auto"/>
            <w:vAlign w:val="center"/>
          </w:tcPr>
          <w:p>
            <w:pPr>
              <w:pStyle w:val="51"/>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hint="eastAsia"/>
              </w:rPr>
              <w:t>铜</w:t>
            </w:r>
          </w:p>
        </w:tc>
        <w:tc>
          <w:tcPr>
            <w:tcW w:w="1559" w:type="dxa"/>
            <w:shd w:val="clear" w:color="auto" w:fill="auto"/>
            <w:vAlign w:val="center"/>
          </w:tcPr>
          <w:p>
            <w:pPr>
              <w:pStyle w:val="51"/>
            </w:pPr>
            <w:r>
              <w:rPr>
                <w:rFonts w:hint="eastAsia"/>
              </w:rPr>
              <w:t>39</w:t>
            </w:r>
          </w:p>
        </w:tc>
        <w:tc>
          <w:tcPr>
            <w:tcW w:w="1559" w:type="dxa"/>
            <w:shd w:val="clear" w:color="auto" w:fill="auto"/>
            <w:vAlign w:val="center"/>
          </w:tcPr>
          <w:p>
            <w:pPr>
              <w:pStyle w:val="51"/>
            </w:pPr>
            <w:r>
              <w:rPr>
                <w:rFonts w:hint="eastAsia"/>
              </w:rPr>
              <w:t>40</w:t>
            </w:r>
          </w:p>
        </w:tc>
        <w:tc>
          <w:tcPr>
            <w:tcW w:w="1559" w:type="dxa"/>
            <w:shd w:val="clear" w:color="auto" w:fill="auto"/>
            <w:vAlign w:val="center"/>
          </w:tcPr>
          <w:p>
            <w:pPr>
              <w:pStyle w:val="51"/>
            </w:pPr>
            <w:r>
              <w:rPr>
                <w:rFonts w:hint="eastAsia"/>
              </w:rPr>
              <w:t>45</w:t>
            </w:r>
          </w:p>
        </w:tc>
        <w:tc>
          <w:tcPr>
            <w:tcW w:w="2410" w:type="dxa"/>
            <w:shd w:val="clear" w:color="auto" w:fill="auto"/>
            <w:vAlign w:val="center"/>
          </w:tcPr>
          <w:p>
            <w:pPr>
              <w:pStyle w:val="51"/>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hint="eastAsia"/>
              </w:rPr>
              <w:t>铅</w:t>
            </w:r>
          </w:p>
        </w:tc>
        <w:tc>
          <w:tcPr>
            <w:tcW w:w="1559" w:type="dxa"/>
            <w:shd w:val="clear" w:color="auto" w:fill="auto"/>
            <w:vAlign w:val="center"/>
          </w:tcPr>
          <w:p>
            <w:pPr>
              <w:pStyle w:val="51"/>
            </w:pPr>
            <w:r>
              <w:rPr>
                <w:rFonts w:hint="eastAsia"/>
              </w:rPr>
              <w:t>10L</w:t>
            </w:r>
          </w:p>
        </w:tc>
        <w:tc>
          <w:tcPr>
            <w:tcW w:w="1559" w:type="dxa"/>
            <w:shd w:val="clear" w:color="auto" w:fill="auto"/>
            <w:vAlign w:val="center"/>
          </w:tcPr>
          <w:p>
            <w:pPr>
              <w:pStyle w:val="51"/>
            </w:pPr>
            <w:r>
              <w:rPr>
                <w:rFonts w:hint="eastAsia"/>
              </w:rPr>
              <w:t>14</w:t>
            </w:r>
          </w:p>
        </w:tc>
        <w:tc>
          <w:tcPr>
            <w:tcW w:w="1559" w:type="dxa"/>
            <w:shd w:val="clear" w:color="auto" w:fill="auto"/>
            <w:vAlign w:val="center"/>
          </w:tcPr>
          <w:p>
            <w:pPr>
              <w:pStyle w:val="51"/>
            </w:pPr>
            <w:r>
              <w:rPr>
                <w:rFonts w:hint="eastAsia"/>
              </w:rPr>
              <w:t>12</w:t>
            </w:r>
          </w:p>
        </w:tc>
        <w:tc>
          <w:tcPr>
            <w:tcW w:w="2410" w:type="dxa"/>
            <w:shd w:val="clear" w:color="auto" w:fill="auto"/>
            <w:vAlign w:val="center"/>
          </w:tcPr>
          <w:p>
            <w:pPr>
              <w:pStyle w:val="51"/>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hint="eastAsia"/>
              </w:rPr>
              <w:t>镍</w:t>
            </w:r>
          </w:p>
        </w:tc>
        <w:tc>
          <w:tcPr>
            <w:tcW w:w="1559" w:type="dxa"/>
            <w:shd w:val="clear" w:color="auto" w:fill="auto"/>
            <w:vAlign w:val="center"/>
          </w:tcPr>
          <w:p>
            <w:pPr>
              <w:pStyle w:val="51"/>
            </w:pPr>
            <w:r>
              <w:rPr>
                <w:rFonts w:hint="eastAsia"/>
              </w:rPr>
              <w:t>20</w:t>
            </w:r>
          </w:p>
        </w:tc>
        <w:tc>
          <w:tcPr>
            <w:tcW w:w="1559" w:type="dxa"/>
            <w:shd w:val="clear" w:color="auto" w:fill="auto"/>
            <w:vAlign w:val="center"/>
          </w:tcPr>
          <w:p>
            <w:pPr>
              <w:pStyle w:val="51"/>
            </w:pPr>
            <w:r>
              <w:rPr>
                <w:rFonts w:hint="eastAsia"/>
              </w:rPr>
              <w:t>17</w:t>
            </w:r>
          </w:p>
        </w:tc>
        <w:tc>
          <w:tcPr>
            <w:tcW w:w="1559" w:type="dxa"/>
            <w:shd w:val="clear" w:color="auto" w:fill="auto"/>
            <w:vAlign w:val="center"/>
          </w:tcPr>
          <w:p>
            <w:pPr>
              <w:pStyle w:val="51"/>
            </w:pPr>
            <w:r>
              <w:rPr>
                <w:rFonts w:hint="eastAsia"/>
              </w:rPr>
              <w:t>26</w:t>
            </w:r>
          </w:p>
        </w:tc>
        <w:tc>
          <w:tcPr>
            <w:tcW w:w="2410" w:type="dxa"/>
            <w:shd w:val="clear" w:color="auto" w:fill="auto"/>
            <w:vAlign w:val="center"/>
          </w:tcPr>
          <w:p>
            <w:pPr>
              <w:pStyle w:val="51"/>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hint="eastAsia"/>
              </w:rPr>
              <w:t>锌</w:t>
            </w:r>
          </w:p>
        </w:tc>
        <w:tc>
          <w:tcPr>
            <w:tcW w:w="1559" w:type="dxa"/>
            <w:shd w:val="clear" w:color="auto" w:fill="auto"/>
            <w:vAlign w:val="center"/>
          </w:tcPr>
          <w:p>
            <w:pPr>
              <w:pStyle w:val="51"/>
            </w:pPr>
            <w:r>
              <w:rPr>
                <w:rFonts w:hint="eastAsia"/>
              </w:rPr>
              <w:t>49</w:t>
            </w:r>
          </w:p>
        </w:tc>
        <w:tc>
          <w:tcPr>
            <w:tcW w:w="1559" w:type="dxa"/>
            <w:shd w:val="clear" w:color="auto" w:fill="auto"/>
            <w:vAlign w:val="center"/>
          </w:tcPr>
          <w:p>
            <w:pPr>
              <w:pStyle w:val="51"/>
            </w:pPr>
            <w:r>
              <w:rPr>
                <w:rFonts w:hint="eastAsia"/>
              </w:rPr>
              <w:t>47</w:t>
            </w:r>
          </w:p>
        </w:tc>
        <w:tc>
          <w:tcPr>
            <w:tcW w:w="1559" w:type="dxa"/>
            <w:shd w:val="clear" w:color="auto" w:fill="auto"/>
            <w:vAlign w:val="center"/>
          </w:tcPr>
          <w:p>
            <w:pPr>
              <w:pStyle w:val="51"/>
            </w:pPr>
            <w:r>
              <w:rPr>
                <w:rFonts w:hint="eastAsia"/>
              </w:rPr>
              <w:t>54</w:t>
            </w:r>
          </w:p>
        </w:tc>
        <w:tc>
          <w:tcPr>
            <w:tcW w:w="2410" w:type="dxa"/>
            <w:shd w:val="clear" w:color="auto" w:fill="auto"/>
            <w:vAlign w:val="center"/>
          </w:tcPr>
          <w:p>
            <w:pPr>
              <w:pStyle w:val="51"/>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hint="eastAsia"/>
              </w:rPr>
              <w:t>镉</w:t>
            </w:r>
          </w:p>
        </w:tc>
        <w:tc>
          <w:tcPr>
            <w:tcW w:w="1559" w:type="dxa"/>
            <w:shd w:val="clear" w:color="auto" w:fill="auto"/>
            <w:vAlign w:val="center"/>
          </w:tcPr>
          <w:p>
            <w:pPr>
              <w:pStyle w:val="51"/>
            </w:pPr>
            <w:r>
              <w:rPr>
                <w:rFonts w:hint="eastAsia"/>
              </w:rPr>
              <w:t>0.29</w:t>
            </w:r>
          </w:p>
        </w:tc>
        <w:tc>
          <w:tcPr>
            <w:tcW w:w="1559" w:type="dxa"/>
            <w:shd w:val="clear" w:color="auto" w:fill="auto"/>
            <w:vAlign w:val="center"/>
          </w:tcPr>
          <w:p>
            <w:pPr>
              <w:pStyle w:val="51"/>
            </w:pPr>
            <w:r>
              <w:rPr>
                <w:rFonts w:hint="eastAsia"/>
              </w:rPr>
              <w:t>0.29</w:t>
            </w:r>
          </w:p>
        </w:tc>
        <w:tc>
          <w:tcPr>
            <w:tcW w:w="1559" w:type="dxa"/>
            <w:shd w:val="clear" w:color="auto" w:fill="auto"/>
            <w:vAlign w:val="center"/>
          </w:tcPr>
          <w:p>
            <w:pPr>
              <w:pStyle w:val="51"/>
            </w:pPr>
            <w:r>
              <w:rPr>
                <w:rFonts w:hint="eastAsia"/>
              </w:rPr>
              <w:t>0.29</w:t>
            </w:r>
          </w:p>
        </w:tc>
        <w:tc>
          <w:tcPr>
            <w:tcW w:w="2410" w:type="dxa"/>
            <w:shd w:val="clear" w:color="auto" w:fill="auto"/>
            <w:vAlign w:val="center"/>
          </w:tcPr>
          <w:p>
            <w:pPr>
              <w:pStyle w:val="51"/>
            </w:pPr>
            <w:r>
              <w:rPr>
                <w:rFonts w:hint="eastAsi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122" w:type="dxa"/>
            <w:shd w:val="clear" w:color="auto" w:fill="auto"/>
            <w:vAlign w:val="center"/>
          </w:tcPr>
          <w:p>
            <w:pPr>
              <w:pStyle w:val="51"/>
              <w:rPr>
                <w:rFonts w:cs="Times New Roman"/>
                <w:szCs w:val="21"/>
              </w:rPr>
            </w:pPr>
            <w:r>
              <w:rPr>
                <w:rFonts w:hint="eastAsia"/>
              </w:rPr>
              <w:t>铬</w:t>
            </w:r>
          </w:p>
        </w:tc>
        <w:tc>
          <w:tcPr>
            <w:tcW w:w="1559" w:type="dxa"/>
            <w:shd w:val="clear" w:color="auto" w:fill="auto"/>
            <w:vAlign w:val="center"/>
          </w:tcPr>
          <w:p>
            <w:pPr>
              <w:pStyle w:val="51"/>
            </w:pPr>
            <w:r>
              <w:rPr>
                <w:rFonts w:hint="eastAsia"/>
              </w:rPr>
              <w:t>55</w:t>
            </w:r>
          </w:p>
        </w:tc>
        <w:tc>
          <w:tcPr>
            <w:tcW w:w="1559" w:type="dxa"/>
            <w:shd w:val="clear" w:color="auto" w:fill="auto"/>
            <w:vAlign w:val="center"/>
          </w:tcPr>
          <w:p>
            <w:pPr>
              <w:pStyle w:val="51"/>
            </w:pPr>
            <w:r>
              <w:rPr>
                <w:rFonts w:hint="eastAsia"/>
              </w:rPr>
              <w:t>50</w:t>
            </w:r>
          </w:p>
        </w:tc>
        <w:tc>
          <w:tcPr>
            <w:tcW w:w="1559" w:type="dxa"/>
            <w:shd w:val="clear" w:color="auto" w:fill="auto"/>
            <w:vAlign w:val="center"/>
          </w:tcPr>
          <w:p>
            <w:pPr>
              <w:pStyle w:val="51"/>
            </w:pPr>
            <w:r>
              <w:rPr>
                <w:rFonts w:hint="eastAsia"/>
              </w:rPr>
              <w:t>44</w:t>
            </w:r>
          </w:p>
        </w:tc>
        <w:tc>
          <w:tcPr>
            <w:tcW w:w="2410" w:type="dxa"/>
            <w:shd w:val="clear" w:color="auto" w:fill="auto"/>
            <w:vAlign w:val="center"/>
          </w:tcPr>
          <w:p>
            <w:pPr>
              <w:pStyle w:val="51"/>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9209" w:type="dxa"/>
            <w:gridSpan w:val="5"/>
            <w:shd w:val="clear" w:color="auto" w:fill="auto"/>
            <w:vAlign w:val="center"/>
          </w:tcPr>
          <w:p>
            <w:pPr>
              <w:pStyle w:val="51"/>
              <w:jc w:val="left"/>
            </w:pPr>
            <w:r>
              <w:rPr>
                <w:rFonts w:hint="eastAsia"/>
              </w:rPr>
              <w:t>注：标准限值依据《</w:t>
            </w:r>
            <w:r>
              <w:rPr>
                <w:rFonts w:hint="eastAsia"/>
                <w:kern w:val="2"/>
              </w:rPr>
              <w:t>农</w:t>
            </w:r>
            <w:r>
              <w:rPr>
                <w:kern w:val="2"/>
              </w:rPr>
              <w:t>用地土壤污染风险管控标准（试行）</w:t>
            </w:r>
            <w:r>
              <w:rPr>
                <w:rFonts w:hint="eastAsia"/>
              </w:rPr>
              <w:t>》（GB15618-2018）表1风险筛选值</w:t>
            </w:r>
          </w:p>
        </w:tc>
      </w:tr>
    </w:tbl>
    <w:p>
      <w:pPr>
        <w:pStyle w:val="49"/>
        <w:ind w:firstLine="480"/>
      </w:pPr>
      <w:r>
        <w:rPr>
          <w:rFonts w:hint="eastAsia"/>
        </w:rPr>
        <w:t>由上表可知，本项目土壤监测点各监测因子均满足《</w:t>
      </w:r>
      <w:r>
        <w:rPr>
          <w:rFonts w:hint="eastAsia"/>
          <w:kern w:val="2"/>
        </w:rPr>
        <w:t>农</w:t>
      </w:r>
      <w:r>
        <w:rPr>
          <w:kern w:val="2"/>
        </w:rPr>
        <w:t>用地土壤污染风险管控标准（试行）</w:t>
      </w:r>
      <w:r>
        <w:rPr>
          <w:rFonts w:hint="eastAsia"/>
        </w:rPr>
        <w:t>》（</w:t>
      </w:r>
      <w:r>
        <w:t>GB</w:t>
      </w:r>
      <w:r>
        <w:rPr>
          <w:rFonts w:hint="eastAsia"/>
        </w:rPr>
        <w:t>15618</w:t>
      </w:r>
      <w:r>
        <w:t>-2018</w:t>
      </w:r>
      <w:r>
        <w:rPr>
          <w:rFonts w:hint="eastAsia"/>
        </w:rPr>
        <w:t>）表1风险筛选值。</w:t>
      </w:r>
    </w:p>
    <w:p>
      <w:pPr>
        <w:pStyle w:val="4"/>
      </w:pPr>
      <w:bookmarkStart w:id="177" w:name="_Toc194481172"/>
      <w:r>
        <w:t>4.</w:t>
      </w:r>
      <w:r>
        <w:rPr>
          <w:rFonts w:hint="eastAsia"/>
        </w:rPr>
        <w:t>2</w:t>
      </w:r>
      <w:r>
        <w:t>.</w:t>
      </w:r>
      <w:r>
        <w:rPr>
          <w:rFonts w:hint="eastAsia"/>
        </w:rPr>
        <w:t>5</w:t>
      </w:r>
      <w:r>
        <w:t xml:space="preserve"> </w:t>
      </w:r>
      <w:r>
        <w:rPr>
          <w:rFonts w:hint="eastAsia"/>
        </w:rPr>
        <w:t>声环境质量现状调查与评价</w:t>
      </w:r>
      <w:bookmarkEnd w:id="177"/>
    </w:p>
    <w:p>
      <w:pPr>
        <w:pStyle w:val="49"/>
        <w:ind w:firstLine="480"/>
      </w:pPr>
      <w:r>
        <w:rPr>
          <w:rFonts w:hint="eastAsia"/>
        </w:rPr>
        <w:t>为了解项目所在地声环境质量现状，建设单位委托了湖南西南检验检测有限公司于 2024年12月17日~12月18日对项目所在区域声环境进行了现状监测。</w:t>
      </w:r>
    </w:p>
    <w:p>
      <w:pPr>
        <w:pStyle w:val="49"/>
        <w:ind w:firstLine="480"/>
      </w:pPr>
      <w:r>
        <w:rPr>
          <w:rFonts w:hint="eastAsia"/>
        </w:rPr>
        <w:t>1、监测工作内容</w:t>
      </w:r>
    </w:p>
    <w:p>
      <w:pPr>
        <w:pStyle w:val="49"/>
        <w:ind w:firstLine="480"/>
      </w:pPr>
      <w:r>
        <w:rPr>
          <w:rFonts w:hint="eastAsia"/>
        </w:rPr>
        <w:t>本次声环境监测共设 4个监测点，分别位于本项目厂址四周东、南、西、 北侧位置，监测内容详见表4.2-12，具体监测点位详见附图五。</w:t>
      </w:r>
    </w:p>
    <w:p>
      <w:pPr>
        <w:pStyle w:val="53"/>
        <w:rPr>
          <w:snapToGrid w:val="0"/>
          <w:kern w:val="18"/>
          <w:vertAlign w:val="superscript"/>
        </w:rPr>
      </w:pPr>
      <w:r>
        <w:t>表</w:t>
      </w:r>
      <w:r>
        <w:rPr>
          <w:rFonts w:hint="eastAsia"/>
        </w:rPr>
        <w:t>4.2</w:t>
      </w:r>
      <w:r>
        <w:t>-</w:t>
      </w:r>
      <w:r>
        <w:rPr>
          <w:rFonts w:hint="eastAsia"/>
        </w:rPr>
        <w:t>12</w:t>
      </w:r>
      <w:r>
        <w:t xml:space="preserve"> </w:t>
      </w:r>
      <w:r>
        <w:rPr>
          <w:rFonts w:hint="eastAsia"/>
        </w:rPr>
        <w:t>声环境监测内容</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520"/>
        <w:gridCol w:w="1500"/>
        <w:gridCol w:w="1818"/>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5" w:type="dxa"/>
            <w:vAlign w:val="center"/>
          </w:tcPr>
          <w:p>
            <w:pPr>
              <w:pStyle w:val="51"/>
            </w:pPr>
            <w:r>
              <w:rPr>
                <w:rFonts w:hint="eastAsia"/>
              </w:rPr>
              <w:t>序号</w:t>
            </w:r>
          </w:p>
        </w:tc>
        <w:tc>
          <w:tcPr>
            <w:tcW w:w="2520" w:type="dxa"/>
            <w:vAlign w:val="center"/>
          </w:tcPr>
          <w:p>
            <w:pPr>
              <w:pStyle w:val="51"/>
            </w:pPr>
            <w:r>
              <w:rPr>
                <w:rFonts w:hint="eastAsia"/>
              </w:rPr>
              <w:t>监测布点位置</w:t>
            </w:r>
          </w:p>
        </w:tc>
        <w:tc>
          <w:tcPr>
            <w:tcW w:w="1500" w:type="dxa"/>
            <w:vAlign w:val="center"/>
          </w:tcPr>
          <w:p>
            <w:pPr>
              <w:pStyle w:val="51"/>
            </w:pPr>
            <w:r>
              <w:rPr>
                <w:rFonts w:hint="eastAsia"/>
              </w:rPr>
              <w:t>监测因子</w:t>
            </w:r>
          </w:p>
        </w:tc>
        <w:tc>
          <w:tcPr>
            <w:tcW w:w="1818" w:type="dxa"/>
            <w:vAlign w:val="center"/>
          </w:tcPr>
          <w:p>
            <w:pPr>
              <w:pStyle w:val="51"/>
            </w:pPr>
            <w:r>
              <w:rPr>
                <w:rFonts w:hint="eastAsia"/>
              </w:rPr>
              <w:t>监测时间</w:t>
            </w:r>
          </w:p>
        </w:tc>
        <w:tc>
          <w:tcPr>
            <w:tcW w:w="1663" w:type="dxa"/>
            <w:vAlign w:val="center"/>
          </w:tcPr>
          <w:p>
            <w:pPr>
              <w:pStyle w:val="51"/>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5" w:type="dxa"/>
            <w:vAlign w:val="center"/>
          </w:tcPr>
          <w:p>
            <w:pPr>
              <w:pStyle w:val="51"/>
            </w:pPr>
            <w:r>
              <w:rPr>
                <w:rFonts w:hint="eastAsia"/>
              </w:rPr>
              <w:t>N1</w:t>
            </w:r>
          </w:p>
        </w:tc>
        <w:tc>
          <w:tcPr>
            <w:tcW w:w="2520" w:type="dxa"/>
            <w:vAlign w:val="center"/>
          </w:tcPr>
          <w:p>
            <w:pPr>
              <w:pStyle w:val="51"/>
            </w:pPr>
            <w:r>
              <w:rPr>
                <w:rFonts w:hint="eastAsia"/>
                <w:color w:val="000000"/>
                <w:szCs w:val="21"/>
              </w:rPr>
              <w:t xml:space="preserve">项目东厂界外 </w:t>
            </w:r>
            <w:r>
              <w:rPr>
                <w:rFonts w:cs="Times New Roman"/>
                <w:color w:val="000000"/>
                <w:szCs w:val="21"/>
              </w:rPr>
              <w:t xml:space="preserve">1m </w:t>
            </w:r>
            <w:r>
              <w:rPr>
                <w:rFonts w:hint="eastAsia"/>
                <w:color w:val="000000"/>
                <w:szCs w:val="21"/>
              </w:rPr>
              <w:t>处</w:t>
            </w:r>
          </w:p>
        </w:tc>
        <w:tc>
          <w:tcPr>
            <w:tcW w:w="1500" w:type="dxa"/>
            <w:vMerge w:val="restart"/>
            <w:vAlign w:val="center"/>
          </w:tcPr>
          <w:p>
            <w:pPr>
              <w:pStyle w:val="51"/>
            </w:pPr>
            <w:r>
              <w:rPr>
                <w:rFonts w:hint="eastAsia"/>
                <w:color w:val="000000"/>
                <w:szCs w:val="21"/>
              </w:rPr>
              <w:t>等效连续</w:t>
            </w:r>
            <w:r>
              <w:rPr>
                <w:rFonts w:cs="Times New Roman"/>
                <w:color w:val="000000"/>
                <w:szCs w:val="21"/>
              </w:rPr>
              <w:t>A</w:t>
            </w:r>
            <w:r>
              <w:rPr>
                <w:rFonts w:hint="eastAsia"/>
                <w:color w:val="000000"/>
                <w:szCs w:val="21"/>
              </w:rPr>
              <w:t>声级</w:t>
            </w:r>
          </w:p>
        </w:tc>
        <w:tc>
          <w:tcPr>
            <w:tcW w:w="1818" w:type="dxa"/>
            <w:vMerge w:val="restart"/>
            <w:vAlign w:val="center"/>
          </w:tcPr>
          <w:p>
            <w:pPr>
              <w:pStyle w:val="51"/>
            </w:pPr>
            <w:r>
              <w:rPr>
                <w:rFonts w:hint="eastAsia"/>
              </w:rPr>
              <w:t>2024年12月17日~12月18日</w:t>
            </w:r>
          </w:p>
        </w:tc>
        <w:tc>
          <w:tcPr>
            <w:tcW w:w="1663" w:type="dxa"/>
            <w:vMerge w:val="restart"/>
            <w:vAlign w:val="center"/>
          </w:tcPr>
          <w:p>
            <w:pPr>
              <w:pStyle w:val="51"/>
            </w:pPr>
            <w:r>
              <w:rPr>
                <w:rFonts w:hint="eastAsia"/>
              </w:rPr>
              <w:t>连续监测2天，昼夜各监测1次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dxa"/>
            <w:vAlign w:val="center"/>
          </w:tcPr>
          <w:p>
            <w:pPr>
              <w:pStyle w:val="51"/>
            </w:pPr>
            <w:r>
              <w:rPr>
                <w:rFonts w:hint="eastAsia"/>
              </w:rPr>
              <w:t>N2</w:t>
            </w:r>
          </w:p>
        </w:tc>
        <w:tc>
          <w:tcPr>
            <w:tcW w:w="2520" w:type="dxa"/>
            <w:vAlign w:val="center"/>
          </w:tcPr>
          <w:p>
            <w:pPr>
              <w:pStyle w:val="51"/>
            </w:pPr>
            <w:r>
              <w:rPr>
                <w:rFonts w:hint="eastAsia"/>
                <w:color w:val="000000"/>
                <w:szCs w:val="21"/>
              </w:rPr>
              <w:t xml:space="preserve">项目南厂界外 </w:t>
            </w:r>
            <w:r>
              <w:rPr>
                <w:rFonts w:cs="Times New Roman"/>
                <w:color w:val="000000"/>
                <w:szCs w:val="21"/>
              </w:rPr>
              <w:t xml:space="preserve">1m </w:t>
            </w:r>
            <w:r>
              <w:rPr>
                <w:rFonts w:hint="eastAsia"/>
                <w:color w:val="000000"/>
                <w:szCs w:val="21"/>
              </w:rPr>
              <w:t>处</w:t>
            </w:r>
          </w:p>
        </w:tc>
        <w:tc>
          <w:tcPr>
            <w:tcW w:w="1500" w:type="dxa"/>
            <w:vMerge w:val="continue"/>
            <w:vAlign w:val="center"/>
          </w:tcPr>
          <w:p>
            <w:pPr>
              <w:pStyle w:val="51"/>
            </w:pPr>
          </w:p>
        </w:tc>
        <w:tc>
          <w:tcPr>
            <w:tcW w:w="1818" w:type="dxa"/>
            <w:vMerge w:val="continue"/>
            <w:vAlign w:val="center"/>
          </w:tcPr>
          <w:p>
            <w:pPr>
              <w:pStyle w:val="51"/>
            </w:pPr>
          </w:p>
        </w:tc>
        <w:tc>
          <w:tcPr>
            <w:tcW w:w="1663"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5" w:type="dxa"/>
            <w:vAlign w:val="center"/>
          </w:tcPr>
          <w:p>
            <w:pPr>
              <w:pStyle w:val="51"/>
            </w:pPr>
            <w:r>
              <w:rPr>
                <w:rFonts w:hint="eastAsia"/>
              </w:rPr>
              <w:t>N3</w:t>
            </w:r>
          </w:p>
        </w:tc>
        <w:tc>
          <w:tcPr>
            <w:tcW w:w="2520" w:type="dxa"/>
            <w:vAlign w:val="center"/>
          </w:tcPr>
          <w:p>
            <w:pPr>
              <w:pStyle w:val="51"/>
            </w:pPr>
            <w:r>
              <w:rPr>
                <w:rFonts w:hint="eastAsia"/>
                <w:color w:val="000000"/>
                <w:szCs w:val="21"/>
              </w:rPr>
              <w:t xml:space="preserve">项目西厂界外 </w:t>
            </w:r>
            <w:r>
              <w:rPr>
                <w:rFonts w:cs="Times New Roman"/>
                <w:color w:val="000000"/>
                <w:szCs w:val="21"/>
              </w:rPr>
              <w:t xml:space="preserve">1m </w:t>
            </w:r>
            <w:r>
              <w:rPr>
                <w:rFonts w:hint="eastAsia"/>
                <w:color w:val="000000"/>
                <w:szCs w:val="21"/>
              </w:rPr>
              <w:t>处</w:t>
            </w:r>
          </w:p>
        </w:tc>
        <w:tc>
          <w:tcPr>
            <w:tcW w:w="1500" w:type="dxa"/>
            <w:vMerge w:val="continue"/>
            <w:vAlign w:val="center"/>
          </w:tcPr>
          <w:p>
            <w:pPr>
              <w:pStyle w:val="51"/>
            </w:pPr>
          </w:p>
        </w:tc>
        <w:tc>
          <w:tcPr>
            <w:tcW w:w="1818" w:type="dxa"/>
            <w:vMerge w:val="continue"/>
            <w:vAlign w:val="center"/>
          </w:tcPr>
          <w:p>
            <w:pPr>
              <w:pStyle w:val="51"/>
            </w:pPr>
          </w:p>
        </w:tc>
        <w:tc>
          <w:tcPr>
            <w:tcW w:w="1663"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5" w:type="dxa"/>
            <w:vAlign w:val="center"/>
          </w:tcPr>
          <w:p>
            <w:pPr>
              <w:pStyle w:val="51"/>
            </w:pPr>
            <w:r>
              <w:rPr>
                <w:rFonts w:hint="eastAsia"/>
              </w:rPr>
              <w:t>N4</w:t>
            </w:r>
          </w:p>
        </w:tc>
        <w:tc>
          <w:tcPr>
            <w:tcW w:w="2520" w:type="dxa"/>
            <w:vAlign w:val="center"/>
          </w:tcPr>
          <w:p>
            <w:pPr>
              <w:pStyle w:val="51"/>
            </w:pPr>
            <w:r>
              <w:rPr>
                <w:rFonts w:hint="eastAsia"/>
                <w:color w:val="000000"/>
                <w:szCs w:val="21"/>
              </w:rPr>
              <w:t xml:space="preserve">项目北厂界外 </w:t>
            </w:r>
            <w:r>
              <w:rPr>
                <w:rFonts w:cs="Times New Roman"/>
                <w:color w:val="000000"/>
                <w:szCs w:val="21"/>
              </w:rPr>
              <w:t xml:space="preserve">1m </w:t>
            </w:r>
            <w:r>
              <w:rPr>
                <w:rFonts w:hint="eastAsia"/>
                <w:color w:val="000000"/>
                <w:szCs w:val="21"/>
              </w:rPr>
              <w:t>处</w:t>
            </w:r>
          </w:p>
        </w:tc>
        <w:tc>
          <w:tcPr>
            <w:tcW w:w="1500" w:type="dxa"/>
            <w:vMerge w:val="continue"/>
            <w:vAlign w:val="center"/>
          </w:tcPr>
          <w:p>
            <w:pPr>
              <w:pStyle w:val="51"/>
            </w:pPr>
          </w:p>
        </w:tc>
        <w:tc>
          <w:tcPr>
            <w:tcW w:w="1818" w:type="dxa"/>
            <w:vMerge w:val="continue"/>
            <w:vAlign w:val="center"/>
          </w:tcPr>
          <w:p>
            <w:pPr>
              <w:pStyle w:val="51"/>
            </w:pPr>
          </w:p>
        </w:tc>
        <w:tc>
          <w:tcPr>
            <w:tcW w:w="1663" w:type="dxa"/>
            <w:vMerge w:val="continue"/>
            <w:vAlign w:val="center"/>
          </w:tcPr>
          <w:p>
            <w:pPr>
              <w:pStyle w:val="51"/>
            </w:pPr>
          </w:p>
        </w:tc>
      </w:tr>
    </w:tbl>
    <w:p>
      <w:pPr>
        <w:pStyle w:val="49"/>
        <w:ind w:firstLine="480"/>
      </w:pPr>
      <w:r>
        <w:rPr>
          <w:rFonts w:hint="eastAsia"/>
        </w:rPr>
        <w:t>2、监测结果统计分析</w:t>
      </w:r>
    </w:p>
    <w:p>
      <w:pPr>
        <w:pStyle w:val="49"/>
        <w:ind w:firstLine="480"/>
      </w:pPr>
      <w:r>
        <w:rPr>
          <w:rFonts w:hint="eastAsia"/>
        </w:rPr>
        <w:t>环境噪声监测及统计分析结果见表4.2-13。</w:t>
      </w:r>
    </w:p>
    <w:p>
      <w:pPr>
        <w:pStyle w:val="53"/>
      </w:pPr>
      <w:r>
        <w:t>表</w:t>
      </w:r>
      <w:r>
        <w:rPr>
          <w:rFonts w:hint="eastAsia"/>
        </w:rPr>
        <w:t>4.2</w:t>
      </w:r>
      <w:r>
        <w:t>-</w:t>
      </w:r>
      <w:r>
        <w:rPr>
          <w:rFonts w:hint="eastAsia"/>
        </w:rPr>
        <w:t>13</w:t>
      </w:r>
      <w:r>
        <w:t xml:space="preserve"> </w:t>
      </w:r>
      <w:r>
        <w:rPr>
          <w:rFonts w:hint="eastAsia"/>
        </w:rPr>
        <w:t>声环境质量现状监测结果 单位：dB(A)</w:t>
      </w:r>
    </w:p>
    <w:tbl>
      <w:tblPr>
        <w:tblStyle w:val="39"/>
        <w:tblW w:w="844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11"/>
        <w:gridCol w:w="1333"/>
        <w:gridCol w:w="1334"/>
        <w:gridCol w:w="1334"/>
        <w:gridCol w:w="13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111" w:type="dxa"/>
            <w:vMerge w:val="restart"/>
            <w:vAlign w:val="center"/>
          </w:tcPr>
          <w:p>
            <w:pPr>
              <w:pStyle w:val="51"/>
              <w:rPr>
                <w:highlight w:val="yellow"/>
              </w:rPr>
            </w:pPr>
            <w:r>
              <w:rPr>
                <w:rFonts w:hint="eastAsia"/>
              </w:rPr>
              <w:t>监测点位</w:t>
            </w:r>
          </w:p>
        </w:tc>
        <w:tc>
          <w:tcPr>
            <w:tcW w:w="2667" w:type="dxa"/>
            <w:gridSpan w:val="2"/>
            <w:vAlign w:val="center"/>
          </w:tcPr>
          <w:p>
            <w:pPr>
              <w:pStyle w:val="51"/>
            </w:pPr>
            <w:r>
              <w:rPr>
                <w:rFonts w:hint="eastAsia"/>
              </w:rPr>
              <w:t>2024.12.17</w:t>
            </w:r>
          </w:p>
        </w:tc>
        <w:tc>
          <w:tcPr>
            <w:tcW w:w="2668" w:type="dxa"/>
            <w:gridSpan w:val="2"/>
            <w:vAlign w:val="center"/>
          </w:tcPr>
          <w:p>
            <w:pPr>
              <w:pStyle w:val="51"/>
            </w:pPr>
            <w:r>
              <w:rPr>
                <w:rFonts w:hint="eastAsia"/>
              </w:rPr>
              <w:t>2024.12.18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3111" w:type="dxa"/>
            <w:vMerge w:val="continue"/>
            <w:vAlign w:val="center"/>
          </w:tcPr>
          <w:p>
            <w:pPr>
              <w:pStyle w:val="51"/>
              <w:rPr>
                <w:highlight w:val="yellow"/>
              </w:rPr>
            </w:pPr>
          </w:p>
        </w:tc>
        <w:tc>
          <w:tcPr>
            <w:tcW w:w="1333" w:type="dxa"/>
            <w:vAlign w:val="center"/>
          </w:tcPr>
          <w:p>
            <w:pPr>
              <w:pStyle w:val="51"/>
            </w:pPr>
            <w:r>
              <w:t>昼间</w:t>
            </w:r>
          </w:p>
        </w:tc>
        <w:tc>
          <w:tcPr>
            <w:tcW w:w="1334" w:type="dxa"/>
            <w:vAlign w:val="center"/>
          </w:tcPr>
          <w:p>
            <w:pPr>
              <w:pStyle w:val="51"/>
            </w:pPr>
            <w:r>
              <w:t>夜间</w:t>
            </w:r>
          </w:p>
        </w:tc>
        <w:tc>
          <w:tcPr>
            <w:tcW w:w="1334" w:type="dxa"/>
            <w:vAlign w:val="center"/>
          </w:tcPr>
          <w:p>
            <w:pPr>
              <w:pStyle w:val="51"/>
            </w:pPr>
            <w:r>
              <w:t>昼间</w:t>
            </w:r>
          </w:p>
        </w:tc>
        <w:tc>
          <w:tcPr>
            <w:tcW w:w="1334" w:type="dxa"/>
            <w:vAlign w:val="center"/>
          </w:tcPr>
          <w:p>
            <w:pPr>
              <w:pStyle w:val="51"/>
            </w:pPr>
            <w: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3111" w:type="dxa"/>
            <w:vAlign w:val="center"/>
          </w:tcPr>
          <w:p>
            <w:pPr>
              <w:pStyle w:val="51"/>
            </w:pPr>
            <w:r>
              <w:rPr>
                <w:rFonts w:hint="eastAsia"/>
                <w:color w:val="000000"/>
                <w:szCs w:val="21"/>
              </w:rPr>
              <w:t xml:space="preserve">N1 项目东厂界外 </w:t>
            </w:r>
            <w:r>
              <w:rPr>
                <w:rFonts w:cs="Times New Roman"/>
                <w:color w:val="000000"/>
                <w:szCs w:val="21"/>
              </w:rPr>
              <w:t xml:space="preserve">1m </w:t>
            </w:r>
            <w:r>
              <w:rPr>
                <w:rFonts w:hint="eastAsia"/>
                <w:color w:val="000000"/>
                <w:szCs w:val="21"/>
              </w:rPr>
              <w:t>处</w:t>
            </w:r>
          </w:p>
        </w:tc>
        <w:tc>
          <w:tcPr>
            <w:tcW w:w="1333" w:type="dxa"/>
            <w:vAlign w:val="center"/>
          </w:tcPr>
          <w:p>
            <w:pPr>
              <w:pStyle w:val="51"/>
            </w:pPr>
            <w:r>
              <w:rPr>
                <w:rFonts w:hint="eastAsia"/>
              </w:rPr>
              <w:t>54</w:t>
            </w:r>
          </w:p>
        </w:tc>
        <w:tc>
          <w:tcPr>
            <w:tcW w:w="1334" w:type="dxa"/>
            <w:vAlign w:val="center"/>
          </w:tcPr>
          <w:p>
            <w:pPr>
              <w:pStyle w:val="51"/>
            </w:pPr>
            <w:r>
              <w:rPr>
                <w:rFonts w:hint="eastAsia"/>
              </w:rPr>
              <w:t>46</w:t>
            </w:r>
          </w:p>
        </w:tc>
        <w:tc>
          <w:tcPr>
            <w:tcW w:w="1334" w:type="dxa"/>
            <w:vAlign w:val="center"/>
          </w:tcPr>
          <w:p>
            <w:pPr>
              <w:pStyle w:val="51"/>
            </w:pPr>
            <w:r>
              <w:rPr>
                <w:rFonts w:hint="eastAsia"/>
              </w:rPr>
              <w:t>51</w:t>
            </w:r>
          </w:p>
        </w:tc>
        <w:tc>
          <w:tcPr>
            <w:tcW w:w="1334" w:type="dxa"/>
            <w:vAlign w:val="center"/>
          </w:tcPr>
          <w:p>
            <w:pPr>
              <w:pStyle w:val="51"/>
            </w:pPr>
            <w:r>
              <w:rPr>
                <w:rFonts w:hint="eastAsia"/>
              </w:rPr>
              <w:t>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 w:hRule="atLeast"/>
          <w:jc w:val="center"/>
        </w:trPr>
        <w:tc>
          <w:tcPr>
            <w:tcW w:w="3111" w:type="dxa"/>
            <w:vAlign w:val="center"/>
          </w:tcPr>
          <w:p>
            <w:pPr>
              <w:pStyle w:val="51"/>
            </w:pPr>
            <w:r>
              <w:rPr>
                <w:rFonts w:hint="eastAsia"/>
                <w:color w:val="000000"/>
                <w:szCs w:val="21"/>
              </w:rPr>
              <w:t xml:space="preserve">N2 项目南厂界外 </w:t>
            </w:r>
            <w:r>
              <w:rPr>
                <w:rFonts w:cs="Times New Roman"/>
                <w:color w:val="000000"/>
                <w:szCs w:val="21"/>
              </w:rPr>
              <w:t xml:space="preserve">1m </w:t>
            </w:r>
            <w:r>
              <w:rPr>
                <w:rFonts w:hint="eastAsia"/>
                <w:color w:val="000000"/>
                <w:szCs w:val="21"/>
              </w:rPr>
              <w:t>处</w:t>
            </w:r>
          </w:p>
        </w:tc>
        <w:tc>
          <w:tcPr>
            <w:tcW w:w="1333" w:type="dxa"/>
            <w:vAlign w:val="center"/>
          </w:tcPr>
          <w:p>
            <w:pPr>
              <w:pStyle w:val="51"/>
            </w:pPr>
            <w:r>
              <w:rPr>
                <w:rFonts w:hint="eastAsia"/>
              </w:rPr>
              <w:t>52</w:t>
            </w:r>
          </w:p>
        </w:tc>
        <w:tc>
          <w:tcPr>
            <w:tcW w:w="1334" w:type="dxa"/>
            <w:vAlign w:val="center"/>
          </w:tcPr>
          <w:p>
            <w:pPr>
              <w:pStyle w:val="51"/>
            </w:pPr>
            <w:r>
              <w:rPr>
                <w:rFonts w:hint="eastAsia"/>
              </w:rPr>
              <w:t>46</w:t>
            </w:r>
          </w:p>
        </w:tc>
        <w:tc>
          <w:tcPr>
            <w:tcW w:w="1334" w:type="dxa"/>
            <w:vAlign w:val="center"/>
          </w:tcPr>
          <w:p>
            <w:pPr>
              <w:pStyle w:val="51"/>
            </w:pPr>
            <w:r>
              <w:rPr>
                <w:rFonts w:hint="eastAsia"/>
              </w:rPr>
              <w:t>55</w:t>
            </w:r>
          </w:p>
        </w:tc>
        <w:tc>
          <w:tcPr>
            <w:tcW w:w="1334" w:type="dxa"/>
            <w:vAlign w:val="center"/>
          </w:tcPr>
          <w:p>
            <w:pPr>
              <w:pStyle w:val="51"/>
            </w:pPr>
            <w:r>
              <w:rPr>
                <w:rFonts w:hint="eastAsia"/>
              </w:rPr>
              <w:t>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 w:hRule="atLeast"/>
          <w:jc w:val="center"/>
        </w:trPr>
        <w:tc>
          <w:tcPr>
            <w:tcW w:w="3111" w:type="dxa"/>
            <w:vAlign w:val="center"/>
          </w:tcPr>
          <w:p>
            <w:pPr>
              <w:pStyle w:val="51"/>
            </w:pPr>
            <w:r>
              <w:rPr>
                <w:rFonts w:hint="eastAsia"/>
                <w:color w:val="000000"/>
                <w:szCs w:val="21"/>
              </w:rPr>
              <w:t xml:space="preserve">N3 项目西厂界外 </w:t>
            </w:r>
            <w:r>
              <w:rPr>
                <w:rFonts w:cs="Times New Roman"/>
                <w:color w:val="000000"/>
                <w:szCs w:val="21"/>
              </w:rPr>
              <w:t xml:space="preserve">1m </w:t>
            </w:r>
            <w:r>
              <w:rPr>
                <w:rFonts w:hint="eastAsia"/>
                <w:color w:val="000000"/>
                <w:szCs w:val="21"/>
              </w:rPr>
              <w:t>处</w:t>
            </w:r>
          </w:p>
        </w:tc>
        <w:tc>
          <w:tcPr>
            <w:tcW w:w="1333" w:type="dxa"/>
            <w:vAlign w:val="center"/>
          </w:tcPr>
          <w:p>
            <w:pPr>
              <w:pStyle w:val="51"/>
            </w:pPr>
            <w:r>
              <w:rPr>
                <w:rFonts w:hint="eastAsia"/>
              </w:rPr>
              <w:t>50</w:t>
            </w:r>
          </w:p>
        </w:tc>
        <w:tc>
          <w:tcPr>
            <w:tcW w:w="1334" w:type="dxa"/>
            <w:vAlign w:val="center"/>
          </w:tcPr>
          <w:p>
            <w:pPr>
              <w:pStyle w:val="51"/>
            </w:pPr>
            <w:r>
              <w:rPr>
                <w:rFonts w:hint="eastAsia"/>
              </w:rPr>
              <w:t>43</w:t>
            </w:r>
          </w:p>
        </w:tc>
        <w:tc>
          <w:tcPr>
            <w:tcW w:w="1334" w:type="dxa"/>
            <w:vAlign w:val="center"/>
          </w:tcPr>
          <w:p>
            <w:pPr>
              <w:pStyle w:val="51"/>
            </w:pPr>
            <w:r>
              <w:rPr>
                <w:rFonts w:hint="eastAsia"/>
              </w:rPr>
              <w:t>53</w:t>
            </w:r>
          </w:p>
        </w:tc>
        <w:tc>
          <w:tcPr>
            <w:tcW w:w="1334" w:type="dxa"/>
            <w:vAlign w:val="center"/>
          </w:tcPr>
          <w:p>
            <w:pPr>
              <w:pStyle w:val="51"/>
            </w:pPr>
            <w:r>
              <w:rPr>
                <w:rFonts w:hint="eastAsia"/>
              </w:rPr>
              <w:t>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 w:hRule="atLeast"/>
          <w:jc w:val="center"/>
        </w:trPr>
        <w:tc>
          <w:tcPr>
            <w:tcW w:w="3111" w:type="dxa"/>
            <w:vAlign w:val="center"/>
          </w:tcPr>
          <w:p>
            <w:pPr>
              <w:pStyle w:val="51"/>
            </w:pPr>
            <w:r>
              <w:rPr>
                <w:rFonts w:hint="eastAsia"/>
                <w:color w:val="000000"/>
                <w:szCs w:val="21"/>
              </w:rPr>
              <w:t xml:space="preserve">N4 项目北厂界外 </w:t>
            </w:r>
            <w:r>
              <w:rPr>
                <w:rFonts w:cs="Times New Roman"/>
                <w:color w:val="000000"/>
                <w:szCs w:val="21"/>
              </w:rPr>
              <w:t xml:space="preserve">1m </w:t>
            </w:r>
            <w:r>
              <w:rPr>
                <w:rFonts w:hint="eastAsia"/>
                <w:color w:val="000000"/>
                <w:szCs w:val="21"/>
              </w:rPr>
              <w:t>处</w:t>
            </w:r>
          </w:p>
        </w:tc>
        <w:tc>
          <w:tcPr>
            <w:tcW w:w="1333" w:type="dxa"/>
            <w:vAlign w:val="center"/>
          </w:tcPr>
          <w:p>
            <w:pPr>
              <w:pStyle w:val="51"/>
            </w:pPr>
            <w:r>
              <w:rPr>
                <w:rFonts w:hint="eastAsia"/>
              </w:rPr>
              <w:t>55</w:t>
            </w:r>
          </w:p>
        </w:tc>
        <w:tc>
          <w:tcPr>
            <w:tcW w:w="1334" w:type="dxa"/>
            <w:vAlign w:val="center"/>
          </w:tcPr>
          <w:p>
            <w:pPr>
              <w:pStyle w:val="51"/>
            </w:pPr>
            <w:r>
              <w:rPr>
                <w:rFonts w:hint="eastAsia"/>
              </w:rPr>
              <w:t>47</w:t>
            </w:r>
          </w:p>
        </w:tc>
        <w:tc>
          <w:tcPr>
            <w:tcW w:w="1334" w:type="dxa"/>
            <w:vAlign w:val="center"/>
          </w:tcPr>
          <w:p>
            <w:pPr>
              <w:pStyle w:val="51"/>
            </w:pPr>
            <w:r>
              <w:rPr>
                <w:rFonts w:hint="eastAsia"/>
              </w:rPr>
              <w:t>52</w:t>
            </w:r>
          </w:p>
        </w:tc>
        <w:tc>
          <w:tcPr>
            <w:tcW w:w="1334" w:type="dxa"/>
            <w:vAlign w:val="center"/>
          </w:tcPr>
          <w:p>
            <w:pPr>
              <w:pStyle w:val="51"/>
            </w:pPr>
            <w:r>
              <w:rPr>
                <w:rFonts w:hint="eastAsia"/>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 w:hRule="atLeast"/>
          <w:jc w:val="center"/>
        </w:trPr>
        <w:tc>
          <w:tcPr>
            <w:tcW w:w="3111" w:type="dxa"/>
            <w:vAlign w:val="center"/>
          </w:tcPr>
          <w:p>
            <w:pPr>
              <w:pStyle w:val="51"/>
            </w:pPr>
            <w:r>
              <w:rPr>
                <w:rFonts w:hint="eastAsia"/>
              </w:rPr>
              <w:t>标准限值</w:t>
            </w:r>
          </w:p>
        </w:tc>
        <w:tc>
          <w:tcPr>
            <w:tcW w:w="1333" w:type="dxa"/>
            <w:vAlign w:val="center"/>
          </w:tcPr>
          <w:p>
            <w:pPr>
              <w:pStyle w:val="51"/>
            </w:pPr>
            <w:r>
              <w:rPr>
                <w:rFonts w:hint="eastAsia"/>
              </w:rPr>
              <w:t>60</w:t>
            </w:r>
          </w:p>
        </w:tc>
        <w:tc>
          <w:tcPr>
            <w:tcW w:w="1334" w:type="dxa"/>
            <w:vAlign w:val="center"/>
          </w:tcPr>
          <w:p>
            <w:pPr>
              <w:pStyle w:val="51"/>
            </w:pPr>
            <w:r>
              <w:rPr>
                <w:rFonts w:hint="eastAsia"/>
              </w:rPr>
              <w:t>50</w:t>
            </w:r>
          </w:p>
        </w:tc>
        <w:tc>
          <w:tcPr>
            <w:tcW w:w="1334" w:type="dxa"/>
            <w:vAlign w:val="center"/>
          </w:tcPr>
          <w:p>
            <w:pPr>
              <w:pStyle w:val="51"/>
            </w:pPr>
            <w:r>
              <w:rPr>
                <w:rFonts w:hint="eastAsia"/>
              </w:rPr>
              <w:t>60</w:t>
            </w:r>
          </w:p>
        </w:tc>
        <w:tc>
          <w:tcPr>
            <w:tcW w:w="1334" w:type="dxa"/>
            <w:vAlign w:val="center"/>
          </w:tcPr>
          <w:p>
            <w:pPr>
              <w:pStyle w:val="51"/>
            </w:pPr>
            <w:r>
              <w:rPr>
                <w:rFonts w:hint="eastAsia"/>
              </w:rPr>
              <w:t>50</w:t>
            </w:r>
          </w:p>
        </w:tc>
      </w:tr>
    </w:tbl>
    <w:p>
      <w:pPr>
        <w:pStyle w:val="49"/>
        <w:ind w:firstLine="480"/>
      </w:pPr>
      <w:r>
        <w:rPr>
          <w:rFonts w:hint="eastAsia"/>
        </w:rPr>
        <w:t>由上表可知，本项目厂界四周昼夜噪声级均可满足《声环境质量标准》（</w:t>
      </w:r>
      <w:r>
        <w:rPr>
          <w:rFonts w:cs="Times New Roman"/>
        </w:rPr>
        <w:t>GB3096-2008</w:t>
      </w:r>
      <w:r>
        <w:rPr>
          <w:rFonts w:hint="eastAsia"/>
        </w:rPr>
        <w:t xml:space="preserve">）中的 </w:t>
      </w:r>
      <w:r>
        <w:rPr>
          <w:rFonts w:hint="eastAsia" w:cs="Times New Roman"/>
        </w:rPr>
        <w:t>2</w:t>
      </w:r>
      <w:r>
        <w:rPr>
          <w:rFonts w:cs="Times New Roman"/>
        </w:rPr>
        <w:t xml:space="preserve"> </w:t>
      </w:r>
      <w:r>
        <w:rPr>
          <w:rFonts w:hint="eastAsia"/>
        </w:rPr>
        <w:t>类区标准。</w:t>
      </w:r>
    </w:p>
    <w:p>
      <w:pPr>
        <w:pStyle w:val="4"/>
      </w:pPr>
      <w:bookmarkStart w:id="178" w:name="_Toc194481173"/>
      <w:r>
        <w:t>4.</w:t>
      </w:r>
      <w:r>
        <w:rPr>
          <w:rFonts w:hint="eastAsia"/>
        </w:rPr>
        <w:t>2</w:t>
      </w:r>
      <w:r>
        <w:t>.</w:t>
      </w:r>
      <w:r>
        <w:rPr>
          <w:rFonts w:hint="eastAsia"/>
        </w:rPr>
        <w:t>6</w:t>
      </w:r>
      <w:r>
        <w:t xml:space="preserve"> </w:t>
      </w:r>
      <w:r>
        <w:rPr>
          <w:rFonts w:hint="eastAsia"/>
        </w:rPr>
        <w:t>生态环境现状调查与评价</w:t>
      </w:r>
      <w:bookmarkEnd w:id="178"/>
    </w:p>
    <w:p>
      <w:pPr>
        <w:pStyle w:val="82"/>
        <w:ind w:firstLine="480"/>
        <w:rPr>
          <w:szCs w:val="24"/>
        </w:rPr>
      </w:pPr>
      <w:r>
        <w:rPr>
          <w:rFonts w:hint="eastAsia"/>
          <w:kern w:val="2"/>
          <w:szCs w:val="24"/>
        </w:rPr>
        <w:t>本项目位于</w:t>
      </w:r>
      <w:r>
        <w:rPr>
          <w:rFonts w:hint="eastAsia"/>
        </w:rPr>
        <w:t>永州市冷水滩区岚角山街道飞跃村、高桥头村</w:t>
      </w:r>
      <w:r>
        <w:rPr>
          <w:rFonts w:hint="eastAsia"/>
          <w:kern w:val="2"/>
          <w:szCs w:val="24"/>
        </w:rPr>
        <w:t>，区域内生态环境与冷水滩区内大部分生态环境类似，评价范围内无自然保护区、风景名胜区等需要特别保护的区域，未发现历史文物古迹和人文景观，无国家明文规定的珍稀动、植物物种和群落。本项目生态环境评价等级为三级评价，以收集资料为主。区域内土地利用现状主要为林地</w:t>
      </w:r>
      <w:r>
        <w:rPr>
          <w:szCs w:val="24"/>
        </w:rPr>
        <w:t>，主要植被为乔木、灌木、杂草，乔木主要树种松树、杉木、樟树等；草本植物有芭茅、丝茅、狗尾草等，植被覆盖率较高。区域内动物主要有村民蓄养的牛、马等家畜，鸡、鸭等家禽和田间青蛙及麻雀、喜鹊、燕子等各种常见鸟类；区内属典型的农村生态环境，长期处于人类活动的地方。</w:t>
      </w:r>
    </w:p>
    <w:p>
      <w:pPr>
        <w:pStyle w:val="4"/>
        <w:rPr>
          <w:kern w:val="2"/>
          <w:szCs w:val="28"/>
        </w:rPr>
      </w:pPr>
      <w:bookmarkStart w:id="179" w:name="_Toc194481174"/>
      <w:r>
        <w:t>4.</w:t>
      </w:r>
      <w:r>
        <w:rPr>
          <w:rFonts w:hint="eastAsia"/>
        </w:rPr>
        <w:t>2</w:t>
      </w:r>
      <w:r>
        <w:t>.</w:t>
      </w:r>
      <w:r>
        <w:rPr>
          <w:rFonts w:hint="eastAsia"/>
        </w:rPr>
        <w:t xml:space="preserve">7 </w:t>
      </w:r>
      <w:r>
        <w:rPr>
          <w:kern w:val="2"/>
          <w:szCs w:val="28"/>
        </w:rPr>
        <w:t>区域污染源调查</w:t>
      </w:r>
      <w:bookmarkEnd w:id="179"/>
    </w:p>
    <w:p>
      <w:pPr>
        <w:pStyle w:val="49"/>
        <w:ind w:firstLine="480"/>
      </w:pPr>
      <w:r>
        <w:rPr>
          <w:rFonts w:hint="eastAsia"/>
          <w:kern w:val="2"/>
        </w:rPr>
        <w:t>本项目位于</w:t>
      </w:r>
      <w:r>
        <w:rPr>
          <w:rFonts w:hint="eastAsia"/>
        </w:rPr>
        <w:t>永州市冷水滩区岚角山街道飞跃村、高桥头村</w:t>
      </w:r>
      <w:r>
        <w:rPr>
          <w:rFonts w:hint="eastAsia"/>
          <w:kern w:val="2"/>
        </w:rPr>
        <w:t>，项目周边无工业企业，主要污染源为农业面源。根据现状监测结果，项目周边区域大气环境、地表水环境、地下水环境、土壤环境、声环境均满足相关环境质量标准，农业面源未造成区域环境污染。</w:t>
      </w:r>
    </w:p>
    <w:p>
      <w:pPr>
        <w:pStyle w:val="2"/>
        <w:jc w:val="center"/>
        <w:rPr>
          <w:sz w:val="44"/>
          <w:szCs w:val="56"/>
        </w:rPr>
      </w:pPr>
      <w:bookmarkStart w:id="180" w:name="_Toc194481175"/>
      <w:r>
        <w:rPr>
          <w:rFonts w:hint="eastAsia"/>
          <w:sz w:val="44"/>
          <w:szCs w:val="56"/>
        </w:rPr>
        <w:t>第5章 环境影响预测与评价</w:t>
      </w:r>
      <w:bookmarkEnd w:id="180"/>
    </w:p>
    <w:p>
      <w:pPr>
        <w:pStyle w:val="3"/>
      </w:pPr>
      <w:bookmarkStart w:id="181" w:name="_Toc194481176"/>
      <w:r>
        <w:rPr>
          <w:rFonts w:hint="eastAsia"/>
        </w:rPr>
        <w:t>5</w:t>
      </w:r>
      <w:r>
        <w:t xml:space="preserve">.1 </w:t>
      </w:r>
      <w:r>
        <w:rPr>
          <w:color w:val="000000"/>
        </w:rPr>
        <w:t>施工期环境影响分析</w:t>
      </w:r>
      <w:bookmarkEnd w:id="181"/>
    </w:p>
    <w:p>
      <w:pPr>
        <w:pStyle w:val="4"/>
      </w:pPr>
      <w:bookmarkStart w:id="182" w:name="_Toc194481177"/>
      <w:r>
        <w:rPr>
          <w:rFonts w:hint="eastAsia"/>
        </w:rPr>
        <w:t>5</w:t>
      </w:r>
      <w:r>
        <w:t>.</w:t>
      </w:r>
      <w:r>
        <w:rPr>
          <w:rFonts w:hint="eastAsia"/>
        </w:rPr>
        <w:t>1</w:t>
      </w:r>
      <w:r>
        <w:t xml:space="preserve">.1 </w:t>
      </w:r>
      <w:r>
        <w:rPr>
          <w:rFonts w:hint="eastAsia"/>
        </w:rPr>
        <w:t>施工期</w:t>
      </w:r>
      <w:r>
        <w:t>大气环境影响分析</w:t>
      </w:r>
      <w:bookmarkEnd w:id="182"/>
    </w:p>
    <w:p>
      <w:pPr>
        <w:pStyle w:val="82"/>
        <w:ind w:firstLine="480"/>
      </w:pPr>
      <w:r>
        <w:rPr>
          <w:rFonts w:hint="eastAsia"/>
        </w:rPr>
        <w:t>本项目施工废气包括施工扬尘、施工机械燃油废气、装修废气等。</w:t>
      </w:r>
    </w:p>
    <w:p>
      <w:pPr>
        <w:pStyle w:val="49"/>
        <w:ind w:firstLine="480"/>
      </w:pPr>
      <w:r>
        <w:rPr>
          <w:rFonts w:hint="eastAsia"/>
        </w:rPr>
        <w:t>1、施工扬尘的影响分析</w:t>
      </w:r>
    </w:p>
    <w:p>
      <w:pPr>
        <w:pStyle w:val="49"/>
        <w:ind w:firstLine="480"/>
      </w:pPr>
      <w:r>
        <w:rPr>
          <w:rFonts w:hint="eastAsia" w:ascii="宋体" w:hAnsi="宋体"/>
        </w:rPr>
        <w:t>①施工场地内扬尘</w:t>
      </w:r>
    </w:p>
    <w:p>
      <w:pPr>
        <w:pStyle w:val="49"/>
        <w:ind w:firstLine="480"/>
      </w:pPr>
      <w:r>
        <w:rPr>
          <w:rFonts w:hint="eastAsia"/>
        </w:rPr>
        <w:t>由于建设项目所在区域的空气湿度比较大，因此扬尘的产生量低，影响范围也比较小，受到施工扬尘影响的区域主要是在施工场地的范围内，场地下风向也将受到一定的影响。</w:t>
      </w:r>
    </w:p>
    <w:p>
      <w:pPr>
        <w:pStyle w:val="82"/>
        <w:ind w:firstLine="480"/>
      </w:pPr>
      <w:r>
        <w:rPr>
          <w:rFonts w:hint="eastAsia"/>
        </w:rPr>
        <w:t>根据现场的气候不同， 施工扬尘影响范围也略有不同。一般气象条件下， 扬尘的影响范围主要集中在工地围墙外</w:t>
      </w:r>
      <w:r>
        <w:t xml:space="preserve">100m </w:t>
      </w:r>
      <w:r>
        <w:rPr>
          <w:rFonts w:hint="eastAsia"/>
        </w:rPr>
        <w:t xml:space="preserve">内，类比建筑施工工地的调查情况，未采取任何防护措施的情况下，施工粉尘对下风向的影响最为显著，影响范围大致在其下风向 </w:t>
      </w:r>
      <w:r>
        <w:t xml:space="preserve">150m </w:t>
      </w:r>
      <w:r>
        <w:rPr>
          <w:rFonts w:hint="eastAsia"/>
        </w:rPr>
        <w:t xml:space="preserve">范围之内，下风向 </w:t>
      </w:r>
      <w:r>
        <w:t xml:space="preserve">0~50m </w:t>
      </w:r>
      <w:r>
        <w:rPr>
          <w:rFonts w:hint="eastAsia"/>
        </w:rPr>
        <w:t>为重污染带、</w:t>
      </w:r>
      <w:r>
        <w:t xml:space="preserve">50~100m </w:t>
      </w:r>
      <w:r>
        <w:rPr>
          <w:rFonts w:hint="eastAsia"/>
        </w:rPr>
        <w:t>为较重污染带、</w:t>
      </w:r>
      <w:r>
        <w:t xml:space="preserve">100~150m </w:t>
      </w:r>
      <w:r>
        <w:rPr>
          <w:rFonts w:hint="eastAsia"/>
        </w:rPr>
        <w:t>为轻污染带，</w:t>
      </w:r>
      <w:r>
        <w:t>150m</w:t>
      </w:r>
      <w:r>
        <w:rPr>
          <w:rFonts w:hint="eastAsia"/>
        </w:rPr>
        <w:t xml:space="preserve">以外影响甚微。项目施工场地周边 </w:t>
      </w:r>
      <w:r>
        <w:t xml:space="preserve">150m </w:t>
      </w:r>
      <w:r>
        <w:rPr>
          <w:rFonts w:hint="eastAsia"/>
        </w:rPr>
        <w:t>范围内有居民点分布，因此，建设单位应引起注意，加强管理，以减少施工粉尘对周边敏感点的影响。项目施工扬尘对环境空气质量的影响是暂时的，施工结束后，影响随之消失。</w:t>
      </w:r>
    </w:p>
    <w:p>
      <w:pPr>
        <w:pStyle w:val="82"/>
        <w:ind w:firstLine="480"/>
        <w:rPr>
          <w:rFonts w:hint="eastAsia" w:ascii="宋体" w:hAnsi="宋体" w:cs="宋体"/>
        </w:rPr>
      </w:pPr>
      <w:r>
        <w:rPr>
          <w:rFonts w:hint="eastAsia" w:ascii="宋体" w:hAnsi="宋体" w:cs="宋体"/>
        </w:rPr>
        <w:t>②施工工地运输车辆行驶扬尘</w:t>
      </w:r>
    </w:p>
    <w:p>
      <w:pPr>
        <w:pStyle w:val="82"/>
        <w:ind w:firstLine="480"/>
        <w:rPr>
          <w:rFonts w:hint="eastAsia" w:ascii="宋体" w:hAnsi="宋体" w:cs="宋体"/>
        </w:rPr>
      </w:pPr>
      <w:r>
        <w:rPr>
          <w:rFonts w:hint="eastAsia"/>
        </w:rPr>
        <w:t>施工期运输车辆扬尘对环境空气的影响， 随着气象条件的不同、管理手段</w:t>
      </w:r>
      <w:r>
        <w:rPr>
          <w:rFonts w:hint="eastAsia" w:ascii="宋体" w:hAnsi="宋体" w:cs="宋体"/>
        </w:rPr>
        <w:t xml:space="preserve">上的差异，将有所不同。从表 </w:t>
      </w:r>
      <w:r>
        <w:rPr>
          <w:rFonts w:hint="eastAsia"/>
        </w:rPr>
        <w:t>5.1</w:t>
      </w:r>
      <w:r>
        <w:t>-</w:t>
      </w:r>
      <w:r>
        <w:rPr>
          <w:rFonts w:hint="eastAsia"/>
        </w:rPr>
        <w:t>1</w:t>
      </w:r>
      <w:r>
        <w:t xml:space="preserve"> </w:t>
      </w:r>
      <w:r>
        <w:rPr>
          <w:rFonts w:hint="eastAsia" w:ascii="宋体" w:hAnsi="宋体" w:cs="宋体"/>
        </w:rPr>
        <w:t>可见，在同样的路面条件下，车速越快，扬尘量越大，在同样的车速情况下，路面粉尘越大，扬尘量越大。因此，限制施工车辆速度和保持路面清洁是减小扬尘的有效手段。据资料，若在施工期间对车辆行驶的路面实施洒水抑尘（每天洒水</w:t>
      </w:r>
      <w:r>
        <w:t xml:space="preserve">4~5 </w:t>
      </w:r>
      <w:r>
        <w:rPr>
          <w:rFonts w:hint="eastAsia" w:ascii="宋体" w:hAnsi="宋体" w:cs="宋体"/>
        </w:rPr>
        <w:t>次），可使扬尘减少</w:t>
      </w:r>
      <w:r>
        <w:t>50%~70%</w:t>
      </w:r>
      <w:r>
        <w:rPr>
          <w:rFonts w:hint="eastAsia" w:ascii="宋体" w:hAnsi="宋体" w:cs="宋体"/>
        </w:rPr>
        <w:t>左右，洒水抑尘的试验结果见下表。</w:t>
      </w:r>
    </w:p>
    <w:p>
      <w:pPr>
        <w:pStyle w:val="53"/>
        <w:rPr>
          <w:rFonts w:cs="Times New Roman"/>
          <w:szCs w:val="21"/>
        </w:rPr>
      </w:pPr>
      <w:r>
        <w:rPr>
          <w:rFonts w:hint="eastAsia"/>
        </w:rPr>
        <w:t xml:space="preserve">表 </w:t>
      </w:r>
      <w:r>
        <w:rPr>
          <w:rFonts w:cs="Times New Roman"/>
        </w:rPr>
        <w:t xml:space="preserve">5.1-1 </w:t>
      </w:r>
      <w:r>
        <w:rPr>
          <w:rFonts w:hint="eastAsia"/>
        </w:rPr>
        <w:t xml:space="preserve">洒水路面扬尘监测结果表 单位： </w:t>
      </w:r>
      <w:r>
        <w:rPr>
          <w:rFonts w:cs="Times New Roman"/>
        </w:rPr>
        <w:t>mg/m</w:t>
      </w:r>
      <w:r>
        <w:rPr>
          <w:rFonts w:cs="Times New Roman"/>
          <w:szCs w:val="21"/>
          <w:vertAlign w:val="superscript"/>
        </w:rPr>
        <w:t>3</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gridSpan w:val="2"/>
            <w:vAlign w:val="center"/>
          </w:tcPr>
          <w:p>
            <w:pPr>
              <w:pStyle w:val="51"/>
            </w:pPr>
            <w:r>
              <w:rPr>
                <w:rFonts w:hint="eastAsia"/>
              </w:rPr>
              <w:t>距离（m）</w:t>
            </w:r>
          </w:p>
        </w:tc>
        <w:tc>
          <w:tcPr>
            <w:tcW w:w="1420" w:type="dxa"/>
            <w:vAlign w:val="center"/>
          </w:tcPr>
          <w:p>
            <w:pPr>
              <w:pStyle w:val="51"/>
            </w:pPr>
            <w:r>
              <w:rPr>
                <w:rFonts w:hint="eastAsia"/>
              </w:rPr>
              <w:t>5</w:t>
            </w:r>
          </w:p>
        </w:tc>
        <w:tc>
          <w:tcPr>
            <w:tcW w:w="1420" w:type="dxa"/>
            <w:vAlign w:val="center"/>
          </w:tcPr>
          <w:p>
            <w:pPr>
              <w:pStyle w:val="51"/>
            </w:pPr>
            <w:r>
              <w:rPr>
                <w:rFonts w:hint="eastAsia"/>
              </w:rPr>
              <w:t>20</w:t>
            </w:r>
          </w:p>
        </w:tc>
        <w:tc>
          <w:tcPr>
            <w:tcW w:w="1421" w:type="dxa"/>
            <w:vAlign w:val="center"/>
          </w:tcPr>
          <w:p>
            <w:pPr>
              <w:pStyle w:val="51"/>
            </w:pPr>
            <w:r>
              <w:rPr>
                <w:rFonts w:hint="eastAsia"/>
              </w:rPr>
              <w:t>50</w:t>
            </w:r>
          </w:p>
        </w:tc>
        <w:tc>
          <w:tcPr>
            <w:tcW w:w="1421" w:type="dxa"/>
            <w:vAlign w:val="center"/>
          </w:tcPr>
          <w:p>
            <w:pPr>
              <w:pStyle w:val="51"/>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51"/>
            </w:pPr>
            <w:r>
              <w:rPr>
                <w:rFonts w:hint="eastAsia"/>
              </w:rPr>
              <w:t>TSP小时平均浓度</w:t>
            </w:r>
          </w:p>
        </w:tc>
        <w:tc>
          <w:tcPr>
            <w:tcW w:w="1420" w:type="dxa"/>
            <w:vAlign w:val="center"/>
          </w:tcPr>
          <w:p>
            <w:pPr>
              <w:pStyle w:val="51"/>
            </w:pPr>
            <w:r>
              <w:rPr>
                <w:rFonts w:hint="eastAsia"/>
              </w:rPr>
              <w:t>不洒水</w:t>
            </w:r>
          </w:p>
        </w:tc>
        <w:tc>
          <w:tcPr>
            <w:tcW w:w="1420" w:type="dxa"/>
            <w:vAlign w:val="center"/>
          </w:tcPr>
          <w:p>
            <w:pPr>
              <w:pStyle w:val="51"/>
            </w:pPr>
            <w:r>
              <w:rPr>
                <w:rFonts w:hint="eastAsia"/>
              </w:rPr>
              <w:t>10.14</w:t>
            </w:r>
          </w:p>
        </w:tc>
        <w:tc>
          <w:tcPr>
            <w:tcW w:w="1420" w:type="dxa"/>
            <w:vAlign w:val="center"/>
          </w:tcPr>
          <w:p>
            <w:pPr>
              <w:pStyle w:val="51"/>
            </w:pPr>
            <w:r>
              <w:rPr>
                <w:rFonts w:hint="eastAsia"/>
              </w:rPr>
              <w:t>2.89</w:t>
            </w:r>
          </w:p>
        </w:tc>
        <w:tc>
          <w:tcPr>
            <w:tcW w:w="1421" w:type="dxa"/>
            <w:vAlign w:val="center"/>
          </w:tcPr>
          <w:p>
            <w:pPr>
              <w:pStyle w:val="51"/>
            </w:pPr>
            <w:r>
              <w:rPr>
                <w:rFonts w:hint="eastAsia"/>
              </w:rPr>
              <w:t>1.15</w:t>
            </w:r>
          </w:p>
        </w:tc>
        <w:tc>
          <w:tcPr>
            <w:tcW w:w="1421" w:type="dxa"/>
            <w:vAlign w:val="center"/>
          </w:tcPr>
          <w:p>
            <w:pPr>
              <w:pStyle w:val="51"/>
            </w:pPr>
            <w:r>
              <w:rPr>
                <w:rFonts w:hint="eastAsia"/>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pPr>
          </w:p>
        </w:tc>
        <w:tc>
          <w:tcPr>
            <w:tcW w:w="1420" w:type="dxa"/>
            <w:vAlign w:val="center"/>
          </w:tcPr>
          <w:p>
            <w:pPr>
              <w:pStyle w:val="51"/>
            </w:pPr>
            <w:r>
              <w:rPr>
                <w:rFonts w:hint="eastAsia"/>
              </w:rPr>
              <w:t>洒水</w:t>
            </w:r>
          </w:p>
        </w:tc>
        <w:tc>
          <w:tcPr>
            <w:tcW w:w="1420" w:type="dxa"/>
            <w:vAlign w:val="center"/>
          </w:tcPr>
          <w:p>
            <w:pPr>
              <w:pStyle w:val="51"/>
            </w:pPr>
            <w:r>
              <w:rPr>
                <w:rFonts w:hint="eastAsia"/>
              </w:rPr>
              <w:t>2.01</w:t>
            </w:r>
          </w:p>
        </w:tc>
        <w:tc>
          <w:tcPr>
            <w:tcW w:w="1420" w:type="dxa"/>
            <w:vAlign w:val="center"/>
          </w:tcPr>
          <w:p>
            <w:pPr>
              <w:pStyle w:val="51"/>
            </w:pPr>
            <w:r>
              <w:rPr>
                <w:rFonts w:hint="eastAsia"/>
              </w:rPr>
              <w:t>1.40</w:t>
            </w:r>
          </w:p>
        </w:tc>
        <w:tc>
          <w:tcPr>
            <w:tcW w:w="1421" w:type="dxa"/>
            <w:vAlign w:val="center"/>
          </w:tcPr>
          <w:p>
            <w:pPr>
              <w:pStyle w:val="51"/>
            </w:pPr>
            <w:r>
              <w:rPr>
                <w:rFonts w:hint="eastAsia"/>
              </w:rPr>
              <w:t>0.67</w:t>
            </w:r>
          </w:p>
        </w:tc>
        <w:tc>
          <w:tcPr>
            <w:tcW w:w="1421" w:type="dxa"/>
            <w:vAlign w:val="center"/>
          </w:tcPr>
          <w:p>
            <w:pPr>
              <w:pStyle w:val="51"/>
            </w:pPr>
            <w:r>
              <w:rPr>
                <w:rFonts w:hint="eastAsia"/>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40" w:type="dxa"/>
            <w:gridSpan w:val="2"/>
            <w:vAlign w:val="center"/>
          </w:tcPr>
          <w:p>
            <w:pPr>
              <w:pStyle w:val="51"/>
            </w:pPr>
            <w:r>
              <w:rPr>
                <w:rFonts w:hint="eastAsia"/>
              </w:rPr>
              <w:t>衰减率（%）</w:t>
            </w:r>
          </w:p>
        </w:tc>
        <w:tc>
          <w:tcPr>
            <w:tcW w:w="1420" w:type="dxa"/>
            <w:vAlign w:val="center"/>
          </w:tcPr>
          <w:p>
            <w:pPr>
              <w:pStyle w:val="51"/>
            </w:pPr>
            <w:r>
              <w:rPr>
                <w:rFonts w:hint="eastAsia"/>
              </w:rPr>
              <w:t>80.2</w:t>
            </w:r>
          </w:p>
        </w:tc>
        <w:tc>
          <w:tcPr>
            <w:tcW w:w="1420" w:type="dxa"/>
            <w:vAlign w:val="center"/>
          </w:tcPr>
          <w:p>
            <w:pPr>
              <w:pStyle w:val="51"/>
            </w:pPr>
            <w:r>
              <w:rPr>
                <w:rFonts w:hint="eastAsia"/>
              </w:rPr>
              <w:t>51.6</w:t>
            </w:r>
          </w:p>
        </w:tc>
        <w:tc>
          <w:tcPr>
            <w:tcW w:w="1421" w:type="dxa"/>
            <w:vAlign w:val="center"/>
          </w:tcPr>
          <w:p>
            <w:pPr>
              <w:pStyle w:val="51"/>
            </w:pPr>
            <w:r>
              <w:rPr>
                <w:rFonts w:hint="eastAsia"/>
              </w:rPr>
              <w:t>41.7</w:t>
            </w:r>
          </w:p>
        </w:tc>
        <w:tc>
          <w:tcPr>
            <w:tcW w:w="1421" w:type="dxa"/>
            <w:vAlign w:val="center"/>
          </w:tcPr>
          <w:p>
            <w:pPr>
              <w:pStyle w:val="51"/>
            </w:pPr>
            <w:r>
              <w:rPr>
                <w:rFonts w:hint="eastAsia"/>
              </w:rPr>
              <w:t>30.2</w:t>
            </w:r>
          </w:p>
        </w:tc>
      </w:tr>
    </w:tbl>
    <w:p>
      <w:pPr>
        <w:pStyle w:val="49"/>
        <w:ind w:firstLine="480"/>
      </w:pPr>
      <w:r>
        <w:rPr>
          <w:rFonts w:hint="eastAsia"/>
        </w:rPr>
        <w:t xml:space="preserve">由上表可知，洒水抑尘可以使运输车辆行驶扬尘在 </w:t>
      </w:r>
      <w:r>
        <w:rPr>
          <w:rFonts w:cs="Times New Roman"/>
        </w:rPr>
        <w:t xml:space="preserve">20~50m </w:t>
      </w:r>
      <w:r>
        <w:rPr>
          <w:rFonts w:hint="eastAsia"/>
        </w:rPr>
        <w:t>的距离内接近和达到</w:t>
      </w:r>
      <w:bookmarkStart w:id="183" w:name="_Hlk172557892"/>
      <w:r>
        <w:rPr>
          <w:rFonts w:hint="eastAsia"/>
        </w:rPr>
        <w:t>《大气污染物综合排放标准》（</w:t>
      </w:r>
      <w:r>
        <w:rPr>
          <w:rFonts w:cs="Times New Roman"/>
        </w:rPr>
        <w:t>GB16297- 1996</w:t>
      </w:r>
      <w:r>
        <w:rPr>
          <w:rFonts w:hint="eastAsia"/>
        </w:rPr>
        <w:t>）中无组织排放监控浓度限值要求</w:t>
      </w:r>
      <w:r>
        <w:rPr>
          <w:rFonts w:cs="Times New Roman"/>
        </w:rPr>
        <w:t>1.0mg/m</w:t>
      </w:r>
      <w:r>
        <w:rPr>
          <w:rFonts w:cs="Times New Roman"/>
          <w:sz w:val="21"/>
          <w:szCs w:val="21"/>
          <w:vertAlign w:val="superscript"/>
        </w:rPr>
        <w:t>3</w:t>
      </w:r>
      <w:r>
        <w:rPr>
          <w:rFonts w:hint="eastAsia"/>
        </w:rPr>
        <w:t>（周界外浓度最高点）。</w:t>
      </w:r>
      <w:bookmarkEnd w:id="183"/>
      <w:r>
        <w:rPr>
          <w:rFonts w:hint="eastAsia"/>
        </w:rPr>
        <w:t>环评要求建筑材料运输过程中应确实按照城市扬尘防治规范等相关规定落实好运输车辆的保洁、遮盖等防尘措施，建筑材料的装车不宜过满，并应加盖封闭，在运输过程中做到不洒落尘土，并注 意减速慢行及适当对路面进行洒水降尘， 在采取这些措施后，运输车辆行驶扬尘对环境的影响是可接受的。</w:t>
      </w:r>
    </w:p>
    <w:p>
      <w:pPr>
        <w:pStyle w:val="82"/>
        <w:ind w:firstLine="480"/>
        <w:rPr>
          <w:rFonts w:hint="eastAsia" w:ascii="宋体" w:hAnsi="宋体" w:cs="宋体"/>
        </w:rPr>
      </w:pPr>
      <w:r>
        <w:rPr>
          <w:rFonts w:hint="eastAsia" w:ascii="宋体" w:hAnsi="宋体" w:cs="宋体"/>
        </w:rPr>
        <w:t>③堆场扬尘</w:t>
      </w:r>
    </w:p>
    <w:p>
      <w:pPr>
        <w:pStyle w:val="49"/>
        <w:ind w:firstLine="480"/>
      </w:pPr>
      <w:r>
        <w:rPr>
          <w:rFonts w:hint="eastAsia"/>
        </w:rPr>
        <w:t>堆场扬尘主要为施工建筑材料和临时堆土由于堆积、装卸操作以及风作用等造成的扬尘。项目应做好施工建筑材料和临时堆土临时堆放，合理安排堆垛位置，并在其周围设置不低于堆放物高度的封闭性围拦，必要时在堆垛表面掺和外加剂或喷洒润滑剂使材料稳定，减少起尘量；采取加盖蓬布等表面抑尘措施；在装卸前先冲洗干净，减少车轮、底盘等携带泥土散落路面等措施后对周围环境影响较小。</w:t>
      </w:r>
    </w:p>
    <w:p>
      <w:pPr>
        <w:pStyle w:val="49"/>
        <w:ind w:firstLine="480"/>
      </w:pPr>
      <w:r>
        <w:rPr>
          <w:rFonts w:hint="eastAsia"/>
        </w:rPr>
        <w:t>2、施工机械燃油废气的影响分析</w:t>
      </w:r>
    </w:p>
    <w:p>
      <w:pPr>
        <w:pStyle w:val="49"/>
        <w:ind w:firstLine="480"/>
      </w:pPr>
      <w:r>
        <w:rPr>
          <w:rFonts w:hint="eastAsia"/>
        </w:rPr>
        <w:t xml:space="preserve">施工车辆以及挖掘机、装载机、推土机等燃油机械设备，会产生含 </w:t>
      </w:r>
      <w:r>
        <w:rPr>
          <w:rFonts w:cs="Times New Roman"/>
        </w:rPr>
        <w:t>CO</w:t>
      </w:r>
      <w:r>
        <w:rPr>
          <w:rFonts w:hint="eastAsia"/>
        </w:rPr>
        <w:t>、</w:t>
      </w:r>
      <w:r>
        <w:rPr>
          <w:rFonts w:cs="Times New Roman"/>
        </w:rPr>
        <w:t>THC</w:t>
      </w:r>
      <w:r>
        <w:rPr>
          <w:rFonts w:hint="eastAsia"/>
        </w:rPr>
        <w:t>、</w:t>
      </w:r>
      <w:r>
        <w:rPr>
          <w:rFonts w:cs="Times New Roman"/>
        </w:rPr>
        <w:t xml:space="preserve">NOx </w:t>
      </w:r>
      <w:r>
        <w:rPr>
          <w:rFonts w:hint="eastAsia"/>
        </w:rPr>
        <w:t>等污染物的燃油废气，此类机械设备的燃油废气污染物排放量较小，并且施工设备主要在露天作业，大气扩散条件较好，对环境空气影响较小。</w:t>
      </w:r>
    </w:p>
    <w:p>
      <w:pPr>
        <w:pStyle w:val="49"/>
        <w:ind w:firstLine="480"/>
        <w:rPr>
          <w:color w:val="000000"/>
        </w:rPr>
      </w:pPr>
      <w:r>
        <w:rPr>
          <w:rFonts w:hint="eastAsia"/>
        </w:rPr>
        <w:t>3、</w:t>
      </w:r>
      <w:r>
        <w:rPr>
          <w:rFonts w:hint="eastAsia"/>
          <w:color w:val="000000"/>
        </w:rPr>
        <w:t>装修涂料挥发废气的影响分析</w:t>
      </w:r>
    </w:p>
    <w:p>
      <w:pPr>
        <w:pStyle w:val="49"/>
        <w:ind w:firstLine="480"/>
      </w:pPr>
      <w:r>
        <w:rPr>
          <w:rFonts w:hint="eastAsia"/>
        </w:rPr>
        <w:t>装修阶段的涂料挥发有机废气量，与涂料成分和用量有关。该有机废气为无组织排放，主要是短期内对室内的空气环境有一定影响，通过选用合格的环保型涂料以及空气自然扩散作用，不会项目所在区域的环境空气造成影响。</w:t>
      </w:r>
    </w:p>
    <w:p>
      <w:pPr>
        <w:pStyle w:val="4"/>
      </w:pPr>
      <w:bookmarkStart w:id="184" w:name="_Toc194481178"/>
      <w:r>
        <w:rPr>
          <w:rFonts w:hint="eastAsia"/>
        </w:rPr>
        <w:t>5</w:t>
      </w:r>
      <w:r>
        <w:t>.</w:t>
      </w:r>
      <w:r>
        <w:rPr>
          <w:rFonts w:hint="eastAsia"/>
        </w:rPr>
        <w:t>1</w:t>
      </w:r>
      <w:r>
        <w:t>.</w:t>
      </w:r>
      <w:r>
        <w:rPr>
          <w:rFonts w:hint="eastAsia"/>
        </w:rPr>
        <w:t>2</w:t>
      </w:r>
      <w:r>
        <w:t xml:space="preserve"> </w:t>
      </w:r>
      <w:r>
        <w:rPr>
          <w:rFonts w:hint="eastAsia"/>
        </w:rPr>
        <w:t>施工期水</w:t>
      </w:r>
      <w:r>
        <w:t>环境影响分析</w:t>
      </w:r>
      <w:bookmarkEnd w:id="184"/>
    </w:p>
    <w:p>
      <w:pPr>
        <w:pStyle w:val="82"/>
        <w:ind w:firstLine="480"/>
      </w:pPr>
      <w:r>
        <w:rPr>
          <w:rFonts w:hint="eastAsia"/>
        </w:rPr>
        <w:t>本项目施工废水包括施工生产废水、施工人员生活污水。</w:t>
      </w:r>
    </w:p>
    <w:p>
      <w:pPr>
        <w:pStyle w:val="49"/>
        <w:ind w:firstLine="480"/>
      </w:pPr>
      <w:r>
        <w:rPr>
          <w:rFonts w:hint="eastAsia"/>
        </w:rPr>
        <w:t>1、施工生产废水</w:t>
      </w:r>
    </w:p>
    <w:p>
      <w:pPr>
        <w:pStyle w:val="49"/>
        <w:ind w:firstLine="480"/>
      </w:pPr>
      <w:r>
        <w:rPr>
          <w:rFonts w:hint="eastAsia"/>
        </w:rPr>
        <w:t xml:space="preserve">主要为机械清洗废水、混凝土养护废水和暴雨的地表径流等，废水主要污染物为 </w:t>
      </w:r>
      <w:r>
        <w:rPr>
          <w:rFonts w:cs="Times New Roman"/>
        </w:rPr>
        <w:t xml:space="preserve">SS </w:t>
      </w:r>
      <w:r>
        <w:rPr>
          <w:rFonts w:hint="eastAsia"/>
        </w:rPr>
        <w:t>和石油类，项目在施工场地较低处设置隔油沉淀池，施工废水经处理后主要回用场地洒水降尘、车辆冲洗等，不外排。</w:t>
      </w:r>
    </w:p>
    <w:p>
      <w:pPr>
        <w:pStyle w:val="49"/>
        <w:ind w:firstLine="480"/>
      </w:pPr>
      <w:r>
        <w:rPr>
          <w:rFonts w:hint="eastAsia"/>
        </w:rPr>
        <w:t>2、施工人员生活污水</w:t>
      </w:r>
    </w:p>
    <w:p>
      <w:pPr>
        <w:pStyle w:val="49"/>
        <w:ind w:firstLine="480"/>
      </w:pPr>
      <w:r>
        <w:rPr>
          <w:rFonts w:hint="eastAsia"/>
        </w:rPr>
        <w:t>生活污水依托周边居民现有处理设施，经处理后用于农作物灌溉，不外排。</w:t>
      </w:r>
    </w:p>
    <w:p>
      <w:pPr>
        <w:pStyle w:val="4"/>
      </w:pPr>
      <w:bookmarkStart w:id="185" w:name="_Toc194481179"/>
      <w:r>
        <w:rPr>
          <w:rFonts w:hint="eastAsia"/>
        </w:rPr>
        <w:t>5</w:t>
      </w:r>
      <w:r>
        <w:t>.</w:t>
      </w:r>
      <w:r>
        <w:rPr>
          <w:rFonts w:hint="eastAsia"/>
        </w:rPr>
        <w:t>1</w:t>
      </w:r>
      <w:r>
        <w:t>.</w:t>
      </w:r>
      <w:r>
        <w:rPr>
          <w:rFonts w:hint="eastAsia"/>
        </w:rPr>
        <w:t>3</w:t>
      </w:r>
      <w:r>
        <w:t xml:space="preserve"> </w:t>
      </w:r>
      <w:r>
        <w:rPr>
          <w:rFonts w:hint="eastAsia"/>
        </w:rPr>
        <w:t>施工期声</w:t>
      </w:r>
      <w:r>
        <w:t>环境影响分析</w:t>
      </w:r>
      <w:bookmarkEnd w:id="185"/>
    </w:p>
    <w:p>
      <w:pPr>
        <w:pStyle w:val="49"/>
        <w:ind w:firstLine="480"/>
      </w:pPr>
      <w:r>
        <w:rPr>
          <w:rFonts w:hint="eastAsia"/>
        </w:rPr>
        <w:t xml:space="preserve">根据噪声污染源分析可知，由于施工场地的噪声源主要为各类高噪声施工机械，不同施工阶段使用的设备不同，其造成的噪声影响不同。在多台设备同时作业时，各台设备产生的噪声会叠加，根据类比调查，叠加后噪声增值约为 </w:t>
      </w:r>
      <w:r>
        <w:t>3~8dB(A)</w:t>
      </w:r>
      <w:r>
        <w:rPr>
          <w:rFonts w:hint="eastAsia"/>
        </w:rPr>
        <w:t xml:space="preserve">，一般不会超过 </w:t>
      </w:r>
      <w:r>
        <w:t>10dB(A)</w:t>
      </w:r>
      <w:r>
        <w:rPr>
          <w:rFonts w:hint="eastAsia"/>
        </w:rPr>
        <w:t>。在施工场地周围，因施工单位尚不能完全做到封闭性施工，施工场界的噪声会进行传播，选用半自由场空间点源距离衰减公式估算施工噪声对周围环境的影响，即：</w:t>
      </w:r>
    </w:p>
    <w:p>
      <w:pPr>
        <w:pStyle w:val="49"/>
        <w:ind w:firstLine="0" w:firstLineChars="0"/>
        <w:jc w:val="center"/>
      </w:pPr>
      <w:r>
        <w:rPr>
          <w:i/>
          <w:iCs/>
        </w:rPr>
        <w:t>L</w:t>
      </w:r>
      <w:r>
        <w:rPr>
          <w:i/>
          <w:iCs/>
          <w:vertAlign w:val="subscript"/>
        </w:rPr>
        <w:t>A</w:t>
      </w:r>
      <w:r>
        <w:t>(</w:t>
      </w:r>
      <w:r>
        <w:rPr>
          <w:i/>
          <w:iCs/>
        </w:rPr>
        <w:t>r</w:t>
      </w:r>
      <w:r>
        <w:t>)</w:t>
      </w:r>
      <w:r>
        <w:rPr>
          <w:rFonts w:hint="eastAsia"/>
        </w:rPr>
        <w:t>＝</w:t>
      </w:r>
      <w:r>
        <w:rPr>
          <w:i/>
          <w:iCs/>
        </w:rPr>
        <w:t>L</w:t>
      </w:r>
      <w:r>
        <w:rPr>
          <w:i/>
          <w:iCs/>
          <w:vertAlign w:val="subscript"/>
        </w:rPr>
        <w:t>A</w:t>
      </w:r>
      <w:r>
        <w:rPr>
          <w:rFonts w:hint="eastAsia"/>
          <w:i/>
          <w:iCs/>
          <w:vertAlign w:val="subscript"/>
        </w:rPr>
        <w:t>w</w:t>
      </w:r>
      <w:r>
        <w:rPr>
          <w:rFonts w:hint="eastAsia"/>
        </w:rPr>
        <w:t>-</w:t>
      </w:r>
      <w:r>
        <w:t>20lg</w:t>
      </w:r>
      <w:r>
        <w:rPr>
          <w:i/>
          <w:iCs/>
        </w:rPr>
        <w:t>r</w:t>
      </w:r>
      <w:r>
        <w:rPr>
          <w:rFonts w:hint="eastAsia"/>
        </w:rPr>
        <w:t>-</w:t>
      </w:r>
      <w:r>
        <w:t>8</w:t>
      </w:r>
    </w:p>
    <w:p>
      <w:pPr>
        <w:pStyle w:val="49"/>
        <w:ind w:firstLine="480"/>
      </w:pPr>
      <w:r>
        <w:rPr>
          <w:rFonts w:hint="eastAsia"/>
        </w:rPr>
        <w:t>式中：</w:t>
      </w:r>
      <w:r>
        <w:rPr>
          <w:i/>
          <w:iCs/>
        </w:rPr>
        <w:t>L</w:t>
      </w:r>
      <w:r>
        <w:rPr>
          <w:i/>
          <w:iCs/>
          <w:vertAlign w:val="subscript"/>
        </w:rPr>
        <w:t>A</w:t>
      </w:r>
      <w:r>
        <w:t>(</w:t>
      </w:r>
      <w:r>
        <w:rPr>
          <w:i/>
          <w:iCs/>
        </w:rPr>
        <w:t>r</w:t>
      </w:r>
      <w:r>
        <w:t>) —</w:t>
      </w:r>
      <w:r>
        <w:rPr>
          <w:rFonts w:hint="eastAsia"/>
        </w:rPr>
        <w:t xml:space="preserve">距声源离 </w:t>
      </w:r>
      <w:r>
        <w:rPr>
          <w:i/>
          <w:iCs/>
        </w:rPr>
        <w:t xml:space="preserve">r </w:t>
      </w:r>
      <w:r>
        <w:rPr>
          <w:rFonts w:hint="eastAsia"/>
        </w:rPr>
        <w:t xml:space="preserve">处的 </w:t>
      </w:r>
      <w:r>
        <w:t xml:space="preserve">A </w:t>
      </w:r>
      <w:r>
        <w:rPr>
          <w:rFonts w:hint="eastAsia"/>
        </w:rPr>
        <w:t>声级，</w:t>
      </w:r>
      <w:r>
        <w:t>dB(A)</w:t>
      </w:r>
      <w:r>
        <w:rPr>
          <w:rFonts w:hint="eastAsia"/>
        </w:rPr>
        <w:t>；</w:t>
      </w:r>
    </w:p>
    <w:p>
      <w:pPr>
        <w:pStyle w:val="49"/>
        <w:ind w:firstLine="1200" w:firstLineChars="500"/>
      </w:pPr>
      <w:r>
        <w:rPr>
          <w:i/>
          <w:iCs/>
        </w:rPr>
        <w:t>L</w:t>
      </w:r>
      <w:r>
        <w:rPr>
          <w:i/>
          <w:iCs/>
          <w:vertAlign w:val="subscript"/>
        </w:rPr>
        <w:t>A</w:t>
      </w:r>
      <w:r>
        <w:rPr>
          <w:rFonts w:hint="eastAsia"/>
          <w:i/>
          <w:iCs/>
          <w:vertAlign w:val="subscript"/>
        </w:rPr>
        <w:t>w</w:t>
      </w:r>
      <w:r>
        <w:t>—</w:t>
      </w:r>
      <w:r>
        <w:rPr>
          <w:rFonts w:hint="eastAsia"/>
        </w:rPr>
        <w:t xml:space="preserve">点声源 </w:t>
      </w:r>
      <w:r>
        <w:t xml:space="preserve">A </w:t>
      </w:r>
      <w:r>
        <w:rPr>
          <w:rFonts w:hint="eastAsia"/>
        </w:rPr>
        <w:t>计权声功率级，</w:t>
      </w:r>
      <w:r>
        <w:t>dB</w:t>
      </w:r>
      <w:r>
        <w:rPr>
          <w:rFonts w:hint="eastAsia"/>
        </w:rPr>
        <w:t>；</w:t>
      </w:r>
    </w:p>
    <w:p>
      <w:pPr>
        <w:pStyle w:val="49"/>
        <w:ind w:firstLine="1200" w:firstLineChars="500"/>
      </w:pPr>
      <w:r>
        <w:rPr>
          <w:i/>
          <w:iCs/>
        </w:rPr>
        <w:t xml:space="preserve">r </w:t>
      </w:r>
      <w:r>
        <w:t>—</w:t>
      </w:r>
      <w:r>
        <w:rPr>
          <w:rFonts w:hint="eastAsia"/>
        </w:rPr>
        <w:t>预测点距声源的距离。</w:t>
      </w:r>
    </w:p>
    <w:p>
      <w:pPr>
        <w:pStyle w:val="49"/>
        <w:ind w:firstLine="480"/>
      </w:pPr>
      <w:r>
        <w:rPr>
          <w:rFonts w:hint="eastAsia"/>
        </w:rPr>
        <w:t>施工期设备噪声距离衰减极端计算结果见下表。</w:t>
      </w:r>
    </w:p>
    <w:p>
      <w:pPr>
        <w:pStyle w:val="207"/>
        <w:ind w:firstLine="422"/>
        <w:rPr>
          <w:rFonts w:hint="eastAsia"/>
        </w:rPr>
      </w:pPr>
      <w:r>
        <w:rPr>
          <w:rFonts w:hint="eastAsia"/>
        </w:rPr>
        <w:t xml:space="preserve">表 </w:t>
      </w:r>
      <w:r>
        <w:t xml:space="preserve">5.1-2 </w:t>
      </w:r>
      <w:r>
        <w:rPr>
          <w:rFonts w:hint="eastAsia"/>
        </w:rPr>
        <w:t>施工噪声随距离衰减预测结果  单位：</w:t>
      </w:r>
      <w:r>
        <w:t>dB(A)</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985"/>
        <w:gridCol w:w="638"/>
        <w:gridCol w:w="639"/>
        <w:gridCol w:w="639"/>
        <w:gridCol w:w="639"/>
        <w:gridCol w:w="638"/>
        <w:gridCol w:w="639"/>
        <w:gridCol w:w="639"/>
        <w:gridCol w:w="639"/>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vAlign w:val="center"/>
          </w:tcPr>
          <w:p>
            <w:pPr>
              <w:pStyle w:val="201"/>
            </w:pPr>
            <w:r>
              <w:rPr>
                <w:rFonts w:hint="eastAsia"/>
              </w:rPr>
              <w:t>序号</w:t>
            </w:r>
          </w:p>
        </w:tc>
        <w:tc>
          <w:tcPr>
            <w:tcW w:w="1985" w:type="dxa"/>
            <w:vMerge w:val="restart"/>
            <w:vAlign w:val="center"/>
          </w:tcPr>
          <w:p>
            <w:pPr>
              <w:pStyle w:val="201"/>
            </w:pPr>
            <w:r>
              <w:rPr>
                <w:rFonts w:hint="eastAsia"/>
              </w:rPr>
              <w:t>设备名称</w:t>
            </w:r>
          </w:p>
        </w:tc>
        <w:tc>
          <w:tcPr>
            <w:tcW w:w="5749" w:type="dxa"/>
            <w:gridSpan w:val="9"/>
            <w:vAlign w:val="center"/>
          </w:tcPr>
          <w:p>
            <w:pPr>
              <w:pStyle w:val="201"/>
            </w:pPr>
            <w:r>
              <w:rPr>
                <w:rFonts w:hint="eastAsia"/>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pPr>
              <w:pStyle w:val="201"/>
            </w:pPr>
          </w:p>
        </w:tc>
        <w:tc>
          <w:tcPr>
            <w:tcW w:w="1985" w:type="dxa"/>
            <w:vMerge w:val="continue"/>
            <w:vAlign w:val="center"/>
          </w:tcPr>
          <w:p>
            <w:pPr>
              <w:pStyle w:val="201"/>
            </w:pPr>
          </w:p>
        </w:tc>
        <w:tc>
          <w:tcPr>
            <w:tcW w:w="638" w:type="dxa"/>
            <w:vAlign w:val="center"/>
          </w:tcPr>
          <w:p>
            <w:pPr>
              <w:pStyle w:val="201"/>
            </w:pPr>
            <w:r>
              <w:rPr>
                <w:rFonts w:hint="eastAsia"/>
              </w:rPr>
              <w:t>5</w:t>
            </w:r>
          </w:p>
        </w:tc>
        <w:tc>
          <w:tcPr>
            <w:tcW w:w="639" w:type="dxa"/>
            <w:vAlign w:val="center"/>
          </w:tcPr>
          <w:p>
            <w:pPr>
              <w:pStyle w:val="201"/>
            </w:pPr>
            <w:r>
              <w:rPr>
                <w:rFonts w:hint="eastAsia"/>
              </w:rPr>
              <w:t>20</w:t>
            </w:r>
          </w:p>
        </w:tc>
        <w:tc>
          <w:tcPr>
            <w:tcW w:w="639" w:type="dxa"/>
            <w:vAlign w:val="center"/>
          </w:tcPr>
          <w:p>
            <w:pPr>
              <w:pStyle w:val="201"/>
            </w:pPr>
            <w:r>
              <w:rPr>
                <w:rFonts w:hint="eastAsia"/>
              </w:rPr>
              <w:t>80</w:t>
            </w:r>
          </w:p>
        </w:tc>
        <w:tc>
          <w:tcPr>
            <w:tcW w:w="639" w:type="dxa"/>
            <w:vAlign w:val="center"/>
          </w:tcPr>
          <w:p>
            <w:pPr>
              <w:pStyle w:val="201"/>
            </w:pPr>
            <w:r>
              <w:rPr>
                <w:rFonts w:hint="eastAsia"/>
              </w:rPr>
              <w:t>100</w:t>
            </w:r>
          </w:p>
        </w:tc>
        <w:tc>
          <w:tcPr>
            <w:tcW w:w="638" w:type="dxa"/>
            <w:vAlign w:val="center"/>
          </w:tcPr>
          <w:p>
            <w:pPr>
              <w:pStyle w:val="201"/>
            </w:pPr>
            <w:r>
              <w:rPr>
                <w:rFonts w:hint="eastAsia"/>
              </w:rPr>
              <w:t>150</w:t>
            </w:r>
          </w:p>
        </w:tc>
        <w:tc>
          <w:tcPr>
            <w:tcW w:w="639" w:type="dxa"/>
            <w:vAlign w:val="center"/>
          </w:tcPr>
          <w:p>
            <w:pPr>
              <w:pStyle w:val="201"/>
            </w:pPr>
            <w:r>
              <w:rPr>
                <w:rFonts w:hint="eastAsia"/>
              </w:rPr>
              <w:t>200</w:t>
            </w:r>
          </w:p>
        </w:tc>
        <w:tc>
          <w:tcPr>
            <w:tcW w:w="639" w:type="dxa"/>
            <w:vAlign w:val="center"/>
          </w:tcPr>
          <w:p>
            <w:pPr>
              <w:pStyle w:val="201"/>
            </w:pPr>
            <w:r>
              <w:rPr>
                <w:rFonts w:hint="eastAsia"/>
              </w:rPr>
              <w:t>250</w:t>
            </w:r>
          </w:p>
        </w:tc>
        <w:tc>
          <w:tcPr>
            <w:tcW w:w="639" w:type="dxa"/>
            <w:vAlign w:val="center"/>
          </w:tcPr>
          <w:p>
            <w:pPr>
              <w:pStyle w:val="201"/>
            </w:pPr>
            <w:r>
              <w:rPr>
                <w:rFonts w:hint="eastAsia"/>
              </w:rPr>
              <w:t>300</w:t>
            </w:r>
          </w:p>
        </w:tc>
        <w:tc>
          <w:tcPr>
            <w:tcW w:w="639" w:type="dxa"/>
            <w:vAlign w:val="center"/>
          </w:tcPr>
          <w:p>
            <w:pPr>
              <w:pStyle w:val="201"/>
            </w:pPr>
            <w:r>
              <w:rPr>
                <w:rFonts w:hint="eastAsi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201"/>
            </w:pPr>
            <w:r>
              <w:rPr>
                <w:rFonts w:hint="eastAsia"/>
              </w:rPr>
              <w:t>1</w:t>
            </w:r>
          </w:p>
        </w:tc>
        <w:tc>
          <w:tcPr>
            <w:tcW w:w="1985" w:type="dxa"/>
            <w:vAlign w:val="center"/>
          </w:tcPr>
          <w:p>
            <w:pPr>
              <w:pStyle w:val="201"/>
            </w:pPr>
            <w:r>
              <w:rPr>
                <w:rFonts w:hint="eastAsia"/>
              </w:rPr>
              <w:t>起重机、装载机</w:t>
            </w:r>
          </w:p>
        </w:tc>
        <w:tc>
          <w:tcPr>
            <w:tcW w:w="638" w:type="dxa"/>
            <w:vAlign w:val="center"/>
          </w:tcPr>
          <w:p>
            <w:pPr>
              <w:pStyle w:val="201"/>
            </w:pPr>
            <w:r>
              <w:rPr>
                <w:rFonts w:hint="eastAsia"/>
              </w:rPr>
              <w:t>76</w:t>
            </w:r>
          </w:p>
        </w:tc>
        <w:tc>
          <w:tcPr>
            <w:tcW w:w="639" w:type="dxa"/>
            <w:vAlign w:val="center"/>
          </w:tcPr>
          <w:p>
            <w:pPr>
              <w:pStyle w:val="201"/>
            </w:pPr>
            <w:r>
              <w:rPr>
                <w:rFonts w:hint="eastAsia"/>
              </w:rPr>
              <w:t>64</w:t>
            </w:r>
          </w:p>
        </w:tc>
        <w:tc>
          <w:tcPr>
            <w:tcW w:w="639" w:type="dxa"/>
            <w:vAlign w:val="center"/>
          </w:tcPr>
          <w:p>
            <w:pPr>
              <w:pStyle w:val="201"/>
            </w:pPr>
            <w:r>
              <w:rPr>
                <w:rFonts w:hint="eastAsia"/>
              </w:rPr>
              <w:t>53</w:t>
            </w:r>
          </w:p>
        </w:tc>
        <w:tc>
          <w:tcPr>
            <w:tcW w:w="639" w:type="dxa"/>
            <w:vAlign w:val="center"/>
          </w:tcPr>
          <w:p>
            <w:pPr>
              <w:pStyle w:val="201"/>
            </w:pPr>
            <w:r>
              <w:rPr>
                <w:rFonts w:hint="eastAsia"/>
              </w:rPr>
              <w:t>50</w:t>
            </w:r>
          </w:p>
        </w:tc>
        <w:tc>
          <w:tcPr>
            <w:tcW w:w="3194" w:type="dxa"/>
            <w:gridSpan w:val="5"/>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201"/>
            </w:pPr>
            <w:r>
              <w:rPr>
                <w:rFonts w:hint="eastAsia"/>
              </w:rPr>
              <w:t>2</w:t>
            </w:r>
          </w:p>
        </w:tc>
        <w:tc>
          <w:tcPr>
            <w:tcW w:w="1985" w:type="dxa"/>
            <w:vAlign w:val="center"/>
          </w:tcPr>
          <w:p>
            <w:pPr>
              <w:pStyle w:val="201"/>
            </w:pPr>
            <w:r>
              <w:rPr>
                <w:rFonts w:hint="eastAsia"/>
              </w:rPr>
              <w:t>振捣棒</w:t>
            </w:r>
          </w:p>
        </w:tc>
        <w:tc>
          <w:tcPr>
            <w:tcW w:w="638" w:type="dxa"/>
            <w:vAlign w:val="center"/>
          </w:tcPr>
          <w:p>
            <w:pPr>
              <w:pStyle w:val="201"/>
            </w:pPr>
            <w:r>
              <w:rPr>
                <w:rFonts w:hint="eastAsia"/>
              </w:rPr>
              <w:t>92</w:t>
            </w:r>
          </w:p>
        </w:tc>
        <w:tc>
          <w:tcPr>
            <w:tcW w:w="639" w:type="dxa"/>
            <w:vAlign w:val="center"/>
          </w:tcPr>
          <w:p>
            <w:pPr>
              <w:pStyle w:val="201"/>
            </w:pPr>
            <w:r>
              <w:rPr>
                <w:rFonts w:hint="eastAsia"/>
              </w:rPr>
              <w:t>85</w:t>
            </w:r>
          </w:p>
        </w:tc>
        <w:tc>
          <w:tcPr>
            <w:tcW w:w="639" w:type="dxa"/>
            <w:vAlign w:val="center"/>
          </w:tcPr>
          <w:p>
            <w:pPr>
              <w:pStyle w:val="201"/>
            </w:pPr>
            <w:r>
              <w:rPr>
                <w:rFonts w:hint="eastAsia"/>
              </w:rPr>
              <w:t>79</w:t>
            </w:r>
          </w:p>
        </w:tc>
        <w:tc>
          <w:tcPr>
            <w:tcW w:w="639" w:type="dxa"/>
            <w:vAlign w:val="center"/>
          </w:tcPr>
          <w:p>
            <w:pPr>
              <w:pStyle w:val="201"/>
            </w:pPr>
            <w:r>
              <w:rPr>
                <w:rFonts w:hint="eastAsia"/>
              </w:rPr>
              <w:t>73</w:t>
            </w:r>
          </w:p>
        </w:tc>
        <w:tc>
          <w:tcPr>
            <w:tcW w:w="638" w:type="dxa"/>
            <w:vAlign w:val="center"/>
          </w:tcPr>
          <w:p>
            <w:pPr>
              <w:pStyle w:val="201"/>
            </w:pPr>
            <w:r>
              <w:rPr>
                <w:rFonts w:hint="eastAsia"/>
              </w:rPr>
              <w:t>68</w:t>
            </w:r>
          </w:p>
        </w:tc>
        <w:tc>
          <w:tcPr>
            <w:tcW w:w="639" w:type="dxa"/>
            <w:vAlign w:val="center"/>
          </w:tcPr>
          <w:p>
            <w:pPr>
              <w:pStyle w:val="201"/>
            </w:pPr>
            <w:r>
              <w:rPr>
                <w:rFonts w:hint="eastAsia"/>
              </w:rPr>
              <w:t>61</w:t>
            </w:r>
          </w:p>
        </w:tc>
        <w:tc>
          <w:tcPr>
            <w:tcW w:w="639" w:type="dxa"/>
            <w:vAlign w:val="center"/>
          </w:tcPr>
          <w:p>
            <w:pPr>
              <w:pStyle w:val="201"/>
            </w:pPr>
            <w:r>
              <w:rPr>
                <w:rFonts w:hint="eastAsia"/>
              </w:rPr>
              <w:t>57</w:t>
            </w:r>
          </w:p>
        </w:tc>
        <w:tc>
          <w:tcPr>
            <w:tcW w:w="639" w:type="dxa"/>
            <w:vAlign w:val="center"/>
          </w:tcPr>
          <w:p>
            <w:pPr>
              <w:pStyle w:val="201"/>
            </w:pPr>
            <w:r>
              <w:rPr>
                <w:rFonts w:hint="eastAsia"/>
              </w:rPr>
              <w:t>52</w:t>
            </w:r>
          </w:p>
        </w:tc>
        <w:tc>
          <w:tcPr>
            <w:tcW w:w="639" w:type="dxa"/>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201"/>
            </w:pPr>
            <w:r>
              <w:rPr>
                <w:rFonts w:hint="eastAsia"/>
              </w:rPr>
              <w:t>3</w:t>
            </w:r>
          </w:p>
        </w:tc>
        <w:tc>
          <w:tcPr>
            <w:tcW w:w="1985" w:type="dxa"/>
            <w:vAlign w:val="center"/>
          </w:tcPr>
          <w:p>
            <w:pPr>
              <w:pStyle w:val="201"/>
            </w:pPr>
            <w:r>
              <w:rPr>
                <w:rFonts w:hint="eastAsia"/>
              </w:rPr>
              <w:t>挖掘机、铲料车</w:t>
            </w:r>
          </w:p>
        </w:tc>
        <w:tc>
          <w:tcPr>
            <w:tcW w:w="638" w:type="dxa"/>
            <w:vAlign w:val="center"/>
          </w:tcPr>
          <w:p>
            <w:pPr>
              <w:pStyle w:val="201"/>
            </w:pPr>
            <w:r>
              <w:rPr>
                <w:rFonts w:hint="eastAsia"/>
              </w:rPr>
              <w:t>81</w:t>
            </w:r>
          </w:p>
        </w:tc>
        <w:tc>
          <w:tcPr>
            <w:tcW w:w="639" w:type="dxa"/>
            <w:vAlign w:val="center"/>
          </w:tcPr>
          <w:p>
            <w:pPr>
              <w:pStyle w:val="201"/>
            </w:pPr>
            <w:r>
              <w:rPr>
                <w:rFonts w:hint="eastAsia"/>
              </w:rPr>
              <w:t>69</w:t>
            </w:r>
          </w:p>
        </w:tc>
        <w:tc>
          <w:tcPr>
            <w:tcW w:w="639" w:type="dxa"/>
            <w:vAlign w:val="center"/>
          </w:tcPr>
          <w:p>
            <w:pPr>
              <w:pStyle w:val="201"/>
            </w:pPr>
            <w:r>
              <w:rPr>
                <w:rFonts w:hint="eastAsia"/>
              </w:rPr>
              <w:t>57</w:t>
            </w:r>
          </w:p>
        </w:tc>
        <w:tc>
          <w:tcPr>
            <w:tcW w:w="639" w:type="dxa"/>
            <w:vAlign w:val="center"/>
          </w:tcPr>
          <w:p>
            <w:pPr>
              <w:pStyle w:val="201"/>
            </w:pPr>
            <w:r>
              <w:rPr>
                <w:rFonts w:hint="eastAsia"/>
              </w:rPr>
              <w:t>55</w:t>
            </w:r>
          </w:p>
        </w:tc>
        <w:tc>
          <w:tcPr>
            <w:tcW w:w="638" w:type="dxa"/>
            <w:vAlign w:val="center"/>
          </w:tcPr>
          <w:p>
            <w:pPr>
              <w:pStyle w:val="201"/>
            </w:pPr>
            <w:r>
              <w:rPr>
                <w:rFonts w:hint="eastAsia"/>
              </w:rPr>
              <w:t>51</w:t>
            </w:r>
          </w:p>
        </w:tc>
        <w:tc>
          <w:tcPr>
            <w:tcW w:w="2556" w:type="dxa"/>
            <w:gridSpan w:val="4"/>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201"/>
            </w:pPr>
            <w:r>
              <w:rPr>
                <w:rFonts w:hint="eastAsia"/>
              </w:rPr>
              <w:t>4</w:t>
            </w:r>
          </w:p>
        </w:tc>
        <w:tc>
          <w:tcPr>
            <w:tcW w:w="1985" w:type="dxa"/>
            <w:vAlign w:val="center"/>
          </w:tcPr>
          <w:p>
            <w:pPr>
              <w:pStyle w:val="201"/>
            </w:pPr>
            <w:r>
              <w:rPr>
                <w:rFonts w:hint="eastAsia"/>
              </w:rPr>
              <w:t>推土机</w:t>
            </w:r>
          </w:p>
        </w:tc>
        <w:tc>
          <w:tcPr>
            <w:tcW w:w="638" w:type="dxa"/>
            <w:vAlign w:val="center"/>
          </w:tcPr>
          <w:p>
            <w:pPr>
              <w:pStyle w:val="201"/>
            </w:pPr>
            <w:r>
              <w:rPr>
                <w:rFonts w:hint="eastAsia"/>
              </w:rPr>
              <w:t>86</w:t>
            </w:r>
          </w:p>
        </w:tc>
        <w:tc>
          <w:tcPr>
            <w:tcW w:w="639" w:type="dxa"/>
            <w:vAlign w:val="center"/>
          </w:tcPr>
          <w:p>
            <w:pPr>
              <w:pStyle w:val="201"/>
            </w:pPr>
            <w:r>
              <w:rPr>
                <w:rFonts w:hint="eastAsia"/>
              </w:rPr>
              <w:t>74</w:t>
            </w:r>
          </w:p>
        </w:tc>
        <w:tc>
          <w:tcPr>
            <w:tcW w:w="639" w:type="dxa"/>
            <w:vAlign w:val="center"/>
          </w:tcPr>
          <w:p>
            <w:pPr>
              <w:pStyle w:val="201"/>
            </w:pPr>
            <w:r>
              <w:rPr>
                <w:rFonts w:hint="eastAsia"/>
              </w:rPr>
              <w:t>62</w:t>
            </w:r>
          </w:p>
        </w:tc>
        <w:tc>
          <w:tcPr>
            <w:tcW w:w="639" w:type="dxa"/>
            <w:vAlign w:val="center"/>
          </w:tcPr>
          <w:p>
            <w:pPr>
              <w:pStyle w:val="201"/>
            </w:pPr>
            <w:r>
              <w:rPr>
                <w:rFonts w:hint="eastAsia"/>
              </w:rPr>
              <w:t>60</w:t>
            </w:r>
          </w:p>
        </w:tc>
        <w:tc>
          <w:tcPr>
            <w:tcW w:w="638" w:type="dxa"/>
            <w:vAlign w:val="center"/>
          </w:tcPr>
          <w:p>
            <w:pPr>
              <w:pStyle w:val="201"/>
            </w:pPr>
            <w:r>
              <w:rPr>
                <w:rFonts w:hint="eastAsia"/>
              </w:rPr>
              <w:t>57</w:t>
            </w:r>
          </w:p>
        </w:tc>
        <w:tc>
          <w:tcPr>
            <w:tcW w:w="639" w:type="dxa"/>
            <w:vAlign w:val="center"/>
          </w:tcPr>
          <w:p>
            <w:pPr>
              <w:pStyle w:val="201"/>
            </w:pPr>
            <w:r>
              <w:rPr>
                <w:rFonts w:hint="eastAsia"/>
              </w:rPr>
              <w:t>54</w:t>
            </w:r>
          </w:p>
        </w:tc>
        <w:tc>
          <w:tcPr>
            <w:tcW w:w="639" w:type="dxa"/>
            <w:vAlign w:val="center"/>
          </w:tcPr>
          <w:p>
            <w:pPr>
              <w:pStyle w:val="201"/>
            </w:pPr>
            <w:r>
              <w:rPr>
                <w:rFonts w:hint="eastAsia"/>
              </w:rPr>
              <w:t>50</w:t>
            </w:r>
          </w:p>
        </w:tc>
        <w:tc>
          <w:tcPr>
            <w:tcW w:w="1278" w:type="dxa"/>
            <w:gridSpan w:val="2"/>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201"/>
            </w:pPr>
            <w:r>
              <w:rPr>
                <w:rFonts w:hint="eastAsia"/>
              </w:rPr>
              <w:t>5</w:t>
            </w:r>
          </w:p>
        </w:tc>
        <w:tc>
          <w:tcPr>
            <w:tcW w:w="1985" w:type="dxa"/>
            <w:vAlign w:val="center"/>
          </w:tcPr>
          <w:p>
            <w:pPr>
              <w:pStyle w:val="201"/>
            </w:pPr>
            <w:r>
              <w:rPr>
                <w:rFonts w:hint="eastAsia"/>
              </w:rPr>
              <w:t>搅拌机</w:t>
            </w:r>
          </w:p>
        </w:tc>
        <w:tc>
          <w:tcPr>
            <w:tcW w:w="638" w:type="dxa"/>
            <w:vAlign w:val="center"/>
          </w:tcPr>
          <w:p>
            <w:pPr>
              <w:pStyle w:val="201"/>
            </w:pPr>
            <w:r>
              <w:rPr>
                <w:rFonts w:hint="eastAsia"/>
              </w:rPr>
              <w:t>84</w:t>
            </w:r>
          </w:p>
        </w:tc>
        <w:tc>
          <w:tcPr>
            <w:tcW w:w="639" w:type="dxa"/>
            <w:vAlign w:val="center"/>
          </w:tcPr>
          <w:p>
            <w:pPr>
              <w:pStyle w:val="201"/>
            </w:pPr>
            <w:r>
              <w:rPr>
                <w:rFonts w:hint="eastAsia"/>
              </w:rPr>
              <w:t>72</w:t>
            </w:r>
          </w:p>
        </w:tc>
        <w:tc>
          <w:tcPr>
            <w:tcW w:w="639" w:type="dxa"/>
            <w:vAlign w:val="center"/>
          </w:tcPr>
          <w:p>
            <w:pPr>
              <w:pStyle w:val="201"/>
            </w:pPr>
            <w:r>
              <w:rPr>
                <w:rFonts w:hint="eastAsia"/>
              </w:rPr>
              <w:t>60</w:t>
            </w:r>
          </w:p>
        </w:tc>
        <w:tc>
          <w:tcPr>
            <w:tcW w:w="639" w:type="dxa"/>
            <w:vAlign w:val="center"/>
          </w:tcPr>
          <w:p>
            <w:pPr>
              <w:pStyle w:val="201"/>
            </w:pPr>
            <w:r>
              <w:rPr>
                <w:rFonts w:hint="eastAsia"/>
              </w:rPr>
              <w:t>58</w:t>
            </w:r>
          </w:p>
        </w:tc>
        <w:tc>
          <w:tcPr>
            <w:tcW w:w="638" w:type="dxa"/>
            <w:vAlign w:val="center"/>
          </w:tcPr>
          <w:p>
            <w:pPr>
              <w:pStyle w:val="201"/>
            </w:pPr>
            <w:r>
              <w:rPr>
                <w:rFonts w:hint="eastAsia"/>
              </w:rPr>
              <w:t>54</w:t>
            </w:r>
          </w:p>
        </w:tc>
        <w:tc>
          <w:tcPr>
            <w:tcW w:w="639" w:type="dxa"/>
            <w:vAlign w:val="center"/>
          </w:tcPr>
          <w:p>
            <w:pPr>
              <w:pStyle w:val="201"/>
            </w:pPr>
            <w:r>
              <w:rPr>
                <w:rFonts w:hint="eastAsia"/>
              </w:rPr>
              <w:t>52</w:t>
            </w:r>
          </w:p>
        </w:tc>
        <w:tc>
          <w:tcPr>
            <w:tcW w:w="1917" w:type="dxa"/>
            <w:gridSpan w:val="3"/>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201"/>
            </w:pPr>
            <w:r>
              <w:rPr>
                <w:rFonts w:hint="eastAsia"/>
              </w:rPr>
              <w:t>6</w:t>
            </w:r>
          </w:p>
        </w:tc>
        <w:tc>
          <w:tcPr>
            <w:tcW w:w="1985" w:type="dxa"/>
            <w:vAlign w:val="center"/>
          </w:tcPr>
          <w:p>
            <w:pPr>
              <w:pStyle w:val="201"/>
            </w:pPr>
            <w:r>
              <w:rPr>
                <w:rFonts w:hint="eastAsia"/>
              </w:rPr>
              <w:t>风钻</w:t>
            </w:r>
          </w:p>
        </w:tc>
        <w:tc>
          <w:tcPr>
            <w:tcW w:w="638" w:type="dxa"/>
            <w:vAlign w:val="center"/>
          </w:tcPr>
          <w:p>
            <w:pPr>
              <w:pStyle w:val="201"/>
            </w:pPr>
            <w:r>
              <w:rPr>
                <w:rFonts w:hint="eastAsia"/>
              </w:rPr>
              <w:t>86</w:t>
            </w:r>
          </w:p>
        </w:tc>
        <w:tc>
          <w:tcPr>
            <w:tcW w:w="639" w:type="dxa"/>
            <w:vAlign w:val="center"/>
          </w:tcPr>
          <w:p>
            <w:pPr>
              <w:pStyle w:val="201"/>
            </w:pPr>
            <w:r>
              <w:rPr>
                <w:rFonts w:hint="eastAsia"/>
              </w:rPr>
              <w:t>74</w:t>
            </w:r>
          </w:p>
        </w:tc>
        <w:tc>
          <w:tcPr>
            <w:tcW w:w="639" w:type="dxa"/>
            <w:vAlign w:val="center"/>
          </w:tcPr>
          <w:p>
            <w:pPr>
              <w:pStyle w:val="201"/>
            </w:pPr>
            <w:r>
              <w:rPr>
                <w:rFonts w:hint="eastAsia"/>
              </w:rPr>
              <w:t>62</w:t>
            </w:r>
          </w:p>
        </w:tc>
        <w:tc>
          <w:tcPr>
            <w:tcW w:w="639" w:type="dxa"/>
            <w:vAlign w:val="center"/>
          </w:tcPr>
          <w:p>
            <w:pPr>
              <w:pStyle w:val="201"/>
            </w:pPr>
            <w:r>
              <w:rPr>
                <w:rFonts w:hint="eastAsia"/>
              </w:rPr>
              <w:t>60</w:t>
            </w:r>
          </w:p>
        </w:tc>
        <w:tc>
          <w:tcPr>
            <w:tcW w:w="638" w:type="dxa"/>
            <w:vAlign w:val="center"/>
          </w:tcPr>
          <w:p>
            <w:pPr>
              <w:pStyle w:val="201"/>
            </w:pPr>
            <w:r>
              <w:rPr>
                <w:rFonts w:hint="eastAsia"/>
              </w:rPr>
              <w:t>56</w:t>
            </w:r>
          </w:p>
        </w:tc>
        <w:tc>
          <w:tcPr>
            <w:tcW w:w="639" w:type="dxa"/>
            <w:vAlign w:val="center"/>
          </w:tcPr>
          <w:p>
            <w:pPr>
              <w:pStyle w:val="201"/>
            </w:pPr>
            <w:r>
              <w:rPr>
                <w:rFonts w:hint="eastAsia"/>
              </w:rPr>
              <w:t>53</w:t>
            </w:r>
          </w:p>
        </w:tc>
        <w:tc>
          <w:tcPr>
            <w:tcW w:w="1917" w:type="dxa"/>
            <w:gridSpan w:val="3"/>
            <w:vAlign w:val="center"/>
          </w:tcPr>
          <w:p>
            <w:pPr>
              <w:pStyle w:val="20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201"/>
            </w:pPr>
            <w:r>
              <w:rPr>
                <w:rFonts w:hint="eastAsia"/>
              </w:rPr>
              <w:t>7</w:t>
            </w:r>
          </w:p>
        </w:tc>
        <w:tc>
          <w:tcPr>
            <w:tcW w:w="1985" w:type="dxa"/>
            <w:vAlign w:val="center"/>
          </w:tcPr>
          <w:p>
            <w:pPr>
              <w:pStyle w:val="201"/>
            </w:pPr>
            <w:r>
              <w:rPr>
                <w:rFonts w:hint="eastAsia"/>
              </w:rPr>
              <w:t>卡车</w:t>
            </w:r>
          </w:p>
        </w:tc>
        <w:tc>
          <w:tcPr>
            <w:tcW w:w="638" w:type="dxa"/>
            <w:vAlign w:val="center"/>
          </w:tcPr>
          <w:p>
            <w:pPr>
              <w:pStyle w:val="201"/>
            </w:pPr>
            <w:r>
              <w:rPr>
                <w:rFonts w:hint="eastAsia"/>
              </w:rPr>
              <w:t>86</w:t>
            </w:r>
          </w:p>
        </w:tc>
        <w:tc>
          <w:tcPr>
            <w:tcW w:w="639" w:type="dxa"/>
            <w:vAlign w:val="center"/>
          </w:tcPr>
          <w:p>
            <w:pPr>
              <w:pStyle w:val="201"/>
            </w:pPr>
            <w:r>
              <w:rPr>
                <w:rFonts w:hint="eastAsia"/>
              </w:rPr>
              <w:t>74</w:t>
            </w:r>
          </w:p>
        </w:tc>
        <w:tc>
          <w:tcPr>
            <w:tcW w:w="639" w:type="dxa"/>
            <w:vAlign w:val="center"/>
          </w:tcPr>
          <w:p>
            <w:pPr>
              <w:pStyle w:val="201"/>
            </w:pPr>
            <w:r>
              <w:rPr>
                <w:rFonts w:hint="eastAsia"/>
              </w:rPr>
              <w:t>62</w:t>
            </w:r>
          </w:p>
        </w:tc>
        <w:tc>
          <w:tcPr>
            <w:tcW w:w="639" w:type="dxa"/>
            <w:vAlign w:val="center"/>
          </w:tcPr>
          <w:p>
            <w:pPr>
              <w:pStyle w:val="201"/>
            </w:pPr>
            <w:r>
              <w:rPr>
                <w:rFonts w:hint="eastAsia"/>
              </w:rPr>
              <w:t>60</w:t>
            </w:r>
          </w:p>
        </w:tc>
        <w:tc>
          <w:tcPr>
            <w:tcW w:w="638" w:type="dxa"/>
            <w:vAlign w:val="center"/>
          </w:tcPr>
          <w:p>
            <w:pPr>
              <w:pStyle w:val="201"/>
            </w:pPr>
            <w:r>
              <w:rPr>
                <w:rFonts w:hint="eastAsia"/>
              </w:rPr>
              <w:t>56</w:t>
            </w:r>
          </w:p>
        </w:tc>
        <w:tc>
          <w:tcPr>
            <w:tcW w:w="639" w:type="dxa"/>
            <w:vAlign w:val="center"/>
          </w:tcPr>
          <w:p>
            <w:pPr>
              <w:pStyle w:val="201"/>
            </w:pPr>
            <w:r>
              <w:rPr>
                <w:rFonts w:hint="eastAsia"/>
              </w:rPr>
              <w:t>53</w:t>
            </w:r>
          </w:p>
        </w:tc>
        <w:tc>
          <w:tcPr>
            <w:tcW w:w="1917" w:type="dxa"/>
            <w:gridSpan w:val="3"/>
            <w:vAlign w:val="center"/>
          </w:tcPr>
          <w:p>
            <w:pPr>
              <w:pStyle w:val="201"/>
            </w:pPr>
            <w:r>
              <w:rPr>
                <w:rFonts w:hint="eastAsia"/>
              </w:rPr>
              <w:t>－</w:t>
            </w:r>
          </w:p>
        </w:tc>
      </w:tr>
    </w:tbl>
    <w:p>
      <w:pPr>
        <w:pStyle w:val="49"/>
        <w:ind w:firstLine="480"/>
      </w:pPr>
      <w:r>
        <w:rPr>
          <w:rFonts w:hint="eastAsia"/>
        </w:rPr>
        <w:t>由上表可见，施工机械噪声在无围挡情况下，昼间各类施工机械施工噪声对周围声环境的等效声级贡献值在150m以后，夜间各类施工机械施工噪声对周围声环境的等效声级贡献值在300m以后，才符合《建筑施工场界环境噪声排放标准》（</w:t>
      </w:r>
      <w:r>
        <w:t>GB12523-2011</w:t>
      </w:r>
      <w:r>
        <w:rPr>
          <w:rFonts w:hint="eastAsia"/>
        </w:rPr>
        <w:t>）要求。</w:t>
      </w:r>
    </w:p>
    <w:p>
      <w:pPr>
        <w:pStyle w:val="49"/>
        <w:ind w:firstLine="480"/>
      </w:pPr>
      <w:r>
        <w:rPr>
          <w:rFonts w:hint="eastAsia"/>
        </w:rPr>
        <w:t>本项目300m范围内有几户居民，距离厂界最近距离为167m，为减少项目建设对周边距离的影响，环评要求施工期应严禁夜间施工；高噪声设备周围设置围挡；合理安排施工时序，尽量减少多个高噪声设备同时施工；采取如上措施后，再加上本项目建设工地与周边居民被山体阻隔，评价认为拟建工程施工期间，施工噪声对周边声环境的影响可接受，不会发生噪声扰民现象，且随着施工期的结束，噪声的影响也随之结束。</w:t>
      </w:r>
    </w:p>
    <w:p>
      <w:pPr>
        <w:pStyle w:val="4"/>
      </w:pPr>
      <w:bookmarkStart w:id="186" w:name="_Toc194481180"/>
      <w:r>
        <w:rPr>
          <w:rFonts w:hint="eastAsia"/>
        </w:rPr>
        <w:t>5</w:t>
      </w:r>
      <w:r>
        <w:t>.</w:t>
      </w:r>
      <w:r>
        <w:rPr>
          <w:rFonts w:hint="eastAsia"/>
        </w:rPr>
        <w:t>1</w:t>
      </w:r>
      <w:r>
        <w:t>.</w:t>
      </w:r>
      <w:r>
        <w:rPr>
          <w:rFonts w:hint="eastAsia"/>
        </w:rPr>
        <w:t>4</w:t>
      </w:r>
      <w:r>
        <w:t xml:space="preserve"> </w:t>
      </w:r>
      <w:r>
        <w:rPr>
          <w:rFonts w:hint="eastAsia"/>
        </w:rPr>
        <w:t>施工期固废</w:t>
      </w:r>
      <w:r>
        <w:t>影响分析</w:t>
      </w:r>
      <w:bookmarkEnd w:id="186"/>
    </w:p>
    <w:p>
      <w:pPr>
        <w:pStyle w:val="49"/>
        <w:ind w:firstLine="480"/>
      </w:pPr>
      <w:r>
        <w:rPr>
          <w:rFonts w:hint="eastAsia"/>
        </w:rPr>
        <w:t>施工期的固体废物主要包括施工产生的土方石、建筑垃圾、施工人员的生活垃圾。</w:t>
      </w:r>
    </w:p>
    <w:p>
      <w:pPr>
        <w:pStyle w:val="82"/>
        <w:ind w:firstLine="480"/>
        <w:rPr>
          <w:color w:val="000000"/>
        </w:rPr>
      </w:pPr>
      <w:r>
        <w:rPr>
          <w:rFonts w:hint="eastAsia"/>
          <w:color w:val="000000"/>
        </w:rPr>
        <w:t>1、土方石的影响分析</w:t>
      </w:r>
    </w:p>
    <w:p>
      <w:pPr>
        <w:pStyle w:val="49"/>
        <w:ind w:firstLine="480"/>
        <w:rPr>
          <w:rFonts w:cs="Times New Roman"/>
        </w:rPr>
      </w:pPr>
      <w:r>
        <w:rPr>
          <w:rFonts w:hint="eastAsia" w:cs="Times New Roman"/>
        </w:rPr>
        <w:t>项目建设在山体上，各养殖厂房和配套建筑物之间存在一定高差，项目采取因地制宜、局部平整的方式进行平整。本项目土石方开挖方量相对不大，根据施工、运输条件，填筑方尽量利用开挖的土石方。根据项目区的地形地势、沟渠、道路、构筑物等布局确定土地平整地块及平整面积，土石方采取就近调配、内部消纳原则，无需另行设置取土、弃土场；项目开挖剥离表土临时堆放于场区内，并篷布覆盖，作为场区绿化、道路边坡养护用土。本项目施工场地土石方经场内平衡后，挖填方平衡，弃方量为零，</w:t>
      </w:r>
      <w:r>
        <w:rPr>
          <w:rFonts w:hint="eastAsia"/>
          <w:color w:val="000000"/>
        </w:rPr>
        <w:t>对环境影响小。</w:t>
      </w:r>
    </w:p>
    <w:p>
      <w:pPr>
        <w:pStyle w:val="82"/>
        <w:ind w:firstLine="480"/>
        <w:rPr>
          <w:color w:val="000000"/>
        </w:rPr>
      </w:pPr>
      <w:r>
        <w:rPr>
          <w:rFonts w:hint="eastAsia"/>
          <w:color w:val="000000"/>
        </w:rPr>
        <w:t>2、建筑垃圾的影响分析</w:t>
      </w:r>
    </w:p>
    <w:p>
      <w:pPr>
        <w:pStyle w:val="49"/>
        <w:ind w:firstLine="480"/>
      </w:pPr>
      <w:r>
        <w:rPr>
          <w:rFonts w:hint="eastAsia"/>
        </w:rPr>
        <w:t>项目施工建筑垃圾成分包括废混凝土块、碎砖头、废钢筋、废木料、废包装材料、废建筑模板等。建筑垃圾中可以回收利用的部分如建筑模板、废钢筋、废木料、废包装材料等，收集后交回收单位处理；废混凝土块、泥碎头等无法回收利用的废料，收集后按相关部门要求运至指定场所统一处置。落实分类处置措施后，建筑垃圾可得到妥善处置，不会造成二次污染，对环境影响小。</w:t>
      </w:r>
    </w:p>
    <w:p>
      <w:pPr>
        <w:pStyle w:val="49"/>
        <w:ind w:firstLine="480"/>
      </w:pPr>
      <w:r>
        <w:rPr>
          <w:rFonts w:hint="eastAsia"/>
        </w:rPr>
        <w:t>3、生活垃圾的影响分析</w:t>
      </w:r>
    </w:p>
    <w:p>
      <w:pPr>
        <w:pStyle w:val="49"/>
        <w:ind w:firstLine="480"/>
        <w:rPr>
          <w:color w:val="000000"/>
        </w:rPr>
      </w:pPr>
      <w:r>
        <w:rPr>
          <w:rFonts w:hint="eastAsia"/>
        </w:rPr>
        <w:t>本项目拟在施工场地设临时垃圾收集桶，生活垃圾集中收集后委托环卫部门清运处理，不会造成二次污染，</w:t>
      </w:r>
      <w:r>
        <w:rPr>
          <w:rFonts w:hint="eastAsia"/>
          <w:color w:val="000000"/>
        </w:rPr>
        <w:t>对环境影响小。</w:t>
      </w:r>
    </w:p>
    <w:p>
      <w:pPr>
        <w:pStyle w:val="4"/>
      </w:pPr>
      <w:bookmarkStart w:id="187" w:name="_Toc194481181"/>
      <w:r>
        <w:rPr>
          <w:rFonts w:hint="eastAsia"/>
        </w:rPr>
        <w:t>5</w:t>
      </w:r>
      <w:r>
        <w:t>.</w:t>
      </w:r>
      <w:r>
        <w:rPr>
          <w:rFonts w:hint="eastAsia"/>
        </w:rPr>
        <w:t>1</w:t>
      </w:r>
      <w:r>
        <w:t>.</w:t>
      </w:r>
      <w:r>
        <w:rPr>
          <w:rFonts w:hint="eastAsia"/>
        </w:rPr>
        <w:t>5</w:t>
      </w:r>
      <w:r>
        <w:t xml:space="preserve"> </w:t>
      </w:r>
      <w:r>
        <w:rPr>
          <w:rFonts w:hint="eastAsia"/>
        </w:rPr>
        <w:t>施工期生态</w:t>
      </w:r>
      <w:r>
        <w:t>影响分析</w:t>
      </w:r>
      <w:bookmarkEnd w:id="187"/>
    </w:p>
    <w:p>
      <w:pPr>
        <w:pStyle w:val="49"/>
        <w:ind w:firstLine="480"/>
      </w:pPr>
      <w:r>
        <w:rPr>
          <w:rFonts w:hint="eastAsia"/>
        </w:rPr>
        <w:t>（</w:t>
      </w:r>
      <w:r>
        <w:t>1</w:t>
      </w:r>
      <w:r>
        <w:rPr>
          <w:rFonts w:hint="eastAsia"/>
        </w:rPr>
        <w:t xml:space="preserve">）对生态结构的影响 </w:t>
      </w:r>
    </w:p>
    <w:p>
      <w:pPr>
        <w:pStyle w:val="49"/>
        <w:ind w:firstLine="480"/>
      </w:pPr>
      <w:r>
        <w:rPr>
          <w:rFonts w:hint="eastAsia"/>
        </w:rPr>
        <w:t xml:space="preserve">施工期间填挖土石方使场址原有的植被遭到破坏，地表裸露，从而使该地原有的生态结构发生一定变化。施工结束后，原有自然生态结构将为人工建筑所替代，包括建筑、人工绿化植被等，因此项目建成后其对生态结构的影响起到一定的补偿作用。 </w:t>
      </w:r>
    </w:p>
    <w:p>
      <w:pPr>
        <w:pStyle w:val="49"/>
        <w:ind w:firstLine="480"/>
      </w:pPr>
      <w:r>
        <w:rPr>
          <w:rFonts w:hint="eastAsia"/>
        </w:rPr>
        <w:t>（</w:t>
      </w:r>
      <w:r>
        <w:t>2</w:t>
      </w:r>
      <w:r>
        <w:rPr>
          <w:rFonts w:hint="eastAsia"/>
        </w:rPr>
        <w:t xml:space="preserve">）对地表植被的影响 </w:t>
      </w:r>
    </w:p>
    <w:p>
      <w:pPr>
        <w:pStyle w:val="49"/>
        <w:ind w:firstLine="480"/>
      </w:pPr>
      <w:r>
        <w:rPr>
          <w:rFonts w:hint="eastAsia"/>
        </w:rPr>
        <w:t>项目建设过程中对植物多样性的直接影响主要包括直接占用土地、破坏和改变原有土地植被模式，施工期建筑材料堆放、工棚搭建也直接破坏原有植被，同时施工作业产生的扬尘也将影响周边区域植物生长。根据现场勘察可知，项目场地内无原始森林和濒危树种，多为常见的果树、灌木和杂草等植被，施工结束后，虽然项目的建设对地表植被造成一定程度的破坏，导致区域内植被生物量降低，但受到破坏的植被为常见物种，其生长范围广，适应性强，因此项目的建设不会导致地表植被物种的灭绝。</w:t>
      </w:r>
    </w:p>
    <w:p>
      <w:pPr>
        <w:pStyle w:val="49"/>
        <w:ind w:firstLine="480"/>
      </w:pPr>
      <w:r>
        <w:rPr>
          <w:rFonts w:hint="eastAsia"/>
        </w:rPr>
        <w:t>（</w:t>
      </w:r>
      <w:r>
        <w:t>3</w:t>
      </w:r>
      <w:r>
        <w:rPr>
          <w:rFonts w:hint="eastAsia"/>
        </w:rPr>
        <w:t xml:space="preserve">）对地形地貌的影响 </w:t>
      </w:r>
    </w:p>
    <w:p>
      <w:pPr>
        <w:pStyle w:val="49"/>
        <w:ind w:firstLine="480"/>
      </w:pPr>
      <w:r>
        <w:rPr>
          <w:rFonts w:hint="eastAsia"/>
        </w:rPr>
        <w:t xml:space="preserve">由于建设用地内的平整土地和铺路等施工活动，使局部微地形地貌发生改变，可能影响到水的自然流态，并且因项目的建设，原有可渗透的土壤层，大部分变为不可渗透的人工地面，将会增加降雨的地表径流量。但只要项目建成后，修建完善排水系统，这些微地形的改变影响不会太大。 </w:t>
      </w:r>
    </w:p>
    <w:p>
      <w:pPr>
        <w:pStyle w:val="49"/>
        <w:ind w:firstLine="480"/>
      </w:pPr>
      <w:r>
        <w:rPr>
          <w:rFonts w:hint="eastAsia"/>
        </w:rPr>
        <w:t>（</w:t>
      </w:r>
      <w:r>
        <w:t>4</w:t>
      </w:r>
      <w:r>
        <w:rPr>
          <w:rFonts w:hint="eastAsia"/>
        </w:rPr>
        <w:t xml:space="preserve">）对陆生动物的影响 </w:t>
      </w:r>
    </w:p>
    <w:p>
      <w:pPr>
        <w:pStyle w:val="49"/>
        <w:ind w:firstLine="480"/>
      </w:pPr>
      <w:r>
        <w:rPr>
          <w:rFonts w:hint="eastAsia"/>
        </w:rPr>
        <w:t>项目施工建设会破坏陆生生物的生境，永久性占地、临时占地缩小了野生动物的栖息空间，分割了部分陆生动物的活动区域、迁移路径、栖息区域、觅食范围，甚至迫使它们迁移，影响陆生生物生长、觅食，从而对野生动物的生存产生一定的影响。施工期作业机械发出的噪声、产生的振动以及施工人员的活动会使建设地域及其附近的陆地动物暂时迁移到离建设地较远的地方，鸟类会暂时飞走。但项目评价区域的野生动物物种多为适应人类的物种，随着工程的建设，动物所具有的自身保护能力与单独活动习性，使其能主动回避工程区，就近寻找新的栖息场所，且项目扰动土地的区域外可提供相同栖息环境的区域较多，因此野生动物不会因项目建设而产生生境丧失、灭亡。</w:t>
      </w:r>
    </w:p>
    <w:p>
      <w:pPr>
        <w:pStyle w:val="49"/>
        <w:ind w:firstLine="480"/>
      </w:pPr>
      <w:r>
        <w:rPr>
          <w:rFonts w:hint="eastAsia"/>
        </w:rPr>
        <w:t>（</w:t>
      </w:r>
      <w:r>
        <w:t>5</w:t>
      </w:r>
      <w:r>
        <w:rPr>
          <w:rFonts w:hint="eastAsia"/>
        </w:rPr>
        <w:t xml:space="preserve">）水土流失 </w:t>
      </w:r>
    </w:p>
    <w:p>
      <w:pPr>
        <w:pStyle w:val="49"/>
        <w:ind w:firstLine="480"/>
      </w:pPr>
      <w:r>
        <w:rPr>
          <w:rFonts w:hint="eastAsia"/>
        </w:rPr>
        <w:t xml:space="preserve">项目施工建设，原有土地被至于人工地表之下，破坏了土壤的原本功能，改变了土壤的使用价值。由于人为的不断压实以及建筑施工使砖瓦、石砾、灰渣砾等侵入土壤，改变了土壤原有的结构和理化性质。土壤孔隙率下降，保水保肥能力降低，通气性能变差，施工地面裸露，导致水土流失增加。不过，项目在采取防范措施后水土流失量较小，对生态环境的影响较小，且以上影响是局部、短期、可逆的，施工结束，影响基本可以消除。 </w:t>
      </w:r>
    </w:p>
    <w:p>
      <w:pPr>
        <w:pStyle w:val="49"/>
        <w:ind w:firstLine="480"/>
      </w:pPr>
      <w:r>
        <w:rPr>
          <w:rFonts w:hint="eastAsia"/>
        </w:rPr>
        <w:t>总的来说，项目施工期对生态环境的影响是暂时的、局部的，随着施工结束，绿化工程逐步完善、水保措施得到落实，生态环境将得到逐步改善、恢复。</w:t>
      </w:r>
    </w:p>
    <w:p>
      <w:pPr>
        <w:pStyle w:val="3"/>
      </w:pPr>
      <w:bookmarkStart w:id="188" w:name="_Toc194481182"/>
      <w:r>
        <w:rPr>
          <w:rFonts w:hint="eastAsia"/>
        </w:rPr>
        <w:t>5</w:t>
      </w:r>
      <w:r>
        <w:t>.</w:t>
      </w:r>
      <w:r>
        <w:rPr>
          <w:rFonts w:hint="eastAsia"/>
        </w:rPr>
        <w:t>2</w:t>
      </w:r>
      <w:r>
        <w:t xml:space="preserve"> </w:t>
      </w:r>
      <w:r>
        <w:rPr>
          <w:rFonts w:hint="eastAsia"/>
        </w:rPr>
        <w:t>营运期</w:t>
      </w:r>
      <w:r>
        <w:t>大气环境影响分析</w:t>
      </w:r>
      <w:bookmarkEnd w:id="188"/>
    </w:p>
    <w:p>
      <w:pPr>
        <w:pStyle w:val="4"/>
      </w:pPr>
      <w:bookmarkStart w:id="189" w:name="_Toc194481183"/>
      <w:r>
        <w:rPr>
          <w:rFonts w:hint="eastAsia"/>
        </w:rPr>
        <w:t>5.2.1 大气评价等级的确定</w:t>
      </w:r>
      <w:bookmarkEnd w:id="189"/>
    </w:p>
    <w:p>
      <w:pPr>
        <w:pStyle w:val="49"/>
        <w:ind w:firstLine="480"/>
      </w:pPr>
      <w:r>
        <w:t>依据《环境影响评价技术导则-大气环境》</w:t>
      </w:r>
      <w:r>
        <w:rPr>
          <w:rFonts w:hint="eastAsia"/>
        </w:rPr>
        <w:t>（</w:t>
      </w:r>
      <w:r>
        <w:t>HJ2.2-2018</w:t>
      </w:r>
      <w:r>
        <w:rPr>
          <w:rFonts w:hint="eastAsia"/>
        </w:rPr>
        <w:t>）</w:t>
      </w:r>
      <w:r>
        <w:t>中5.3节工作等级的确定方法，结合项目工程分析结果，选择正常排放的主要污染物及排放参数，采用附录A推荐模型中的AERSCREEN模式计算项目污染源的最大环境影响，然后按评价工作分级判据进行分级</w:t>
      </w:r>
      <w:r>
        <w:rPr>
          <w:rFonts w:hint="eastAsia"/>
        </w:rPr>
        <w:t>。</w:t>
      </w:r>
    </w:p>
    <w:p>
      <w:pPr>
        <w:pStyle w:val="49"/>
        <w:ind w:firstLine="480"/>
      </w:pPr>
      <w:r>
        <w:t>1、P</w:t>
      </w:r>
      <w:r>
        <w:rPr>
          <w:vertAlign w:val="subscript"/>
        </w:rPr>
        <w:t>max</w:t>
      </w:r>
      <w:r>
        <w:t>及D</w:t>
      </w:r>
      <w:r>
        <w:rPr>
          <w:vertAlign w:val="subscript"/>
        </w:rPr>
        <w:t>10%</w:t>
      </w:r>
      <w:r>
        <w:t>的确定</w:t>
      </w:r>
    </w:p>
    <w:p>
      <w:pPr>
        <w:pStyle w:val="49"/>
        <w:ind w:firstLine="480"/>
      </w:pPr>
      <w:r>
        <w:t>依据《环境影响评价技术导则 大气环境》(HJ2.2-2018)中最大地面浓度占标率P</w:t>
      </w:r>
      <w:r>
        <w:rPr>
          <w:i/>
        </w:rPr>
        <w:t>i</w:t>
      </w:r>
      <w:r>
        <w:t>定义如下：</w:t>
      </w:r>
    </w:p>
    <w:p>
      <w:pPr>
        <w:pStyle w:val="49"/>
        <w:ind w:firstLine="480"/>
        <w:rPr>
          <w:rFonts w:cs="Times New Roman"/>
        </w:rPr>
      </w:pPr>
      <m:oMathPara>
        <m:oMath>
          <m:sSub>
            <m:sSubPr>
              <m:ctrlPr>
                <w:rPr>
                  <w:rFonts w:ascii="Cambria Math" w:hAnsi="Cambria Math" w:cs="Times New Roman"/>
                </w:rPr>
              </m:ctrlPr>
            </m:sSubPr>
            <m:e>
              <m:r>
                <m:rPr/>
                <w:rPr>
                  <w:rFonts w:ascii="Cambria Math" w:hAnsi="Cambria Math" w:cs="Times New Roman"/>
                </w:rPr>
                <m:t>P</m:t>
              </m:r>
              <m:ctrlPr>
                <w:rPr>
                  <w:rFonts w:ascii="Cambria Math" w:hAnsi="Cambria Math" w:cs="Times New Roman"/>
                </w:rPr>
              </m:ctrlPr>
            </m:e>
            <m:sub>
              <m:r>
                <m:rPr/>
                <w:rPr>
                  <w:rFonts w:ascii="Cambria Math" w:hAnsi="Cambria Math" w:cs="Times New Roman"/>
                </w:rPr>
                <m:t>i</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ctrlPr>
                <w:rPr>
                  <w:rFonts w:ascii="Cambria Math" w:hAnsi="Cambria Math" w:cs="Times New Roman"/>
                </w:rPr>
              </m:ctrlPr>
            </m:num>
            <m:den>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0i</m:t>
                  </m:r>
                  <m:ctrlPr>
                    <w:rPr>
                      <w:rFonts w:ascii="Cambria Math" w:hAnsi="Cambria Math" w:cs="Times New Roman"/>
                      <w:i/>
                    </w:rPr>
                  </m:ctrlPr>
                </m:sub>
              </m:sSub>
              <m:ctrlPr>
                <w:rPr>
                  <w:rFonts w:ascii="Cambria Math" w:hAnsi="Cambria Math" w:cs="Times New Roman"/>
                </w:rPr>
              </m:ctrlPr>
            </m:den>
          </m:f>
          <m:r>
            <m:rPr/>
            <w:rPr>
              <w:rFonts w:ascii="Cambria Math" w:hAnsi="Cambria Math" w:cs="Times New Roman"/>
            </w:rPr>
            <m:t>×100%</m:t>
          </m:r>
        </m:oMath>
      </m:oMathPara>
    </w:p>
    <w:p>
      <w:pPr>
        <w:pStyle w:val="49"/>
        <w:ind w:firstLine="480"/>
      </w:p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oMath>
      <w:r>
        <w:t xml:space="preserve"> —第i个污染物的最大地面空气质量浓度 占标率，%；</w:t>
      </w:r>
    </w:p>
    <w:p>
      <w:pPr>
        <w:pStyle w:val="49"/>
        <w:ind w:firstLine="48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 xml:space="preserve">C</m:t>
            </m:r>
            <m:ctrlPr>
              <w:rPr>
                <w:rFonts w:ascii="Cambria Math" w:hAnsi="Cambria Math"/>
                <w:i/>
              </w:rPr>
            </m:ctrlPr>
          </m:e>
          <m:sub>
            <m:r>
              <m:rPr>
                <m:sty m:val="p"/>
              </m:rPr>
              <w:rPr>
                <w:rFonts w:ascii="Cambria Math" w:hAnsi="Cambria Math"/>
              </w:rPr>
              <m:t xml:space="preserve">i</m:t>
            </m:r>
            <m:ctrlPr>
              <w:rPr>
                <w:rFonts w:ascii="Cambria Math" w:hAnsi="Cambria Math"/>
                <w:i/>
              </w:rPr>
            </m:ctrlPr>
          </m:sub>
        </m:sSub>
      </m:oMath>
      <w:r>
        <w:instrText xml:space="preserve"> </w:instrText>
      </w:r>
      <w:r>
        <w:fldChar w:fldCharType="end"/>
      </w: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i</m:t>
            </m:r>
            <m:ctrlPr>
              <w:rPr>
                <w:rFonts w:ascii="Cambria Math" w:hAnsi="Cambria Math"/>
                <w:i/>
              </w:rPr>
            </m:ctrlPr>
          </m:sub>
        </m:sSub>
      </m:oMath>
      <w:r>
        <w:t>—采用估算模型计算出的第</w:t>
      </w:r>
      <w:r>
        <w:rPr>
          <w:i/>
          <w:iCs/>
        </w:rPr>
        <w:t>i</w:t>
      </w:r>
      <w:r>
        <w:t>个污染物的最大1h地面空气质量浓度，μg/m</w:t>
      </w:r>
      <w:r>
        <w:rPr>
          <w:vertAlign w:val="superscript"/>
        </w:rPr>
        <w:t>3</w:t>
      </w:r>
      <w:r>
        <w:t>；</w:t>
      </w:r>
    </w:p>
    <w:p>
      <w:pPr>
        <w:pStyle w:val="49"/>
        <w:ind w:firstLine="480"/>
      </w:pP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0i</m:t>
            </m:r>
            <m:ctrlPr>
              <w:rPr>
                <w:rFonts w:ascii="Cambria Math" w:hAnsi="Cambria Math"/>
                <w:i/>
              </w:rPr>
            </m:ctrlPr>
          </m:sub>
        </m:sSub>
      </m:oMath>
      <w:r>
        <w:t>—第</w:t>
      </w:r>
      <w:r>
        <w:rPr>
          <w:i/>
          <w:iCs/>
        </w:rPr>
        <w:t>i</w:t>
      </w:r>
      <w:r>
        <w:t>个污染物的环境空气质量浓度标准，μg/m</w:t>
      </w:r>
      <w:r>
        <w:rPr>
          <w:vertAlign w:val="superscript"/>
        </w:rPr>
        <w:t>3</w:t>
      </w:r>
      <w:r>
        <w:t>。</w:t>
      </w:r>
    </w:p>
    <w:p>
      <w:pPr>
        <w:pStyle w:val="49"/>
        <w:ind w:firstLine="480"/>
      </w:pPr>
      <w:r>
        <w:t>2、评价等级判别表</w:t>
      </w:r>
    </w:p>
    <w:p>
      <w:pPr>
        <w:pStyle w:val="49"/>
        <w:ind w:firstLine="480"/>
      </w:pPr>
      <w:r>
        <w:t>评价等级按下表的分级判据进行划分。</w:t>
      </w:r>
    </w:p>
    <w:p>
      <w:pPr>
        <w:pStyle w:val="53"/>
      </w:pPr>
      <w:r>
        <w:t>表</w:t>
      </w:r>
      <w:r>
        <w:rPr>
          <w:rFonts w:hint="eastAsia"/>
        </w:rPr>
        <w:t>5</w:t>
      </w:r>
      <w:r>
        <w:t>.2-1 评价等级判别表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3"/>
        <w:gridCol w:w="4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3" w:type="dxa"/>
            <w:vAlign w:val="center"/>
          </w:tcPr>
          <w:p>
            <w:pPr>
              <w:pStyle w:val="134"/>
              <w:spacing w:line="240" w:lineRule="auto"/>
              <w:ind w:firstLine="420"/>
              <w:rPr>
                <w:sz w:val="21"/>
                <w:szCs w:val="21"/>
              </w:rPr>
            </w:pPr>
            <w:r>
              <w:rPr>
                <w:sz w:val="21"/>
                <w:szCs w:val="21"/>
              </w:rPr>
              <w:t>评价工作等级</w:t>
            </w:r>
          </w:p>
        </w:tc>
        <w:tc>
          <w:tcPr>
            <w:tcW w:w="4299" w:type="dxa"/>
            <w:vAlign w:val="center"/>
          </w:tcPr>
          <w:p>
            <w:pPr>
              <w:pStyle w:val="134"/>
              <w:spacing w:line="240" w:lineRule="auto"/>
              <w:ind w:firstLine="420"/>
              <w:rPr>
                <w:sz w:val="21"/>
                <w:szCs w:val="21"/>
              </w:rPr>
            </w:pPr>
            <w:r>
              <w:rPr>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3" w:type="dxa"/>
            <w:vAlign w:val="center"/>
          </w:tcPr>
          <w:p>
            <w:pPr>
              <w:pStyle w:val="134"/>
              <w:spacing w:line="240" w:lineRule="auto"/>
              <w:ind w:firstLine="420"/>
              <w:rPr>
                <w:sz w:val="21"/>
                <w:szCs w:val="21"/>
              </w:rPr>
            </w:pPr>
            <w:r>
              <w:rPr>
                <w:sz w:val="21"/>
                <w:szCs w:val="21"/>
              </w:rPr>
              <w:t>一级评价</w:t>
            </w:r>
          </w:p>
        </w:tc>
        <w:tc>
          <w:tcPr>
            <w:tcW w:w="4299" w:type="dxa"/>
            <w:vAlign w:val="center"/>
          </w:tcPr>
          <w:p>
            <w:pPr>
              <w:pStyle w:val="134"/>
              <w:spacing w:line="240" w:lineRule="auto"/>
              <w:ind w:firstLine="420"/>
              <w:rPr>
                <w:sz w:val="21"/>
                <w:szCs w:val="21"/>
              </w:rPr>
            </w:pPr>
            <w:r>
              <w:rPr>
                <w:sz w:val="21"/>
                <w:szCs w:val="21"/>
              </w:rPr>
              <w:t>Pmax</w:t>
            </w:r>
            <w:r>
              <w:rPr>
                <w:rFonts w:hint="eastAsia" w:ascii="宋体" w:hAnsi="宋体" w:cs="宋体"/>
                <w:sz w:val="21"/>
                <w:szCs w:val="21"/>
              </w:rPr>
              <w:t>≧</w:t>
            </w: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3" w:type="dxa"/>
            <w:vAlign w:val="center"/>
          </w:tcPr>
          <w:p>
            <w:pPr>
              <w:pStyle w:val="134"/>
              <w:spacing w:line="240" w:lineRule="auto"/>
              <w:ind w:firstLine="420"/>
              <w:rPr>
                <w:sz w:val="21"/>
                <w:szCs w:val="21"/>
              </w:rPr>
            </w:pPr>
            <w:r>
              <w:rPr>
                <w:sz w:val="21"/>
                <w:szCs w:val="21"/>
              </w:rPr>
              <w:t>二级评价</w:t>
            </w:r>
          </w:p>
        </w:tc>
        <w:tc>
          <w:tcPr>
            <w:tcW w:w="4299" w:type="dxa"/>
            <w:vAlign w:val="center"/>
          </w:tcPr>
          <w:p>
            <w:pPr>
              <w:pStyle w:val="134"/>
              <w:spacing w:line="240" w:lineRule="auto"/>
              <w:ind w:firstLine="420"/>
              <w:rPr>
                <w:sz w:val="21"/>
                <w:szCs w:val="21"/>
              </w:rPr>
            </w:pPr>
            <w:r>
              <w:rPr>
                <w:sz w:val="21"/>
                <w:szCs w:val="21"/>
              </w:rPr>
              <w:t>1%</w:t>
            </w:r>
            <w:r>
              <w:rPr>
                <w:rFonts w:hint="eastAsia" w:ascii="宋体" w:hAnsi="宋体" w:cs="宋体"/>
                <w:sz w:val="21"/>
                <w:szCs w:val="21"/>
              </w:rPr>
              <w:t>≦</w:t>
            </w:r>
            <w:r>
              <w:rPr>
                <w:sz w:val="21"/>
                <w:szCs w:val="21"/>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23" w:type="dxa"/>
            <w:vAlign w:val="center"/>
          </w:tcPr>
          <w:p>
            <w:pPr>
              <w:pStyle w:val="134"/>
              <w:spacing w:line="240" w:lineRule="auto"/>
              <w:ind w:firstLine="420"/>
              <w:rPr>
                <w:sz w:val="21"/>
                <w:szCs w:val="21"/>
              </w:rPr>
            </w:pPr>
            <w:r>
              <w:rPr>
                <w:sz w:val="21"/>
                <w:szCs w:val="21"/>
              </w:rPr>
              <w:t>三级评价</w:t>
            </w:r>
          </w:p>
        </w:tc>
        <w:tc>
          <w:tcPr>
            <w:tcW w:w="4299" w:type="dxa"/>
            <w:vAlign w:val="center"/>
          </w:tcPr>
          <w:p>
            <w:pPr>
              <w:pStyle w:val="134"/>
              <w:spacing w:line="240" w:lineRule="auto"/>
              <w:ind w:firstLine="420"/>
              <w:rPr>
                <w:sz w:val="21"/>
                <w:szCs w:val="21"/>
              </w:rPr>
            </w:pPr>
            <w:r>
              <w:rPr>
                <w:sz w:val="21"/>
                <w:szCs w:val="21"/>
              </w:rPr>
              <w:t>Pmax&lt;1%</w:t>
            </w:r>
          </w:p>
        </w:tc>
      </w:tr>
    </w:tbl>
    <w:p>
      <w:pPr>
        <w:pStyle w:val="49"/>
        <w:ind w:firstLine="480"/>
      </w:pPr>
      <w:r>
        <w:t>3、污染物评价标准</w:t>
      </w:r>
    </w:p>
    <w:p>
      <w:pPr>
        <w:pStyle w:val="49"/>
        <w:ind w:firstLine="480"/>
      </w:pPr>
      <w:r>
        <w:t>污染物评价标准和来源见下表。</w:t>
      </w:r>
    </w:p>
    <w:p>
      <w:pPr>
        <w:pStyle w:val="53"/>
      </w:pPr>
      <w:r>
        <w:t>表</w:t>
      </w:r>
      <w:r>
        <w:rPr>
          <w:rFonts w:hint="eastAsia"/>
        </w:rPr>
        <w:t>5</w:t>
      </w:r>
      <w:r>
        <w:t>.2-2  污染物评价标准</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168"/>
        <w:gridCol w:w="1164"/>
        <w:gridCol w:w="1747"/>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65" w:type="pct"/>
            <w:vAlign w:val="center"/>
          </w:tcPr>
          <w:p>
            <w:pPr>
              <w:pStyle w:val="51"/>
            </w:pPr>
            <w:r>
              <w:t>污染物名称</w:t>
            </w:r>
          </w:p>
        </w:tc>
        <w:tc>
          <w:tcPr>
            <w:tcW w:w="685" w:type="pct"/>
            <w:vAlign w:val="center"/>
          </w:tcPr>
          <w:p>
            <w:pPr>
              <w:pStyle w:val="51"/>
            </w:pPr>
            <w:r>
              <w:t>功能区</w:t>
            </w:r>
          </w:p>
        </w:tc>
        <w:tc>
          <w:tcPr>
            <w:tcW w:w="683" w:type="pct"/>
            <w:vAlign w:val="center"/>
          </w:tcPr>
          <w:p>
            <w:pPr>
              <w:pStyle w:val="51"/>
            </w:pPr>
            <w:r>
              <w:t>取值时间</w:t>
            </w:r>
          </w:p>
        </w:tc>
        <w:tc>
          <w:tcPr>
            <w:tcW w:w="1025" w:type="pct"/>
            <w:vAlign w:val="center"/>
          </w:tcPr>
          <w:p>
            <w:pPr>
              <w:pStyle w:val="51"/>
            </w:pPr>
            <w:bookmarkStart w:id="190" w:name="OLE_LINK4"/>
            <w:bookmarkStart w:id="191" w:name="OLE_LINK5"/>
            <w:r>
              <w:t>标准值</w:t>
            </w:r>
            <w:bookmarkEnd w:id="190"/>
            <w:bookmarkEnd w:id="191"/>
            <w:bookmarkStart w:id="192" w:name="OLE_LINK14"/>
            <w:bookmarkStart w:id="193" w:name="OLE_LINK15"/>
            <w:r>
              <w:t>(μg/m</w:t>
            </w:r>
            <w:r>
              <w:rPr>
                <w:vertAlign w:val="superscript"/>
              </w:rPr>
              <w:t>3</w:t>
            </w:r>
            <w:r>
              <w:t>)</w:t>
            </w:r>
            <w:bookmarkEnd w:id="192"/>
            <w:bookmarkEnd w:id="193"/>
          </w:p>
        </w:tc>
        <w:tc>
          <w:tcPr>
            <w:tcW w:w="1842" w:type="pct"/>
            <w:vAlign w:val="center"/>
          </w:tcPr>
          <w:p>
            <w:pPr>
              <w:pStyle w:val="51"/>
            </w:pPr>
            <w: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5" w:type="pct"/>
            <w:vAlign w:val="center"/>
          </w:tcPr>
          <w:p>
            <w:pPr>
              <w:pStyle w:val="51"/>
            </w:pPr>
            <w:r>
              <w:t>NH</w:t>
            </w:r>
            <w:r>
              <w:rPr>
                <w:vertAlign w:val="subscript"/>
              </w:rPr>
              <w:t>3</w:t>
            </w:r>
          </w:p>
        </w:tc>
        <w:tc>
          <w:tcPr>
            <w:tcW w:w="685" w:type="pct"/>
            <w:vMerge w:val="restart"/>
            <w:vAlign w:val="center"/>
          </w:tcPr>
          <w:p>
            <w:pPr>
              <w:pStyle w:val="51"/>
            </w:pPr>
            <w:r>
              <w:rPr>
                <w:rFonts w:hint="eastAsia"/>
              </w:rPr>
              <w:t>二类区</w:t>
            </w:r>
          </w:p>
        </w:tc>
        <w:tc>
          <w:tcPr>
            <w:tcW w:w="683" w:type="pct"/>
            <w:vAlign w:val="center"/>
          </w:tcPr>
          <w:p>
            <w:pPr>
              <w:pStyle w:val="51"/>
            </w:pPr>
            <w:r>
              <w:t>一小时</w:t>
            </w:r>
          </w:p>
        </w:tc>
        <w:tc>
          <w:tcPr>
            <w:tcW w:w="1025" w:type="pct"/>
            <w:vAlign w:val="center"/>
          </w:tcPr>
          <w:p>
            <w:pPr>
              <w:pStyle w:val="51"/>
            </w:pPr>
            <w:r>
              <w:rPr>
                <w:rFonts w:hint="eastAsia"/>
              </w:rPr>
              <w:t>200</w:t>
            </w:r>
          </w:p>
        </w:tc>
        <w:tc>
          <w:tcPr>
            <w:tcW w:w="1842" w:type="pct"/>
            <w:vMerge w:val="restart"/>
            <w:vAlign w:val="center"/>
          </w:tcPr>
          <w:p>
            <w:pPr>
              <w:pStyle w:val="51"/>
            </w:pPr>
            <w:r>
              <w:rPr>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5" w:type="pct"/>
            <w:vAlign w:val="center"/>
          </w:tcPr>
          <w:p>
            <w:pPr>
              <w:pStyle w:val="51"/>
            </w:pPr>
            <w:r>
              <w:t>H</w:t>
            </w:r>
            <w:r>
              <w:rPr>
                <w:vertAlign w:val="subscript"/>
              </w:rPr>
              <w:t>2</w:t>
            </w:r>
            <w:r>
              <w:t>S</w:t>
            </w:r>
          </w:p>
        </w:tc>
        <w:tc>
          <w:tcPr>
            <w:tcW w:w="685" w:type="pct"/>
            <w:vMerge w:val="continue"/>
            <w:vAlign w:val="center"/>
          </w:tcPr>
          <w:p>
            <w:pPr>
              <w:pStyle w:val="51"/>
            </w:pPr>
          </w:p>
        </w:tc>
        <w:tc>
          <w:tcPr>
            <w:tcW w:w="683" w:type="pct"/>
            <w:vAlign w:val="center"/>
          </w:tcPr>
          <w:p>
            <w:pPr>
              <w:pStyle w:val="51"/>
            </w:pPr>
            <w:r>
              <w:t>一小时</w:t>
            </w:r>
          </w:p>
        </w:tc>
        <w:tc>
          <w:tcPr>
            <w:tcW w:w="1025" w:type="pct"/>
            <w:vAlign w:val="center"/>
          </w:tcPr>
          <w:p>
            <w:pPr>
              <w:pStyle w:val="51"/>
            </w:pPr>
            <w:r>
              <w:rPr>
                <w:rFonts w:hint="eastAsia"/>
              </w:rPr>
              <w:t>10</w:t>
            </w:r>
          </w:p>
        </w:tc>
        <w:tc>
          <w:tcPr>
            <w:tcW w:w="1842"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5" w:type="pct"/>
            <w:vAlign w:val="center"/>
          </w:tcPr>
          <w:p>
            <w:pPr>
              <w:pStyle w:val="51"/>
            </w:pPr>
            <w:r>
              <w:t>颗粒物</w:t>
            </w:r>
          </w:p>
        </w:tc>
        <w:tc>
          <w:tcPr>
            <w:tcW w:w="685" w:type="pct"/>
            <w:vMerge w:val="continue"/>
            <w:vAlign w:val="center"/>
          </w:tcPr>
          <w:p>
            <w:pPr>
              <w:pStyle w:val="51"/>
            </w:pPr>
          </w:p>
        </w:tc>
        <w:tc>
          <w:tcPr>
            <w:tcW w:w="683" w:type="pct"/>
            <w:vAlign w:val="center"/>
          </w:tcPr>
          <w:p>
            <w:pPr>
              <w:pStyle w:val="51"/>
            </w:pPr>
            <w:r>
              <w:rPr>
                <w:rFonts w:hint="eastAsia"/>
                <w:snapToGrid w:val="0"/>
              </w:rPr>
              <w:t>一小时</w:t>
            </w:r>
          </w:p>
        </w:tc>
        <w:tc>
          <w:tcPr>
            <w:tcW w:w="1025" w:type="pct"/>
            <w:vAlign w:val="center"/>
          </w:tcPr>
          <w:p>
            <w:pPr>
              <w:pStyle w:val="51"/>
            </w:pPr>
            <w:r>
              <w:rPr>
                <w:rFonts w:hint="eastAsia"/>
              </w:rPr>
              <w:t>900</w:t>
            </w:r>
          </w:p>
        </w:tc>
        <w:tc>
          <w:tcPr>
            <w:tcW w:w="1842" w:type="pct"/>
            <w:vAlign w:val="center"/>
          </w:tcPr>
          <w:p>
            <w:pPr>
              <w:pStyle w:val="51"/>
            </w:pPr>
            <w:r>
              <w:rPr>
                <w:rFonts w:cs="Times New Roman"/>
                <w:szCs w:val="21"/>
              </w:rPr>
              <w:t>大气环境质量标准》（GB3095-2012）</w:t>
            </w:r>
          </w:p>
        </w:tc>
      </w:tr>
    </w:tbl>
    <w:p>
      <w:pPr>
        <w:pStyle w:val="49"/>
        <w:ind w:firstLine="480"/>
        <w:sectPr>
          <w:pgSz w:w="11906" w:h="16838"/>
          <w:pgMar w:top="1440" w:right="1800" w:bottom="1440" w:left="1800" w:header="851" w:footer="992" w:gutter="0"/>
          <w:cols w:space="425" w:num="1"/>
          <w:docGrid w:type="lines" w:linePitch="312" w:charSpace="0"/>
        </w:sectPr>
      </w:pPr>
    </w:p>
    <w:p>
      <w:pPr>
        <w:pStyle w:val="49"/>
        <w:ind w:firstLine="480"/>
      </w:pPr>
      <w:r>
        <w:t>4、污染源参数</w:t>
      </w:r>
    </w:p>
    <w:p>
      <w:pPr>
        <w:pStyle w:val="49"/>
        <w:ind w:firstLine="480"/>
      </w:pPr>
      <w:r>
        <w:rPr>
          <w:rFonts w:hint="eastAsia"/>
        </w:rPr>
        <w:t>本项目</w:t>
      </w:r>
      <w:r>
        <w:t>点面源参数详见表</w:t>
      </w:r>
      <w:r>
        <w:rPr>
          <w:rFonts w:hint="eastAsia"/>
        </w:rPr>
        <w:t>5</w:t>
      </w:r>
      <w:r>
        <w:t>.2-</w:t>
      </w:r>
      <w:r>
        <w:rPr>
          <w:rFonts w:hint="eastAsia"/>
        </w:rPr>
        <w:t>3</w:t>
      </w:r>
      <w:r>
        <w:t>。</w:t>
      </w:r>
    </w:p>
    <w:p>
      <w:pPr>
        <w:pStyle w:val="53"/>
      </w:pPr>
      <w:r>
        <w:t>表</w:t>
      </w:r>
      <w:r>
        <w:rPr>
          <w:rFonts w:hint="eastAsia"/>
        </w:rPr>
        <w:t>5</w:t>
      </w:r>
      <w:r>
        <w:t>.2-</w:t>
      </w:r>
      <w:r>
        <w:rPr>
          <w:rFonts w:hint="eastAsia"/>
        </w:rPr>
        <w:t>3</w:t>
      </w:r>
      <w:r>
        <w:t xml:space="preserve">  项目</w:t>
      </w:r>
      <w:r>
        <w:rPr>
          <w:rFonts w:hint="eastAsia"/>
        </w:rPr>
        <w:t>无</w:t>
      </w:r>
      <w:r>
        <w:t>组织废气污染源排放参数表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358"/>
        <w:gridCol w:w="1256"/>
        <w:gridCol w:w="1253"/>
        <w:gridCol w:w="1758"/>
        <w:gridCol w:w="1800"/>
        <w:gridCol w:w="1783"/>
        <w:gridCol w:w="1123"/>
        <w:gridCol w:w="1029"/>
        <w:gridCol w:w="1029"/>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67" w:type="pct"/>
            <w:vMerge w:val="restart"/>
            <w:vAlign w:val="center"/>
          </w:tcPr>
          <w:p>
            <w:pPr>
              <w:pStyle w:val="51"/>
              <w:rPr>
                <w:b/>
                <w:bCs/>
              </w:rPr>
            </w:pPr>
            <w:r>
              <w:rPr>
                <w:b/>
                <w:bCs/>
              </w:rPr>
              <w:t>编号</w:t>
            </w:r>
          </w:p>
        </w:tc>
        <w:tc>
          <w:tcPr>
            <w:tcW w:w="479" w:type="pct"/>
            <w:vMerge w:val="restart"/>
            <w:vAlign w:val="center"/>
          </w:tcPr>
          <w:p>
            <w:pPr>
              <w:pStyle w:val="51"/>
              <w:rPr>
                <w:b/>
                <w:bCs/>
              </w:rPr>
            </w:pPr>
            <w:r>
              <w:rPr>
                <w:b/>
                <w:bCs/>
              </w:rPr>
              <w:t>名称</w:t>
            </w:r>
          </w:p>
        </w:tc>
        <w:tc>
          <w:tcPr>
            <w:tcW w:w="885" w:type="pct"/>
            <w:gridSpan w:val="2"/>
            <w:vAlign w:val="center"/>
          </w:tcPr>
          <w:p>
            <w:pPr>
              <w:pStyle w:val="51"/>
              <w:rPr>
                <w:b/>
                <w:bCs/>
              </w:rPr>
            </w:pPr>
            <w:r>
              <w:rPr>
                <w:rFonts w:hint="eastAsia"/>
                <w:b/>
                <w:bCs/>
              </w:rPr>
              <w:t>面源各项点坐标</w:t>
            </w:r>
            <w:r>
              <w:rPr>
                <w:b/>
                <w:bCs/>
              </w:rPr>
              <w:t>/m</w:t>
            </w:r>
          </w:p>
        </w:tc>
        <w:tc>
          <w:tcPr>
            <w:tcW w:w="620" w:type="pct"/>
            <w:vMerge w:val="restart"/>
            <w:vAlign w:val="center"/>
          </w:tcPr>
          <w:p>
            <w:pPr>
              <w:pStyle w:val="51"/>
              <w:rPr>
                <w:b/>
                <w:bCs/>
              </w:rPr>
            </w:pPr>
            <w:r>
              <w:rPr>
                <w:b/>
                <w:bCs/>
              </w:rPr>
              <w:t>面源海拔高度/m</w:t>
            </w:r>
          </w:p>
        </w:tc>
        <w:tc>
          <w:tcPr>
            <w:tcW w:w="635" w:type="pct"/>
            <w:vMerge w:val="restart"/>
            <w:vAlign w:val="center"/>
          </w:tcPr>
          <w:p>
            <w:pPr>
              <w:pStyle w:val="51"/>
              <w:rPr>
                <w:b/>
                <w:bCs/>
              </w:rPr>
            </w:pPr>
            <w:r>
              <w:rPr>
                <w:b/>
                <w:bCs/>
              </w:rPr>
              <w:t>面源有效高度/m</w:t>
            </w:r>
          </w:p>
        </w:tc>
        <w:tc>
          <w:tcPr>
            <w:tcW w:w="629" w:type="pct"/>
            <w:vMerge w:val="restart"/>
            <w:vAlign w:val="center"/>
          </w:tcPr>
          <w:p>
            <w:pPr>
              <w:pStyle w:val="51"/>
              <w:rPr>
                <w:b/>
                <w:bCs/>
              </w:rPr>
            </w:pPr>
            <w:r>
              <w:rPr>
                <w:b/>
                <w:bCs/>
              </w:rPr>
              <w:t>年排放小时数/h</w:t>
            </w:r>
          </w:p>
        </w:tc>
        <w:tc>
          <w:tcPr>
            <w:tcW w:w="396" w:type="pct"/>
            <w:vMerge w:val="restart"/>
            <w:vAlign w:val="center"/>
          </w:tcPr>
          <w:p>
            <w:pPr>
              <w:pStyle w:val="51"/>
              <w:rPr>
                <w:b/>
                <w:bCs/>
              </w:rPr>
            </w:pPr>
            <w:r>
              <w:rPr>
                <w:b/>
                <w:bCs/>
              </w:rPr>
              <w:t>排放工况</w:t>
            </w:r>
          </w:p>
        </w:tc>
        <w:tc>
          <w:tcPr>
            <w:tcW w:w="1089" w:type="pct"/>
            <w:gridSpan w:val="3"/>
            <w:vAlign w:val="center"/>
          </w:tcPr>
          <w:p>
            <w:pPr>
              <w:pStyle w:val="51"/>
              <w:rPr>
                <w:b/>
                <w:bCs/>
              </w:rPr>
            </w:pPr>
            <w:r>
              <w:rPr>
                <w:b/>
                <w:bCs/>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0" w:type="auto"/>
            <w:vMerge w:val="continue"/>
            <w:vAlign w:val="center"/>
          </w:tcPr>
          <w:p>
            <w:pPr>
              <w:pStyle w:val="51"/>
              <w:rPr>
                <w:b/>
                <w:bCs/>
              </w:rPr>
            </w:pPr>
          </w:p>
        </w:tc>
        <w:tc>
          <w:tcPr>
            <w:tcW w:w="0" w:type="auto"/>
            <w:vMerge w:val="continue"/>
            <w:vAlign w:val="center"/>
          </w:tcPr>
          <w:p>
            <w:pPr>
              <w:pStyle w:val="51"/>
              <w:rPr>
                <w:b/>
                <w:bCs/>
              </w:rPr>
            </w:pPr>
          </w:p>
        </w:tc>
        <w:tc>
          <w:tcPr>
            <w:tcW w:w="443" w:type="pct"/>
            <w:vAlign w:val="center"/>
          </w:tcPr>
          <w:p>
            <w:pPr>
              <w:pStyle w:val="51"/>
              <w:rPr>
                <w:b/>
                <w:bCs/>
              </w:rPr>
            </w:pPr>
            <w:r>
              <w:rPr>
                <w:b/>
                <w:bCs/>
              </w:rPr>
              <w:t>X</w:t>
            </w:r>
          </w:p>
        </w:tc>
        <w:tc>
          <w:tcPr>
            <w:tcW w:w="442" w:type="pct"/>
            <w:vAlign w:val="center"/>
          </w:tcPr>
          <w:p>
            <w:pPr>
              <w:pStyle w:val="51"/>
              <w:rPr>
                <w:b/>
                <w:bCs/>
              </w:rPr>
            </w:pPr>
            <w:r>
              <w:rPr>
                <w:b/>
                <w:bCs/>
              </w:rPr>
              <w:t>Y</w:t>
            </w:r>
          </w:p>
        </w:tc>
        <w:tc>
          <w:tcPr>
            <w:tcW w:w="0" w:type="auto"/>
            <w:vMerge w:val="continue"/>
            <w:vAlign w:val="center"/>
          </w:tcPr>
          <w:p>
            <w:pPr>
              <w:pStyle w:val="51"/>
            </w:pPr>
          </w:p>
        </w:tc>
        <w:tc>
          <w:tcPr>
            <w:tcW w:w="0" w:type="auto"/>
            <w:vMerge w:val="continue"/>
            <w:vAlign w:val="center"/>
          </w:tcPr>
          <w:p>
            <w:pPr>
              <w:pStyle w:val="51"/>
            </w:pPr>
          </w:p>
        </w:tc>
        <w:tc>
          <w:tcPr>
            <w:tcW w:w="0" w:type="auto"/>
            <w:vMerge w:val="continue"/>
            <w:vAlign w:val="center"/>
          </w:tcPr>
          <w:p>
            <w:pPr>
              <w:pStyle w:val="51"/>
            </w:pPr>
          </w:p>
        </w:tc>
        <w:tc>
          <w:tcPr>
            <w:tcW w:w="0" w:type="auto"/>
            <w:vMerge w:val="continue"/>
            <w:vAlign w:val="center"/>
          </w:tcPr>
          <w:p>
            <w:pPr>
              <w:pStyle w:val="51"/>
            </w:pPr>
          </w:p>
        </w:tc>
        <w:tc>
          <w:tcPr>
            <w:tcW w:w="363" w:type="pct"/>
            <w:vAlign w:val="center"/>
          </w:tcPr>
          <w:p>
            <w:pPr>
              <w:pStyle w:val="51"/>
            </w:pPr>
            <w:r>
              <w:rPr>
                <w:rFonts w:hint="eastAsia"/>
              </w:rPr>
              <w:t>NH</w:t>
            </w:r>
            <w:r>
              <w:rPr>
                <w:rFonts w:hint="eastAsia"/>
                <w:vertAlign w:val="subscript"/>
              </w:rPr>
              <w:t>3</w:t>
            </w:r>
          </w:p>
        </w:tc>
        <w:tc>
          <w:tcPr>
            <w:tcW w:w="363" w:type="pct"/>
            <w:vAlign w:val="center"/>
          </w:tcPr>
          <w:p>
            <w:pPr>
              <w:pStyle w:val="51"/>
            </w:pPr>
            <w:r>
              <w:rPr>
                <w:rFonts w:hint="eastAsia"/>
              </w:rPr>
              <w:t>H</w:t>
            </w:r>
            <w:r>
              <w:rPr>
                <w:rFonts w:hint="eastAsia"/>
                <w:vertAlign w:val="subscript"/>
              </w:rPr>
              <w:t>2</w:t>
            </w:r>
            <w:r>
              <w:rPr>
                <w:rFonts w:hint="eastAsia"/>
              </w:rPr>
              <w:t>S</w:t>
            </w:r>
          </w:p>
        </w:tc>
        <w:tc>
          <w:tcPr>
            <w:tcW w:w="363" w:type="pct"/>
            <w:vAlign w:val="center"/>
          </w:tcPr>
          <w:p>
            <w:pPr>
              <w:pStyle w:val="51"/>
            </w:pPr>
            <w:r>
              <w:rPr>
                <w:rFonts w:hint="eastAsia"/>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67" w:type="pct"/>
            <w:vMerge w:val="restart"/>
            <w:vAlign w:val="center"/>
          </w:tcPr>
          <w:p>
            <w:pPr>
              <w:pStyle w:val="51"/>
            </w:pPr>
            <w:r>
              <w:rPr>
                <w:rFonts w:hint="eastAsia"/>
              </w:rPr>
              <w:t>1</w:t>
            </w:r>
          </w:p>
        </w:tc>
        <w:tc>
          <w:tcPr>
            <w:tcW w:w="479" w:type="pct"/>
            <w:vMerge w:val="restart"/>
            <w:vAlign w:val="center"/>
          </w:tcPr>
          <w:p>
            <w:pPr>
              <w:pStyle w:val="51"/>
            </w:pPr>
            <w:r>
              <w:rPr>
                <w:rFonts w:hint="eastAsia"/>
              </w:rPr>
              <w:t>鸡舍、鸡粪风干车间、一体化污水处理设施</w:t>
            </w:r>
          </w:p>
        </w:tc>
        <w:tc>
          <w:tcPr>
            <w:tcW w:w="443" w:type="pct"/>
            <w:vAlign w:val="center"/>
          </w:tcPr>
          <w:p>
            <w:pPr>
              <w:pStyle w:val="51"/>
            </w:pPr>
            <w:r>
              <w:rPr>
                <w:rFonts w:hint="eastAsia"/>
              </w:rPr>
              <w:t>-78</w:t>
            </w:r>
          </w:p>
        </w:tc>
        <w:tc>
          <w:tcPr>
            <w:tcW w:w="442" w:type="pct"/>
            <w:vAlign w:val="center"/>
          </w:tcPr>
          <w:p>
            <w:pPr>
              <w:pStyle w:val="51"/>
            </w:pPr>
            <w:r>
              <w:rPr>
                <w:rFonts w:hint="eastAsia"/>
              </w:rPr>
              <w:t>0</w:t>
            </w:r>
          </w:p>
        </w:tc>
        <w:tc>
          <w:tcPr>
            <w:tcW w:w="620" w:type="pct"/>
            <w:vMerge w:val="restart"/>
            <w:vAlign w:val="center"/>
          </w:tcPr>
          <w:p>
            <w:pPr>
              <w:pStyle w:val="51"/>
            </w:pPr>
            <w:r>
              <w:rPr>
                <w:rFonts w:hint="eastAsia"/>
              </w:rPr>
              <w:t>128</w:t>
            </w:r>
          </w:p>
        </w:tc>
        <w:tc>
          <w:tcPr>
            <w:tcW w:w="635" w:type="pct"/>
            <w:vMerge w:val="restart"/>
            <w:vAlign w:val="center"/>
          </w:tcPr>
          <w:p>
            <w:pPr>
              <w:pStyle w:val="51"/>
            </w:pPr>
            <w:r>
              <w:rPr>
                <w:rFonts w:hint="eastAsia"/>
              </w:rPr>
              <w:t>8</w:t>
            </w:r>
          </w:p>
        </w:tc>
        <w:tc>
          <w:tcPr>
            <w:tcW w:w="629" w:type="pct"/>
            <w:vMerge w:val="restart"/>
            <w:vAlign w:val="center"/>
          </w:tcPr>
          <w:p>
            <w:pPr>
              <w:pStyle w:val="51"/>
            </w:pPr>
            <w:r>
              <w:rPr>
                <w:rFonts w:hint="eastAsia"/>
              </w:rPr>
              <w:t>8760</w:t>
            </w:r>
          </w:p>
        </w:tc>
        <w:tc>
          <w:tcPr>
            <w:tcW w:w="396" w:type="pct"/>
            <w:vMerge w:val="restart"/>
            <w:vAlign w:val="center"/>
          </w:tcPr>
          <w:p>
            <w:pPr>
              <w:pStyle w:val="51"/>
            </w:pPr>
            <w:r>
              <w:t>连续</w:t>
            </w:r>
          </w:p>
        </w:tc>
        <w:tc>
          <w:tcPr>
            <w:tcW w:w="363" w:type="pct"/>
            <w:vMerge w:val="restart"/>
            <w:vAlign w:val="center"/>
          </w:tcPr>
          <w:p>
            <w:pPr>
              <w:pStyle w:val="51"/>
              <w:rPr>
                <w:rFonts w:hint="eastAsia" w:ascii="等线" w:hAnsi="等线" w:eastAsia="等线"/>
                <w:color w:val="000000"/>
                <w:sz w:val="22"/>
                <w:szCs w:val="22"/>
              </w:rPr>
            </w:pPr>
            <w:r>
              <w:rPr>
                <w:rFonts w:hint="eastAsia"/>
              </w:rPr>
              <w:t>0.0092</w:t>
            </w:r>
          </w:p>
        </w:tc>
        <w:tc>
          <w:tcPr>
            <w:tcW w:w="363" w:type="pct"/>
            <w:vMerge w:val="restart"/>
            <w:vAlign w:val="center"/>
          </w:tcPr>
          <w:p>
            <w:pPr>
              <w:pStyle w:val="51"/>
              <w:rPr>
                <w:rFonts w:hint="eastAsia" w:ascii="等线" w:hAnsi="等线" w:eastAsia="等线"/>
                <w:color w:val="000000"/>
                <w:sz w:val="22"/>
                <w:szCs w:val="22"/>
              </w:rPr>
            </w:pPr>
            <w:r>
              <w:rPr>
                <w:rFonts w:hint="eastAsia"/>
              </w:rPr>
              <w:t>0.0013</w:t>
            </w:r>
          </w:p>
        </w:tc>
        <w:tc>
          <w:tcPr>
            <w:tcW w:w="363" w:type="pct"/>
            <w:vMerge w:val="restart"/>
            <w:vAlign w:val="center"/>
          </w:tcPr>
          <w:p>
            <w:pPr>
              <w:pStyle w:val="51"/>
              <w:rPr>
                <w:rFonts w:hint="eastAsia" w:ascii="等线" w:hAnsi="等线" w:eastAsia="等线"/>
                <w:color w:val="000000"/>
                <w:sz w:val="22"/>
                <w:szCs w:val="22"/>
              </w:rPr>
            </w:pPr>
            <w:r>
              <w:t>0.12</w:t>
            </w: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67" w:type="pct"/>
            <w:vMerge w:val="continue"/>
            <w:vAlign w:val="center"/>
          </w:tcPr>
          <w:p>
            <w:pPr>
              <w:pStyle w:val="51"/>
            </w:pPr>
          </w:p>
        </w:tc>
        <w:tc>
          <w:tcPr>
            <w:tcW w:w="479" w:type="pct"/>
            <w:vMerge w:val="continue"/>
            <w:vAlign w:val="center"/>
          </w:tcPr>
          <w:p>
            <w:pPr>
              <w:pStyle w:val="51"/>
            </w:pPr>
          </w:p>
        </w:tc>
        <w:tc>
          <w:tcPr>
            <w:tcW w:w="443" w:type="pct"/>
            <w:vAlign w:val="center"/>
          </w:tcPr>
          <w:p>
            <w:pPr>
              <w:pStyle w:val="51"/>
            </w:pPr>
            <w:r>
              <w:rPr>
                <w:rFonts w:hint="eastAsia"/>
              </w:rPr>
              <w:t>-78</w:t>
            </w:r>
          </w:p>
        </w:tc>
        <w:tc>
          <w:tcPr>
            <w:tcW w:w="442" w:type="pct"/>
            <w:vAlign w:val="center"/>
          </w:tcPr>
          <w:p>
            <w:pPr>
              <w:pStyle w:val="51"/>
            </w:pPr>
            <w:r>
              <w:rPr>
                <w:rFonts w:hint="eastAsia"/>
              </w:rPr>
              <w:t>103</w:t>
            </w:r>
          </w:p>
        </w:tc>
        <w:tc>
          <w:tcPr>
            <w:tcW w:w="620" w:type="pct"/>
            <w:vMerge w:val="continue"/>
            <w:vAlign w:val="center"/>
          </w:tcPr>
          <w:p>
            <w:pPr>
              <w:pStyle w:val="51"/>
            </w:pPr>
          </w:p>
        </w:tc>
        <w:tc>
          <w:tcPr>
            <w:tcW w:w="635" w:type="pct"/>
            <w:vMerge w:val="continue"/>
            <w:vAlign w:val="center"/>
          </w:tcPr>
          <w:p>
            <w:pPr>
              <w:pStyle w:val="51"/>
            </w:pPr>
          </w:p>
        </w:tc>
        <w:tc>
          <w:tcPr>
            <w:tcW w:w="629" w:type="pct"/>
            <w:vMerge w:val="continue"/>
            <w:vAlign w:val="center"/>
          </w:tcPr>
          <w:p>
            <w:pPr>
              <w:pStyle w:val="51"/>
            </w:pPr>
          </w:p>
        </w:tc>
        <w:tc>
          <w:tcPr>
            <w:tcW w:w="396"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67" w:type="pct"/>
            <w:vMerge w:val="continue"/>
            <w:vAlign w:val="center"/>
          </w:tcPr>
          <w:p>
            <w:pPr>
              <w:pStyle w:val="51"/>
            </w:pPr>
          </w:p>
        </w:tc>
        <w:tc>
          <w:tcPr>
            <w:tcW w:w="479" w:type="pct"/>
            <w:vMerge w:val="continue"/>
            <w:vAlign w:val="center"/>
          </w:tcPr>
          <w:p>
            <w:pPr>
              <w:pStyle w:val="51"/>
            </w:pPr>
          </w:p>
        </w:tc>
        <w:tc>
          <w:tcPr>
            <w:tcW w:w="443" w:type="pct"/>
            <w:vAlign w:val="center"/>
          </w:tcPr>
          <w:p>
            <w:pPr>
              <w:pStyle w:val="51"/>
            </w:pPr>
            <w:r>
              <w:rPr>
                <w:rFonts w:hint="eastAsia"/>
              </w:rPr>
              <w:t>96</w:t>
            </w:r>
          </w:p>
        </w:tc>
        <w:tc>
          <w:tcPr>
            <w:tcW w:w="442" w:type="pct"/>
            <w:vAlign w:val="center"/>
          </w:tcPr>
          <w:p>
            <w:pPr>
              <w:pStyle w:val="51"/>
            </w:pPr>
            <w:r>
              <w:rPr>
                <w:rFonts w:hint="eastAsia"/>
              </w:rPr>
              <w:t>103</w:t>
            </w:r>
          </w:p>
        </w:tc>
        <w:tc>
          <w:tcPr>
            <w:tcW w:w="620" w:type="pct"/>
            <w:vMerge w:val="continue"/>
            <w:vAlign w:val="center"/>
          </w:tcPr>
          <w:p>
            <w:pPr>
              <w:pStyle w:val="51"/>
            </w:pPr>
          </w:p>
        </w:tc>
        <w:tc>
          <w:tcPr>
            <w:tcW w:w="635" w:type="pct"/>
            <w:vMerge w:val="continue"/>
            <w:vAlign w:val="center"/>
          </w:tcPr>
          <w:p>
            <w:pPr>
              <w:pStyle w:val="51"/>
            </w:pPr>
          </w:p>
        </w:tc>
        <w:tc>
          <w:tcPr>
            <w:tcW w:w="629" w:type="pct"/>
            <w:vMerge w:val="continue"/>
            <w:vAlign w:val="center"/>
          </w:tcPr>
          <w:p>
            <w:pPr>
              <w:pStyle w:val="51"/>
            </w:pPr>
          </w:p>
        </w:tc>
        <w:tc>
          <w:tcPr>
            <w:tcW w:w="396"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67" w:type="pct"/>
            <w:vMerge w:val="continue"/>
            <w:vAlign w:val="center"/>
          </w:tcPr>
          <w:p>
            <w:pPr>
              <w:pStyle w:val="51"/>
            </w:pPr>
          </w:p>
        </w:tc>
        <w:tc>
          <w:tcPr>
            <w:tcW w:w="479" w:type="pct"/>
            <w:vMerge w:val="continue"/>
            <w:vAlign w:val="center"/>
          </w:tcPr>
          <w:p>
            <w:pPr>
              <w:pStyle w:val="51"/>
            </w:pPr>
          </w:p>
        </w:tc>
        <w:tc>
          <w:tcPr>
            <w:tcW w:w="443" w:type="pct"/>
            <w:vAlign w:val="center"/>
          </w:tcPr>
          <w:p>
            <w:pPr>
              <w:pStyle w:val="51"/>
            </w:pPr>
            <w:r>
              <w:rPr>
                <w:rFonts w:hint="eastAsia"/>
              </w:rPr>
              <w:t>96</w:t>
            </w:r>
          </w:p>
        </w:tc>
        <w:tc>
          <w:tcPr>
            <w:tcW w:w="442" w:type="pct"/>
            <w:vAlign w:val="center"/>
          </w:tcPr>
          <w:p>
            <w:pPr>
              <w:pStyle w:val="51"/>
            </w:pPr>
            <w:r>
              <w:rPr>
                <w:rFonts w:hint="eastAsia"/>
              </w:rPr>
              <w:t>-21</w:t>
            </w:r>
          </w:p>
        </w:tc>
        <w:tc>
          <w:tcPr>
            <w:tcW w:w="620" w:type="pct"/>
            <w:vMerge w:val="continue"/>
            <w:vAlign w:val="center"/>
          </w:tcPr>
          <w:p>
            <w:pPr>
              <w:pStyle w:val="51"/>
            </w:pPr>
          </w:p>
        </w:tc>
        <w:tc>
          <w:tcPr>
            <w:tcW w:w="635" w:type="pct"/>
            <w:vMerge w:val="continue"/>
            <w:vAlign w:val="center"/>
          </w:tcPr>
          <w:p>
            <w:pPr>
              <w:pStyle w:val="51"/>
            </w:pPr>
          </w:p>
        </w:tc>
        <w:tc>
          <w:tcPr>
            <w:tcW w:w="629" w:type="pct"/>
            <w:vMerge w:val="continue"/>
            <w:vAlign w:val="center"/>
          </w:tcPr>
          <w:p>
            <w:pPr>
              <w:pStyle w:val="51"/>
            </w:pPr>
          </w:p>
        </w:tc>
        <w:tc>
          <w:tcPr>
            <w:tcW w:w="396"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67" w:type="pct"/>
            <w:vMerge w:val="continue"/>
            <w:vAlign w:val="center"/>
          </w:tcPr>
          <w:p>
            <w:pPr>
              <w:pStyle w:val="51"/>
            </w:pPr>
          </w:p>
        </w:tc>
        <w:tc>
          <w:tcPr>
            <w:tcW w:w="479" w:type="pct"/>
            <w:vMerge w:val="continue"/>
            <w:vAlign w:val="center"/>
          </w:tcPr>
          <w:p>
            <w:pPr>
              <w:pStyle w:val="51"/>
            </w:pPr>
          </w:p>
        </w:tc>
        <w:tc>
          <w:tcPr>
            <w:tcW w:w="443" w:type="pct"/>
            <w:vAlign w:val="center"/>
          </w:tcPr>
          <w:p>
            <w:pPr>
              <w:pStyle w:val="51"/>
            </w:pPr>
            <w:r>
              <w:rPr>
                <w:rFonts w:hint="eastAsia"/>
              </w:rPr>
              <w:t>124</w:t>
            </w:r>
          </w:p>
        </w:tc>
        <w:tc>
          <w:tcPr>
            <w:tcW w:w="442" w:type="pct"/>
            <w:vAlign w:val="center"/>
          </w:tcPr>
          <w:p>
            <w:pPr>
              <w:pStyle w:val="51"/>
            </w:pPr>
            <w:r>
              <w:rPr>
                <w:rFonts w:hint="eastAsia"/>
              </w:rPr>
              <w:t>-21</w:t>
            </w:r>
          </w:p>
        </w:tc>
        <w:tc>
          <w:tcPr>
            <w:tcW w:w="620" w:type="pct"/>
            <w:vMerge w:val="continue"/>
            <w:vAlign w:val="center"/>
          </w:tcPr>
          <w:p>
            <w:pPr>
              <w:pStyle w:val="51"/>
            </w:pPr>
          </w:p>
        </w:tc>
        <w:tc>
          <w:tcPr>
            <w:tcW w:w="635" w:type="pct"/>
            <w:vMerge w:val="continue"/>
            <w:vAlign w:val="center"/>
          </w:tcPr>
          <w:p>
            <w:pPr>
              <w:pStyle w:val="51"/>
            </w:pPr>
          </w:p>
        </w:tc>
        <w:tc>
          <w:tcPr>
            <w:tcW w:w="629" w:type="pct"/>
            <w:vMerge w:val="continue"/>
            <w:vAlign w:val="center"/>
          </w:tcPr>
          <w:p>
            <w:pPr>
              <w:pStyle w:val="51"/>
            </w:pPr>
          </w:p>
        </w:tc>
        <w:tc>
          <w:tcPr>
            <w:tcW w:w="396" w:type="pct"/>
            <w:vMerge w:val="continue"/>
            <w:vAlign w:val="center"/>
          </w:tcPr>
          <w:p>
            <w:pPr>
              <w:pStyle w:val="51"/>
            </w:pPr>
          </w:p>
        </w:tc>
        <w:tc>
          <w:tcPr>
            <w:tcW w:w="363" w:type="pct"/>
            <w:vMerge w:val="continue"/>
            <w:vAlign w:val="center"/>
          </w:tcPr>
          <w:p>
            <w:pPr>
              <w:pStyle w:val="51"/>
              <w:rPr>
                <w:rFonts w:hint="eastAsia" w:ascii="等线" w:hAnsi="等线" w:eastAsia="等线"/>
                <w:color w:val="000000"/>
                <w:sz w:val="22"/>
                <w:szCs w:val="22"/>
              </w:rPr>
            </w:pPr>
          </w:p>
        </w:tc>
        <w:tc>
          <w:tcPr>
            <w:tcW w:w="363" w:type="pct"/>
            <w:vMerge w:val="continue"/>
            <w:vAlign w:val="center"/>
          </w:tcPr>
          <w:p>
            <w:pPr>
              <w:pStyle w:val="51"/>
              <w:rPr>
                <w:rFonts w:hint="eastAsia" w:ascii="等线" w:hAnsi="等线" w:eastAsia="等线"/>
                <w:color w:val="000000"/>
                <w:sz w:val="22"/>
                <w:szCs w:val="22"/>
              </w:rPr>
            </w:pPr>
          </w:p>
        </w:tc>
        <w:tc>
          <w:tcPr>
            <w:tcW w:w="363" w:type="pct"/>
            <w:vMerge w:val="continue"/>
            <w:vAlign w:val="center"/>
          </w:tcPr>
          <w:p>
            <w:pPr>
              <w:pStyle w:val="51"/>
              <w:rPr>
                <w:rFonts w:hint="eastAsia" w:ascii="等线" w:hAnsi="等线" w:eastAsia="等线"/>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67" w:type="pct"/>
            <w:vMerge w:val="continue"/>
            <w:vAlign w:val="center"/>
          </w:tcPr>
          <w:p>
            <w:pPr>
              <w:pStyle w:val="51"/>
            </w:pPr>
          </w:p>
        </w:tc>
        <w:tc>
          <w:tcPr>
            <w:tcW w:w="479" w:type="pct"/>
            <w:vMerge w:val="continue"/>
            <w:vAlign w:val="center"/>
          </w:tcPr>
          <w:p>
            <w:pPr>
              <w:pStyle w:val="51"/>
            </w:pPr>
          </w:p>
        </w:tc>
        <w:tc>
          <w:tcPr>
            <w:tcW w:w="443" w:type="pct"/>
            <w:vAlign w:val="center"/>
          </w:tcPr>
          <w:p>
            <w:pPr>
              <w:pStyle w:val="51"/>
            </w:pPr>
            <w:r>
              <w:rPr>
                <w:rFonts w:hint="eastAsia"/>
              </w:rPr>
              <w:t>124</w:t>
            </w:r>
          </w:p>
        </w:tc>
        <w:tc>
          <w:tcPr>
            <w:tcW w:w="442" w:type="pct"/>
            <w:vAlign w:val="center"/>
          </w:tcPr>
          <w:p>
            <w:pPr>
              <w:pStyle w:val="51"/>
            </w:pPr>
            <w:r>
              <w:rPr>
                <w:rFonts w:hint="eastAsia"/>
              </w:rPr>
              <w:t>-41</w:t>
            </w:r>
          </w:p>
        </w:tc>
        <w:tc>
          <w:tcPr>
            <w:tcW w:w="620" w:type="pct"/>
            <w:vMerge w:val="continue"/>
            <w:vAlign w:val="center"/>
          </w:tcPr>
          <w:p>
            <w:pPr>
              <w:pStyle w:val="51"/>
            </w:pPr>
          </w:p>
        </w:tc>
        <w:tc>
          <w:tcPr>
            <w:tcW w:w="635" w:type="pct"/>
            <w:vMerge w:val="continue"/>
            <w:vAlign w:val="center"/>
          </w:tcPr>
          <w:p>
            <w:pPr>
              <w:pStyle w:val="51"/>
            </w:pPr>
          </w:p>
        </w:tc>
        <w:tc>
          <w:tcPr>
            <w:tcW w:w="629" w:type="pct"/>
            <w:vMerge w:val="continue"/>
            <w:vAlign w:val="center"/>
          </w:tcPr>
          <w:p>
            <w:pPr>
              <w:pStyle w:val="51"/>
            </w:pPr>
          </w:p>
        </w:tc>
        <w:tc>
          <w:tcPr>
            <w:tcW w:w="396"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67" w:type="pct"/>
            <w:vMerge w:val="continue"/>
            <w:vAlign w:val="center"/>
          </w:tcPr>
          <w:p>
            <w:pPr>
              <w:pStyle w:val="51"/>
            </w:pPr>
          </w:p>
        </w:tc>
        <w:tc>
          <w:tcPr>
            <w:tcW w:w="479" w:type="pct"/>
            <w:vMerge w:val="continue"/>
            <w:vAlign w:val="center"/>
          </w:tcPr>
          <w:p>
            <w:pPr>
              <w:pStyle w:val="51"/>
            </w:pPr>
          </w:p>
        </w:tc>
        <w:tc>
          <w:tcPr>
            <w:tcW w:w="443" w:type="pct"/>
            <w:vAlign w:val="center"/>
          </w:tcPr>
          <w:p>
            <w:pPr>
              <w:pStyle w:val="51"/>
            </w:pPr>
            <w:r>
              <w:rPr>
                <w:rFonts w:hint="eastAsia"/>
              </w:rPr>
              <w:t>55</w:t>
            </w:r>
          </w:p>
        </w:tc>
        <w:tc>
          <w:tcPr>
            <w:tcW w:w="442" w:type="pct"/>
            <w:vAlign w:val="center"/>
          </w:tcPr>
          <w:p>
            <w:pPr>
              <w:pStyle w:val="51"/>
            </w:pPr>
            <w:r>
              <w:rPr>
                <w:rFonts w:hint="eastAsia"/>
              </w:rPr>
              <w:t>-41</w:t>
            </w:r>
          </w:p>
        </w:tc>
        <w:tc>
          <w:tcPr>
            <w:tcW w:w="620" w:type="pct"/>
            <w:vMerge w:val="continue"/>
            <w:vAlign w:val="center"/>
          </w:tcPr>
          <w:p>
            <w:pPr>
              <w:pStyle w:val="51"/>
            </w:pPr>
          </w:p>
        </w:tc>
        <w:tc>
          <w:tcPr>
            <w:tcW w:w="635" w:type="pct"/>
            <w:vMerge w:val="continue"/>
            <w:vAlign w:val="center"/>
          </w:tcPr>
          <w:p>
            <w:pPr>
              <w:pStyle w:val="51"/>
            </w:pPr>
          </w:p>
        </w:tc>
        <w:tc>
          <w:tcPr>
            <w:tcW w:w="629" w:type="pct"/>
            <w:vMerge w:val="continue"/>
            <w:vAlign w:val="center"/>
          </w:tcPr>
          <w:p>
            <w:pPr>
              <w:pStyle w:val="51"/>
            </w:pPr>
          </w:p>
        </w:tc>
        <w:tc>
          <w:tcPr>
            <w:tcW w:w="396"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67" w:type="pct"/>
            <w:vMerge w:val="continue"/>
            <w:vAlign w:val="center"/>
          </w:tcPr>
          <w:p>
            <w:pPr>
              <w:pStyle w:val="51"/>
            </w:pPr>
          </w:p>
        </w:tc>
        <w:tc>
          <w:tcPr>
            <w:tcW w:w="479" w:type="pct"/>
            <w:vMerge w:val="continue"/>
            <w:vAlign w:val="center"/>
          </w:tcPr>
          <w:p>
            <w:pPr>
              <w:pStyle w:val="51"/>
            </w:pPr>
          </w:p>
        </w:tc>
        <w:tc>
          <w:tcPr>
            <w:tcW w:w="443" w:type="pct"/>
            <w:vAlign w:val="center"/>
          </w:tcPr>
          <w:p>
            <w:pPr>
              <w:pStyle w:val="51"/>
            </w:pPr>
            <w:r>
              <w:rPr>
                <w:rFonts w:hint="eastAsia"/>
              </w:rPr>
              <w:t>55</w:t>
            </w:r>
          </w:p>
        </w:tc>
        <w:tc>
          <w:tcPr>
            <w:tcW w:w="442" w:type="pct"/>
            <w:vAlign w:val="center"/>
          </w:tcPr>
          <w:p>
            <w:pPr>
              <w:pStyle w:val="51"/>
            </w:pPr>
            <w:r>
              <w:rPr>
                <w:rFonts w:hint="eastAsia"/>
              </w:rPr>
              <w:t>0</w:t>
            </w:r>
          </w:p>
        </w:tc>
        <w:tc>
          <w:tcPr>
            <w:tcW w:w="620" w:type="pct"/>
            <w:vMerge w:val="continue"/>
            <w:vAlign w:val="center"/>
          </w:tcPr>
          <w:p>
            <w:pPr>
              <w:pStyle w:val="51"/>
            </w:pPr>
          </w:p>
        </w:tc>
        <w:tc>
          <w:tcPr>
            <w:tcW w:w="635" w:type="pct"/>
            <w:vMerge w:val="continue"/>
            <w:vAlign w:val="center"/>
          </w:tcPr>
          <w:p>
            <w:pPr>
              <w:pStyle w:val="51"/>
            </w:pPr>
          </w:p>
        </w:tc>
        <w:tc>
          <w:tcPr>
            <w:tcW w:w="629" w:type="pct"/>
            <w:vMerge w:val="continue"/>
            <w:vAlign w:val="center"/>
          </w:tcPr>
          <w:p>
            <w:pPr>
              <w:pStyle w:val="51"/>
            </w:pPr>
          </w:p>
        </w:tc>
        <w:tc>
          <w:tcPr>
            <w:tcW w:w="396"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c>
          <w:tcPr>
            <w:tcW w:w="363" w:type="pct"/>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000" w:type="pct"/>
            <w:gridSpan w:val="11"/>
            <w:vAlign w:val="center"/>
          </w:tcPr>
          <w:p>
            <w:pPr>
              <w:pStyle w:val="51"/>
              <w:jc w:val="left"/>
            </w:pPr>
            <w:r>
              <w:t>注：</w:t>
            </w:r>
            <w:r>
              <w:rPr>
                <w:rFonts w:cs="Times New Roman"/>
                <w:color w:val="000000"/>
                <w:spacing w:val="1"/>
                <w:szCs w:val="21"/>
              </w:rPr>
              <w:t>原点坐标为</w:t>
            </w:r>
            <w:r>
              <w:rPr>
                <w:rFonts w:hint="eastAsia" w:cs="Times New Roman"/>
                <w:color w:val="000000"/>
                <w:spacing w:val="1"/>
                <w:szCs w:val="21"/>
              </w:rPr>
              <w:t>E111</w:t>
            </w:r>
            <w:r>
              <w:rPr>
                <w:rFonts w:cs="Times New Roman"/>
                <w:color w:val="000000"/>
                <w:szCs w:val="21"/>
              </w:rPr>
              <w:t>°</w:t>
            </w:r>
            <w:r>
              <w:rPr>
                <w:rFonts w:hint="eastAsia" w:cs="Times New Roman"/>
                <w:color w:val="000000"/>
                <w:spacing w:val="1"/>
                <w:szCs w:val="21"/>
              </w:rPr>
              <w:t>40'06.5254"，N 26</w:t>
            </w:r>
            <w:r>
              <w:rPr>
                <w:rFonts w:cs="Times New Roman"/>
                <w:color w:val="000000"/>
                <w:szCs w:val="21"/>
              </w:rPr>
              <w:t>°</w:t>
            </w:r>
            <w:r>
              <w:rPr>
                <w:rFonts w:hint="eastAsia" w:cs="Times New Roman"/>
                <w:color w:val="000000"/>
                <w:spacing w:val="1"/>
                <w:szCs w:val="21"/>
              </w:rPr>
              <w:t>21'17.4932"，</w:t>
            </w:r>
            <w:r>
              <w:rPr>
                <w:rFonts w:hint="eastAsia" w:cs="Times New Roman"/>
                <w:color w:val="000000"/>
                <w:szCs w:val="21"/>
              </w:rPr>
              <w:t xml:space="preserve">正东向为 </w:t>
            </w:r>
            <w:r>
              <w:rPr>
                <w:rFonts w:cs="Times New Roman"/>
                <w:color w:val="000000"/>
                <w:szCs w:val="21"/>
              </w:rPr>
              <w:t xml:space="preserve">X </w:t>
            </w:r>
            <w:r>
              <w:rPr>
                <w:rFonts w:hint="eastAsia" w:cs="Times New Roman"/>
                <w:color w:val="000000"/>
                <w:szCs w:val="21"/>
              </w:rPr>
              <w:t xml:space="preserve">轴正方向，正北向为 </w:t>
            </w:r>
            <w:r>
              <w:rPr>
                <w:rFonts w:cs="Times New Roman"/>
                <w:color w:val="000000"/>
                <w:szCs w:val="21"/>
              </w:rPr>
              <w:t xml:space="preserve">Y </w:t>
            </w:r>
            <w:r>
              <w:rPr>
                <w:rFonts w:hint="eastAsia" w:cs="Times New Roman"/>
                <w:color w:val="000000"/>
                <w:szCs w:val="21"/>
              </w:rPr>
              <w:t>轴正方向</w:t>
            </w:r>
            <w:r>
              <w:rPr>
                <w:rFonts w:cs="Times New Roman"/>
                <w:color w:val="000000"/>
                <w:szCs w:val="21"/>
              </w:rPr>
              <w:t>。</w:t>
            </w:r>
          </w:p>
        </w:tc>
      </w:tr>
    </w:tbl>
    <w:p>
      <w:pPr>
        <w:pStyle w:val="49"/>
        <w:ind w:firstLine="480"/>
        <w:sectPr>
          <w:pgSz w:w="16838" w:h="11906" w:orient="landscape"/>
          <w:pgMar w:top="1800" w:right="1440" w:bottom="1800" w:left="1440" w:header="851" w:footer="992" w:gutter="0"/>
          <w:cols w:space="425" w:num="1"/>
          <w:docGrid w:type="lines" w:linePitch="312" w:charSpace="0"/>
        </w:sectPr>
      </w:pPr>
    </w:p>
    <w:p>
      <w:pPr>
        <w:pStyle w:val="49"/>
        <w:ind w:firstLine="480"/>
      </w:pPr>
      <w:r>
        <w:t>5、项目参数</w:t>
      </w:r>
    </w:p>
    <w:p>
      <w:pPr>
        <w:pStyle w:val="49"/>
        <w:ind w:firstLine="480"/>
      </w:pPr>
      <w:r>
        <w:t>估算模式所用参数见表。</w:t>
      </w:r>
    </w:p>
    <w:p>
      <w:pPr>
        <w:pStyle w:val="53"/>
      </w:pPr>
      <w:r>
        <w:t>表</w:t>
      </w:r>
      <w:r>
        <w:rPr>
          <w:rFonts w:hint="eastAsia"/>
        </w:rPr>
        <w:t>5</w:t>
      </w:r>
      <w:r>
        <w:t>.2-</w:t>
      </w:r>
      <w:r>
        <w:rPr>
          <w:rFonts w:hint="eastAsia"/>
        </w:rPr>
        <w:t>4</w:t>
      </w:r>
      <w:r>
        <w:t xml:space="preserve"> 估算模型参数表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2652"/>
        <w:gridCol w:w="3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pct"/>
            <w:gridSpan w:val="2"/>
            <w:vAlign w:val="center"/>
          </w:tcPr>
          <w:p>
            <w:pPr>
              <w:pStyle w:val="51"/>
            </w:pPr>
            <w:r>
              <w:t>参数</w:t>
            </w:r>
          </w:p>
        </w:tc>
        <w:tc>
          <w:tcPr>
            <w:tcW w:w="2094" w:type="pct"/>
            <w:vAlign w:val="center"/>
          </w:tcPr>
          <w:p>
            <w:pPr>
              <w:pStyle w:val="51"/>
            </w:pPr>
            <w: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pct"/>
            <w:vMerge w:val="restart"/>
            <w:vAlign w:val="center"/>
          </w:tcPr>
          <w:p>
            <w:pPr>
              <w:pStyle w:val="51"/>
            </w:pPr>
            <w:r>
              <w:t>城市农村/选项</w:t>
            </w:r>
          </w:p>
        </w:tc>
        <w:tc>
          <w:tcPr>
            <w:tcW w:w="1556" w:type="pct"/>
            <w:vAlign w:val="center"/>
          </w:tcPr>
          <w:p>
            <w:pPr>
              <w:pStyle w:val="51"/>
            </w:pPr>
            <w:r>
              <w:t>城市/农村</w:t>
            </w:r>
          </w:p>
        </w:tc>
        <w:tc>
          <w:tcPr>
            <w:tcW w:w="2094" w:type="pct"/>
            <w:vAlign w:val="center"/>
          </w:tcPr>
          <w:p>
            <w:pPr>
              <w:pStyle w:val="51"/>
            </w:pPr>
            <w:r>
              <w:rPr>
                <w:rFonts w:hint="eastAsia"/>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pct"/>
            <w:vMerge w:val="continue"/>
            <w:vAlign w:val="center"/>
          </w:tcPr>
          <w:p>
            <w:pPr>
              <w:pStyle w:val="51"/>
            </w:pPr>
          </w:p>
        </w:tc>
        <w:tc>
          <w:tcPr>
            <w:tcW w:w="1556" w:type="pct"/>
            <w:vAlign w:val="center"/>
          </w:tcPr>
          <w:p>
            <w:pPr>
              <w:pStyle w:val="51"/>
            </w:pPr>
            <w:r>
              <w:t>人口数</w:t>
            </w:r>
            <w:r>
              <w:rPr>
                <w:rFonts w:hint="eastAsia"/>
              </w:rPr>
              <w:t>（</w:t>
            </w:r>
            <w:r>
              <w:t>城市人口数</w:t>
            </w:r>
            <w:r>
              <w:rPr>
                <w:rFonts w:hint="eastAsia"/>
              </w:rPr>
              <w:t>）</w:t>
            </w:r>
          </w:p>
        </w:tc>
        <w:tc>
          <w:tcPr>
            <w:tcW w:w="2094" w:type="pct"/>
            <w:vAlign w:val="center"/>
          </w:tcPr>
          <w:p>
            <w:pPr>
              <w:pStyle w:val="51"/>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06" w:type="pct"/>
            <w:gridSpan w:val="2"/>
            <w:vAlign w:val="center"/>
          </w:tcPr>
          <w:p>
            <w:pPr>
              <w:pStyle w:val="51"/>
            </w:pPr>
            <w:r>
              <w:t>最高环境温度</w:t>
            </w:r>
          </w:p>
        </w:tc>
        <w:tc>
          <w:tcPr>
            <w:tcW w:w="2094" w:type="pct"/>
            <w:vAlign w:val="center"/>
          </w:tcPr>
          <w:p>
            <w:pPr>
              <w:pStyle w:val="51"/>
            </w:pPr>
            <w:r>
              <w:t>39.7°C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pct"/>
            <w:gridSpan w:val="2"/>
            <w:vAlign w:val="center"/>
          </w:tcPr>
          <w:p>
            <w:pPr>
              <w:pStyle w:val="51"/>
            </w:pPr>
            <w:r>
              <w:t>最低环境温度</w:t>
            </w:r>
          </w:p>
        </w:tc>
        <w:tc>
          <w:tcPr>
            <w:tcW w:w="2094" w:type="pct"/>
            <w:vAlign w:val="center"/>
          </w:tcPr>
          <w:p>
            <w:pPr>
              <w:pStyle w:val="51"/>
            </w:pPr>
            <w:r>
              <w:t>-</w:t>
            </w:r>
            <w:r>
              <w:rPr>
                <w:rFonts w:hint="eastAsia"/>
              </w:rPr>
              <w:t>5</w:t>
            </w:r>
            <w:r>
              <w:t>.0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pct"/>
            <w:gridSpan w:val="2"/>
            <w:vAlign w:val="center"/>
          </w:tcPr>
          <w:p>
            <w:pPr>
              <w:pStyle w:val="51"/>
            </w:pPr>
            <w:r>
              <w:t>土地利用类型</w:t>
            </w:r>
          </w:p>
        </w:tc>
        <w:tc>
          <w:tcPr>
            <w:tcW w:w="2094" w:type="pct"/>
            <w:vAlign w:val="center"/>
          </w:tcPr>
          <w:p>
            <w:pPr>
              <w:pStyle w:val="51"/>
            </w:pPr>
            <w:r>
              <w:rPr>
                <w:rFonts w:hint="eastAsia"/>
                <w:szCs w:val="21"/>
              </w:rPr>
              <w:t>针</w:t>
            </w:r>
            <w:r>
              <w:rPr>
                <w:szCs w:val="21"/>
              </w:rPr>
              <w:t>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pct"/>
            <w:gridSpan w:val="2"/>
            <w:vAlign w:val="center"/>
          </w:tcPr>
          <w:p>
            <w:pPr>
              <w:pStyle w:val="51"/>
            </w:pPr>
            <w:r>
              <w:t>区域湿度条件</w:t>
            </w:r>
          </w:p>
        </w:tc>
        <w:tc>
          <w:tcPr>
            <w:tcW w:w="2094" w:type="pct"/>
            <w:vAlign w:val="center"/>
          </w:tcPr>
          <w:p>
            <w:pPr>
              <w:pStyle w:val="51"/>
            </w:pPr>
            <w: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0" w:type="pct"/>
            <w:vMerge w:val="restart"/>
            <w:vAlign w:val="center"/>
          </w:tcPr>
          <w:p>
            <w:pPr>
              <w:pStyle w:val="51"/>
            </w:pPr>
            <w:r>
              <w:t>是否考虑地形</w:t>
            </w:r>
          </w:p>
        </w:tc>
        <w:tc>
          <w:tcPr>
            <w:tcW w:w="1556" w:type="pct"/>
            <w:vAlign w:val="center"/>
          </w:tcPr>
          <w:p>
            <w:pPr>
              <w:pStyle w:val="51"/>
            </w:pPr>
            <w:r>
              <w:t>考虑地形</w:t>
            </w:r>
          </w:p>
        </w:tc>
        <w:tc>
          <w:tcPr>
            <w:tcW w:w="2094" w:type="pct"/>
            <w:vAlign w:val="center"/>
          </w:tcPr>
          <w:p>
            <w:pPr>
              <w:pStyle w:val="51"/>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pct"/>
            <w:vMerge w:val="continue"/>
            <w:vAlign w:val="center"/>
          </w:tcPr>
          <w:p>
            <w:pPr>
              <w:pStyle w:val="51"/>
            </w:pPr>
          </w:p>
        </w:tc>
        <w:tc>
          <w:tcPr>
            <w:tcW w:w="1556" w:type="pct"/>
            <w:vAlign w:val="center"/>
          </w:tcPr>
          <w:p>
            <w:pPr>
              <w:pStyle w:val="51"/>
            </w:pPr>
            <w:r>
              <w:t>地形数据分辨率(m)</w:t>
            </w:r>
          </w:p>
        </w:tc>
        <w:tc>
          <w:tcPr>
            <w:tcW w:w="2094" w:type="pct"/>
            <w:vAlign w:val="center"/>
          </w:tcPr>
          <w:p>
            <w:pPr>
              <w:pStyle w:val="51"/>
            </w:pPr>
            <w: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pct"/>
            <w:vMerge w:val="restart"/>
            <w:vAlign w:val="center"/>
          </w:tcPr>
          <w:p>
            <w:pPr>
              <w:pStyle w:val="51"/>
            </w:pPr>
            <w:r>
              <w:t>是否考虑海岸线熏烟</w:t>
            </w:r>
          </w:p>
        </w:tc>
        <w:tc>
          <w:tcPr>
            <w:tcW w:w="1556" w:type="pct"/>
            <w:vAlign w:val="center"/>
          </w:tcPr>
          <w:p>
            <w:pPr>
              <w:pStyle w:val="51"/>
            </w:pPr>
            <w:r>
              <w:t>考虑海岸线熏烟</w:t>
            </w:r>
          </w:p>
        </w:tc>
        <w:tc>
          <w:tcPr>
            <w:tcW w:w="2094" w:type="pct"/>
            <w:vAlign w:val="center"/>
          </w:tcPr>
          <w:p>
            <w:pPr>
              <w:pStyle w:val="51"/>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pct"/>
            <w:vMerge w:val="continue"/>
            <w:vAlign w:val="center"/>
          </w:tcPr>
          <w:p>
            <w:pPr>
              <w:pStyle w:val="51"/>
            </w:pPr>
          </w:p>
        </w:tc>
        <w:tc>
          <w:tcPr>
            <w:tcW w:w="1556" w:type="pct"/>
            <w:vAlign w:val="center"/>
          </w:tcPr>
          <w:p>
            <w:pPr>
              <w:pStyle w:val="51"/>
            </w:pPr>
            <w:r>
              <w:t>海岸线距离/km</w:t>
            </w:r>
          </w:p>
        </w:tc>
        <w:tc>
          <w:tcPr>
            <w:tcW w:w="2094" w:type="pct"/>
            <w:vAlign w:val="center"/>
          </w:tcPr>
          <w:p>
            <w:pPr>
              <w:pStyle w:val="51"/>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0" w:type="pct"/>
            <w:vMerge w:val="continue"/>
            <w:vAlign w:val="center"/>
          </w:tcPr>
          <w:p>
            <w:pPr>
              <w:pStyle w:val="51"/>
            </w:pPr>
          </w:p>
        </w:tc>
        <w:tc>
          <w:tcPr>
            <w:tcW w:w="1556" w:type="pct"/>
            <w:vAlign w:val="center"/>
          </w:tcPr>
          <w:p>
            <w:pPr>
              <w:pStyle w:val="51"/>
            </w:pPr>
            <w:r>
              <w:t>海岸线方向/</w:t>
            </w:r>
            <w:r>
              <w:rPr>
                <w:vertAlign w:val="superscript"/>
              </w:rPr>
              <w:t>o</w:t>
            </w:r>
          </w:p>
        </w:tc>
        <w:tc>
          <w:tcPr>
            <w:tcW w:w="2094" w:type="pct"/>
            <w:vAlign w:val="center"/>
          </w:tcPr>
          <w:p>
            <w:pPr>
              <w:pStyle w:val="51"/>
            </w:pPr>
            <w:r>
              <w:t>/</w:t>
            </w:r>
          </w:p>
        </w:tc>
      </w:tr>
    </w:tbl>
    <w:p>
      <w:pPr>
        <w:pStyle w:val="49"/>
        <w:ind w:firstLine="480"/>
      </w:pPr>
      <w:r>
        <w:rPr>
          <w:rFonts w:hint="eastAsia"/>
        </w:rPr>
        <w:t>6</w:t>
      </w:r>
      <w:r>
        <w:t>、</w:t>
      </w:r>
      <w:r>
        <w:rPr>
          <w:rFonts w:hint="eastAsia"/>
        </w:rPr>
        <w:t>预测结果</w:t>
      </w:r>
    </w:p>
    <w:p>
      <w:pPr>
        <w:pStyle w:val="49"/>
        <w:ind w:firstLine="480"/>
      </w:pPr>
      <w:r>
        <w:rPr>
          <w:rFonts w:hint="eastAsia"/>
        </w:rPr>
        <w:t>正常工况下估算模式预测结果详见下表。</w:t>
      </w:r>
    </w:p>
    <w:p>
      <w:pPr>
        <w:pStyle w:val="53"/>
      </w:pPr>
      <w:r>
        <w:t>表</w:t>
      </w:r>
      <w:r>
        <w:rPr>
          <w:rFonts w:hint="eastAsia"/>
        </w:rPr>
        <w:t>5</w:t>
      </w:r>
      <w:r>
        <w:t>.2-</w:t>
      </w:r>
      <w:r>
        <w:rPr>
          <w:rFonts w:hint="eastAsia"/>
        </w:rPr>
        <w:t>5</w:t>
      </w:r>
      <w:r>
        <w:t xml:space="preserve"> </w:t>
      </w:r>
      <w:r>
        <w:rPr>
          <w:rFonts w:hint="eastAsia"/>
        </w:rPr>
        <w:t xml:space="preserve"> 本项目无组织废气估算模式预测结果一览表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394"/>
        <w:gridCol w:w="973"/>
        <w:gridCol w:w="1395"/>
        <w:gridCol w:w="973"/>
        <w:gridCol w:w="1395"/>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vAlign w:val="center"/>
          </w:tcPr>
          <w:p>
            <w:pPr>
              <w:pStyle w:val="51"/>
            </w:pPr>
            <w:r>
              <w:rPr>
                <w:rFonts w:hint="eastAsia"/>
              </w:rPr>
              <w:t xml:space="preserve">距源中心下风向距离 </w:t>
            </w:r>
            <w:r>
              <w:rPr>
                <w:rFonts w:cs="Times New Roman"/>
              </w:rPr>
              <w:t>D(m)</w:t>
            </w:r>
          </w:p>
        </w:tc>
        <w:tc>
          <w:tcPr>
            <w:tcW w:w="2367" w:type="dxa"/>
            <w:gridSpan w:val="2"/>
            <w:vAlign w:val="center"/>
          </w:tcPr>
          <w:p>
            <w:pPr>
              <w:pStyle w:val="51"/>
            </w:pPr>
            <w:r>
              <w:rPr>
                <w:rFonts w:hint="eastAsia"/>
              </w:rPr>
              <w:t>NH</w:t>
            </w:r>
            <w:r>
              <w:rPr>
                <w:rFonts w:hint="eastAsia"/>
                <w:vertAlign w:val="subscript"/>
              </w:rPr>
              <w:t>3</w:t>
            </w:r>
          </w:p>
        </w:tc>
        <w:tc>
          <w:tcPr>
            <w:tcW w:w="2368" w:type="dxa"/>
            <w:gridSpan w:val="2"/>
            <w:vAlign w:val="center"/>
          </w:tcPr>
          <w:p>
            <w:pPr>
              <w:pStyle w:val="51"/>
            </w:pPr>
            <w:r>
              <w:rPr>
                <w:rFonts w:hint="eastAsia"/>
              </w:rPr>
              <w:t>H</w:t>
            </w:r>
            <w:r>
              <w:rPr>
                <w:rFonts w:hint="eastAsia"/>
                <w:vertAlign w:val="subscript"/>
              </w:rPr>
              <w:t>2</w:t>
            </w:r>
            <w:r>
              <w:rPr>
                <w:rFonts w:hint="eastAsia"/>
              </w:rPr>
              <w:t>S</w:t>
            </w:r>
          </w:p>
        </w:tc>
        <w:tc>
          <w:tcPr>
            <w:tcW w:w="2444" w:type="dxa"/>
            <w:gridSpan w:val="2"/>
            <w:vAlign w:val="center"/>
          </w:tcPr>
          <w:p>
            <w:pPr>
              <w:pStyle w:val="51"/>
            </w:pPr>
            <w:r>
              <w:rPr>
                <w:rFonts w:hint="eastAsia"/>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7" w:type="dxa"/>
            <w:vMerge w:val="continue"/>
            <w:vAlign w:val="center"/>
          </w:tcPr>
          <w:p>
            <w:pPr>
              <w:pStyle w:val="51"/>
            </w:pPr>
          </w:p>
        </w:tc>
        <w:tc>
          <w:tcPr>
            <w:tcW w:w="1394" w:type="dxa"/>
            <w:vAlign w:val="center"/>
          </w:tcPr>
          <w:p>
            <w:pPr>
              <w:pStyle w:val="51"/>
            </w:pPr>
            <w:r>
              <w:rPr>
                <w:rFonts w:hint="eastAsia"/>
              </w:rPr>
              <w:t xml:space="preserve">下风向预测浓度 </w:t>
            </w:r>
            <w:r>
              <w:rPr>
                <w:rFonts w:cs="Times New Roman"/>
              </w:rPr>
              <w:t>(</w:t>
            </w:r>
            <w:r>
              <w:t>μg/m</w:t>
            </w:r>
            <w:r>
              <w:rPr>
                <w:vertAlign w:val="superscript"/>
              </w:rPr>
              <w:t>3</w:t>
            </w:r>
            <w:r>
              <w:rPr>
                <w:rFonts w:cs="Times New Roman"/>
              </w:rPr>
              <w:t>)</w:t>
            </w:r>
          </w:p>
        </w:tc>
        <w:tc>
          <w:tcPr>
            <w:tcW w:w="973" w:type="dxa"/>
            <w:vAlign w:val="center"/>
          </w:tcPr>
          <w:p>
            <w:pPr>
              <w:pStyle w:val="51"/>
            </w:pPr>
            <w:r>
              <w:rPr>
                <w:rFonts w:hint="eastAsia"/>
              </w:rPr>
              <w:t>浓度占标率</w:t>
            </w:r>
            <w:r>
              <w:t>(%</w:t>
            </w:r>
            <w:r>
              <w:rPr>
                <w:rFonts w:cs="Times New Roman"/>
              </w:rPr>
              <w:t>)</w:t>
            </w:r>
          </w:p>
        </w:tc>
        <w:tc>
          <w:tcPr>
            <w:tcW w:w="1395" w:type="dxa"/>
            <w:vAlign w:val="center"/>
          </w:tcPr>
          <w:p>
            <w:pPr>
              <w:pStyle w:val="51"/>
            </w:pPr>
            <w:r>
              <w:rPr>
                <w:rFonts w:hint="eastAsia"/>
              </w:rPr>
              <w:t xml:space="preserve">下风向预测浓度 </w:t>
            </w:r>
            <w:r>
              <w:rPr>
                <w:rFonts w:cs="Times New Roman"/>
              </w:rPr>
              <w:t>(</w:t>
            </w:r>
            <w:r>
              <w:t>μg/m</w:t>
            </w:r>
            <w:r>
              <w:rPr>
                <w:vertAlign w:val="superscript"/>
              </w:rPr>
              <w:t>3</w:t>
            </w:r>
            <w:r>
              <w:rPr>
                <w:rFonts w:cs="Times New Roman"/>
              </w:rPr>
              <w:t>)</w:t>
            </w:r>
          </w:p>
        </w:tc>
        <w:tc>
          <w:tcPr>
            <w:tcW w:w="973" w:type="dxa"/>
            <w:vAlign w:val="center"/>
          </w:tcPr>
          <w:p>
            <w:pPr>
              <w:pStyle w:val="51"/>
            </w:pPr>
            <w:r>
              <w:rPr>
                <w:rFonts w:hint="eastAsia"/>
              </w:rPr>
              <w:t>浓度占标率</w:t>
            </w:r>
            <w:r>
              <w:t>(%</w:t>
            </w:r>
            <w:r>
              <w:rPr>
                <w:rFonts w:cs="Times New Roman"/>
              </w:rPr>
              <w:t>)</w:t>
            </w:r>
          </w:p>
        </w:tc>
        <w:tc>
          <w:tcPr>
            <w:tcW w:w="1395" w:type="dxa"/>
            <w:vAlign w:val="center"/>
          </w:tcPr>
          <w:p>
            <w:pPr>
              <w:pStyle w:val="51"/>
            </w:pPr>
            <w:r>
              <w:rPr>
                <w:rFonts w:hint="eastAsia"/>
              </w:rPr>
              <w:t xml:space="preserve">下风向预测浓度 </w:t>
            </w:r>
            <w:r>
              <w:rPr>
                <w:rFonts w:cs="Times New Roman"/>
              </w:rPr>
              <w:t>(</w:t>
            </w:r>
            <w:r>
              <w:t>μg/m</w:t>
            </w:r>
            <w:r>
              <w:rPr>
                <w:vertAlign w:val="superscript"/>
              </w:rPr>
              <w:t>3</w:t>
            </w:r>
            <w:r>
              <w:rPr>
                <w:rFonts w:cs="Times New Roman"/>
              </w:rPr>
              <w:t>)</w:t>
            </w:r>
          </w:p>
        </w:tc>
        <w:tc>
          <w:tcPr>
            <w:tcW w:w="1049" w:type="dxa"/>
            <w:vAlign w:val="center"/>
          </w:tcPr>
          <w:p>
            <w:pPr>
              <w:pStyle w:val="51"/>
            </w:pPr>
            <w:r>
              <w:rPr>
                <w:rFonts w:hint="eastAsia"/>
              </w:rPr>
              <w:t>浓度占</w:t>
            </w:r>
          </w:p>
          <w:p>
            <w:pPr>
              <w:pStyle w:val="51"/>
            </w:pPr>
            <w:r>
              <w:rPr>
                <w:rFonts w:hint="eastAsia"/>
              </w:rPr>
              <w:t>标率</w:t>
            </w:r>
            <w:r>
              <w:t>(%</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10</w:t>
            </w:r>
          </w:p>
        </w:tc>
        <w:tc>
          <w:tcPr>
            <w:tcW w:w="1394" w:type="dxa"/>
          </w:tcPr>
          <w:p>
            <w:pPr>
              <w:pStyle w:val="51"/>
            </w:pPr>
            <w:r>
              <w:rPr>
                <w:rFonts w:hint="eastAsia"/>
              </w:rPr>
              <w:t>2.49E+00</w:t>
            </w:r>
          </w:p>
        </w:tc>
        <w:tc>
          <w:tcPr>
            <w:tcW w:w="973" w:type="dxa"/>
          </w:tcPr>
          <w:p>
            <w:pPr>
              <w:pStyle w:val="51"/>
            </w:pPr>
            <w:r>
              <w:rPr>
                <w:rFonts w:hint="eastAsia"/>
              </w:rPr>
              <w:t>1.25</w:t>
            </w:r>
          </w:p>
        </w:tc>
        <w:tc>
          <w:tcPr>
            <w:tcW w:w="1395" w:type="dxa"/>
          </w:tcPr>
          <w:p>
            <w:pPr>
              <w:pStyle w:val="51"/>
            </w:pPr>
            <w:r>
              <w:rPr>
                <w:rFonts w:hint="eastAsia"/>
              </w:rPr>
              <w:t>3.52E-01</w:t>
            </w:r>
          </w:p>
        </w:tc>
        <w:tc>
          <w:tcPr>
            <w:tcW w:w="973" w:type="dxa"/>
          </w:tcPr>
          <w:p>
            <w:pPr>
              <w:pStyle w:val="51"/>
            </w:pPr>
            <w:r>
              <w:rPr>
                <w:rFonts w:hint="eastAsia"/>
              </w:rPr>
              <w:t>3.52</w:t>
            </w:r>
          </w:p>
        </w:tc>
        <w:tc>
          <w:tcPr>
            <w:tcW w:w="1395" w:type="dxa"/>
          </w:tcPr>
          <w:p>
            <w:pPr>
              <w:pStyle w:val="51"/>
            </w:pPr>
            <w:r>
              <w:rPr>
                <w:rFonts w:hint="eastAsia"/>
              </w:rPr>
              <w:t>3.28E+01</w:t>
            </w:r>
          </w:p>
        </w:tc>
        <w:tc>
          <w:tcPr>
            <w:tcW w:w="1049" w:type="dxa"/>
          </w:tcPr>
          <w:p>
            <w:pPr>
              <w:pStyle w:val="51"/>
            </w:pPr>
            <w:r>
              <w:rPr>
                <w:rFonts w:hint="eastAsia"/>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25</w:t>
            </w:r>
          </w:p>
        </w:tc>
        <w:tc>
          <w:tcPr>
            <w:tcW w:w="1394" w:type="dxa"/>
          </w:tcPr>
          <w:p>
            <w:pPr>
              <w:pStyle w:val="51"/>
            </w:pPr>
            <w:r>
              <w:rPr>
                <w:rFonts w:hint="eastAsia"/>
              </w:rPr>
              <w:t>2.77E+00</w:t>
            </w:r>
          </w:p>
        </w:tc>
        <w:tc>
          <w:tcPr>
            <w:tcW w:w="973" w:type="dxa"/>
          </w:tcPr>
          <w:p>
            <w:pPr>
              <w:pStyle w:val="51"/>
            </w:pPr>
            <w:r>
              <w:rPr>
                <w:rFonts w:hint="eastAsia"/>
              </w:rPr>
              <w:t>1.38</w:t>
            </w:r>
          </w:p>
        </w:tc>
        <w:tc>
          <w:tcPr>
            <w:tcW w:w="1395" w:type="dxa"/>
          </w:tcPr>
          <w:p>
            <w:pPr>
              <w:pStyle w:val="51"/>
            </w:pPr>
            <w:r>
              <w:rPr>
                <w:rFonts w:hint="eastAsia"/>
              </w:rPr>
              <w:t>3.91E-01</w:t>
            </w:r>
          </w:p>
        </w:tc>
        <w:tc>
          <w:tcPr>
            <w:tcW w:w="973" w:type="dxa"/>
          </w:tcPr>
          <w:p>
            <w:pPr>
              <w:pStyle w:val="51"/>
            </w:pPr>
            <w:r>
              <w:rPr>
                <w:rFonts w:hint="eastAsia"/>
              </w:rPr>
              <w:t>3.91</w:t>
            </w:r>
          </w:p>
        </w:tc>
        <w:tc>
          <w:tcPr>
            <w:tcW w:w="1395" w:type="dxa"/>
          </w:tcPr>
          <w:p>
            <w:pPr>
              <w:pStyle w:val="51"/>
            </w:pPr>
            <w:r>
              <w:rPr>
                <w:rFonts w:hint="eastAsia"/>
              </w:rPr>
              <w:t>3.64E+01</w:t>
            </w:r>
          </w:p>
        </w:tc>
        <w:tc>
          <w:tcPr>
            <w:tcW w:w="1049" w:type="dxa"/>
          </w:tcPr>
          <w:p>
            <w:pPr>
              <w:pStyle w:val="51"/>
            </w:pPr>
            <w:r>
              <w:rPr>
                <w:rFonts w:hint="eastAsia"/>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50</w:t>
            </w:r>
          </w:p>
        </w:tc>
        <w:tc>
          <w:tcPr>
            <w:tcW w:w="1394" w:type="dxa"/>
          </w:tcPr>
          <w:p>
            <w:pPr>
              <w:pStyle w:val="51"/>
            </w:pPr>
            <w:r>
              <w:rPr>
                <w:rFonts w:hint="eastAsia"/>
              </w:rPr>
              <w:t>3.14E+00</w:t>
            </w:r>
          </w:p>
        </w:tc>
        <w:tc>
          <w:tcPr>
            <w:tcW w:w="973" w:type="dxa"/>
          </w:tcPr>
          <w:p>
            <w:pPr>
              <w:pStyle w:val="51"/>
            </w:pPr>
            <w:r>
              <w:rPr>
                <w:rFonts w:hint="eastAsia"/>
              </w:rPr>
              <w:t>1.57</w:t>
            </w:r>
          </w:p>
        </w:tc>
        <w:tc>
          <w:tcPr>
            <w:tcW w:w="1395" w:type="dxa"/>
          </w:tcPr>
          <w:p>
            <w:pPr>
              <w:pStyle w:val="51"/>
            </w:pPr>
            <w:r>
              <w:rPr>
                <w:rFonts w:hint="eastAsia"/>
              </w:rPr>
              <w:t>4.44E-01</w:t>
            </w:r>
          </w:p>
        </w:tc>
        <w:tc>
          <w:tcPr>
            <w:tcW w:w="973" w:type="dxa"/>
          </w:tcPr>
          <w:p>
            <w:pPr>
              <w:pStyle w:val="51"/>
            </w:pPr>
            <w:r>
              <w:rPr>
                <w:rFonts w:hint="eastAsia"/>
              </w:rPr>
              <w:t>4.44</w:t>
            </w:r>
          </w:p>
        </w:tc>
        <w:tc>
          <w:tcPr>
            <w:tcW w:w="1395" w:type="dxa"/>
          </w:tcPr>
          <w:p>
            <w:pPr>
              <w:pStyle w:val="51"/>
            </w:pPr>
            <w:r>
              <w:rPr>
                <w:rFonts w:hint="eastAsia"/>
              </w:rPr>
              <w:t>4.13E+01</w:t>
            </w:r>
          </w:p>
        </w:tc>
        <w:tc>
          <w:tcPr>
            <w:tcW w:w="1049" w:type="dxa"/>
          </w:tcPr>
          <w:p>
            <w:pPr>
              <w:pStyle w:val="51"/>
            </w:pPr>
            <w:r>
              <w:rPr>
                <w:rFonts w:hint="eastAsia"/>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100</w:t>
            </w:r>
          </w:p>
        </w:tc>
        <w:tc>
          <w:tcPr>
            <w:tcW w:w="1394" w:type="dxa"/>
            <w:vAlign w:val="center"/>
          </w:tcPr>
          <w:p>
            <w:pPr>
              <w:pStyle w:val="51"/>
            </w:pPr>
            <w:r>
              <w:rPr>
                <w:rFonts w:hint="eastAsia"/>
              </w:rPr>
              <w:t>3.81E+00</w:t>
            </w:r>
          </w:p>
        </w:tc>
        <w:tc>
          <w:tcPr>
            <w:tcW w:w="973" w:type="dxa"/>
            <w:vAlign w:val="center"/>
          </w:tcPr>
          <w:p>
            <w:pPr>
              <w:pStyle w:val="51"/>
            </w:pPr>
            <w:r>
              <w:rPr>
                <w:rFonts w:hint="eastAsia"/>
              </w:rPr>
              <w:t>1.90</w:t>
            </w:r>
          </w:p>
        </w:tc>
        <w:tc>
          <w:tcPr>
            <w:tcW w:w="1395" w:type="dxa"/>
            <w:vAlign w:val="center"/>
          </w:tcPr>
          <w:p>
            <w:pPr>
              <w:pStyle w:val="51"/>
            </w:pPr>
            <w:r>
              <w:rPr>
                <w:rFonts w:hint="eastAsia"/>
              </w:rPr>
              <w:t>5.38E-01</w:t>
            </w:r>
          </w:p>
        </w:tc>
        <w:tc>
          <w:tcPr>
            <w:tcW w:w="973" w:type="dxa"/>
            <w:vAlign w:val="center"/>
          </w:tcPr>
          <w:p>
            <w:pPr>
              <w:pStyle w:val="51"/>
            </w:pPr>
            <w:r>
              <w:rPr>
                <w:rFonts w:hint="eastAsia"/>
              </w:rPr>
              <w:t>5.38</w:t>
            </w:r>
          </w:p>
        </w:tc>
        <w:tc>
          <w:tcPr>
            <w:tcW w:w="1395" w:type="dxa"/>
            <w:vAlign w:val="center"/>
          </w:tcPr>
          <w:p>
            <w:pPr>
              <w:pStyle w:val="51"/>
            </w:pPr>
            <w:r>
              <w:rPr>
                <w:rFonts w:hint="eastAsia"/>
              </w:rPr>
              <w:t>5.01E+01</w:t>
            </w:r>
          </w:p>
        </w:tc>
        <w:tc>
          <w:tcPr>
            <w:tcW w:w="1049" w:type="dxa"/>
          </w:tcPr>
          <w:p>
            <w:pPr>
              <w:pStyle w:val="51"/>
            </w:pPr>
            <w:r>
              <w:rPr>
                <w:rFonts w:hint="eastAsia"/>
              </w:rP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rPr>
                <w:b/>
                <w:bCs/>
              </w:rPr>
            </w:pPr>
            <w:r>
              <w:rPr>
                <w:rFonts w:hint="eastAsia"/>
                <w:b/>
                <w:bCs/>
              </w:rPr>
              <w:t>136</w:t>
            </w:r>
          </w:p>
        </w:tc>
        <w:tc>
          <w:tcPr>
            <w:tcW w:w="1394" w:type="dxa"/>
            <w:vAlign w:val="center"/>
          </w:tcPr>
          <w:p>
            <w:pPr>
              <w:pStyle w:val="51"/>
              <w:rPr>
                <w:b/>
                <w:bCs/>
              </w:rPr>
            </w:pPr>
            <w:r>
              <w:rPr>
                <w:rFonts w:hint="eastAsia"/>
                <w:b/>
                <w:bCs/>
              </w:rPr>
              <w:t>4.09E+00</w:t>
            </w:r>
          </w:p>
        </w:tc>
        <w:tc>
          <w:tcPr>
            <w:tcW w:w="973" w:type="dxa"/>
            <w:vAlign w:val="center"/>
          </w:tcPr>
          <w:p>
            <w:pPr>
              <w:pStyle w:val="51"/>
              <w:rPr>
                <w:b/>
                <w:bCs/>
              </w:rPr>
            </w:pPr>
            <w:r>
              <w:rPr>
                <w:rFonts w:hint="eastAsia"/>
                <w:b/>
                <w:bCs/>
              </w:rPr>
              <w:t>2.05</w:t>
            </w:r>
          </w:p>
        </w:tc>
        <w:tc>
          <w:tcPr>
            <w:tcW w:w="1395" w:type="dxa"/>
            <w:vAlign w:val="center"/>
          </w:tcPr>
          <w:p>
            <w:pPr>
              <w:pStyle w:val="51"/>
              <w:rPr>
                <w:b/>
                <w:bCs/>
              </w:rPr>
            </w:pPr>
            <w:r>
              <w:rPr>
                <w:rFonts w:hint="eastAsia"/>
                <w:b/>
                <w:bCs/>
              </w:rPr>
              <w:t>5.78E-01</w:t>
            </w:r>
          </w:p>
        </w:tc>
        <w:tc>
          <w:tcPr>
            <w:tcW w:w="973" w:type="dxa"/>
            <w:vAlign w:val="center"/>
          </w:tcPr>
          <w:p>
            <w:pPr>
              <w:pStyle w:val="51"/>
              <w:rPr>
                <w:b/>
                <w:bCs/>
              </w:rPr>
            </w:pPr>
            <w:r>
              <w:rPr>
                <w:rFonts w:hint="eastAsia"/>
                <w:b/>
                <w:bCs/>
              </w:rPr>
              <w:t>5.78</w:t>
            </w:r>
          </w:p>
        </w:tc>
        <w:tc>
          <w:tcPr>
            <w:tcW w:w="1395" w:type="dxa"/>
            <w:vAlign w:val="center"/>
          </w:tcPr>
          <w:p>
            <w:pPr>
              <w:pStyle w:val="51"/>
              <w:rPr>
                <w:b/>
                <w:bCs/>
              </w:rPr>
            </w:pPr>
            <w:r>
              <w:rPr>
                <w:rFonts w:hint="eastAsia"/>
                <w:b/>
                <w:bCs/>
              </w:rPr>
              <w:t>5.38E+01</w:t>
            </w:r>
          </w:p>
        </w:tc>
        <w:tc>
          <w:tcPr>
            <w:tcW w:w="1049" w:type="dxa"/>
          </w:tcPr>
          <w:p>
            <w:pPr>
              <w:pStyle w:val="51"/>
              <w:rPr>
                <w:b/>
                <w:bCs/>
              </w:rPr>
            </w:pPr>
            <w:r>
              <w:rPr>
                <w:rFonts w:hint="eastAsia"/>
                <w:b/>
                <w:bCs/>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200</w:t>
            </w:r>
          </w:p>
        </w:tc>
        <w:tc>
          <w:tcPr>
            <w:tcW w:w="1394" w:type="dxa"/>
            <w:vAlign w:val="center"/>
          </w:tcPr>
          <w:p>
            <w:pPr>
              <w:pStyle w:val="51"/>
            </w:pPr>
            <w:r>
              <w:rPr>
                <w:rFonts w:hint="eastAsia"/>
              </w:rPr>
              <w:t>3.69E+00</w:t>
            </w:r>
          </w:p>
        </w:tc>
        <w:tc>
          <w:tcPr>
            <w:tcW w:w="973" w:type="dxa"/>
            <w:vAlign w:val="center"/>
          </w:tcPr>
          <w:p>
            <w:pPr>
              <w:pStyle w:val="51"/>
            </w:pPr>
            <w:r>
              <w:rPr>
                <w:rFonts w:hint="eastAsia"/>
              </w:rPr>
              <w:t>1.85</w:t>
            </w:r>
          </w:p>
        </w:tc>
        <w:tc>
          <w:tcPr>
            <w:tcW w:w="1395" w:type="dxa"/>
            <w:vAlign w:val="center"/>
          </w:tcPr>
          <w:p>
            <w:pPr>
              <w:pStyle w:val="51"/>
            </w:pPr>
            <w:r>
              <w:rPr>
                <w:rFonts w:hint="eastAsia"/>
              </w:rPr>
              <w:t>5.22E-01</w:t>
            </w:r>
          </w:p>
        </w:tc>
        <w:tc>
          <w:tcPr>
            <w:tcW w:w="973" w:type="dxa"/>
            <w:vAlign w:val="center"/>
          </w:tcPr>
          <w:p>
            <w:pPr>
              <w:pStyle w:val="51"/>
            </w:pPr>
            <w:r>
              <w:rPr>
                <w:rFonts w:hint="eastAsia"/>
              </w:rPr>
              <w:t>5.22</w:t>
            </w:r>
          </w:p>
        </w:tc>
        <w:tc>
          <w:tcPr>
            <w:tcW w:w="1395" w:type="dxa"/>
            <w:vAlign w:val="center"/>
          </w:tcPr>
          <w:p>
            <w:pPr>
              <w:pStyle w:val="51"/>
            </w:pPr>
            <w:r>
              <w:rPr>
                <w:rFonts w:hint="eastAsia"/>
              </w:rPr>
              <w:t>4.86E+01</w:t>
            </w:r>
          </w:p>
        </w:tc>
        <w:tc>
          <w:tcPr>
            <w:tcW w:w="1049" w:type="dxa"/>
          </w:tcPr>
          <w:p>
            <w:pPr>
              <w:pStyle w:val="51"/>
            </w:pPr>
            <w:r>
              <w:rPr>
                <w:rFonts w:hint="eastAsia"/>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300</w:t>
            </w:r>
          </w:p>
        </w:tc>
        <w:tc>
          <w:tcPr>
            <w:tcW w:w="1394" w:type="dxa"/>
            <w:vAlign w:val="center"/>
          </w:tcPr>
          <w:p>
            <w:pPr>
              <w:pStyle w:val="51"/>
            </w:pPr>
            <w:r>
              <w:rPr>
                <w:rFonts w:hint="eastAsia"/>
              </w:rPr>
              <w:t>2.70E+00</w:t>
            </w:r>
          </w:p>
        </w:tc>
        <w:tc>
          <w:tcPr>
            <w:tcW w:w="973" w:type="dxa"/>
            <w:vAlign w:val="center"/>
          </w:tcPr>
          <w:p>
            <w:pPr>
              <w:pStyle w:val="51"/>
            </w:pPr>
            <w:r>
              <w:rPr>
                <w:rFonts w:hint="eastAsia"/>
              </w:rPr>
              <w:t>1.35</w:t>
            </w:r>
          </w:p>
        </w:tc>
        <w:tc>
          <w:tcPr>
            <w:tcW w:w="1395" w:type="dxa"/>
            <w:vAlign w:val="center"/>
          </w:tcPr>
          <w:p>
            <w:pPr>
              <w:pStyle w:val="51"/>
            </w:pPr>
            <w:r>
              <w:rPr>
                <w:rFonts w:hint="eastAsia"/>
              </w:rPr>
              <w:t>3.82E-01</w:t>
            </w:r>
          </w:p>
        </w:tc>
        <w:tc>
          <w:tcPr>
            <w:tcW w:w="973" w:type="dxa"/>
            <w:vAlign w:val="center"/>
          </w:tcPr>
          <w:p>
            <w:pPr>
              <w:pStyle w:val="51"/>
            </w:pPr>
            <w:r>
              <w:rPr>
                <w:rFonts w:hint="eastAsia"/>
              </w:rPr>
              <w:t>3.82</w:t>
            </w:r>
          </w:p>
        </w:tc>
        <w:tc>
          <w:tcPr>
            <w:tcW w:w="1395" w:type="dxa"/>
            <w:vAlign w:val="center"/>
          </w:tcPr>
          <w:p>
            <w:pPr>
              <w:pStyle w:val="51"/>
            </w:pPr>
            <w:r>
              <w:rPr>
                <w:rFonts w:hint="eastAsia"/>
              </w:rPr>
              <w:t>3.55E+01</w:t>
            </w:r>
          </w:p>
        </w:tc>
        <w:tc>
          <w:tcPr>
            <w:tcW w:w="1049" w:type="dxa"/>
          </w:tcPr>
          <w:p>
            <w:pPr>
              <w:pStyle w:val="51"/>
            </w:pPr>
            <w:r>
              <w:rPr>
                <w:rFonts w:hint="eastAsia"/>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400</w:t>
            </w:r>
          </w:p>
        </w:tc>
        <w:tc>
          <w:tcPr>
            <w:tcW w:w="1394" w:type="dxa"/>
            <w:vAlign w:val="center"/>
          </w:tcPr>
          <w:p>
            <w:pPr>
              <w:pStyle w:val="51"/>
            </w:pPr>
            <w:r>
              <w:rPr>
                <w:rFonts w:hint="eastAsia"/>
              </w:rPr>
              <w:t>2.03E+00</w:t>
            </w:r>
          </w:p>
        </w:tc>
        <w:tc>
          <w:tcPr>
            <w:tcW w:w="973" w:type="dxa"/>
            <w:vAlign w:val="center"/>
          </w:tcPr>
          <w:p>
            <w:pPr>
              <w:pStyle w:val="51"/>
            </w:pPr>
            <w:r>
              <w:rPr>
                <w:rFonts w:hint="eastAsia"/>
              </w:rPr>
              <w:t>1.02</w:t>
            </w:r>
          </w:p>
        </w:tc>
        <w:tc>
          <w:tcPr>
            <w:tcW w:w="1395" w:type="dxa"/>
            <w:vAlign w:val="center"/>
          </w:tcPr>
          <w:p>
            <w:pPr>
              <w:pStyle w:val="51"/>
            </w:pPr>
            <w:r>
              <w:rPr>
                <w:rFonts w:hint="eastAsia"/>
              </w:rPr>
              <w:t>2.87E-01</w:t>
            </w:r>
          </w:p>
        </w:tc>
        <w:tc>
          <w:tcPr>
            <w:tcW w:w="973" w:type="dxa"/>
            <w:vAlign w:val="center"/>
          </w:tcPr>
          <w:p>
            <w:pPr>
              <w:pStyle w:val="51"/>
            </w:pPr>
            <w:r>
              <w:rPr>
                <w:rFonts w:hint="eastAsia"/>
              </w:rPr>
              <w:t>2.87</w:t>
            </w:r>
          </w:p>
        </w:tc>
        <w:tc>
          <w:tcPr>
            <w:tcW w:w="1395" w:type="dxa"/>
            <w:vAlign w:val="center"/>
          </w:tcPr>
          <w:p>
            <w:pPr>
              <w:pStyle w:val="51"/>
            </w:pPr>
            <w:r>
              <w:rPr>
                <w:rFonts w:hint="eastAsia"/>
              </w:rPr>
              <w:t>2.67E+01</w:t>
            </w:r>
          </w:p>
        </w:tc>
        <w:tc>
          <w:tcPr>
            <w:tcW w:w="1049" w:type="dxa"/>
          </w:tcPr>
          <w:p>
            <w:pPr>
              <w:pStyle w:val="51"/>
            </w:pPr>
            <w:r>
              <w:rPr>
                <w:rFonts w:hint="eastAsia"/>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500</w:t>
            </w:r>
          </w:p>
        </w:tc>
        <w:tc>
          <w:tcPr>
            <w:tcW w:w="1394" w:type="dxa"/>
            <w:vAlign w:val="center"/>
          </w:tcPr>
          <w:p>
            <w:pPr>
              <w:pStyle w:val="51"/>
            </w:pPr>
            <w:r>
              <w:rPr>
                <w:rFonts w:hint="eastAsia"/>
              </w:rPr>
              <w:t>1.59E+00</w:t>
            </w:r>
          </w:p>
        </w:tc>
        <w:tc>
          <w:tcPr>
            <w:tcW w:w="973" w:type="dxa"/>
            <w:vAlign w:val="center"/>
          </w:tcPr>
          <w:p>
            <w:pPr>
              <w:pStyle w:val="51"/>
            </w:pPr>
            <w:r>
              <w:rPr>
                <w:rFonts w:hint="eastAsia"/>
              </w:rPr>
              <w:t>0.80</w:t>
            </w:r>
          </w:p>
        </w:tc>
        <w:tc>
          <w:tcPr>
            <w:tcW w:w="1395" w:type="dxa"/>
            <w:vAlign w:val="center"/>
          </w:tcPr>
          <w:p>
            <w:pPr>
              <w:pStyle w:val="51"/>
            </w:pPr>
            <w:r>
              <w:rPr>
                <w:rFonts w:hint="eastAsia"/>
              </w:rPr>
              <w:t>2.25E-01</w:t>
            </w:r>
          </w:p>
        </w:tc>
        <w:tc>
          <w:tcPr>
            <w:tcW w:w="973" w:type="dxa"/>
            <w:vAlign w:val="center"/>
          </w:tcPr>
          <w:p>
            <w:pPr>
              <w:pStyle w:val="51"/>
            </w:pPr>
            <w:r>
              <w:rPr>
                <w:rFonts w:hint="eastAsia"/>
              </w:rPr>
              <w:t>2.25</w:t>
            </w:r>
          </w:p>
        </w:tc>
        <w:tc>
          <w:tcPr>
            <w:tcW w:w="1395" w:type="dxa"/>
            <w:vAlign w:val="center"/>
          </w:tcPr>
          <w:p>
            <w:pPr>
              <w:pStyle w:val="51"/>
            </w:pPr>
            <w:r>
              <w:rPr>
                <w:rFonts w:hint="eastAsia"/>
              </w:rPr>
              <w:t>2.09E+01</w:t>
            </w:r>
          </w:p>
        </w:tc>
        <w:tc>
          <w:tcPr>
            <w:tcW w:w="1049" w:type="dxa"/>
          </w:tcPr>
          <w:p>
            <w:pPr>
              <w:pStyle w:val="51"/>
            </w:pPr>
            <w:r>
              <w:rPr>
                <w:rFonts w:hint="eastAsia"/>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600</w:t>
            </w:r>
          </w:p>
        </w:tc>
        <w:tc>
          <w:tcPr>
            <w:tcW w:w="1394" w:type="dxa"/>
            <w:vAlign w:val="center"/>
          </w:tcPr>
          <w:p>
            <w:pPr>
              <w:pStyle w:val="51"/>
            </w:pPr>
            <w:r>
              <w:rPr>
                <w:rFonts w:hint="eastAsia"/>
              </w:rPr>
              <w:t>1.29E+00</w:t>
            </w:r>
          </w:p>
        </w:tc>
        <w:tc>
          <w:tcPr>
            <w:tcW w:w="973" w:type="dxa"/>
            <w:vAlign w:val="center"/>
          </w:tcPr>
          <w:p>
            <w:pPr>
              <w:pStyle w:val="51"/>
            </w:pPr>
            <w:r>
              <w:rPr>
                <w:rFonts w:hint="eastAsia"/>
              </w:rPr>
              <w:t>0.64</w:t>
            </w:r>
          </w:p>
        </w:tc>
        <w:tc>
          <w:tcPr>
            <w:tcW w:w="1395" w:type="dxa"/>
            <w:vAlign w:val="center"/>
          </w:tcPr>
          <w:p>
            <w:pPr>
              <w:pStyle w:val="51"/>
            </w:pPr>
            <w:r>
              <w:rPr>
                <w:rFonts w:hint="eastAsia"/>
              </w:rPr>
              <w:t>1.82E-01</w:t>
            </w:r>
          </w:p>
        </w:tc>
        <w:tc>
          <w:tcPr>
            <w:tcW w:w="973" w:type="dxa"/>
            <w:vAlign w:val="center"/>
          </w:tcPr>
          <w:p>
            <w:pPr>
              <w:pStyle w:val="51"/>
            </w:pPr>
            <w:r>
              <w:rPr>
                <w:rFonts w:hint="eastAsia"/>
              </w:rPr>
              <w:t>1.82</w:t>
            </w:r>
          </w:p>
        </w:tc>
        <w:tc>
          <w:tcPr>
            <w:tcW w:w="1395" w:type="dxa"/>
            <w:vAlign w:val="center"/>
          </w:tcPr>
          <w:p>
            <w:pPr>
              <w:pStyle w:val="51"/>
            </w:pPr>
            <w:r>
              <w:rPr>
                <w:rFonts w:hint="eastAsia"/>
              </w:rPr>
              <w:t>1.70E+01</w:t>
            </w:r>
          </w:p>
        </w:tc>
        <w:tc>
          <w:tcPr>
            <w:tcW w:w="1049" w:type="dxa"/>
          </w:tcPr>
          <w:p>
            <w:pPr>
              <w:pStyle w:val="51"/>
            </w:pPr>
            <w:r>
              <w:rPr>
                <w:rFonts w:hint="eastAsia"/>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700</w:t>
            </w:r>
          </w:p>
        </w:tc>
        <w:tc>
          <w:tcPr>
            <w:tcW w:w="1394" w:type="dxa"/>
            <w:vAlign w:val="center"/>
          </w:tcPr>
          <w:p>
            <w:pPr>
              <w:pStyle w:val="51"/>
            </w:pPr>
            <w:r>
              <w:rPr>
                <w:rFonts w:hint="eastAsia"/>
              </w:rPr>
              <w:t>1.07E+00</w:t>
            </w:r>
          </w:p>
        </w:tc>
        <w:tc>
          <w:tcPr>
            <w:tcW w:w="973" w:type="dxa"/>
            <w:vAlign w:val="center"/>
          </w:tcPr>
          <w:p>
            <w:pPr>
              <w:pStyle w:val="51"/>
            </w:pPr>
            <w:r>
              <w:rPr>
                <w:rFonts w:hint="eastAsia"/>
              </w:rPr>
              <w:t>0.54</w:t>
            </w:r>
          </w:p>
        </w:tc>
        <w:tc>
          <w:tcPr>
            <w:tcW w:w="1395" w:type="dxa"/>
            <w:vAlign w:val="center"/>
          </w:tcPr>
          <w:p>
            <w:pPr>
              <w:pStyle w:val="51"/>
            </w:pPr>
            <w:r>
              <w:rPr>
                <w:rFonts w:hint="eastAsia"/>
              </w:rPr>
              <w:t>1.52E-01</w:t>
            </w:r>
          </w:p>
        </w:tc>
        <w:tc>
          <w:tcPr>
            <w:tcW w:w="973" w:type="dxa"/>
            <w:vAlign w:val="center"/>
          </w:tcPr>
          <w:p>
            <w:pPr>
              <w:pStyle w:val="51"/>
            </w:pPr>
            <w:r>
              <w:rPr>
                <w:rFonts w:hint="eastAsia"/>
              </w:rPr>
              <w:t>1.52</w:t>
            </w:r>
          </w:p>
        </w:tc>
        <w:tc>
          <w:tcPr>
            <w:tcW w:w="1395" w:type="dxa"/>
            <w:vAlign w:val="center"/>
          </w:tcPr>
          <w:p>
            <w:pPr>
              <w:pStyle w:val="51"/>
            </w:pPr>
            <w:r>
              <w:rPr>
                <w:rFonts w:hint="eastAsia"/>
              </w:rPr>
              <w:t>1.41E+01</w:t>
            </w:r>
          </w:p>
        </w:tc>
        <w:tc>
          <w:tcPr>
            <w:tcW w:w="1049" w:type="dxa"/>
          </w:tcPr>
          <w:p>
            <w:pPr>
              <w:pStyle w:val="51"/>
            </w:pPr>
            <w:r>
              <w:rPr>
                <w:rFonts w:hint="eastAsia"/>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800</w:t>
            </w:r>
          </w:p>
        </w:tc>
        <w:tc>
          <w:tcPr>
            <w:tcW w:w="1394" w:type="dxa"/>
            <w:vAlign w:val="center"/>
          </w:tcPr>
          <w:p>
            <w:pPr>
              <w:pStyle w:val="51"/>
            </w:pPr>
            <w:r>
              <w:rPr>
                <w:rFonts w:hint="eastAsia"/>
              </w:rPr>
              <w:t>9.13E-01</w:t>
            </w:r>
          </w:p>
        </w:tc>
        <w:tc>
          <w:tcPr>
            <w:tcW w:w="973" w:type="dxa"/>
            <w:vAlign w:val="center"/>
          </w:tcPr>
          <w:p>
            <w:pPr>
              <w:pStyle w:val="51"/>
            </w:pPr>
            <w:r>
              <w:rPr>
                <w:rFonts w:hint="eastAsia"/>
              </w:rPr>
              <w:t>0.46</w:t>
            </w:r>
          </w:p>
        </w:tc>
        <w:tc>
          <w:tcPr>
            <w:tcW w:w="1395" w:type="dxa"/>
            <w:vAlign w:val="center"/>
          </w:tcPr>
          <w:p>
            <w:pPr>
              <w:pStyle w:val="51"/>
            </w:pPr>
            <w:r>
              <w:rPr>
                <w:rFonts w:hint="eastAsia"/>
              </w:rPr>
              <w:t>1.29E-01</w:t>
            </w:r>
          </w:p>
        </w:tc>
        <w:tc>
          <w:tcPr>
            <w:tcW w:w="973" w:type="dxa"/>
            <w:vAlign w:val="center"/>
          </w:tcPr>
          <w:p>
            <w:pPr>
              <w:pStyle w:val="51"/>
            </w:pPr>
            <w:r>
              <w:rPr>
                <w:rFonts w:hint="eastAsia"/>
              </w:rPr>
              <w:t>1.29</w:t>
            </w:r>
          </w:p>
        </w:tc>
        <w:tc>
          <w:tcPr>
            <w:tcW w:w="1395" w:type="dxa"/>
            <w:vAlign w:val="center"/>
          </w:tcPr>
          <w:p>
            <w:pPr>
              <w:pStyle w:val="51"/>
            </w:pPr>
            <w:r>
              <w:rPr>
                <w:rFonts w:hint="eastAsia"/>
              </w:rPr>
              <w:t>1.20E+01</w:t>
            </w:r>
          </w:p>
        </w:tc>
        <w:tc>
          <w:tcPr>
            <w:tcW w:w="1049" w:type="dxa"/>
          </w:tcPr>
          <w:p>
            <w:pPr>
              <w:pStyle w:val="51"/>
            </w:pPr>
            <w:r>
              <w:rPr>
                <w:rFonts w:hint="eastAsia"/>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900</w:t>
            </w:r>
          </w:p>
        </w:tc>
        <w:tc>
          <w:tcPr>
            <w:tcW w:w="1394" w:type="dxa"/>
            <w:vAlign w:val="center"/>
          </w:tcPr>
          <w:p>
            <w:pPr>
              <w:pStyle w:val="51"/>
            </w:pPr>
            <w:r>
              <w:rPr>
                <w:rFonts w:hint="eastAsia"/>
              </w:rPr>
              <w:t>7.90E-01</w:t>
            </w:r>
          </w:p>
        </w:tc>
        <w:tc>
          <w:tcPr>
            <w:tcW w:w="973" w:type="dxa"/>
            <w:vAlign w:val="center"/>
          </w:tcPr>
          <w:p>
            <w:pPr>
              <w:pStyle w:val="51"/>
            </w:pPr>
            <w:r>
              <w:rPr>
                <w:rFonts w:hint="eastAsia"/>
              </w:rPr>
              <w:t>0.39</w:t>
            </w:r>
          </w:p>
        </w:tc>
        <w:tc>
          <w:tcPr>
            <w:tcW w:w="1395" w:type="dxa"/>
            <w:vAlign w:val="center"/>
          </w:tcPr>
          <w:p>
            <w:pPr>
              <w:pStyle w:val="51"/>
            </w:pPr>
            <w:r>
              <w:rPr>
                <w:rFonts w:hint="eastAsia"/>
              </w:rPr>
              <w:t>1.12E-01</w:t>
            </w:r>
          </w:p>
        </w:tc>
        <w:tc>
          <w:tcPr>
            <w:tcW w:w="973" w:type="dxa"/>
            <w:vAlign w:val="center"/>
          </w:tcPr>
          <w:p>
            <w:pPr>
              <w:pStyle w:val="51"/>
            </w:pPr>
            <w:r>
              <w:rPr>
                <w:rFonts w:hint="eastAsia"/>
              </w:rPr>
              <w:t>1.12</w:t>
            </w:r>
          </w:p>
        </w:tc>
        <w:tc>
          <w:tcPr>
            <w:tcW w:w="1395" w:type="dxa"/>
            <w:vAlign w:val="center"/>
          </w:tcPr>
          <w:p>
            <w:pPr>
              <w:pStyle w:val="51"/>
            </w:pPr>
            <w:r>
              <w:rPr>
                <w:rFonts w:hint="eastAsia"/>
              </w:rPr>
              <w:t>1.04E+01</w:t>
            </w:r>
          </w:p>
        </w:tc>
        <w:tc>
          <w:tcPr>
            <w:tcW w:w="1049" w:type="dxa"/>
          </w:tcPr>
          <w:p>
            <w:pPr>
              <w:pStyle w:val="51"/>
            </w:pPr>
            <w:r>
              <w:rPr>
                <w:rFonts w:hint="eastAsia"/>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1000</w:t>
            </w:r>
          </w:p>
        </w:tc>
        <w:tc>
          <w:tcPr>
            <w:tcW w:w="1394" w:type="dxa"/>
            <w:vAlign w:val="center"/>
          </w:tcPr>
          <w:p>
            <w:pPr>
              <w:pStyle w:val="51"/>
            </w:pPr>
            <w:r>
              <w:rPr>
                <w:rFonts w:hint="eastAsia"/>
              </w:rPr>
              <w:t>6.93E-01</w:t>
            </w:r>
          </w:p>
        </w:tc>
        <w:tc>
          <w:tcPr>
            <w:tcW w:w="973" w:type="dxa"/>
            <w:vAlign w:val="center"/>
          </w:tcPr>
          <w:p>
            <w:pPr>
              <w:pStyle w:val="51"/>
            </w:pPr>
            <w:r>
              <w:rPr>
                <w:rFonts w:hint="eastAsia"/>
              </w:rPr>
              <w:t>0.35</w:t>
            </w:r>
          </w:p>
        </w:tc>
        <w:tc>
          <w:tcPr>
            <w:tcW w:w="1395" w:type="dxa"/>
            <w:vAlign w:val="center"/>
          </w:tcPr>
          <w:p>
            <w:pPr>
              <w:pStyle w:val="51"/>
            </w:pPr>
            <w:r>
              <w:rPr>
                <w:rFonts w:hint="eastAsia"/>
              </w:rPr>
              <w:t>9.79E-02</w:t>
            </w:r>
          </w:p>
        </w:tc>
        <w:tc>
          <w:tcPr>
            <w:tcW w:w="973" w:type="dxa"/>
            <w:vAlign w:val="center"/>
          </w:tcPr>
          <w:p>
            <w:pPr>
              <w:pStyle w:val="51"/>
            </w:pPr>
            <w:r>
              <w:rPr>
                <w:rFonts w:hint="eastAsia"/>
              </w:rPr>
              <w:t>0.98</w:t>
            </w:r>
          </w:p>
        </w:tc>
        <w:tc>
          <w:tcPr>
            <w:tcW w:w="1395" w:type="dxa"/>
            <w:vAlign w:val="center"/>
          </w:tcPr>
          <w:p>
            <w:pPr>
              <w:pStyle w:val="51"/>
            </w:pPr>
            <w:r>
              <w:rPr>
                <w:rFonts w:hint="eastAsia"/>
              </w:rPr>
              <w:t>9.11E+00</w:t>
            </w:r>
          </w:p>
        </w:tc>
        <w:tc>
          <w:tcPr>
            <w:tcW w:w="1049" w:type="dxa"/>
          </w:tcPr>
          <w:p>
            <w:pPr>
              <w:pStyle w:val="51"/>
            </w:pPr>
            <w:r>
              <w:rPr>
                <w:rFonts w:hint="eastAsia"/>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1100</w:t>
            </w:r>
          </w:p>
        </w:tc>
        <w:tc>
          <w:tcPr>
            <w:tcW w:w="1394" w:type="dxa"/>
            <w:vAlign w:val="center"/>
          </w:tcPr>
          <w:p>
            <w:pPr>
              <w:pStyle w:val="51"/>
            </w:pPr>
            <w:r>
              <w:rPr>
                <w:rFonts w:hint="eastAsia"/>
              </w:rPr>
              <w:t>6.14E-01</w:t>
            </w:r>
          </w:p>
        </w:tc>
        <w:tc>
          <w:tcPr>
            <w:tcW w:w="973" w:type="dxa"/>
            <w:vAlign w:val="center"/>
          </w:tcPr>
          <w:p>
            <w:pPr>
              <w:pStyle w:val="51"/>
            </w:pPr>
            <w:r>
              <w:rPr>
                <w:rFonts w:hint="eastAsia"/>
              </w:rPr>
              <w:t>0.31</w:t>
            </w:r>
          </w:p>
        </w:tc>
        <w:tc>
          <w:tcPr>
            <w:tcW w:w="1395" w:type="dxa"/>
            <w:vAlign w:val="center"/>
          </w:tcPr>
          <w:p>
            <w:pPr>
              <w:pStyle w:val="51"/>
            </w:pPr>
            <w:r>
              <w:rPr>
                <w:rFonts w:hint="eastAsia"/>
              </w:rPr>
              <w:t>8.68E-02</w:t>
            </w:r>
          </w:p>
        </w:tc>
        <w:tc>
          <w:tcPr>
            <w:tcW w:w="973" w:type="dxa"/>
            <w:vAlign w:val="center"/>
          </w:tcPr>
          <w:p>
            <w:pPr>
              <w:pStyle w:val="51"/>
            </w:pPr>
            <w:r>
              <w:rPr>
                <w:rFonts w:hint="eastAsia"/>
              </w:rPr>
              <w:t>0.87</w:t>
            </w:r>
          </w:p>
        </w:tc>
        <w:tc>
          <w:tcPr>
            <w:tcW w:w="1395" w:type="dxa"/>
            <w:vAlign w:val="center"/>
          </w:tcPr>
          <w:p>
            <w:pPr>
              <w:pStyle w:val="51"/>
            </w:pPr>
            <w:r>
              <w:rPr>
                <w:rFonts w:hint="eastAsia"/>
              </w:rPr>
              <w:t>8.08E+00</w:t>
            </w:r>
          </w:p>
        </w:tc>
        <w:tc>
          <w:tcPr>
            <w:tcW w:w="1049" w:type="dxa"/>
          </w:tcPr>
          <w:p>
            <w:pPr>
              <w:pStyle w:val="51"/>
            </w:pPr>
            <w:r>
              <w:rPr>
                <w:rFonts w:hint="eastAsia"/>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1200</w:t>
            </w:r>
          </w:p>
        </w:tc>
        <w:tc>
          <w:tcPr>
            <w:tcW w:w="1394" w:type="dxa"/>
            <w:vAlign w:val="center"/>
          </w:tcPr>
          <w:p>
            <w:pPr>
              <w:pStyle w:val="51"/>
            </w:pPr>
            <w:r>
              <w:rPr>
                <w:rFonts w:hint="eastAsia"/>
              </w:rPr>
              <w:t>5.50E-01</w:t>
            </w:r>
          </w:p>
        </w:tc>
        <w:tc>
          <w:tcPr>
            <w:tcW w:w="973" w:type="dxa"/>
            <w:vAlign w:val="center"/>
          </w:tcPr>
          <w:p>
            <w:pPr>
              <w:pStyle w:val="51"/>
            </w:pPr>
            <w:r>
              <w:rPr>
                <w:rFonts w:hint="eastAsia"/>
              </w:rPr>
              <w:t>0.28</w:t>
            </w:r>
          </w:p>
        </w:tc>
        <w:tc>
          <w:tcPr>
            <w:tcW w:w="1395" w:type="dxa"/>
            <w:vAlign w:val="center"/>
          </w:tcPr>
          <w:p>
            <w:pPr>
              <w:pStyle w:val="51"/>
            </w:pPr>
            <w:r>
              <w:rPr>
                <w:rFonts w:hint="eastAsia"/>
              </w:rPr>
              <w:t>7.78E-02</w:t>
            </w:r>
          </w:p>
        </w:tc>
        <w:tc>
          <w:tcPr>
            <w:tcW w:w="973" w:type="dxa"/>
            <w:vAlign w:val="center"/>
          </w:tcPr>
          <w:p>
            <w:pPr>
              <w:pStyle w:val="51"/>
            </w:pPr>
            <w:r>
              <w:rPr>
                <w:rFonts w:hint="eastAsia"/>
              </w:rPr>
              <w:t>0.78</w:t>
            </w:r>
          </w:p>
        </w:tc>
        <w:tc>
          <w:tcPr>
            <w:tcW w:w="1395" w:type="dxa"/>
            <w:vAlign w:val="center"/>
          </w:tcPr>
          <w:p>
            <w:pPr>
              <w:pStyle w:val="51"/>
            </w:pPr>
            <w:r>
              <w:rPr>
                <w:rFonts w:hint="eastAsia"/>
              </w:rPr>
              <w:t>7.24E+00</w:t>
            </w:r>
          </w:p>
        </w:tc>
        <w:tc>
          <w:tcPr>
            <w:tcW w:w="1049" w:type="dxa"/>
          </w:tcPr>
          <w:p>
            <w:pPr>
              <w:pStyle w:val="51"/>
            </w:pPr>
            <w:r>
              <w:rPr>
                <w:rFonts w:hint="eastAsia"/>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1300</w:t>
            </w:r>
          </w:p>
        </w:tc>
        <w:tc>
          <w:tcPr>
            <w:tcW w:w="1394" w:type="dxa"/>
            <w:vAlign w:val="center"/>
          </w:tcPr>
          <w:p>
            <w:pPr>
              <w:pStyle w:val="51"/>
            </w:pPr>
            <w:r>
              <w:rPr>
                <w:rFonts w:hint="eastAsia"/>
              </w:rPr>
              <w:t>4.97E-01</w:t>
            </w:r>
          </w:p>
        </w:tc>
        <w:tc>
          <w:tcPr>
            <w:tcW w:w="973" w:type="dxa"/>
            <w:vAlign w:val="center"/>
          </w:tcPr>
          <w:p>
            <w:pPr>
              <w:pStyle w:val="51"/>
            </w:pPr>
            <w:r>
              <w:rPr>
                <w:rFonts w:hint="eastAsia"/>
              </w:rPr>
              <w:t>0.25</w:t>
            </w:r>
          </w:p>
        </w:tc>
        <w:tc>
          <w:tcPr>
            <w:tcW w:w="1395" w:type="dxa"/>
            <w:vAlign w:val="center"/>
          </w:tcPr>
          <w:p>
            <w:pPr>
              <w:pStyle w:val="51"/>
            </w:pPr>
            <w:r>
              <w:rPr>
                <w:rFonts w:hint="eastAsia"/>
              </w:rPr>
              <w:t>7.03E-02</w:t>
            </w:r>
          </w:p>
        </w:tc>
        <w:tc>
          <w:tcPr>
            <w:tcW w:w="973" w:type="dxa"/>
            <w:vAlign w:val="center"/>
          </w:tcPr>
          <w:p>
            <w:pPr>
              <w:pStyle w:val="51"/>
            </w:pPr>
            <w:r>
              <w:rPr>
                <w:rFonts w:hint="eastAsia"/>
              </w:rPr>
              <w:t>0.70</w:t>
            </w:r>
          </w:p>
        </w:tc>
        <w:tc>
          <w:tcPr>
            <w:tcW w:w="1395" w:type="dxa"/>
            <w:vAlign w:val="center"/>
          </w:tcPr>
          <w:p>
            <w:pPr>
              <w:pStyle w:val="51"/>
            </w:pPr>
            <w:r>
              <w:rPr>
                <w:rFonts w:hint="eastAsia"/>
              </w:rPr>
              <w:t>6.54E+00</w:t>
            </w:r>
          </w:p>
        </w:tc>
        <w:tc>
          <w:tcPr>
            <w:tcW w:w="1049" w:type="dxa"/>
          </w:tcPr>
          <w:p>
            <w:pPr>
              <w:pStyle w:val="51"/>
            </w:pPr>
            <w:r>
              <w:rPr>
                <w:rFonts w:hint="eastAsia"/>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1400</w:t>
            </w:r>
          </w:p>
        </w:tc>
        <w:tc>
          <w:tcPr>
            <w:tcW w:w="1394" w:type="dxa"/>
            <w:vAlign w:val="center"/>
          </w:tcPr>
          <w:p>
            <w:pPr>
              <w:pStyle w:val="51"/>
            </w:pPr>
            <w:r>
              <w:rPr>
                <w:rFonts w:hint="eastAsia"/>
              </w:rPr>
              <w:t>4.52E-01</w:t>
            </w:r>
          </w:p>
        </w:tc>
        <w:tc>
          <w:tcPr>
            <w:tcW w:w="973" w:type="dxa"/>
            <w:vAlign w:val="center"/>
          </w:tcPr>
          <w:p>
            <w:pPr>
              <w:pStyle w:val="51"/>
            </w:pPr>
            <w:r>
              <w:rPr>
                <w:rFonts w:hint="eastAsia"/>
              </w:rPr>
              <w:t>0.23</w:t>
            </w:r>
          </w:p>
        </w:tc>
        <w:tc>
          <w:tcPr>
            <w:tcW w:w="1395" w:type="dxa"/>
            <w:vAlign w:val="center"/>
          </w:tcPr>
          <w:p>
            <w:pPr>
              <w:pStyle w:val="51"/>
            </w:pPr>
            <w:r>
              <w:rPr>
                <w:rFonts w:hint="eastAsia"/>
              </w:rPr>
              <w:t>6.39E-02</w:t>
            </w:r>
          </w:p>
        </w:tc>
        <w:tc>
          <w:tcPr>
            <w:tcW w:w="973" w:type="dxa"/>
            <w:vAlign w:val="center"/>
          </w:tcPr>
          <w:p>
            <w:pPr>
              <w:pStyle w:val="51"/>
            </w:pPr>
            <w:r>
              <w:rPr>
                <w:rFonts w:hint="eastAsia"/>
              </w:rPr>
              <w:t>0.64</w:t>
            </w:r>
          </w:p>
        </w:tc>
        <w:tc>
          <w:tcPr>
            <w:tcW w:w="1395" w:type="dxa"/>
            <w:vAlign w:val="center"/>
          </w:tcPr>
          <w:p>
            <w:pPr>
              <w:pStyle w:val="51"/>
            </w:pPr>
            <w:r>
              <w:rPr>
                <w:rFonts w:hint="eastAsia"/>
              </w:rPr>
              <w:t>5.95E+00</w:t>
            </w:r>
          </w:p>
        </w:tc>
        <w:tc>
          <w:tcPr>
            <w:tcW w:w="1049" w:type="dxa"/>
          </w:tcPr>
          <w:p>
            <w:pPr>
              <w:pStyle w:val="51"/>
            </w:pPr>
            <w:r>
              <w:rPr>
                <w:rFonts w:hint="eastAsi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7" w:type="dxa"/>
            <w:vAlign w:val="center"/>
          </w:tcPr>
          <w:p>
            <w:pPr>
              <w:pStyle w:val="51"/>
            </w:pPr>
            <w:r>
              <w:rPr>
                <w:rFonts w:hint="eastAsia"/>
              </w:rPr>
              <w:t>1500</w:t>
            </w:r>
          </w:p>
        </w:tc>
        <w:tc>
          <w:tcPr>
            <w:tcW w:w="1394" w:type="dxa"/>
            <w:vAlign w:val="center"/>
          </w:tcPr>
          <w:p>
            <w:pPr>
              <w:pStyle w:val="51"/>
            </w:pPr>
            <w:r>
              <w:rPr>
                <w:rFonts w:hint="eastAsia"/>
              </w:rPr>
              <w:t>4.14E-01</w:t>
            </w:r>
          </w:p>
        </w:tc>
        <w:tc>
          <w:tcPr>
            <w:tcW w:w="973" w:type="dxa"/>
            <w:vAlign w:val="center"/>
          </w:tcPr>
          <w:p>
            <w:pPr>
              <w:pStyle w:val="51"/>
            </w:pPr>
            <w:r>
              <w:rPr>
                <w:rFonts w:hint="eastAsia"/>
              </w:rPr>
              <w:t>0.21</w:t>
            </w:r>
          </w:p>
        </w:tc>
        <w:tc>
          <w:tcPr>
            <w:tcW w:w="1395" w:type="dxa"/>
            <w:vAlign w:val="center"/>
          </w:tcPr>
          <w:p>
            <w:pPr>
              <w:pStyle w:val="51"/>
            </w:pPr>
            <w:r>
              <w:rPr>
                <w:rFonts w:hint="eastAsia"/>
              </w:rPr>
              <w:t>5.85E-02</w:t>
            </w:r>
          </w:p>
        </w:tc>
        <w:tc>
          <w:tcPr>
            <w:tcW w:w="973" w:type="dxa"/>
            <w:vAlign w:val="center"/>
          </w:tcPr>
          <w:p>
            <w:pPr>
              <w:pStyle w:val="51"/>
            </w:pPr>
            <w:r>
              <w:rPr>
                <w:rFonts w:hint="eastAsia"/>
              </w:rPr>
              <w:t>0.59</w:t>
            </w:r>
          </w:p>
        </w:tc>
        <w:tc>
          <w:tcPr>
            <w:tcW w:w="1395" w:type="dxa"/>
            <w:vAlign w:val="center"/>
          </w:tcPr>
          <w:p>
            <w:pPr>
              <w:pStyle w:val="51"/>
            </w:pPr>
            <w:r>
              <w:rPr>
                <w:rFonts w:hint="eastAsia"/>
              </w:rPr>
              <w:t>5.45E+00</w:t>
            </w:r>
          </w:p>
        </w:tc>
        <w:tc>
          <w:tcPr>
            <w:tcW w:w="1049" w:type="dxa"/>
          </w:tcPr>
          <w:p>
            <w:pPr>
              <w:pStyle w:val="51"/>
            </w:pPr>
            <w:r>
              <w:rPr>
                <w:rFonts w:hint="eastAsia"/>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1600</w:t>
            </w:r>
          </w:p>
        </w:tc>
        <w:tc>
          <w:tcPr>
            <w:tcW w:w="1394" w:type="dxa"/>
            <w:vAlign w:val="center"/>
          </w:tcPr>
          <w:p>
            <w:pPr>
              <w:pStyle w:val="51"/>
            </w:pPr>
            <w:r>
              <w:rPr>
                <w:rFonts w:hint="eastAsia"/>
              </w:rPr>
              <w:t>3.81E-01</w:t>
            </w:r>
          </w:p>
        </w:tc>
        <w:tc>
          <w:tcPr>
            <w:tcW w:w="973" w:type="dxa"/>
            <w:vAlign w:val="center"/>
          </w:tcPr>
          <w:p>
            <w:pPr>
              <w:pStyle w:val="51"/>
            </w:pPr>
            <w:r>
              <w:rPr>
                <w:rFonts w:hint="eastAsia"/>
              </w:rPr>
              <w:t>0.19</w:t>
            </w:r>
          </w:p>
        </w:tc>
        <w:tc>
          <w:tcPr>
            <w:tcW w:w="1395" w:type="dxa"/>
            <w:vAlign w:val="center"/>
          </w:tcPr>
          <w:p>
            <w:pPr>
              <w:pStyle w:val="51"/>
            </w:pPr>
            <w:r>
              <w:rPr>
                <w:rFonts w:hint="eastAsia"/>
              </w:rPr>
              <w:t>5.39E-02</w:t>
            </w:r>
          </w:p>
        </w:tc>
        <w:tc>
          <w:tcPr>
            <w:tcW w:w="973" w:type="dxa"/>
            <w:vAlign w:val="center"/>
          </w:tcPr>
          <w:p>
            <w:pPr>
              <w:pStyle w:val="51"/>
            </w:pPr>
            <w:r>
              <w:rPr>
                <w:rFonts w:hint="eastAsia"/>
              </w:rPr>
              <w:t>0.54</w:t>
            </w:r>
          </w:p>
        </w:tc>
        <w:tc>
          <w:tcPr>
            <w:tcW w:w="1395" w:type="dxa"/>
            <w:vAlign w:val="center"/>
          </w:tcPr>
          <w:p>
            <w:pPr>
              <w:pStyle w:val="51"/>
            </w:pPr>
            <w:r>
              <w:rPr>
                <w:rFonts w:hint="eastAsia"/>
              </w:rPr>
              <w:t>5.02E+00</w:t>
            </w:r>
          </w:p>
        </w:tc>
        <w:tc>
          <w:tcPr>
            <w:tcW w:w="1049" w:type="dxa"/>
          </w:tcPr>
          <w:p>
            <w:pPr>
              <w:pStyle w:val="51"/>
            </w:pPr>
            <w:r>
              <w:rPr>
                <w:rFonts w:hint="eastAsia"/>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1700</w:t>
            </w:r>
          </w:p>
        </w:tc>
        <w:tc>
          <w:tcPr>
            <w:tcW w:w="1394" w:type="dxa"/>
            <w:vAlign w:val="center"/>
          </w:tcPr>
          <w:p>
            <w:pPr>
              <w:pStyle w:val="51"/>
            </w:pPr>
            <w:r>
              <w:rPr>
                <w:rFonts w:hint="eastAsia"/>
              </w:rPr>
              <w:t>3.52E-01</w:t>
            </w:r>
          </w:p>
        </w:tc>
        <w:tc>
          <w:tcPr>
            <w:tcW w:w="973" w:type="dxa"/>
            <w:vAlign w:val="center"/>
          </w:tcPr>
          <w:p>
            <w:pPr>
              <w:pStyle w:val="51"/>
            </w:pPr>
            <w:r>
              <w:rPr>
                <w:rFonts w:hint="eastAsia"/>
              </w:rPr>
              <w:t>0.18</w:t>
            </w:r>
          </w:p>
        </w:tc>
        <w:tc>
          <w:tcPr>
            <w:tcW w:w="1395" w:type="dxa"/>
            <w:vAlign w:val="center"/>
          </w:tcPr>
          <w:p>
            <w:pPr>
              <w:pStyle w:val="51"/>
            </w:pPr>
            <w:r>
              <w:rPr>
                <w:rFonts w:hint="eastAsia"/>
              </w:rPr>
              <w:t>4.98E-02</w:t>
            </w:r>
          </w:p>
        </w:tc>
        <w:tc>
          <w:tcPr>
            <w:tcW w:w="973" w:type="dxa"/>
            <w:vAlign w:val="center"/>
          </w:tcPr>
          <w:p>
            <w:pPr>
              <w:pStyle w:val="51"/>
            </w:pPr>
            <w:r>
              <w:rPr>
                <w:rFonts w:hint="eastAsia"/>
              </w:rPr>
              <w:t>0.50</w:t>
            </w:r>
          </w:p>
        </w:tc>
        <w:tc>
          <w:tcPr>
            <w:tcW w:w="1395" w:type="dxa"/>
            <w:vAlign w:val="center"/>
          </w:tcPr>
          <w:p>
            <w:pPr>
              <w:pStyle w:val="51"/>
            </w:pPr>
            <w:r>
              <w:rPr>
                <w:rFonts w:hint="eastAsia"/>
              </w:rPr>
              <w:t>4.64E+00</w:t>
            </w:r>
          </w:p>
        </w:tc>
        <w:tc>
          <w:tcPr>
            <w:tcW w:w="1049" w:type="dxa"/>
          </w:tcPr>
          <w:p>
            <w:pPr>
              <w:pStyle w:val="51"/>
            </w:pPr>
            <w:r>
              <w:rPr>
                <w:rFonts w:hint="eastAsia"/>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1800</w:t>
            </w:r>
          </w:p>
        </w:tc>
        <w:tc>
          <w:tcPr>
            <w:tcW w:w="1394" w:type="dxa"/>
            <w:vAlign w:val="center"/>
          </w:tcPr>
          <w:p>
            <w:pPr>
              <w:pStyle w:val="51"/>
            </w:pPr>
            <w:r>
              <w:rPr>
                <w:rFonts w:hint="eastAsia"/>
              </w:rPr>
              <w:t>3.27E-01</w:t>
            </w:r>
          </w:p>
        </w:tc>
        <w:tc>
          <w:tcPr>
            <w:tcW w:w="973" w:type="dxa"/>
            <w:vAlign w:val="center"/>
          </w:tcPr>
          <w:p>
            <w:pPr>
              <w:pStyle w:val="51"/>
            </w:pPr>
            <w:r>
              <w:rPr>
                <w:rFonts w:hint="eastAsia"/>
              </w:rPr>
              <w:t>0.16</w:t>
            </w:r>
          </w:p>
        </w:tc>
        <w:tc>
          <w:tcPr>
            <w:tcW w:w="1395" w:type="dxa"/>
            <w:vAlign w:val="center"/>
          </w:tcPr>
          <w:p>
            <w:pPr>
              <w:pStyle w:val="51"/>
            </w:pPr>
            <w:r>
              <w:rPr>
                <w:rFonts w:hint="eastAsia"/>
              </w:rPr>
              <w:t>4.62E-02</w:t>
            </w:r>
          </w:p>
        </w:tc>
        <w:tc>
          <w:tcPr>
            <w:tcW w:w="973" w:type="dxa"/>
            <w:vAlign w:val="center"/>
          </w:tcPr>
          <w:p>
            <w:pPr>
              <w:pStyle w:val="51"/>
            </w:pPr>
            <w:r>
              <w:rPr>
                <w:rFonts w:hint="eastAsia"/>
              </w:rPr>
              <w:t>0.46</w:t>
            </w:r>
          </w:p>
        </w:tc>
        <w:tc>
          <w:tcPr>
            <w:tcW w:w="1395" w:type="dxa"/>
            <w:vAlign w:val="center"/>
          </w:tcPr>
          <w:p>
            <w:pPr>
              <w:pStyle w:val="51"/>
            </w:pPr>
            <w:r>
              <w:rPr>
                <w:rFonts w:hint="eastAsia"/>
              </w:rPr>
              <w:t>4.30E+00</w:t>
            </w:r>
          </w:p>
        </w:tc>
        <w:tc>
          <w:tcPr>
            <w:tcW w:w="1049" w:type="dxa"/>
          </w:tcPr>
          <w:p>
            <w:pPr>
              <w:pStyle w:val="51"/>
            </w:pPr>
            <w:r>
              <w:rPr>
                <w:rFonts w:hint="eastAsia"/>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1900</w:t>
            </w:r>
          </w:p>
        </w:tc>
        <w:tc>
          <w:tcPr>
            <w:tcW w:w="1394" w:type="dxa"/>
            <w:vAlign w:val="center"/>
          </w:tcPr>
          <w:p>
            <w:pPr>
              <w:pStyle w:val="51"/>
            </w:pPr>
            <w:r>
              <w:rPr>
                <w:rFonts w:hint="eastAsia"/>
              </w:rPr>
              <w:t>3.05E-01</w:t>
            </w:r>
          </w:p>
        </w:tc>
        <w:tc>
          <w:tcPr>
            <w:tcW w:w="973" w:type="dxa"/>
            <w:vAlign w:val="center"/>
          </w:tcPr>
          <w:p>
            <w:pPr>
              <w:pStyle w:val="51"/>
            </w:pPr>
            <w:r>
              <w:rPr>
                <w:rFonts w:hint="eastAsia"/>
              </w:rPr>
              <w:t>0.15</w:t>
            </w:r>
          </w:p>
        </w:tc>
        <w:tc>
          <w:tcPr>
            <w:tcW w:w="1395" w:type="dxa"/>
            <w:vAlign w:val="center"/>
          </w:tcPr>
          <w:p>
            <w:pPr>
              <w:pStyle w:val="51"/>
            </w:pPr>
            <w:r>
              <w:rPr>
                <w:rFonts w:hint="eastAsia"/>
              </w:rPr>
              <w:t>4.31E-02</w:t>
            </w:r>
          </w:p>
        </w:tc>
        <w:tc>
          <w:tcPr>
            <w:tcW w:w="973" w:type="dxa"/>
            <w:vAlign w:val="center"/>
          </w:tcPr>
          <w:p>
            <w:pPr>
              <w:pStyle w:val="51"/>
            </w:pPr>
            <w:r>
              <w:rPr>
                <w:rFonts w:hint="eastAsia"/>
              </w:rPr>
              <w:t>0.43</w:t>
            </w:r>
          </w:p>
        </w:tc>
        <w:tc>
          <w:tcPr>
            <w:tcW w:w="1395" w:type="dxa"/>
            <w:vAlign w:val="center"/>
          </w:tcPr>
          <w:p>
            <w:pPr>
              <w:pStyle w:val="51"/>
            </w:pPr>
            <w:r>
              <w:rPr>
                <w:rFonts w:hint="eastAsia"/>
              </w:rPr>
              <w:t>4.01E+00</w:t>
            </w:r>
          </w:p>
        </w:tc>
        <w:tc>
          <w:tcPr>
            <w:tcW w:w="1049" w:type="dxa"/>
          </w:tcPr>
          <w:p>
            <w:pPr>
              <w:pStyle w:val="51"/>
            </w:pPr>
            <w:r>
              <w:rPr>
                <w:rFonts w:hint="eastAsia"/>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2000</w:t>
            </w:r>
          </w:p>
        </w:tc>
        <w:tc>
          <w:tcPr>
            <w:tcW w:w="1394" w:type="dxa"/>
            <w:vAlign w:val="center"/>
          </w:tcPr>
          <w:p>
            <w:pPr>
              <w:pStyle w:val="51"/>
            </w:pPr>
            <w:r>
              <w:rPr>
                <w:rFonts w:hint="eastAsia"/>
              </w:rPr>
              <w:t>2.85E-01</w:t>
            </w:r>
          </w:p>
        </w:tc>
        <w:tc>
          <w:tcPr>
            <w:tcW w:w="973" w:type="dxa"/>
            <w:vAlign w:val="center"/>
          </w:tcPr>
          <w:p>
            <w:pPr>
              <w:pStyle w:val="51"/>
            </w:pPr>
            <w:r>
              <w:rPr>
                <w:rFonts w:hint="eastAsia"/>
              </w:rPr>
              <w:t>0.14</w:t>
            </w:r>
          </w:p>
        </w:tc>
        <w:tc>
          <w:tcPr>
            <w:tcW w:w="1395" w:type="dxa"/>
            <w:vAlign w:val="center"/>
          </w:tcPr>
          <w:p>
            <w:pPr>
              <w:pStyle w:val="51"/>
            </w:pPr>
            <w:r>
              <w:rPr>
                <w:rFonts w:hint="eastAsia"/>
              </w:rPr>
              <w:t>4.03E-02</w:t>
            </w:r>
          </w:p>
        </w:tc>
        <w:tc>
          <w:tcPr>
            <w:tcW w:w="973" w:type="dxa"/>
            <w:vAlign w:val="center"/>
          </w:tcPr>
          <w:p>
            <w:pPr>
              <w:pStyle w:val="51"/>
            </w:pPr>
            <w:r>
              <w:rPr>
                <w:rFonts w:hint="eastAsia"/>
              </w:rPr>
              <w:t>0.40</w:t>
            </w:r>
          </w:p>
        </w:tc>
        <w:tc>
          <w:tcPr>
            <w:tcW w:w="1395" w:type="dxa"/>
            <w:vAlign w:val="center"/>
          </w:tcPr>
          <w:p>
            <w:pPr>
              <w:pStyle w:val="51"/>
            </w:pPr>
            <w:r>
              <w:rPr>
                <w:rFonts w:hint="eastAsia"/>
              </w:rPr>
              <w:t>3.75E+00</w:t>
            </w:r>
          </w:p>
        </w:tc>
        <w:tc>
          <w:tcPr>
            <w:tcW w:w="1049" w:type="dxa"/>
          </w:tcPr>
          <w:p>
            <w:pPr>
              <w:pStyle w:val="51"/>
            </w:pPr>
            <w:r>
              <w:rPr>
                <w:rFonts w:hint="eastAsi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2100</w:t>
            </w:r>
          </w:p>
        </w:tc>
        <w:tc>
          <w:tcPr>
            <w:tcW w:w="1394" w:type="dxa"/>
            <w:vAlign w:val="center"/>
          </w:tcPr>
          <w:p>
            <w:pPr>
              <w:pStyle w:val="51"/>
            </w:pPr>
            <w:r>
              <w:rPr>
                <w:rFonts w:hint="eastAsia"/>
              </w:rPr>
              <w:t>2.68E-01</w:t>
            </w:r>
          </w:p>
        </w:tc>
        <w:tc>
          <w:tcPr>
            <w:tcW w:w="973" w:type="dxa"/>
            <w:vAlign w:val="center"/>
          </w:tcPr>
          <w:p>
            <w:pPr>
              <w:pStyle w:val="51"/>
            </w:pPr>
            <w:r>
              <w:rPr>
                <w:rFonts w:hint="eastAsia"/>
              </w:rPr>
              <w:t>0.13</w:t>
            </w:r>
          </w:p>
        </w:tc>
        <w:tc>
          <w:tcPr>
            <w:tcW w:w="1395" w:type="dxa"/>
            <w:vAlign w:val="center"/>
          </w:tcPr>
          <w:p>
            <w:pPr>
              <w:pStyle w:val="51"/>
            </w:pPr>
            <w:r>
              <w:rPr>
                <w:rFonts w:hint="eastAsia"/>
              </w:rPr>
              <w:t>3.78E-02</w:t>
            </w:r>
          </w:p>
        </w:tc>
        <w:tc>
          <w:tcPr>
            <w:tcW w:w="973" w:type="dxa"/>
            <w:vAlign w:val="center"/>
          </w:tcPr>
          <w:p>
            <w:pPr>
              <w:pStyle w:val="51"/>
            </w:pPr>
            <w:r>
              <w:rPr>
                <w:rFonts w:hint="eastAsia"/>
              </w:rPr>
              <w:t>0.38</w:t>
            </w:r>
          </w:p>
        </w:tc>
        <w:tc>
          <w:tcPr>
            <w:tcW w:w="1395" w:type="dxa"/>
            <w:vAlign w:val="center"/>
          </w:tcPr>
          <w:p>
            <w:pPr>
              <w:pStyle w:val="51"/>
            </w:pPr>
            <w:r>
              <w:rPr>
                <w:rFonts w:hint="eastAsia"/>
              </w:rPr>
              <w:t>3.52E+00</w:t>
            </w:r>
          </w:p>
        </w:tc>
        <w:tc>
          <w:tcPr>
            <w:tcW w:w="1049" w:type="dxa"/>
          </w:tcPr>
          <w:p>
            <w:pPr>
              <w:pStyle w:val="51"/>
            </w:pPr>
            <w:r>
              <w:rPr>
                <w:rFonts w:hint="eastAsia"/>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2200</w:t>
            </w:r>
          </w:p>
        </w:tc>
        <w:tc>
          <w:tcPr>
            <w:tcW w:w="1394" w:type="dxa"/>
            <w:vAlign w:val="center"/>
          </w:tcPr>
          <w:p>
            <w:pPr>
              <w:pStyle w:val="51"/>
            </w:pPr>
            <w:r>
              <w:rPr>
                <w:rFonts w:hint="eastAsia"/>
              </w:rPr>
              <w:t>2.52E-01</w:t>
            </w:r>
          </w:p>
        </w:tc>
        <w:tc>
          <w:tcPr>
            <w:tcW w:w="973" w:type="dxa"/>
            <w:vAlign w:val="center"/>
          </w:tcPr>
          <w:p>
            <w:pPr>
              <w:pStyle w:val="51"/>
            </w:pPr>
            <w:r>
              <w:rPr>
                <w:rFonts w:hint="eastAsia"/>
              </w:rPr>
              <w:t>0.13</w:t>
            </w:r>
          </w:p>
        </w:tc>
        <w:tc>
          <w:tcPr>
            <w:tcW w:w="1395" w:type="dxa"/>
            <w:vAlign w:val="center"/>
          </w:tcPr>
          <w:p>
            <w:pPr>
              <w:pStyle w:val="51"/>
            </w:pPr>
            <w:r>
              <w:rPr>
                <w:rFonts w:hint="eastAsia"/>
              </w:rPr>
              <w:t>3.56E-02</w:t>
            </w:r>
          </w:p>
        </w:tc>
        <w:tc>
          <w:tcPr>
            <w:tcW w:w="973" w:type="dxa"/>
            <w:vAlign w:val="center"/>
          </w:tcPr>
          <w:p>
            <w:pPr>
              <w:pStyle w:val="51"/>
            </w:pPr>
            <w:r>
              <w:rPr>
                <w:rFonts w:hint="eastAsia"/>
              </w:rPr>
              <w:t>0.36</w:t>
            </w:r>
          </w:p>
        </w:tc>
        <w:tc>
          <w:tcPr>
            <w:tcW w:w="1395" w:type="dxa"/>
            <w:vAlign w:val="center"/>
          </w:tcPr>
          <w:p>
            <w:pPr>
              <w:pStyle w:val="51"/>
            </w:pPr>
            <w:r>
              <w:rPr>
                <w:rFonts w:hint="eastAsia"/>
              </w:rPr>
              <w:t>3.31E+00</w:t>
            </w:r>
          </w:p>
        </w:tc>
        <w:tc>
          <w:tcPr>
            <w:tcW w:w="1049" w:type="dxa"/>
          </w:tcPr>
          <w:p>
            <w:pPr>
              <w:pStyle w:val="51"/>
            </w:pPr>
            <w:r>
              <w:rPr>
                <w:rFonts w:hint="eastAsia"/>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2300</w:t>
            </w:r>
          </w:p>
        </w:tc>
        <w:tc>
          <w:tcPr>
            <w:tcW w:w="1394" w:type="dxa"/>
            <w:vAlign w:val="center"/>
          </w:tcPr>
          <w:p>
            <w:pPr>
              <w:pStyle w:val="51"/>
            </w:pPr>
            <w:r>
              <w:rPr>
                <w:rFonts w:hint="eastAsia"/>
              </w:rPr>
              <w:t>2.38E-01</w:t>
            </w:r>
          </w:p>
        </w:tc>
        <w:tc>
          <w:tcPr>
            <w:tcW w:w="973" w:type="dxa"/>
            <w:vAlign w:val="center"/>
          </w:tcPr>
          <w:p>
            <w:pPr>
              <w:pStyle w:val="51"/>
            </w:pPr>
            <w:r>
              <w:rPr>
                <w:rFonts w:hint="eastAsia"/>
              </w:rPr>
              <w:t>0.12</w:t>
            </w:r>
          </w:p>
        </w:tc>
        <w:tc>
          <w:tcPr>
            <w:tcW w:w="1395" w:type="dxa"/>
            <w:vAlign w:val="center"/>
          </w:tcPr>
          <w:p>
            <w:pPr>
              <w:pStyle w:val="51"/>
            </w:pPr>
            <w:r>
              <w:rPr>
                <w:rFonts w:hint="eastAsia"/>
              </w:rPr>
              <w:t>3.36E-02</w:t>
            </w:r>
          </w:p>
        </w:tc>
        <w:tc>
          <w:tcPr>
            <w:tcW w:w="973" w:type="dxa"/>
            <w:vAlign w:val="center"/>
          </w:tcPr>
          <w:p>
            <w:pPr>
              <w:pStyle w:val="51"/>
            </w:pPr>
            <w:r>
              <w:rPr>
                <w:rFonts w:hint="eastAsia"/>
              </w:rPr>
              <w:t>0.34</w:t>
            </w:r>
          </w:p>
        </w:tc>
        <w:tc>
          <w:tcPr>
            <w:tcW w:w="1395" w:type="dxa"/>
            <w:vAlign w:val="center"/>
          </w:tcPr>
          <w:p>
            <w:pPr>
              <w:pStyle w:val="51"/>
            </w:pPr>
            <w:r>
              <w:rPr>
                <w:rFonts w:hint="eastAsia"/>
              </w:rPr>
              <w:t>3.12E+00</w:t>
            </w:r>
          </w:p>
        </w:tc>
        <w:tc>
          <w:tcPr>
            <w:tcW w:w="1049" w:type="dxa"/>
          </w:tcPr>
          <w:p>
            <w:pPr>
              <w:pStyle w:val="51"/>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2400</w:t>
            </w:r>
          </w:p>
        </w:tc>
        <w:tc>
          <w:tcPr>
            <w:tcW w:w="1394" w:type="dxa"/>
            <w:vAlign w:val="center"/>
          </w:tcPr>
          <w:p>
            <w:pPr>
              <w:pStyle w:val="51"/>
            </w:pPr>
            <w:r>
              <w:rPr>
                <w:rFonts w:hint="eastAsia"/>
              </w:rPr>
              <w:t>2.25E-01</w:t>
            </w:r>
          </w:p>
        </w:tc>
        <w:tc>
          <w:tcPr>
            <w:tcW w:w="973" w:type="dxa"/>
            <w:vAlign w:val="center"/>
          </w:tcPr>
          <w:p>
            <w:pPr>
              <w:pStyle w:val="51"/>
            </w:pPr>
            <w:r>
              <w:rPr>
                <w:rFonts w:hint="eastAsia"/>
              </w:rPr>
              <w:t>0.11</w:t>
            </w:r>
          </w:p>
        </w:tc>
        <w:tc>
          <w:tcPr>
            <w:tcW w:w="1395" w:type="dxa"/>
            <w:vAlign w:val="center"/>
          </w:tcPr>
          <w:p>
            <w:pPr>
              <w:pStyle w:val="51"/>
            </w:pPr>
            <w:r>
              <w:rPr>
                <w:rFonts w:hint="eastAsia"/>
              </w:rPr>
              <w:t>3.17E-02</w:t>
            </w:r>
          </w:p>
        </w:tc>
        <w:tc>
          <w:tcPr>
            <w:tcW w:w="973" w:type="dxa"/>
            <w:vAlign w:val="center"/>
          </w:tcPr>
          <w:p>
            <w:pPr>
              <w:pStyle w:val="51"/>
            </w:pPr>
            <w:r>
              <w:rPr>
                <w:rFonts w:hint="eastAsia"/>
              </w:rPr>
              <w:t>0.32</w:t>
            </w:r>
          </w:p>
        </w:tc>
        <w:tc>
          <w:tcPr>
            <w:tcW w:w="1395" w:type="dxa"/>
            <w:vAlign w:val="center"/>
          </w:tcPr>
          <w:p>
            <w:pPr>
              <w:pStyle w:val="51"/>
            </w:pPr>
            <w:r>
              <w:rPr>
                <w:rFonts w:hint="eastAsia"/>
              </w:rPr>
              <w:t>2.96E+00</w:t>
            </w:r>
          </w:p>
        </w:tc>
        <w:tc>
          <w:tcPr>
            <w:tcW w:w="1049" w:type="dxa"/>
          </w:tcPr>
          <w:p>
            <w:pPr>
              <w:pStyle w:val="51"/>
            </w:pPr>
            <w:r>
              <w:rPr>
                <w:rFonts w:hint="eastAsia"/>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Align w:val="center"/>
          </w:tcPr>
          <w:p>
            <w:pPr>
              <w:pStyle w:val="51"/>
            </w:pPr>
            <w:r>
              <w:rPr>
                <w:rFonts w:hint="eastAsia"/>
              </w:rPr>
              <w:t>2500</w:t>
            </w:r>
          </w:p>
        </w:tc>
        <w:tc>
          <w:tcPr>
            <w:tcW w:w="1394" w:type="dxa"/>
            <w:vAlign w:val="center"/>
          </w:tcPr>
          <w:p>
            <w:pPr>
              <w:pStyle w:val="51"/>
            </w:pPr>
            <w:r>
              <w:rPr>
                <w:rFonts w:hint="eastAsia"/>
              </w:rPr>
              <w:t>2.13E-01</w:t>
            </w:r>
          </w:p>
        </w:tc>
        <w:tc>
          <w:tcPr>
            <w:tcW w:w="973" w:type="dxa"/>
            <w:vAlign w:val="center"/>
          </w:tcPr>
          <w:p>
            <w:pPr>
              <w:pStyle w:val="51"/>
            </w:pPr>
            <w:r>
              <w:rPr>
                <w:rFonts w:hint="eastAsia"/>
              </w:rPr>
              <w:t>0.11</w:t>
            </w:r>
          </w:p>
        </w:tc>
        <w:tc>
          <w:tcPr>
            <w:tcW w:w="1395" w:type="dxa"/>
            <w:vAlign w:val="center"/>
          </w:tcPr>
          <w:p>
            <w:pPr>
              <w:pStyle w:val="51"/>
            </w:pPr>
            <w:r>
              <w:rPr>
                <w:rFonts w:hint="eastAsia"/>
              </w:rPr>
              <w:t>3.01E-02</w:t>
            </w:r>
          </w:p>
        </w:tc>
        <w:tc>
          <w:tcPr>
            <w:tcW w:w="973" w:type="dxa"/>
            <w:vAlign w:val="center"/>
          </w:tcPr>
          <w:p>
            <w:pPr>
              <w:pStyle w:val="51"/>
            </w:pPr>
            <w:r>
              <w:rPr>
                <w:rFonts w:hint="eastAsia"/>
              </w:rPr>
              <w:t>0.30</w:t>
            </w:r>
          </w:p>
        </w:tc>
        <w:tc>
          <w:tcPr>
            <w:tcW w:w="1395" w:type="dxa"/>
            <w:vAlign w:val="center"/>
          </w:tcPr>
          <w:p>
            <w:pPr>
              <w:pStyle w:val="51"/>
            </w:pPr>
            <w:r>
              <w:rPr>
                <w:rFonts w:hint="eastAsia"/>
              </w:rPr>
              <w:t>2.80E+00</w:t>
            </w:r>
          </w:p>
        </w:tc>
        <w:tc>
          <w:tcPr>
            <w:tcW w:w="1049" w:type="dxa"/>
          </w:tcPr>
          <w:p>
            <w:pPr>
              <w:pStyle w:val="51"/>
            </w:pPr>
            <w:r>
              <w:rPr>
                <w:rFonts w:hint="eastAsia"/>
              </w:rPr>
              <w:t>0.31</w:t>
            </w:r>
          </w:p>
        </w:tc>
      </w:tr>
    </w:tbl>
    <w:p>
      <w:pPr>
        <w:pStyle w:val="49"/>
        <w:ind w:firstLine="480"/>
      </w:pPr>
      <w:r>
        <w:rPr>
          <w:rFonts w:hint="eastAsia"/>
        </w:rPr>
        <w:t>由上表可知，项目无组织排放的NH</w:t>
      </w:r>
      <w:r>
        <w:rPr>
          <w:rFonts w:hint="eastAsia"/>
          <w:vertAlign w:val="subscript"/>
        </w:rPr>
        <w:t>3</w:t>
      </w:r>
      <w:r>
        <w:rPr>
          <w:rFonts w:hint="eastAsia"/>
        </w:rPr>
        <w:t>、H</w:t>
      </w:r>
      <w:r>
        <w:rPr>
          <w:rFonts w:hint="eastAsia"/>
          <w:vertAlign w:val="subscript"/>
        </w:rPr>
        <w:t>2</w:t>
      </w:r>
      <w:r>
        <w:rPr>
          <w:rFonts w:hint="eastAsia"/>
        </w:rPr>
        <w:t>S、颗粒物最大落地浓度分别为4.09</w:t>
      </w:r>
      <w:r>
        <w:t>μg/m</w:t>
      </w:r>
      <w:r>
        <w:rPr>
          <w:vertAlign w:val="superscript"/>
        </w:rPr>
        <w:t>3</w:t>
      </w:r>
      <w:r>
        <w:rPr>
          <w:rFonts w:hint="eastAsia"/>
        </w:rPr>
        <w:t>、0.58</w:t>
      </w:r>
      <w:r>
        <w:t>μg/m</w:t>
      </w:r>
      <w:r>
        <w:rPr>
          <w:vertAlign w:val="superscript"/>
        </w:rPr>
        <w:t>3</w:t>
      </w:r>
      <w:r>
        <w:rPr>
          <w:rFonts w:hint="eastAsia"/>
        </w:rPr>
        <w:t>、53.8</w:t>
      </w:r>
      <w:r>
        <w:t>μg/m</w:t>
      </w:r>
      <w:r>
        <w:rPr>
          <w:vertAlign w:val="superscript"/>
        </w:rPr>
        <w:t>3</w:t>
      </w:r>
      <w:r>
        <w:rPr>
          <w:rFonts w:hint="eastAsia"/>
        </w:rPr>
        <w:t>，最大占标率分别为2.05%、5.78%、5.98%，最大落地浓度距离中心距离均为136m。</w:t>
      </w:r>
    </w:p>
    <w:p>
      <w:pPr>
        <w:pStyle w:val="49"/>
        <w:ind w:firstLine="480"/>
      </w:pPr>
      <w:r>
        <w:rPr>
          <w:rFonts w:hint="eastAsia"/>
        </w:rPr>
        <w:t>7</w:t>
      </w:r>
      <w:r>
        <w:t>、评价工作等级确定</w:t>
      </w:r>
    </w:p>
    <w:p>
      <w:pPr>
        <w:pStyle w:val="49"/>
        <w:ind w:firstLine="480"/>
        <w:rPr>
          <w:szCs w:val="20"/>
        </w:rPr>
      </w:pPr>
      <w:r>
        <w:rPr>
          <w:szCs w:val="20"/>
        </w:rPr>
        <w:t>本项目主要污染源的正常排放的污染物的P</w:t>
      </w:r>
      <w:r>
        <w:rPr>
          <w:szCs w:val="20"/>
          <w:vertAlign w:val="subscript"/>
        </w:rPr>
        <w:t>max</w:t>
      </w:r>
      <w:r>
        <w:rPr>
          <w:szCs w:val="20"/>
        </w:rPr>
        <w:t>和D</w:t>
      </w:r>
      <w:r>
        <w:rPr>
          <w:szCs w:val="20"/>
          <w:vertAlign w:val="subscript"/>
        </w:rPr>
        <w:t>10%</w:t>
      </w:r>
      <w:r>
        <w:rPr>
          <w:szCs w:val="20"/>
        </w:rPr>
        <w:t>预测结果如下</w:t>
      </w:r>
      <w:r>
        <w:rPr>
          <w:rFonts w:hint="eastAsia"/>
          <w:szCs w:val="20"/>
        </w:rPr>
        <w:t>。</w:t>
      </w:r>
    </w:p>
    <w:p>
      <w:pPr>
        <w:pStyle w:val="53"/>
      </w:pPr>
      <w:r>
        <w:t>表</w:t>
      </w:r>
      <w:r>
        <w:rPr>
          <w:rFonts w:hint="eastAsia"/>
        </w:rPr>
        <w:t>5</w:t>
      </w:r>
      <w:r>
        <w:t>.2-</w:t>
      </w:r>
      <w:r>
        <w:rPr>
          <w:rFonts w:hint="eastAsia"/>
        </w:rPr>
        <w:t xml:space="preserve">6 </w:t>
      </w:r>
      <w:r>
        <w:t xml:space="preserve"> 正常排放Pmax和D10%预测和计算结果一览表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134"/>
        <w:gridCol w:w="1072"/>
        <w:gridCol w:w="1242"/>
        <w:gridCol w:w="889"/>
        <w:gridCol w:w="766"/>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pPr>
              <w:pStyle w:val="51"/>
            </w:pPr>
            <w:bookmarkStart w:id="194" w:name="_Hlk48139074"/>
            <w:r>
              <w:t>污染源名称</w:t>
            </w:r>
          </w:p>
        </w:tc>
        <w:tc>
          <w:tcPr>
            <w:tcW w:w="1134" w:type="dxa"/>
            <w:vAlign w:val="center"/>
          </w:tcPr>
          <w:p>
            <w:pPr>
              <w:pStyle w:val="51"/>
            </w:pPr>
            <w:r>
              <w:t>评价因子</w:t>
            </w:r>
          </w:p>
        </w:tc>
        <w:tc>
          <w:tcPr>
            <w:tcW w:w="1072" w:type="dxa"/>
            <w:vAlign w:val="center"/>
          </w:tcPr>
          <w:p>
            <w:pPr>
              <w:pStyle w:val="51"/>
            </w:pPr>
            <w:r>
              <w:t>评价标准(μg/m</w:t>
            </w:r>
            <w:r>
              <w:rPr>
                <w:vertAlign w:val="superscript"/>
              </w:rPr>
              <w:t>3</w:t>
            </w:r>
            <w:r>
              <w:t>)</w:t>
            </w:r>
          </w:p>
        </w:tc>
        <w:tc>
          <w:tcPr>
            <w:tcW w:w="1242" w:type="dxa"/>
            <w:vAlign w:val="center"/>
          </w:tcPr>
          <w:p>
            <w:pPr>
              <w:pStyle w:val="51"/>
            </w:pPr>
            <w:r>
              <w:t>C</w:t>
            </w:r>
            <w:r>
              <w:rPr>
                <w:vertAlign w:val="subscript"/>
              </w:rPr>
              <w:t xml:space="preserve">max </w:t>
            </w:r>
            <w:r>
              <w:t>(μg/m</w:t>
            </w:r>
            <w:r>
              <w:rPr>
                <w:vertAlign w:val="superscript"/>
              </w:rPr>
              <w:t>3</w:t>
            </w:r>
            <w:r>
              <w:t>)</w:t>
            </w:r>
          </w:p>
        </w:tc>
        <w:tc>
          <w:tcPr>
            <w:tcW w:w="889" w:type="dxa"/>
            <w:vAlign w:val="center"/>
          </w:tcPr>
          <w:p>
            <w:pPr>
              <w:pStyle w:val="51"/>
            </w:pPr>
            <w:r>
              <w:t>P</w:t>
            </w:r>
            <w:r>
              <w:rPr>
                <w:vertAlign w:val="subscript"/>
              </w:rPr>
              <w:t>max</w:t>
            </w:r>
            <w:r>
              <w:t>(%)</w:t>
            </w:r>
          </w:p>
        </w:tc>
        <w:tc>
          <w:tcPr>
            <w:tcW w:w="766" w:type="dxa"/>
            <w:vAlign w:val="center"/>
          </w:tcPr>
          <w:p>
            <w:pPr>
              <w:pStyle w:val="51"/>
            </w:pPr>
            <w:r>
              <w:t>D</w:t>
            </w:r>
            <w:r>
              <w:rPr>
                <w:vertAlign w:val="subscript"/>
              </w:rPr>
              <w:t xml:space="preserve">10% </w:t>
            </w:r>
            <w:r>
              <w:t>(m)</w:t>
            </w:r>
          </w:p>
        </w:tc>
        <w:tc>
          <w:tcPr>
            <w:tcW w:w="788" w:type="dxa"/>
            <w:vAlign w:val="center"/>
          </w:tcPr>
          <w:p>
            <w:pPr>
              <w:pStyle w:val="51"/>
            </w:pPr>
            <w: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05" w:type="dxa"/>
            <w:vMerge w:val="restart"/>
            <w:vAlign w:val="center"/>
          </w:tcPr>
          <w:p>
            <w:pPr>
              <w:pStyle w:val="51"/>
            </w:pPr>
            <w:r>
              <w:rPr>
                <w:rFonts w:hint="eastAsia"/>
              </w:rPr>
              <w:t>鸡舍、鸡粪风干车间、一体化污水处理设施</w:t>
            </w:r>
          </w:p>
        </w:tc>
        <w:tc>
          <w:tcPr>
            <w:tcW w:w="1134" w:type="dxa"/>
            <w:vAlign w:val="center"/>
          </w:tcPr>
          <w:p>
            <w:pPr>
              <w:pStyle w:val="51"/>
            </w:pPr>
            <w:r>
              <w:rPr>
                <w:rFonts w:hint="eastAsia"/>
              </w:rPr>
              <w:t>NH</w:t>
            </w:r>
            <w:r>
              <w:rPr>
                <w:rFonts w:hint="eastAsia"/>
                <w:vertAlign w:val="subscript"/>
              </w:rPr>
              <w:t>3</w:t>
            </w:r>
          </w:p>
        </w:tc>
        <w:tc>
          <w:tcPr>
            <w:tcW w:w="1072" w:type="dxa"/>
            <w:vAlign w:val="center"/>
          </w:tcPr>
          <w:p>
            <w:pPr>
              <w:pStyle w:val="51"/>
            </w:pPr>
            <w:r>
              <w:rPr>
                <w:rFonts w:hint="eastAsia"/>
                <w:szCs w:val="21"/>
              </w:rPr>
              <w:t>200</w:t>
            </w:r>
          </w:p>
        </w:tc>
        <w:tc>
          <w:tcPr>
            <w:tcW w:w="1242" w:type="dxa"/>
            <w:vAlign w:val="center"/>
          </w:tcPr>
          <w:p>
            <w:pPr>
              <w:pStyle w:val="51"/>
              <w:rPr>
                <w:snapToGrid w:val="0"/>
              </w:rPr>
            </w:pPr>
            <w:r>
              <w:rPr>
                <w:rFonts w:hint="eastAsia"/>
                <w:snapToGrid w:val="0"/>
              </w:rPr>
              <w:t>4.09</w:t>
            </w:r>
          </w:p>
        </w:tc>
        <w:tc>
          <w:tcPr>
            <w:tcW w:w="889" w:type="dxa"/>
            <w:vAlign w:val="center"/>
          </w:tcPr>
          <w:p>
            <w:pPr>
              <w:pStyle w:val="51"/>
              <w:rPr>
                <w:snapToGrid w:val="0"/>
              </w:rPr>
            </w:pPr>
            <w:r>
              <w:rPr>
                <w:rFonts w:hint="eastAsia"/>
                <w:snapToGrid w:val="0"/>
              </w:rPr>
              <w:t>2.05</w:t>
            </w:r>
          </w:p>
        </w:tc>
        <w:tc>
          <w:tcPr>
            <w:tcW w:w="766" w:type="dxa"/>
            <w:vAlign w:val="center"/>
          </w:tcPr>
          <w:p>
            <w:pPr>
              <w:pStyle w:val="51"/>
            </w:pPr>
            <w:r>
              <w:rPr>
                <w:rFonts w:hint="eastAsia"/>
              </w:rPr>
              <w:t>/</w:t>
            </w:r>
          </w:p>
        </w:tc>
        <w:tc>
          <w:tcPr>
            <w:tcW w:w="788" w:type="dxa"/>
            <w:vAlign w:val="center"/>
          </w:tcPr>
          <w:p>
            <w:pPr>
              <w:pStyle w:val="51"/>
            </w:pPr>
            <w:r>
              <w:rPr>
                <w:rFonts w:hint="eastAsi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51"/>
            </w:pPr>
          </w:p>
        </w:tc>
        <w:tc>
          <w:tcPr>
            <w:tcW w:w="1134" w:type="dxa"/>
            <w:vAlign w:val="center"/>
          </w:tcPr>
          <w:p>
            <w:pPr>
              <w:pStyle w:val="51"/>
            </w:pPr>
            <w:r>
              <w:rPr>
                <w:rFonts w:hint="eastAsia"/>
              </w:rPr>
              <w:t>H</w:t>
            </w:r>
            <w:r>
              <w:rPr>
                <w:rFonts w:hint="eastAsia"/>
                <w:vertAlign w:val="subscript"/>
              </w:rPr>
              <w:t>2</w:t>
            </w:r>
            <w:r>
              <w:rPr>
                <w:rFonts w:hint="eastAsia"/>
              </w:rPr>
              <w:t>S</w:t>
            </w:r>
          </w:p>
        </w:tc>
        <w:tc>
          <w:tcPr>
            <w:tcW w:w="1072" w:type="dxa"/>
            <w:vAlign w:val="center"/>
          </w:tcPr>
          <w:p>
            <w:pPr>
              <w:pStyle w:val="51"/>
              <w:rPr>
                <w:szCs w:val="21"/>
              </w:rPr>
            </w:pPr>
            <w:r>
              <w:rPr>
                <w:rFonts w:hint="eastAsia"/>
                <w:szCs w:val="21"/>
              </w:rPr>
              <w:t>10</w:t>
            </w:r>
          </w:p>
        </w:tc>
        <w:tc>
          <w:tcPr>
            <w:tcW w:w="1242" w:type="dxa"/>
            <w:vAlign w:val="center"/>
          </w:tcPr>
          <w:p>
            <w:pPr>
              <w:pStyle w:val="51"/>
            </w:pPr>
            <w:r>
              <w:rPr>
                <w:rFonts w:hint="eastAsia"/>
              </w:rPr>
              <w:t>0.58</w:t>
            </w:r>
          </w:p>
        </w:tc>
        <w:tc>
          <w:tcPr>
            <w:tcW w:w="889" w:type="dxa"/>
            <w:vAlign w:val="center"/>
          </w:tcPr>
          <w:p>
            <w:pPr>
              <w:pStyle w:val="51"/>
            </w:pPr>
            <w:r>
              <w:rPr>
                <w:rFonts w:hint="eastAsia"/>
              </w:rPr>
              <w:t>5.78</w:t>
            </w:r>
          </w:p>
        </w:tc>
        <w:tc>
          <w:tcPr>
            <w:tcW w:w="766" w:type="dxa"/>
            <w:vAlign w:val="center"/>
          </w:tcPr>
          <w:p>
            <w:pPr>
              <w:pStyle w:val="51"/>
            </w:pPr>
            <w:r>
              <w:rPr>
                <w:rFonts w:hint="eastAsia"/>
              </w:rPr>
              <w:t>/</w:t>
            </w:r>
          </w:p>
        </w:tc>
        <w:tc>
          <w:tcPr>
            <w:tcW w:w="788" w:type="dxa"/>
            <w:vAlign w:val="center"/>
          </w:tcPr>
          <w:p>
            <w:pPr>
              <w:pStyle w:val="51"/>
            </w:pPr>
            <w:r>
              <w:rPr>
                <w:rFonts w:hint="eastAsi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pPr>
              <w:pStyle w:val="51"/>
            </w:pPr>
          </w:p>
        </w:tc>
        <w:tc>
          <w:tcPr>
            <w:tcW w:w="1134" w:type="dxa"/>
            <w:vAlign w:val="center"/>
          </w:tcPr>
          <w:p>
            <w:pPr>
              <w:pStyle w:val="51"/>
            </w:pPr>
            <w:r>
              <w:t>颗粒物</w:t>
            </w:r>
          </w:p>
        </w:tc>
        <w:tc>
          <w:tcPr>
            <w:tcW w:w="1072" w:type="dxa"/>
            <w:vAlign w:val="center"/>
          </w:tcPr>
          <w:p>
            <w:pPr>
              <w:pStyle w:val="51"/>
              <w:rPr>
                <w:szCs w:val="21"/>
              </w:rPr>
            </w:pPr>
            <w:r>
              <w:rPr>
                <w:rFonts w:hint="eastAsia"/>
              </w:rPr>
              <w:t>900</w:t>
            </w:r>
          </w:p>
        </w:tc>
        <w:tc>
          <w:tcPr>
            <w:tcW w:w="1242" w:type="dxa"/>
            <w:vAlign w:val="center"/>
          </w:tcPr>
          <w:p>
            <w:pPr>
              <w:pStyle w:val="51"/>
            </w:pPr>
            <w:r>
              <w:rPr>
                <w:rFonts w:hint="eastAsia"/>
              </w:rPr>
              <w:t>53.8</w:t>
            </w:r>
          </w:p>
        </w:tc>
        <w:tc>
          <w:tcPr>
            <w:tcW w:w="889" w:type="dxa"/>
            <w:vAlign w:val="center"/>
          </w:tcPr>
          <w:p>
            <w:pPr>
              <w:pStyle w:val="51"/>
            </w:pPr>
            <w:r>
              <w:rPr>
                <w:rFonts w:hint="eastAsia"/>
              </w:rPr>
              <w:t>5.98</w:t>
            </w:r>
          </w:p>
        </w:tc>
        <w:tc>
          <w:tcPr>
            <w:tcW w:w="766" w:type="dxa"/>
            <w:vAlign w:val="center"/>
          </w:tcPr>
          <w:p>
            <w:pPr>
              <w:pStyle w:val="51"/>
            </w:pPr>
            <w:r>
              <w:rPr>
                <w:rFonts w:hint="eastAsia"/>
              </w:rPr>
              <w:t>/</w:t>
            </w:r>
          </w:p>
        </w:tc>
        <w:tc>
          <w:tcPr>
            <w:tcW w:w="788" w:type="dxa"/>
            <w:vAlign w:val="center"/>
          </w:tcPr>
          <w:p>
            <w:pPr>
              <w:pStyle w:val="51"/>
            </w:pPr>
            <w:r>
              <w:rPr>
                <w:rFonts w:hint="eastAsia"/>
              </w:rPr>
              <w:t>二级</w:t>
            </w:r>
          </w:p>
        </w:tc>
      </w:tr>
      <w:bookmarkEnd w:id="194"/>
    </w:tbl>
    <w:p>
      <w:pPr>
        <w:pStyle w:val="49"/>
        <w:ind w:firstLine="480"/>
      </w:pPr>
      <w:r>
        <w:rPr>
          <w:rFonts w:hint="eastAsia"/>
        </w:rPr>
        <w:t xml:space="preserve">本项目 </w:t>
      </w:r>
      <w:r>
        <w:rPr>
          <w:rFonts w:cs="Times New Roman"/>
        </w:rPr>
        <w:t xml:space="preserve">Pmax </w:t>
      </w:r>
      <w:r>
        <w:rPr>
          <w:rFonts w:hint="eastAsia"/>
        </w:rPr>
        <w:t>最大值出现为DA002排气筒排放的H</w:t>
      </w:r>
      <w:r>
        <w:rPr>
          <w:rFonts w:hint="eastAsia"/>
          <w:vertAlign w:val="subscript"/>
        </w:rPr>
        <w:t>2</w:t>
      </w:r>
      <w:r>
        <w:rPr>
          <w:rFonts w:hint="eastAsia"/>
        </w:rPr>
        <w:t>S，</w:t>
      </w:r>
      <w:r>
        <w:rPr>
          <w:rFonts w:cs="Times New Roman"/>
        </w:rPr>
        <w:t>P</w:t>
      </w:r>
      <w:r>
        <w:rPr>
          <w:rFonts w:cs="Times New Roman"/>
          <w:vertAlign w:val="subscript"/>
        </w:rPr>
        <w:t>max</w:t>
      </w:r>
      <w:r>
        <w:rPr>
          <w:rFonts w:cs="Times New Roman"/>
        </w:rPr>
        <w:t xml:space="preserve"> </w:t>
      </w:r>
      <w:r>
        <w:rPr>
          <w:rFonts w:hint="eastAsia"/>
        </w:rPr>
        <w:t>值为</w:t>
      </w:r>
      <w:r>
        <w:rPr>
          <w:rFonts w:hint="eastAsia" w:cs="Times New Roman"/>
        </w:rPr>
        <w:t>9.34</w:t>
      </w:r>
      <w:r>
        <w:rPr>
          <w:rFonts w:cs="Times New Roman"/>
        </w:rPr>
        <w:t>%</w:t>
      </w:r>
      <w:r>
        <w:rPr>
          <w:rFonts w:hint="eastAsia"/>
        </w:rPr>
        <w:t>，</w:t>
      </w:r>
      <w:r>
        <w:rPr>
          <w:rFonts w:cs="Times New Roman"/>
        </w:rPr>
        <w:t>C</w:t>
      </w:r>
      <w:r>
        <w:rPr>
          <w:rFonts w:cs="Times New Roman"/>
          <w:vertAlign w:val="subscript"/>
        </w:rPr>
        <w:t>max</w:t>
      </w:r>
      <w:r>
        <w:rPr>
          <w:rFonts w:cs="Times New Roman"/>
        </w:rPr>
        <w:t xml:space="preserve"> </w:t>
      </w:r>
      <w:r>
        <w:rPr>
          <w:rFonts w:hint="eastAsia"/>
        </w:rPr>
        <w:t>为</w:t>
      </w:r>
      <w:r>
        <w:rPr>
          <w:rFonts w:hint="eastAsia" w:cs="Times New Roman"/>
        </w:rPr>
        <w:t>0.934</w:t>
      </w:r>
      <w:r>
        <w:rPr>
          <w:rFonts w:cs="Times New Roman"/>
        </w:rPr>
        <w:t>μg/m</w:t>
      </w:r>
      <w:r>
        <w:rPr>
          <w:rFonts w:hint="eastAsia"/>
        </w:rPr>
        <w:t>³，根据《环境影响评价技术导则 大气环境》</w:t>
      </w:r>
      <w:r>
        <w:rPr>
          <w:rFonts w:hint="eastAsia" w:cs="Times New Roman"/>
        </w:rPr>
        <w:t>（</w:t>
      </w:r>
      <w:r>
        <w:rPr>
          <w:rFonts w:cs="Times New Roman"/>
        </w:rPr>
        <w:t>HJ2.2-2018</w:t>
      </w:r>
      <w:r>
        <w:rPr>
          <w:rFonts w:hint="eastAsia" w:cs="Times New Roman"/>
        </w:rPr>
        <w:t>）</w:t>
      </w:r>
      <w:r>
        <w:rPr>
          <w:rFonts w:hint="eastAsia"/>
        </w:rPr>
        <w:t>分级判据，确定本项目大气环境影响评价工作等级为二级。</w:t>
      </w:r>
    </w:p>
    <w:p>
      <w:pPr>
        <w:pStyle w:val="4"/>
      </w:pPr>
      <w:bookmarkStart w:id="195" w:name="_Toc194481184"/>
      <w:r>
        <w:rPr>
          <w:rFonts w:hint="eastAsia"/>
        </w:rPr>
        <w:t>5.2.2 污染物排放量核算</w:t>
      </w:r>
      <w:bookmarkEnd w:id="195"/>
    </w:p>
    <w:p>
      <w:pPr>
        <w:pStyle w:val="49"/>
        <w:ind w:firstLine="480"/>
      </w:pPr>
      <w:r>
        <w:rPr>
          <w:rFonts w:hint="eastAsia"/>
        </w:rPr>
        <w:t>根据《环境影响评价技术导则大气环境》（</w:t>
      </w:r>
      <w:r>
        <w:rPr>
          <w:rFonts w:cs="Times New Roman"/>
        </w:rPr>
        <w:t>HJ2.2-2018</w:t>
      </w:r>
      <w:r>
        <w:rPr>
          <w:rFonts w:hint="eastAsia"/>
        </w:rPr>
        <w:t xml:space="preserve">）评价等级判别依据，本项目大气污染物的最大占标率为 </w:t>
      </w:r>
      <w:r>
        <w:rPr>
          <w:rFonts w:cs="Times New Roman"/>
        </w:rPr>
        <w:t>1%</w:t>
      </w:r>
      <w:r>
        <w:rPr>
          <w:rFonts w:hint="eastAsia"/>
        </w:rPr>
        <w:t>≤</w:t>
      </w:r>
      <w:r>
        <w:rPr>
          <w:rFonts w:cs="Times New Roman"/>
        </w:rPr>
        <w:t>Pmax</w:t>
      </w:r>
      <w:r>
        <w:rPr>
          <w:rFonts w:hint="eastAsia" w:cs="Times New Roman"/>
        </w:rPr>
        <w:t>＜</w:t>
      </w:r>
      <w:r>
        <w:rPr>
          <w:rFonts w:cs="Times New Roman"/>
        </w:rPr>
        <w:t>10%</w:t>
      </w:r>
      <w:r>
        <w:rPr>
          <w:rFonts w:hint="eastAsia"/>
        </w:rPr>
        <w:t>，项目大气环境影响评价工作等级为二级，根据《环境影响评价技术导则大气环境》（</w:t>
      </w:r>
      <w:r>
        <w:rPr>
          <w:rFonts w:cs="Times New Roman"/>
        </w:rPr>
        <w:t>HJ2.2-2018</w:t>
      </w:r>
      <w:r>
        <w:rPr>
          <w:rFonts w:hint="eastAsia"/>
        </w:rPr>
        <w:t xml:space="preserve">）中 </w:t>
      </w:r>
      <w:r>
        <w:rPr>
          <w:rFonts w:cs="Times New Roman"/>
        </w:rPr>
        <w:t xml:space="preserve">8.1.2 </w:t>
      </w:r>
      <w:r>
        <w:rPr>
          <w:rFonts w:hint="eastAsia"/>
        </w:rPr>
        <w:t>内容：二级评价项目不进行进一步预测与评价，只对污染物排放量进行核算。</w:t>
      </w:r>
    </w:p>
    <w:p>
      <w:pPr>
        <w:pStyle w:val="49"/>
        <w:ind w:firstLine="480"/>
      </w:pPr>
      <w:r>
        <w:rPr>
          <w:rFonts w:hint="eastAsia"/>
          <w:color w:val="000000"/>
        </w:rPr>
        <w:t>本项目无组织污染物排放量详见下表。</w:t>
      </w:r>
    </w:p>
    <w:p>
      <w:pPr>
        <w:pStyle w:val="53"/>
      </w:pPr>
      <w:r>
        <w:t>表</w:t>
      </w:r>
      <w:r>
        <w:rPr>
          <w:rFonts w:hint="eastAsia"/>
        </w:rPr>
        <w:t>5</w:t>
      </w:r>
      <w:r>
        <w:t>.2</w:t>
      </w:r>
      <w:r>
        <w:rPr>
          <w:rFonts w:hint="eastAsia"/>
        </w:rPr>
        <w:t>-7</w:t>
      </w:r>
      <w:r>
        <w:t xml:space="preserve"> </w:t>
      </w:r>
      <w:r>
        <w:rPr>
          <w:rFonts w:hint="eastAsia"/>
        </w:rPr>
        <w:t>大气污染物无组织排放量核算表</w:t>
      </w:r>
    </w:p>
    <w:tbl>
      <w:tblPr>
        <w:tblStyle w:val="40"/>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87"/>
        <w:gridCol w:w="1127"/>
        <w:gridCol w:w="2700"/>
        <w:gridCol w:w="1579"/>
        <w:gridCol w:w="1235"/>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 w:type="dxa"/>
            <w:vMerge w:val="restart"/>
            <w:vAlign w:val="center"/>
          </w:tcPr>
          <w:p>
            <w:pPr>
              <w:pStyle w:val="51"/>
              <w:jc w:val="left"/>
            </w:pPr>
            <w:r>
              <w:rPr>
                <w:rFonts w:hint="eastAsia"/>
              </w:rPr>
              <w:t>序号</w:t>
            </w:r>
          </w:p>
        </w:tc>
        <w:tc>
          <w:tcPr>
            <w:tcW w:w="987" w:type="dxa"/>
            <w:vMerge w:val="restart"/>
            <w:vAlign w:val="center"/>
          </w:tcPr>
          <w:p>
            <w:pPr>
              <w:pStyle w:val="51"/>
            </w:pPr>
            <w:r>
              <w:rPr>
                <w:rFonts w:hint="eastAsia"/>
              </w:rPr>
              <w:t>产污</w:t>
            </w:r>
          </w:p>
          <w:p>
            <w:pPr>
              <w:pStyle w:val="51"/>
            </w:pPr>
            <w:r>
              <w:rPr>
                <w:rFonts w:hint="eastAsia"/>
              </w:rPr>
              <w:t>环节</w:t>
            </w:r>
          </w:p>
        </w:tc>
        <w:tc>
          <w:tcPr>
            <w:tcW w:w="1127" w:type="dxa"/>
            <w:vMerge w:val="restart"/>
            <w:vAlign w:val="center"/>
          </w:tcPr>
          <w:p>
            <w:pPr>
              <w:pStyle w:val="51"/>
            </w:pPr>
            <w:r>
              <w:rPr>
                <w:rFonts w:hint="eastAsia"/>
              </w:rPr>
              <w:t>污染物</w:t>
            </w:r>
          </w:p>
        </w:tc>
        <w:tc>
          <w:tcPr>
            <w:tcW w:w="2700" w:type="dxa"/>
            <w:vMerge w:val="restart"/>
            <w:vAlign w:val="center"/>
          </w:tcPr>
          <w:p>
            <w:pPr>
              <w:pStyle w:val="51"/>
              <w:rPr>
                <w:rFonts w:hint="eastAsia" w:ascii="宋体" w:hAnsi="宋体"/>
                <w:sz w:val="24"/>
                <w14:ligatures w14:val="none"/>
              </w:rPr>
            </w:pPr>
            <w:r>
              <w:rPr>
                <w:rFonts w:hint="eastAsia"/>
              </w:rPr>
              <w:t>主要污染防治措施</w:t>
            </w:r>
          </w:p>
        </w:tc>
        <w:tc>
          <w:tcPr>
            <w:tcW w:w="2814" w:type="dxa"/>
            <w:gridSpan w:val="2"/>
            <w:vAlign w:val="center"/>
          </w:tcPr>
          <w:p>
            <w:pPr>
              <w:pStyle w:val="51"/>
            </w:pPr>
            <w:r>
              <w:rPr>
                <w:rFonts w:hint="eastAsia"/>
                <w:color w:val="000000"/>
                <w:szCs w:val="21"/>
              </w:rPr>
              <w:t>国家或地方污染物排放标准</w:t>
            </w:r>
          </w:p>
        </w:tc>
        <w:tc>
          <w:tcPr>
            <w:tcW w:w="1044" w:type="dxa"/>
            <w:vMerge w:val="restart"/>
            <w:vAlign w:val="center"/>
          </w:tcPr>
          <w:p>
            <w:pPr>
              <w:pStyle w:val="51"/>
              <w:rPr>
                <w:sz w:val="24"/>
              </w:rPr>
            </w:pPr>
            <w:r>
              <w:rPr>
                <w:rFonts w:hint="eastAsia"/>
              </w:rPr>
              <w:t>年排放量 （</w:t>
            </w:r>
            <w:r>
              <w:rPr>
                <w:rFonts w:cs="Times New Roman"/>
              </w:rP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26" w:type="dxa"/>
            <w:vMerge w:val="continue"/>
            <w:vAlign w:val="center"/>
          </w:tcPr>
          <w:p>
            <w:pPr>
              <w:pStyle w:val="51"/>
            </w:pPr>
          </w:p>
        </w:tc>
        <w:tc>
          <w:tcPr>
            <w:tcW w:w="987" w:type="dxa"/>
            <w:vMerge w:val="continue"/>
            <w:vAlign w:val="center"/>
          </w:tcPr>
          <w:p>
            <w:pPr>
              <w:pStyle w:val="51"/>
            </w:pPr>
          </w:p>
        </w:tc>
        <w:tc>
          <w:tcPr>
            <w:tcW w:w="1127" w:type="dxa"/>
            <w:vMerge w:val="continue"/>
            <w:vAlign w:val="center"/>
          </w:tcPr>
          <w:p>
            <w:pPr>
              <w:pStyle w:val="51"/>
            </w:pPr>
          </w:p>
        </w:tc>
        <w:tc>
          <w:tcPr>
            <w:tcW w:w="2700" w:type="dxa"/>
            <w:vMerge w:val="continue"/>
            <w:vAlign w:val="center"/>
          </w:tcPr>
          <w:p>
            <w:pPr>
              <w:pStyle w:val="51"/>
            </w:pPr>
          </w:p>
        </w:tc>
        <w:tc>
          <w:tcPr>
            <w:tcW w:w="1579" w:type="dxa"/>
            <w:vAlign w:val="center"/>
          </w:tcPr>
          <w:p>
            <w:pPr>
              <w:pStyle w:val="51"/>
            </w:pPr>
            <w:r>
              <w:rPr>
                <w:rFonts w:hint="eastAsia"/>
                <w:color w:val="000000"/>
                <w:szCs w:val="21"/>
              </w:rPr>
              <w:t>标准名称</w:t>
            </w:r>
          </w:p>
        </w:tc>
        <w:tc>
          <w:tcPr>
            <w:tcW w:w="1235" w:type="dxa"/>
            <w:vAlign w:val="center"/>
          </w:tcPr>
          <w:p>
            <w:pPr>
              <w:pStyle w:val="51"/>
              <w:rPr>
                <w:sz w:val="24"/>
              </w:rPr>
            </w:pPr>
            <w:r>
              <w:rPr>
                <w:rFonts w:hint="eastAsia"/>
              </w:rPr>
              <w:t xml:space="preserve">浓度限值 </w:t>
            </w:r>
            <w:r>
              <w:rPr>
                <w:rFonts w:hint="eastAsia" w:cs="Times New Roman"/>
              </w:rPr>
              <w:t>m</w:t>
            </w:r>
            <w:r>
              <w:rPr>
                <w:rFonts w:cs="Times New Roman"/>
              </w:rPr>
              <w:t>g</w:t>
            </w:r>
            <w:r>
              <w:rPr>
                <w:rFonts w:hint="eastAsia" w:cs="Times New Roman"/>
              </w:rPr>
              <w:t>/m</w:t>
            </w:r>
            <w:r>
              <w:rPr>
                <w:rFonts w:hint="eastAsia" w:cs="Times New Roman"/>
                <w:vertAlign w:val="superscript"/>
              </w:rPr>
              <w:t>3</w:t>
            </w:r>
          </w:p>
        </w:tc>
        <w:tc>
          <w:tcPr>
            <w:tcW w:w="104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26" w:type="dxa"/>
            <w:vMerge w:val="restart"/>
            <w:vAlign w:val="center"/>
          </w:tcPr>
          <w:p>
            <w:pPr>
              <w:pStyle w:val="51"/>
            </w:pPr>
            <w:r>
              <w:rPr>
                <w:rFonts w:hint="eastAsia"/>
              </w:rPr>
              <w:t>1</w:t>
            </w:r>
          </w:p>
        </w:tc>
        <w:tc>
          <w:tcPr>
            <w:tcW w:w="987" w:type="dxa"/>
            <w:vMerge w:val="restart"/>
            <w:vAlign w:val="center"/>
          </w:tcPr>
          <w:p>
            <w:pPr>
              <w:pStyle w:val="51"/>
            </w:pPr>
            <w:r>
              <w:rPr>
                <w:rFonts w:hint="eastAsia"/>
              </w:rPr>
              <w:t>鸡舍</w:t>
            </w:r>
          </w:p>
        </w:tc>
        <w:tc>
          <w:tcPr>
            <w:tcW w:w="1127" w:type="dxa"/>
            <w:vAlign w:val="center"/>
          </w:tcPr>
          <w:p>
            <w:pPr>
              <w:pStyle w:val="51"/>
            </w:pPr>
            <w:r>
              <w:t>NH</w:t>
            </w:r>
            <w:r>
              <w:rPr>
                <w:vertAlign w:val="subscript"/>
              </w:rPr>
              <w:t>3</w:t>
            </w:r>
          </w:p>
        </w:tc>
        <w:tc>
          <w:tcPr>
            <w:tcW w:w="2700" w:type="dxa"/>
            <w:vMerge w:val="restart"/>
            <w:vAlign w:val="center"/>
          </w:tcPr>
          <w:p>
            <w:pPr>
              <w:pStyle w:val="51"/>
            </w:pPr>
            <w:r>
              <w:rPr>
                <w:rFonts w:hint="eastAsia"/>
              </w:rPr>
              <w:t>机械通风，鸡粪及时清理，低氮饲料，</w:t>
            </w:r>
            <w:r>
              <w:t xml:space="preserve"> EM </w:t>
            </w:r>
            <w:r>
              <w:rPr>
                <w:rFonts w:hint="eastAsia"/>
              </w:rPr>
              <w:t>菌，定期喷洒除臭剂；</w:t>
            </w: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p>
        </w:tc>
        <w:tc>
          <w:tcPr>
            <w:tcW w:w="1579" w:type="dxa"/>
            <w:vMerge w:val="restart"/>
            <w:vAlign w:val="center"/>
          </w:tcPr>
          <w:p>
            <w:pPr>
              <w:pStyle w:val="51"/>
            </w:pPr>
            <w:r>
              <w:t>GB14554-93</w:t>
            </w:r>
            <w:r>
              <w:rPr>
                <w:rFonts w:hint="eastAsia"/>
              </w:rPr>
              <w:t>、GB16297-1996</w:t>
            </w:r>
          </w:p>
        </w:tc>
        <w:tc>
          <w:tcPr>
            <w:tcW w:w="1235" w:type="dxa"/>
            <w:vAlign w:val="center"/>
          </w:tcPr>
          <w:p>
            <w:pPr>
              <w:pStyle w:val="51"/>
            </w:pPr>
            <w:r>
              <w:rPr>
                <w:rFonts w:hint="eastAsia"/>
              </w:rPr>
              <w:t>1.5</w:t>
            </w:r>
          </w:p>
        </w:tc>
        <w:tc>
          <w:tcPr>
            <w:tcW w:w="1044" w:type="dxa"/>
            <w:vAlign w:val="center"/>
          </w:tcPr>
          <w:p>
            <w:pPr>
              <w:pStyle w:val="51"/>
            </w:pPr>
            <w:r>
              <w:rPr>
                <w:rFonts w:hint="eastAsia"/>
              </w:rPr>
              <w:t>0.0158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26" w:type="dxa"/>
            <w:vMerge w:val="continue"/>
            <w:vAlign w:val="center"/>
          </w:tcPr>
          <w:p>
            <w:pPr>
              <w:pStyle w:val="51"/>
            </w:pPr>
          </w:p>
        </w:tc>
        <w:tc>
          <w:tcPr>
            <w:tcW w:w="987" w:type="dxa"/>
            <w:vMerge w:val="continue"/>
            <w:vAlign w:val="center"/>
          </w:tcPr>
          <w:p>
            <w:pPr>
              <w:pStyle w:val="51"/>
            </w:pPr>
          </w:p>
        </w:tc>
        <w:tc>
          <w:tcPr>
            <w:tcW w:w="1127" w:type="dxa"/>
            <w:vAlign w:val="center"/>
          </w:tcPr>
          <w:p>
            <w:pPr>
              <w:pStyle w:val="51"/>
            </w:pPr>
            <w:r>
              <w:t>H</w:t>
            </w:r>
            <w:r>
              <w:rPr>
                <w:vertAlign w:val="subscript"/>
              </w:rPr>
              <w:t>2</w:t>
            </w:r>
            <w:r>
              <w:t>S</w:t>
            </w:r>
          </w:p>
        </w:tc>
        <w:tc>
          <w:tcPr>
            <w:tcW w:w="2700" w:type="dxa"/>
            <w:vMerge w:val="continue"/>
            <w:vAlign w:val="center"/>
          </w:tcPr>
          <w:p>
            <w:pPr>
              <w:pStyle w:val="51"/>
            </w:pPr>
          </w:p>
        </w:tc>
        <w:tc>
          <w:tcPr>
            <w:tcW w:w="1579" w:type="dxa"/>
            <w:vMerge w:val="continue"/>
            <w:vAlign w:val="center"/>
          </w:tcPr>
          <w:p>
            <w:pPr>
              <w:pStyle w:val="51"/>
              <w:rPr>
                <w:rFonts w:hint="eastAsia" w:ascii="宋体" w:hAnsi="宋体"/>
                <w:sz w:val="24"/>
                <w14:ligatures w14:val="none"/>
              </w:rPr>
            </w:pPr>
          </w:p>
        </w:tc>
        <w:tc>
          <w:tcPr>
            <w:tcW w:w="1235" w:type="dxa"/>
            <w:vAlign w:val="center"/>
          </w:tcPr>
          <w:p>
            <w:pPr>
              <w:pStyle w:val="51"/>
            </w:pPr>
            <w:r>
              <w:rPr>
                <w:rFonts w:hint="eastAsia"/>
              </w:rPr>
              <w:t>0.06</w:t>
            </w:r>
          </w:p>
        </w:tc>
        <w:tc>
          <w:tcPr>
            <w:tcW w:w="1044" w:type="dxa"/>
            <w:vAlign w:val="center"/>
          </w:tcPr>
          <w:p>
            <w:pPr>
              <w:pStyle w:val="51"/>
            </w:pPr>
            <w:r>
              <w:rPr>
                <w:rFonts w:hint="eastAsia"/>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 w:type="dxa"/>
            <w:vMerge w:val="continue"/>
            <w:vAlign w:val="center"/>
          </w:tcPr>
          <w:p>
            <w:pPr>
              <w:pStyle w:val="51"/>
            </w:pPr>
          </w:p>
        </w:tc>
        <w:tc>
          <w:tcPr>
            <w:tcW w:w="987" w:type="dxa"/>
            <w:vMerge w:val="continue"/>
            <w:vAlign w:val="center"/>
          </w:tcPr>
          <w:p>
            <w:pPr>
              <w:pStyle w:val="51"/>
            </w:pPr>
          </w:p>
        </w:tc>
        <w:tc>
          <w:tcPr>
            <w:tcW w:w="1127" w:type="dxa"/>
            <w:vAlign w:val="center"/>
          </w:tcPr>
          <w:p>
            <w:pPr>
              <w:pStyle w:val="51"/>
            </w:pPr>
            <w:r>
              <w:rPr>
                <w:rFonts w:hint="eastAsia"/>
              </w:rPr>
              <w:t>颗粒物</w:t>
            </w:r>
          </w:p>
        </w:tc>
        <w:tc>
          <w:tcPr>
            <w:tcW w:w="2700" w:type="dxa"/>
            <w:vMerge w:val="continue"/>
            <w:vAlign w:val="center"/>
          </w:tcPr>
          <w:p>
            <w:pPr>
              <w:pStyle w:val="51"/>
            </w:pPr>
          </w:p>
        </w:tc>
        <w:tc>
          <w:tcPr>
            <w:tcW w:w="1579" w:type="dxa"/>
            <w:vMerge w:val="continue"/>
            <w:vAlign w:val="center"/>
          </w:tcPr>
          <w:p>
            <w:pPr>
              <w:pStyle w:val="51"/>
              <w:rPr>
                <w:rFonts w:hint="eastAsia" w:ascii="宋体" w:hAnsi="宋体"/>
                <w:sz w:val="24"/>
                <w14:ligatures w14:val="none"/>
              </w:rPr>
            </w:pPr>
          </w:p>
        </w:tc>
        <w:tc>
          <w:tcPr>
            <w:tcW w:w="1235" w:type="dxa"/>
            <w:vAlign w:val="center"/>
          </w:tcPr>
          <w:p>
            <w:pPr>
              <w:pStyle w:val="51"/>
            </w:pPr>
            <w:r>
              <w:rPr>
                <w:rFonts w:hint="eastAsia"/>
              </w:rPr>
              <w:t>1.0</w:t>
            </w:r>
          </w:p>
        </w:tc>
        <w:tc>
          <w:tcPr>
            <w:tcW w:w="1044" w:type="dxa"/>
            <w:vAlign w:val="center"/>
          </w:tcPr>
          <w:p>
            <w:pPr>
              <w:pStyle w:val="51"/>
            </w:pPr>
            <w:r>
              <w:rPr>
                <w:rFonts w:hint="eastAsia"/>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6" w:type="dxa"/>
            <w:vMerge w:val="restart"/>
            <w:vAlign w:val="center"/>
          </w:tcPr>
          <w:p>
            <w:pPr>
              <w:pStyle w:val="51"/>
            </w:pPr>
            <w:r>
              <w:rPr>
                <w:rFonts w:hint="eastAsia"/>
              </w:rPr>
              <w:t>2</w:t>
            </w:r>
          </w:p>
        </w:tc>
        <w:tc>
          <w:tcPr>
            <w:tcW w:w="987" w:type="dxa"/>
            <w:vMerge w:val="restart"/>
            <w:vAlign w:val="center"/>
          </w:tcPr>
          <w:p>
            <w:pPr>
              <w:pStyle w:val="51"/>
            </w:pPr>
            <w:r>
              <w:rPr>
                <w:rFonts w:hint="eastAsia"/>
              </w:rPr>
              <w:t>鸡粪风干车间</w:t>
            </w:r>
          </w:p>
        </w:tc>
        <w:tc>
          <w:tcPr>
            <w:tcW w:w="1127" w:type="dxa"/>
            <w:vAlign w:val="center"/>
          </w:tcPr>
          <w:p>
            <w:pPr>
              <w:pStyle w:val="51"/>
            </w:pPr>
            <w:r>
              <w:t>NH</w:t>
            </w:r>
            <w:r>
              <w:rPr>
                <w:vertAlign w:val="subscript"/>
              </w:rPr>
              <w:t>3</w:t>
            </w:r>
          </w:p>
        </w:tc>
        <w:tc>
          <w:tcPr>
            <w:tcW w:w="2700" w:type="dxa"/>
            <w:vMerge w:val="restart"/>
            <w:vAlign w:val="center"/>
          </w:tcPr>
          <w:p>
            <w:pPr>
              <w:pStyle w:val="51"/>
            </w:pPr>
            <w:r>
              <w:rPr>
                <w:rFonts w:hint="eastAsia"/>
              </w:rPr>
              <w:t>在有机肥处理车间风道出口设置高压水帘装置，并使用微生物除臭剂溶液作为循环水，定期喷洒生物除臭剂</w:t>
            </w:r>
          </w:p>
        </w:tc>
        <w:tc>
          <w:tcPr>
            <w:tcW w:w="1579" w:type="dxa"/>
            <w:vMerge w:val="continue"/>
            <w:vAlign w:val="center"/>
          </w:tcPr>
          <w:p>
            <w:pPr>
              <w:pStyle w:val="51"/>
              <w:rPr>
                <w:rFonts w:hint="eastAsia" w:ascii="宋体" w:hAnsi="宋体"/>
                <w:sz w:val="24"/>
                <w14:ligatures w14:val="none"/>
              </w:rPr>
            </w:pPr>
          </w:p>
        </w:tc>
        <w:tc>
          <w:tcPr>
            <w:tcW w:w="1235" w:type="dxa"/>
            <w:vAlign w:val="center"/>
          </w:tcPr>
          <w:p>
            <w:pPr>
              <w:pStyle w:val="51"/>
            </w:pPr>
            <w:r>
              <w:rPr>
                <w:rFonts w:hint="eastAsia"/>
              </w:rPr>
              <w:t>1.5</w:t>
            </w:r>
          </w:p>
        </w:tc>
        <w:tc>
          <w:tcPr>
            <w:tcW w:w="1044" w:type="dxa"/>
            <w:vAlign w:val="center"/>
          </w:tcPr>
          <w:p>
            <w:pPr>
              <w:pStyle w:val="51"/>
            </w:pPr>
            <w:r>
              <w:rPr>
                <w:rFonts w:hint="eastAsia"/>
              </w:rPr>
              <w:t>0.0648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26" w:type="dxa"/>
            <w:vMerge w:val="continue"/>
            <w:vAlign w:val="center"/>
          </w:tcPr>
          <w:p>
            <w:pPr>
              <w:pStyle w:val="51"/>
            </w:pPr>
          </w:p>
        </w:tc>
        <w:tc>
          <w:tcPr>
            <w:tcW w:w="987" w:type="dxa"/>
            <w:vMerge w:val="continue"/>
            <w:vAlign w:val="center"/>
          </w:tcPr>
          <w:p>
            <w:pPr>
              <w:pStyle w:val="51"/>
            </w:pPr>
          </w:p>
        </w:tc>
        <w:tc>
          <w:tcPr>
            <w:tcW w:w="1127" w:type="dxa"/>
            <w:vAlign w:val="center"/>
          </w:tcPr>
          <w:p>
            <w:pPr>
              <w:pStyle w:val="51"/>
            </w:pPr>
            <w:r>
              <w:t>H</w:t>
            </w:r>
            <w:r>
              <w:rPr>
                <w:vertAlign w:val="subscript"/>
              </w:rPr>
              <w:t>2</w:t>
            </w:r>
            <w:r>
              <w:t>S</w:t>
            </w:r>
          </w:p>
        </w:tc>
        <w:tc>
          <w:tcPr>
            <w:tcW w:w="2700" w:type="dxa"/>
            <w:vMerge w:val="continue"/>
            <w:vAlign w:val="center"/>
          </w:tcPr>
          <w:p>
            <w:pPr>
              <w:pStyle w:val="51"/>
            </w:pPr>
          </w:p>
        </w:tc>
        <w:tc>
          <w:tcPr>
            <w:tcW w:w="1579" w:type="dxa"/>
            <w:vMerge w:val="continue"/>
            <w:vAlign w:val="center"/>
          </w:tcPr>
          <w:p>
            <w:pPr>
              <w:pStyle w:val="51"/>
              <w:rPr>
                <w:rFonts w:hint="eastAsia" w:ascii="宋体" w:hAnsi="宋体"/>
                <w:sz w:val="24"/>
                <w14:ligatures w14:val="none"/>
              </w:rPr>
            </w:pPr>
          </w:p>
        </w:tc>
        <w:tc>
          <w:tcPr>
            <w:tcW w:w="1235" w:type="dxa"/>
            <w:vAlign w:val="center"/>
          </w:tcPr>
          <w:p>
            <w:pPr>
              <w:pStyle w:val="51"/>
            </w:pPr>
            <w:r>
              <w:rPr>
                <w:rFonts w:hint="eastAsia"/>
              </w:rPr>
              <w:t>0.06</w:t>
            </w:r>
          </w:p>
        </w:tc>
        <w:tc>
          <w:tcPr>
            <w:tcW w:w="1044" w:type="dxa"/>
            <w:vAlign w:val="center"/>
          </w:tcPr>
          <w:p>
            <w:pPr>
              <w:pStyle w:val="51"/>
            </w:pPr>
            <w:r>
              <w:rPr>
                <w:rFonts w:hint="eastAsia"/>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6" w:type="dxa"/>
            <w:vMerge w:val="continue"/>
            <w:vAlign w:val="center"/>
          </w:tcPr>
          <w:p>
            <w:pPr>
              <w:pStyle w:val="51"/>
            </w:pPr>
          </w:p>
        </w:tc>
        <w:tc>
          <w:tcPr>
            <w:tcW w:w="987" w:type="dxa"/>
            <w:vMerge w:val="continue"/>
            <w:vAlign w:val="center"/>
          </w:tcPr>
          <w:p>
            <w:pPr>
              <w:pStyle w:val="51"/>
            </w:pPr>
          </w:p>
        </w:tc>
        <w:tc>
          <w:tcPr>
            <w:tcW w:w="1127" w:type="dxa"/>
            <w:vAlign w:val="center"/>
          </w:tcPr>
          <w:p>
            <w:pPr>
              <w:pStyle w:val="51"/>
            </w:pPr>
            <w:r>
              <w:rPr>
                <w:rFonts w:hint="eastAsia"/>
              </w:rPr>
              <w:t>颗粒物</w:t>
            </w:r>
          </w:p>
        </w:tc>
        <w:tc>
          <w:tcPr>
            <w:tcW w:w="2700" w:type="dxa"/>
            <w:vMerge w:val="continue"/>
            <w:vAlign w:val="center"/>
          </w:tcPr>
          <w:p>
            <w:pPr>
              <w:pStyle w:val="51"/>
            </w:pPr>
          </w:p>
        </w:tc>
        <w:tc>
          <w:tcPr>
            <w:tcW w:w="1579" w:type="dxa"/>
            <w:vMerge w:val="continue"/>
            <w:vAlign w:val="center"/>
          </w:tcPr>
          <w:p>
            <w:pPr>
              <w:pStyle w:val="51"/>
              <w:rPr>
                <w:rFonts w:hint="eastAsia" w:ascii="宋体" w:hAnsi="宋体"/>
                <w:sz w:val="24"/>
                <w14:ligatures w14:val="none"/>
              </w:rPr>
            </w:pPr>
          </w:p>
        </w:tc>
        <w:tc>
          <w:tcPr>
            <w:tcW w:w="1235" w:type="dxa"/>
            <w:vAlign w:val="center"/>
          </w:tcPr>
          <w:p>
            <w:pPr>
              <w:pStyle w:val="51"/>
            </w:pPr>
            <w:r>
              <w:rPr>
                <w:rFonts w:hint="eastAsia"/>
              </w:rPr>
              <w:t>1.0</w:t>
            </w:r>
          </w:p>
        </w:tc>
        <w:tc>
          <w:tcPr>
            <w:tcW w:w="1044" w:type="dxa"/>
            <w:vAlign w:val="center"/>
          </w:tcPr>
          <w:p>
            <w:pPr>
              <w:pStyle w:val="51"/>
            </w:pPr>
            <w:r>
              <w:rPr>
                <w:rFonts w:hint="eastAsia"/>
              </w:rPr>
              <w:t>1.0534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26" w:type="dxa"/>
            <w:vMerge w:val="restart"/>
            <w:vAlign w:val="center"/>
          </w:tcPr>
          <w:p>
            <w:pPr>
              <w:pStyle w:val="51"/>
            </w:pPr>
            <w:r>
              <w:rPr>
                <w:rFonts w:hint="eastAsia"/>
              </w:rPr>
              <w:t>3</w:t>
            </w:r>
          </w:p>
        </w:tc>
        <w:tc>
          <w:tcPr>
            <w:tcW w:w="987" w:type="dxa"/>
            <w:vMerge w:val="restart"/>
            <w:vAlign w:val="center"/>
          </w:tcPr>
          <w:p>
            <w:pPr>
              <w:pStyle w:val="51"/>
            </w:pPr>
            <w:r>
              <w:rPr>
                <w:rFonts w:hint="eastAsia"/>
              </w:rPr>
              <w:t>一体化污水处理设施</w:t>
            </w:r>
          </w:p>
        </w:tc>
        <w:tc>
          <w:tcPr>
            <w:tcW w:w="1127" w:type="dxa"/>
            <w:vAlign w:val="center"/>
          </w:tcPr>
          <w:p>
            <w:pPr>
              <w:pStyle w:val="51"/>
            </w:pPr>
            <w:r>
              <w:t>NH</w:t>
            </w:r>
            <w:r>
              <w:rPr>
                <w:vertAlign w:val="subscript"/>
              </w:rPr>
              <w:t>3</w:t>
            </w:r>
          </w:p>
        </w:tc>
        <w:tc>
          <w:tcPr>
            <w:tcW w:w="2700" w:type="dxa"/>
            <w:vMerge w:val="restart"/>
            <w:vAlign w:val="center"/>
          </w:tcPr>
          <w:p>
            <w:pPr>
              <w:pStyle w:val="51"/>
            </w:pPr>
            <w:r>
              <w:rPr>
                <w:rFonts w:hint="eastAsia"/>
              </w:rPr>
              <w:t>厌氧段污水处理设施均密闭，定期期喷洒除臭剂，加强绿化</w:t>
            </w:r>
          </w:p>
        </w:tc>
        <w:tc>
          <w:tcPr>
            <w:tcW w:w="1579" w:type="dxa"/>
            <w:vMerge w:val="continue"/>
            <w:vAlign w:val="center"/>
          </w:tcPr>
          <w:p>
            <w:pPr>
              <w:pStyle w:val="51"/>
              <w:rPr>
                <w:rFonts w:hint="eastAsia" w:ascii="宋体" w:hAnsi="宋体"/>
                <w:sz w:val="24"/>
                <w14:ligatures w14:val="none"/>
              </w:rPr>
            </w:pPr>
          </w:p>
        </w:tc>
        <w:tc>
          <w:tcPr>
            <w:tcW w:w="1235" w:type="dxa"/>
            <w:vAlign w:val="center"/>
          </w:tcPr>
          <w:p>
            <w:pPr>
              <w:pStyle w:val="51"/>
            </w:pPr>
            <w:r>
              <w:rPr>
                <w:rFonts w:hint="eastAsia"/>
              </w:rPr>
              <w:t>1.5</w:t>
            </w:r>
          </w:p>
        </w:tc>
        <w:tc>
          <w:tcPr>
            <w:tcW w:w="1044" w:type="dxa"/>
            <w:vAlign w:val="center"/>
          </w:tcPr>
          <w:p>
            <w:pPr>
              <w:pStyle w:val="51"/>
            </w:pPr>
            <w:r>
              <w:rPr>
                <w:rFonts w:hint="eastAsia"/>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 w:type="dxa"/>
            <w:vMerge w:val="continue"/>
            <w:vAlign w:val="center"/>
          </w:tcPr>
          <w:p>
            <w:pPr>
              <w:pStyle w:val="51"/>
            </w:pPr>
          </w:p>
        </w:tc>
        <w:tc>
          <w:tcPr>
            <w:tcW w:w="987" w:type="dxa"/>
            <w:vMerge w:val="continue"/>
            <w:vAlign w:val="center"/>
          </w:tcPr>
          <w:p>
            <w:pPr>
              <w:pStyle w:val="51"/>
            </w:pPr>
          </w:p>
        </w:tc>
        <w:tc>
          <w:tcPr>
            <w:tcW w:w="1127" w:type="dxa"/>
            <w:vAlign w:val="center"/>
          </w:tcPr>
          <w:p>
            <w:pPr>
              <w:pStyle w:val="51"/>
            </w:pPr>
            <w:r>
              <w:t>H</w:t>
            </w:r>
            <w:r>
              <w:rPr>
                <w:vertAlign w:val="subscript"/>
              </w:rPr>
              <w:t>2</w:t>
            </w:r>
            <w:r>
              <w:t>S</w:t>
            </w:r>
          </w:p>
        </w:tc>
        <w:tc>
          <w:tcPr>
            <w:tcW w:w="2700" w:type="dxa"/>
            <w:vMerge w:val="continue"/>
            <w:vAlign w:val="center"/>
          </w:tcPr>
          <w:p>
            <w:pPr>
              <w:pStyle w:val="51"/>
            </w:pPr>
          </w:p>
        </w:tc>
        <w:tc>
          <w:tcPr>
            <w:tcW w:w="1579" w:type="dxa"/>
            <w:vMerge w:val="continue"/>
            <w:vAlign w:val="center"/>
          </w:tcPr>
          <w:p>
            <w:pPr>
              <w:pStyle w:val="51"/>
              <w:rPr>
                <w:rFonts w:hint="eastAsia" w:ascii="宋体" w:hAnsi="宋体"/>
                <w:sz w:val="24"/>
                <w14:ligatures w14:val="none"/>
              </w:rPr>
            </w:pPr>
          </w:p>
        </w:tc>
        <w:tc>
          <w:tcPr>
            <w:tcW w:w="1235" w:type="dxa"/>
            <w:vAlign w:val="center"/>
          </w:tcPr>
          <w:p>
            <w:pPr>
              <w:pStyle w:val="51"/>
            </w:pPr>
            <w:r>
              <w:rPr>
                <w:rFonts w:hint="eastAsia"/>
              </w:rPr>
              <w:t>0.06</w:t>
            </w:r>
          </w:p>
        </w:tc>
        <w:tc>
          <w:tcPr>
            <w:tcW w:w="1044" w:type="dxa"/>
            <w:vAlign w:val="center"/>
          </w:tcPr>
          <w:p>
            <w:pPr>
              <w:pStyle w:val="51"/>
            </w:pPr>
            <w:r>
              <w:rPr>
                <w:rFonts w:hint="eastAsia"/>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98" w:type="dxa"/>
            <w:gridSpan w:val="7"/>
            <w:vAlign w:val="center"/>
          </w:tcPr>
          <w:p>
            <w:pPr>
              <w:pStyle w:val="51"/>
            </w:pPr>
            <w:r>
              <w:rPr>
                <w:rFonts w:hint="eastAsia"/>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3" w:type="dxa"/>
            <w:gridSpan w:val="2"/>
            <w:vMerge w:val="restart"/>
            <w:vAlign w:val="center"/>
          </w:tcPr>
          <w:p>
            <w:pPr>
              <w:pStyle w:val="51"/>
            </w:pPr>
            <w:r>
              <w:rPr>
                <w:rFonts w:hint="eastAsia"/>
              </w:rPr>
              <w:t>无组织排放总计</w:t>
            </w:r>
          </w:p>
        </w:tc>
        <w:tc>
          <w:tcPr>
            <w:tcW w:w="6641" w:type="dxa"/>
            <w:gridSpan w:val="4"/>
            <w:vAlign w:val="center"/>
          </w:tcPr>
          <w:p>
            <w:pPr>
              <w:pStyle w:val="51"/>
            </w:pPr>
            <w:r>
              <w:t>NH</w:t>
            </w:r>
            <w:r>
              <w:rPr>
                <w:vertAlign w:val="subscript"/>
              </w:rPr>
              <w:t>3</w:t>
            </w:r>
          </w:p>
        </w:tc>
        <w:tc>
          <w:tcPr>
            <w:tcW w:w="1044" w:type="dxa"/>
            <w:vAlign w:val="center"/>
          </w:tcPr>
          <w:p>
            <w:pPr>
              <w:pStyle w:val="51"/>
            </w:pPr>
            <w:r>
              <w:rPr>
                <w:rFonts w:hint="eastAsia"/>
              </w:rPr>
              <w:t>0.0806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13" w:type="dxa"/>
            <w:gridSpan w:val="2"/>
            <w:vMerge w:val="continue"/>
            <w:vAlign w:val="center"/>
          </w:tcPr>
          <w:p>
            <w:pPr>
              <w:pStyle w:val="51"/>
            </w:pPr>
          </w:p>
        </w:tc>
        <w:tc>
          <w:tcPr>
            <w:tcW w:w="6641" w:type="dxa"/>
            <w:gridSpan w:val="4"/>
            <w:vAlign w:val="center"/>
          </w:tcPr>
          <w:p>
            <w:pPr>
              <w:pStyle w:val="51"/>
            </w:pPr>
            <w:r>
              <w:t>H</w:t>
            </w:r>
            <w:r>
              <w:rPr>
                <w:vertAlign w:val="subscript"/>
              </w:rPr>
              <w:t>2</w:t>
            </w:r>
            <w:r>
              <w:t>S</w:t>
            </w:r>
          </w:p>
        </w:tc>
        <w:tc>
          <w:tcPr>
            <w:tcW w:w="1044" w:type="dxa"/>
            <w:vAlign w:val="center"/>
          </w:tcPr>
          <w:p>
            <w:pPr>
              <w:pStyle w:val="51"/>
            </w:pPr>
            <w:r>
              <w:rPr>
                <w:rFonts w:hint="eastAsia"/>
              </w:rPr>
              <w:t>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13" w:type="dxa"/>
            <w:gridSpan w:val="2"/>
            <w:vMerge w:val="continue"/>
            <w:vAlign w:val="center"/>
          </w:tcPr>
          <w:p>
            <w:pPr>
              <w:pStyle w:val="51"/>
            </w:pPr>
          </w:p>
        </w:tc>
        <w:tc>
          <w:tcPr>
            <w:tcW w:w="6641" w:type="dxa"/>
            <w:gridSpan w:val="4"/>
            <w:vAlign w:val="center"/>
          </w:tcPr>
          <w:p>
            <w:pPr>
              <w:pStyle w:val="51"/>
            </w:pPr>
            <w:r>
              <w:t>颗粒物</w:t>
            </w:r>
          </w:p>
        </w:tc>
        <w:tc>
          <w:tcPr>
            <w:tcW w:w="1044" w:type="dxa"/>
            <w:vAlign w:val="center"/>
          </w:tcPr>
          <w:p>
            <w:pPr>
              <w:pStyle w:val="51"/>
            </w:pPr>
            <w:r>
              <w:rPr>
                <w:rFonts w:hint="eastAsia"/>
              </w:rPr>
              <w:t>1.0534</w:t>
            </w:r>
          </w:p>
        </w:tc>
      </w:tr>
    </w:tbl>
    <w:p>
      <w:pPr>
        <w:pStyle w:val="49"/>
        <w:ind w:firstLine="480"/>
        <w:rPr>
          <w:color w:val="000000"/>
        </w:rPr>
      </w:pPr>
      <w:r>
        <w:rPr>
          <w:rFonts w:hint="eastAsia"/>
          <w:color w:val="000000"/>
        </w:rPr>
        <w:t>本项目大气污染物排放量详见下表。</w:t>
      </w:r>
    </w:p>
    <w:p>
      <w:pPr>
        <w:pStyle w:val="53"/>
      </w:pPr>
      <w:r>
        <w:t>表</w:t>
      </w:r>
      <w:r>
        <w:rPr>
          <w:rFonts w:hint="eastAsia"/>
        </w:rPr>
        <w:t>5</w:t>
      </w:r>
      <w:r>
        <w:t>.2-</w:t>
      </w:r>
      <w:r>
        <w:rPr>
          <w:rFonts w:hint="eastAsia"/>
        </w:rPr>
        <w:t>8</w:t>
      </w:r>
      <w:r>
        <w:t xml:space="preserve"> </w:t>
      </w:r>
      <w:r>
        <w:rPr>
          <w:rFonts w:hint="eastAsia"/>
        </w:rPr>
        <w:t>大气污染物年排放量核算一览表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765"/>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vAlign w:val="center"/>
          </w:tcPr>
          <w:p>
            <w:pPr>
              <w:pStyle w:val="51"/>
            </w:pPr>
            <w:r>
              <w:rPr>
                <w:rFonts w:hint="eastAsia"/>
              </w:rPr>
              <w:t>序号</w:t>
            </w:r>
          </w:p>
        </w:tc>
        <w:tc>
          <w:tcPr>
            <w:tcW w:w="2765" w:type="dxa"/>
            <w:vAlign w:val="center"/>
          </w:tcPr>
          <w:p>
            <w:pPr>
              <w:pStyle w:val="51"/>
            </w:pPr>
            <w:r>
              <w:rPr>
                <w:rFonts w:hint="eastAsia"/>
              </w:rPr>
              <w:t>污染物</w:t>
            </w:r>
          </w:p>
        </w:tc>
        <w:tc>
          <w:tcPr>
            <w:tcW w:w="2773" w:type="dxa"/>
            <w:vAlign w:val="center"/>
          </w:tcPr>
          <w:p>
            <w:pPr>
              <w:pStyle w:val="51"/>
            </w:pPr>
            <w:r>
              <w:rPr>
                <w:rFonts w:hint="eastAsia"/>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vAlign w:val="center"/>
          </w:tcPr>
          <w:p>
            <w:pPr>
              <w:pStyle w:val="51"/>
            </w:pPr>
            <w:r>
              <w:rPr>
                <w:rFonts w:hint="eastAsia"/>
              </w:rPr>
              <w:t>1</w:t>
            </w:r>
          </w:p>
        </w:tc>
        <w:tc>
          <w:tcPr>
            <w:tcW w:w="2765" w:type="dxa"/>
            <w:vAlign w:val="center"/>
          </w:tcPr>
          <w:p>
            <w:pPr>
              <w:pStyle w:val="51"/>
            </w:pPr>
            <w:r>
              <w:t>NH</w:t>
            </w:r>
            <w:r>
              <w:rPr>
                <w:vertAlign w:val="subscript"/>
              </w:rPr>
              <w:t>3</w:t>
            </w:r>
          </w:p>
        </w:tc>
        <w:tc>
          <w:tcPr>
            <w:tcW w:w="2773" w:type="dxa"/>
            <w:vAlign w:val="center"/>
          </w:tcPr>
          <w:p>
            <w:pPr>
              <w:pStyle w:val="51"/>
            </w:pPr>
            <w:r>
              <w:rPr>
                <w:rFonts w:hint="eastAsia"/>
              </w:rPr>
              <w:t>0.0806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vAlign w:val="center"/>
          </w:tcPr>
          <w:p>
            <w:pPr>
              <w:pStyle w:val="51"/>
            </w:pPr>
            <w:r>
              <w:rPr>
                <w:rFonts w:hint="eastAsia"/>
              </w:rPr>
              <w:t>2</w:t>
            </w:r>
          </w:p>
        </w:tc>
        <w:tc>
          <w:tcPr>
            <w:tcW w:w="2765" w:type="dxa"/>
            <w:vAlign w:val="center"/>
          </w:tcPr>
          <w:p>
            <w:pPr>
              <w:pStyle w:val="51"/>
            </w:pPr>
            <w:r>
              <w:t>H</w:t>
            </w:r>
            <w:r>
              <w:rPr>
                <w:vertAlign w:val="subscript"/>
              </w:rPr>
              <w:t>2</w:t>
            </w:r>
            <w:r>
              <w:t>S</w:t>
            </w:r>
          </w:p>
        </w:tc>
        <w:tc>
          <w:tcPr>
            <w:tcW w:w="2773" w:type="dxa"/>
            <w:vAlign w:val="center"/>
          </w:tcPr>
          <w:p>
            <w:pPr>
              <w:pStyle w:val="51"/>
            </w:pPr>
            <w:r>
              <w:rPr>
                <w:rFonts w:hint="eastAsia"/>
              </w:rPr>
              <w:t>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58" w:type="dxa"/>
            <w:vAlign w:val="center"/>
          </w:tcPr>
          <w:p>
            <w:pPr>
              <w:pStyle w:val="51"/>
            </w:pPr>
            <w:r>
              <w:rPr>
                <w:rFonts w:hint="eastAsia"/>
              </w:rPr>
              <w:t>3</w:t>
            </w:r>
          </w:p>
        </w:tc>
        <w:tc>
          <w:tcPr>
            <w:tcW w:w="2765" w:type="dxa"/>
            <w:vAlign w:val="center"/>
          </w:tcPr>
          <w:p>
            <w:pPr>
              <w:pStyle w:val="51"/>
            </w:pPr>
            <w:r>
              <w:t>颗粒物</w:t>
            </w:r>
          </w:p>
        </w:tc>
        <w:tc>
          <w:tcPr>
            <w:tcW w:w="2773" w:type="dxa"/>
            <w:vAlign w:val="center"/>
          </w:tcPr>
          <w:p>
            <w:pPr>
              <w:pStyle w:val="51"/>
            </w:pPr>
            <w:r>
              <w:rPr>
                <w:rFonts w:hint="eastAsia"/>
              </w:rPr>
              <w:t>1.0534</w:t>
            </w:r>
          </w:p>
        </w:tc>
      </w:tr>
    </w:tbl>
    <w:p>
      <w:pPr>
        <w:pStyle w:val="4"/>
      </w:pPr>
      <w:bookmarkStart w:id="196" w:name="_Toc194481185"/>
      <w:r>
        <w:rPr>
          <w:rFonts w:hint="eastAsia"/>
        </w:rPr>
        <w:t>5.2.3 相关防护距离</w:t>
      </w:r>
      <w:bookmarkEnd w:id="196"/>
    </w:p>
    <w:p>
      <w:pPr>
        <w:pStyle w:val="49"/>
        <w:ind w:firstLine="480"/>
      </w:pPr>
      <w:r>
        <w:rPr>
          <w:rFonts w:hint="eastAsia"/>
        </w:rPr>
        <w:t>1、大气防护距离</w:t>
      </w:r>
    </w:p>
    <w:p>
      <w:pPr>
        <w:pStyle w:val="49"/>
        <w:ind w:firstLine="480"/>
      </w:pPr>
      <w:r>
        <w:rPr>
          <w:rFonts w:hint="eastAsia"/>
        </w:rPr>
        <w:t>根据《环境影响评价技术导则大气环境》（</w:t>
      </w:r>
      <w:r>
        <w:rPr>
          <w:rFonts w:cs="Times New Roman"/>
        </w:rPr>
        <w:t>HJ2.2-2018</w:t>
      </w:r>
      <w:r>
        <w:rPr>
          <w:rFonts w:hint="eastAsia"/>
        </w:rPr>
        <w:t>）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估算预测结果，本项目主要污染物最大落地浓度均未超标，厂界浓度可满足《恶臭污染物排放标准》 （</w:t>
      </w:r>
      <w:r>
        <w:t>GB14554-93</w:t>
      </w:r>
      <w:r>
        <w:rPr>
          <w:rFonts w:hint="eastAsia"/>
        </w:rPr>
        <w:t>）无组织排放监控浓度限值要求，且未超过环境质量浓度限值，无需设置大气环境防护距离。</w:t>
      </w:r>
    </w:p>
    <w:p>
      <w:pPr>
        <w:pStyle w:val="49"/>
        <w:ind w:firstLine="480"/>
      </w:pPr>
      <w:r>
        <w:rPr>
          <w:rFonts w:hint="eastAsia"/>
        </w:rPr>
        <w:t>2、卫生防护距离</w:t>
      </w:r>
    </w:p>
    <w:p>
      <w:pPr>
        <w:pStyle w:val="49"/>
        <w:ind w:firstLine="480"/>
      </w:pPr>
      <w:r>
        <w:rPr>
          <w:rFonts w:hint="eastAsia"/>
        </w:rPr>
        <w:t>根据《大气有害物质无组织排放卫生防护距离推导技术导则》(GB/T39499-2020)，卫生防护距离的含义是指“</w:t>
      </w:r>
      <w:r>
        <w:t>为了防控通过无组织排放的大气污染物的健康危害，产生大气有害物质的生产单元</w:t>
      </w:r>
      <w:r>
        <w:rPr>
          <w:rFonts w:hint="eastAsia"/>
        </w:rPr>
        <w:t>（</w:t>
      </w:r>
      <w:r>
        <w:t>生产车间或作业场所</w:t>
      </w:r>
      <w:r>
        <w:rPr>
          <w:rFonts w:hint="eastAsia"/>
        </w:rPr>
        <w:t>）</w:t>
      </w:r>
      <w:r>
        <w:t>的边界至敏感区边界的最小距离。</w:t>
      </w:r>
      <w:r>
        <w:rPr>
          <w:rFonts w:hint="eastAsia"/>
        </w:rPr>
        <w:t>”</w:t>
      </w:r>
    </w:p>
    <w:p>
      <w:pPr>
        <w:pStyle w:val="49"/>
        <w:ind w:firstLine="480"/>
      </w:pPr>
      <w:r>
        <w:rPr>
          <w:rFonts w:hint="eastAsia"/>
        </w:rPr>
        <w:t>工业企业卫生防护距离计算公式如下：</w:t>
      </w:r>
    </w:p>
    <w:p>
      <w:pPr>
        <w:pStyle w:val="49"/>
        <w:snapToGrid w:val="0"/>
        <w:spacing w:line="240" w:lineRule="auto"/>
        <w:ind w:firstLine="480"/>
        <w:jc w:val="center"/>
      </w:pPr>
      <w:r>
        <w:drawing>
          <wp:inline distT="0" distB="0" distL="0" distR="0">
            <wp:extent cx="1730375" cy="512445"/>
            <wp:effectExtent l="0" t="0" r="3175" b="1905"/>
            <wp:docPr id="87735944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7359447" name="图片 1"/>
                    <pic:cNvPicPr>
                      <a:picLocks noChangeAspect="true"/>
                    </pic:cNvPicPr>
                  </pic:nvPicPr>
                  <pic:blipFill>
                    <a:blip r:embed="rId28"/>
                    <a:stretch>
                      <a:fillRect/>
                    </a:stretch>
                  </pic:blipFill>
                  <pic:spPr>
                    <a:xfrm>
                      <a:off x="0" y="0"/>
                      <a:ext cx="1749599" cy="518566"/>
                    </a:xfrm>
                    <a:prstGeom prst="rect">
                      <a:avLst/>
                    </a:prstGeom>
                  </pic:spPr>
                </pic:pic>
              </a:graphicData>
            </a:graphic>
          </wp:inline>
        </w:drawing>
      </w:r>
    </w:p>
    <w:p>
      <w:pPr>
        <w:pStyle w:val="49"/>
        <w:ind w:firstLine="480"/>
      </w:pPr>
      <w:r>
        <w:rPr>
          <w:rFonts w:hint="eastAsia"/>
        </w:rPr>
        <w:t>式中：</w:t>
      </w:r>
      <w:r>
        <w:rPr>
          <w:i/>
          <w:iCs/>
        </w:rPr>
        <w:t>Qc</w:t>
      </w:r>
      <w:r>
        <w:t>—</w:t>
      </w:r>
      <w:r>
        <w:rPr>
          <w:rFonts w:hint="eastAsia"/>
        </w:rPr>
        <w:t>大气有害物质的无组织排放量，</w:t>
      </w:r>
      <w:r>
        <w:t>kg/h</w:t>
      </w:r>
      <w:r>
        <w:rPr>
          <w:rFonts w:hint="eastAsia"/>
        </w:rPr>
        <w:t>。</w:t>
      </w:r>
    </w:p>
    <w:p>
      <w:pPr>
        <w:pStyle w:val="49"/>
        <w:ind w:firstLine="1200" w:firstLineChars="500"/>
      </w:pPr>
      <w:r>
        <w:rPr>
          <w:i/>
          <w:iCs/>
        </w:rPr>
        <w:t>Cm</w:t>
      </w:r>
      <w:r>
        <w:t>—</w:t>
      </w:r>
      <w:r>
        <w:rPr>
          <w:rFonts w:hint="eastAsia"/>
        </w:rPr>
        <w:t>大气有害物质环境空气质量的标准限值，</w:t>
      </w:r>
      <w:r>
        <w:t>mg/m</w:t>
      </w:r>
      <w:r>
        <w:rPr>
          <w:vertAlign w:val="superscript"/>
        </w:rPr>
        <w:t>3</w:t>
      </w:r>
      <w:r>
        <w:rPr>
          <w:rFonts w:hint="eastAsia"/>
        </w:rPr>
        <w:t>；</w:t>
      </w:r>
    </w:p>
    <w:p>
      <w:pPr>
        <w:pStyle w:val="49"/>
        <w:ind w:firstLine="480"/>
      </w:pPr>
      <w:r>
        <w:rPr>
          <w:rFonts w:hint="eastAsia"/>
        </w:rPr>
        <w:t xml:space="preserve">           </w:t>
      </w:r>
      <w:r>
        <w:rPr>
          <w:rFonts w:hint="eastAsia"/>
          <w:i/>
          <w:iCs/>
        </w:rPr>
        <w:t xml:space="preserve"> L</w:t>
      </w:r>
      <w:r>
        <w:t>—</w:t>
      </w:r>
      <w:r>
        <w:rPr>
          <w:rFonts w:hint="eastAsia"/>
        </w:rPr>
        <w:t>大气有害物质卫生防护距离处置，m；</w:t>
      </w:r>
    </w:p>
    <w:p>
      <w:pPr>
        <w:pStyle w:val="49"/>
        <w:ind w:firstLine="1200" w:firstLineChars="500"/>
      </w:pPr>
      <w:r>
        <w:rPr>
          <w:rFonts w:hint="eastAsia"/>
          <w:i/>
          <w:iCs/>
        </w:rPr>
        <w:t>r</w:t>
      </w:r>
      <w:r>
        <w:t>—</w:t>
      </w:r>
      <w:r>
        <w:rPr>
          <w:rFonts w:hint="eastAsia"/>
        </w:rPr>
        <w:t>大气有害物质无组织排放源所在生产单位的等效半径，m；</w:t>
      </w:r>
    </w:p>
    <w:p>
      <w:pPr>
        <w:pStyle w:val="49"/>
        <w:ind w:firstLine="1200" w:firstLineChars="500"/>
        <w:rPr>
          <w:i/>
          <w:iCs/>
        </w:rPr>
      </w:pPr>
      <w:r>
        <w:rPr>
          <w:rFonts w:hint="eastAsia"/>
          <w:i/>
          <w:iCs/>
        </w:rPr>
        <w:t>A、B、C、D</w:t>
      </w:r>
      <w:r>
        <w:t>—</w:t>
      </w:r>
      <w:r>
        <w:rPr>
          <w:rFonts w:hint="eastAsia"/>
        </w:rPr>
        <w:t>卫生防护距离初始计算系数，无因次，根据工业企业所在地区近5年平均风速及大气污染源构成类别从表1查取。本项目相关参数选用如下：</w:t>
      </w:r>
      <w:r>
        <w:rPr>
          <w:rFonts w:hint="eastAsia"/>
          <w:i/>
          <w:iCs/>
        </w:rPr>
        <w:t>A</w:t>
      </w:r>
      <w:r>
        <w:rPr>
          <w:rFonts w:hint="eastAsia"/>
        </w:rPr>
        <w:t>=470、</w:t>
      </w:r>
      <w:r>
        <w:rPr>
          <w:rFonts w:hint="eastAsia"/>
          <w:i/>
          <w:iCs/>
        </w:rPr>
        <w:t>B</w:t>
      </w:r>
      <w:r>
        <w:rPr>
          <w:rFonts w:hint="eastAsia"/>
        </w:rPr>
        <w:t>=0.021、</w:t>
      </w:r>
      <w:r>
        <w:rPr>
          <w:rFonts w:hint="eastAsia"/>
          <w:i/>
          <w:iCs/>
        </w:rPr>
        <w:t>C</w:t>
      </w:r>
      <w:r>
        <w:rPr>
          <w:rFonts w:hint="eastAsia"/>
        </w:rPr>
        <w:t>=1.85、</w:t>
      </w:r>
      <w:r>
        <w:rPr>
          <w:rFonts w:hint="eastAsia"/>
          <w:i/>
          <w:iCs/>
        </w:rPr>
        <w:t>D</w:t>
      </w:r>
      <w:r>
        <w:rPr>
          <w:rFonts w:hint="eastAsia"/>
        </w:rPr>
        <w:t>=0.84。</w:t>
      </w:r>
    </w:p>
    <w:p>
      <w:pPr>
        <w:pStyle w:val="49"/>
        <w:ind w:firstLine="480"/>
      </w:pPr>
      <w:r>
        <w:rPr>
          <w:rFonts w:hint="eastAsia"/>
        </w:rPr>
        <w:t xml:space="preserve">计算卫生环境防护距离见表 </w:t>
      </w:r>
      <w:r>
        <w:t>5.2-</w:t>
      </w:r>
      <w:r>
        <w:rPr>
          <w:rFonts w:hint="eastAsia"/>
        </w:rPr>
        <w:t>9</w:t>
      </w:r>
      <w:r>
        <w:t xml:space="preserve"> </w:t>
      </w:r>
      <w:r>
        <w:rPr>
          <w:rFonts w:hint="eastAsia"/>
        </w:rPr>
        <w:t>所示。</w:t>
      </w:r>
    </w:p>
    <w:p>
      <w:pPr>
        <w:pStyle w:val="53"/>
      </w:pPr>
      <w:r>
        <w:t>表</w:t>
      </w:r>
      <w:r>
        <w:rPr>
          <w:rFonts w:hint="eastAsia"/>
        </w:rPr>
        <w:t>5</w:t>
      </w:r>
      <w:r>
        <w:t>.2-</w:t>
      </w:r>
      <w:r>
        <w:rPr>
          <w:rFonts w:hint="eastAsia"/>
        </w:rPr>
        <w:t>9</w:t>
      </w:r>
      <w:r>
        <w:t xml:space="preserve"> </w:t>
      </w:r>
      <w:r>
        <w:rPr>
          <w:rFonts w:hint="eastAsia"/>
        </w:rPr>
        <w:t xml:space="preserve"> 卫生防护距离计算结果一览表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410"/>
        <w:gridCol w:w="1305"/>
        <w:gridCol w:w="1655"/>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1" w:type="dxa"/>
            <w:vAlign w:val="center"/>
          </w:tcPr>
          <w:p>
            <w:pPr>
              <w:pStyle w:val="51"/>
            </w:pPr>
            <w:r>
              <w:rPr>
                <w:rFonts w:hint="eastAsia"/>
              </w:rPr>
              <w:t>污染物名称</w:t>
            </w:r>
          </w:p>
        </w:tc>
        <w:tc>
          <w:tcPr>
            <w:tcW w:w="2410" w:type="dxa"/>
            <w:vAlign w:val="center"/>
          </w:tcPr>
          <w:p>
            <w:pPr>
              <w:pStyle w:val="51"/>
            </w:pPr>
            <w:r>
              <w:rPr>
                <w:rFonts w:hint="eastAsia"/>
              </w:rPr>
              <w:t>环境质量标准(mg/m</w:t>
            </w:r>
            <w:r>
              <w:rPr>
                <w:rFonts w:hint="eastAsia"/>
                <w:vertAlign w:val="superscript"/>
              </w:rPr>
              <w:t>3</w:t>
            </w:r>
            <w:r>
              <w:rPr>
                <w:rFonts w:hint="eastAsia"/>
              </w:rPr>
              <w:t>)</w:t>
            </w:r>
          </w:p>
        </w:tc>
        <w:tc>
          <w:tcPr>
            <w:tcW w:w="1305" w:type="dxa"/>
            <w:vAlign w:val="center"/>
          </w:tcPr>
          <w:p>
            <w:pPr>
              <w:pStyle w:val="51"/>
            </w:pPr>
            <w:r>
              <w:rPr>
                <w:rFonts w:hint="eastAsia"/>
              </w:rPr>
              <w:t>面积(m</w:t>
            </w:r>
            <w:r>
              <w:rPr>
                <w:rFonts w:hint="eastAsia"/>
                <w:vertAlign w:val="superscript"/>
              </w:rPr>
              <w:t>2</w:t>
            </w:r>
            <w:r>
              <w:rPr>
                <w:rFonts w:hint="eastAsia"/>
              </w:rPr>
              <w:t>)</w:t>
            </w:r>
          </w:p>
        </w:tc>
        <w:tc>
          <w:tcPr>
            <w:tcW w:w="1655" w:type="dxa"/>
            <w:vAlign w:val="center"/>
          </w:tcPr>
          <w:p>
            <w:pPr>
              <w:pStyle w:val="51"/>
            </w:pPr>
            <w:r>
              <w:rPr>
                <w:rFonts w:hint="eastAsia"/>
              </w:rPr>
              <w:t>源强(kg/h)</w:t>
            </w:r>
          </w:p>
        </w:tc>
        <w:tc>
          <w:tcPr>
            <w:tcW w:w="1655" w:type="dxa"/>
            <w:vAlign w:val="center"/>
          </w:tcPr>
          <w:p>
            <w:pPr>
              <w:pStyle w:val="51"/>
            </w:pPr>
            <w:r>
              <w:rPr>
                <w:rFonts w:hint="eastAsia"/>
              </w:rPr>
              <w:t>计算结果(m)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1" w:type="dxa"/>
            <w:vAlign w:val="center"/>
          </w:tcPr>
          <w:p>
            <w:pPr>
              <w:pStyle w:val="51"/>
            </w:pPr>
            <w:r>
              <w:t>NH</w:t>
            </w:r>
            <w:r>
              <w:rPr>
                <w:vertAlign w:val="subscript"/>
              </w:rPr>
              <w:t>3</w:t>
            </w:r>
          </w:p>
        </w:tc>
        <w:tc>
          <w:tcPr>
            <w:tcW w:w="2410" w:type="dxa"/>
            <w:vAlign w:val="center"/>
          </w:tcPr>
          <w:p>
            <w:pPr>
              <w:pStyle w:val="51"/>
            </w:pPr>
            <w:r>
              <w:rPr>
                <w:rFonts w:hint="eastAsia"/>
              </w:rPr>
              <w:t>0.2</w:t>
            </w:r>
          </w:p>
        </w:tc>
        <w:tc>
          <w:tcPr>
            <w:tcW w:w="1305" w:type="dxa"/>
            <w:vMerge w:val="restart"/>
            <w:vAlign w:val="center"/>
          </w:tcPr>
          <w:p>
            <w:pPr>
              <w:pStyle w:val="51"/>
            </w:pPr>
            <w:r>
              <w:rPr>
                <w:rFonts w:hint="eastAsia"/>
              </w:rPr>
              <w:t>21750</w:t>
            </w:r>
          </w:p>
        </w:tc>
        <w:tc>
          <w:tcPr>
            <w:tcW w:w="1655" w:type="dxa"/>
            <w:vAlign w:val="center"/>
          </w:tcPr>
          <w:p>
            <w:pPr>
              <w:pStyle w:val="51"/>
            </w:pPr>
            <w:r>
              <w:rPr>
                <w:rFonts w:hint="eastAsia"/>
              </w:rPr>
              <w:t>0.0092</w:t>
            </w:r>
          </w:p>
        </w:tc>
        <w:tc>
          <w:tcPr>
            <w:tcW w:w="1655" w:type="dxa"/>
            <w:vAlign w:val="center"/>
          </w:tcPr>
          <w:p>
            <w:pPr>
              <w:pStyle w:val="51"/>
            </w:pPr>
            <w:r>
              <w:rPr>
                <w:rFonts w:hint="eastAsia"/>
              </w:rPr>
              <w:t>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1" w:type="dxa"/>
            <w:vAlign w:val="center"/>
          </w:tcPr>
          <w:p>
            <w:pPr>
              <w:pStyle w:val="51"/>
            </w:pPr>
            <w:r>
              <w:t>H</w:t>
            </w:r>
            <w:r>
              <w:rPr>
                <w:vertAlign w:val="subscript"/>
              </w:rPr>
              <w:t>2</w:t>
            </w:r>
            <w:r>
              <w:t>S</w:t>
            </w:r>
          </w:p>
        </w:tc>
        <w:tc>
          <w:tcPr>
            <w:tcW w:w="2410" w:type="dxa"/>
            <w:vAlign w:val="center"/>
          </w:tcPr>
          <w:p>
            <w:pPr>
              <w:pStyle w:val="51"/>
            </w:pPr>
            <w:r>
              <w:rPr>
                <w:rFonts w:hint="eastAsia"/>
              </w:rPr>
              <w:t>0.01</w:t>
            </w:r>
          </w:p>
        </w:tc>
        <w:tc>
          <w:tcPr>
            <w:tcW w:w="1305" w:type="dxa"/>
            <w:vMerge w:val="continue"/>
            <w:vAlign w:val="center"/>
          </w:tcPr>
          <w:p>
            <w:pPr>
              <w:pStyle w:val="51"/>
            </w:pPr>
          </w:p>
        </w:tc>
        <w:tc>
          <w:tcPr>
            <w:tcW w:w="1655" w:type="dxa"/>
            <w:vAlign w:val="center"/>
          </w:tcPr>
          <w:p>
            <w:pPr>
              <w:pStyle w:val="51"/>
            </w:pPr>
            <w:r>
              <w:rPr>
                <w:rFonts w:hint="eastAsia"/>
              </w:rPr>
              <w:t>0.0013</w:t>
            </w:r>
          </w:p>
        </w:tc>
        <w:tc>
          <w:tcPr>
            <w:tcW w:w="1655" w:type="dxa"/>
            <w:vAlign w:val="center"/>
          </w:tcPr>
          <w:p>
            <w:pPr>
              <w:pStyle w:val="51"/>
            </w:pPr>
            <w:r>
              <w:rPr>
                <w:rFonts w:hint="eastAsia"/>
              </w:rPr>
              <w:t>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1" w:type="dxa"/>
            <w:vAlign w:val="center"/>
          </w:tcPr>
          <w:p>
            <w:pPr>
              <w:pStyle w:val="51"/>
            </w:pPr>
            <w:r>
              <w:rPr>
                <w:rFonts w:hint="eastAsia"/>
              </w:rPr>
              <w:t>颗粒物</w:t>
            </w:r>
          </w:p>
        </w:tc>
        <w:tc>
          <w:tcPr>
            <w:tcW w:w="2410" w:type="dxa"/>
            <w:vAlign w:val="center"/>
          </w:tcPr>
          <w:p>
            <w:pPr>
              <w:pStyle w:val="51"/>
            </w:pPr>
            <w:r>
              <w:rPr>
                <w:rFonts w:hint="eastAsia"/>
              </w:rPr>
              <w:t>0.9</w:t>
            </w:r>
          </w:p>
        </w:tc>
        <w:tc>
          <w:tcPr>
            <w:tcW w:w="1305" w:type="dxa"/>
            <w:vMerge w:val="continue"/>
            <w:vAlign w:val="center"/>
          </w:tcPr>
          <w:p>
            <w:pPr>
              <w:pStyle w:val="51"/>
            </w:pPr>
          </w:p>
        </w:tc>
        <w:tc>
          <w:tcPr>
            <w:tcW w:w="1655" w:type="dxa"/>
            <w:vAlign w:val="center"/>
          </w:tcPr>
          <w:p>
            <w:pPr>
              <w:pStyle w:val="51"/>
            </w:pPr>
            <w:r>
              <w:t>0.12</w:t>
            </w:r>
            <w:r>
              <w:rPr>
                <w:rFonts w:hint="eastAsia"/>
              </w:rPr>
              <w:t>0</w:t>
            </w:r>
          </w:p>
        </w:tc>
        <w:tc>
          <w:tcPr>
            <w:tcW w:w="1655" w:type="dxa"/>
            <w:vAlign w:val="center"/>
          </w:tcPr>
          <w:p>
            <w:pPr>
              <w:pStyle w:val="51"/>
            </w:pPr>
            <w:r>
              <w:rPr>
                <w:rFonts w:hint="eastAsia"/>
              </w:rPr>
              <w:t>1.383</w:t>
            </w:r>
          </w:p>
        </w:tc>
      </w:tr>
    </w:tbl>
    <w:p>
      <w:pPr>
        <w:pStyle w:val="49"/>
        <w:ind w:firstLine="480"/>
      </w:pPr>
      <w:r>
        <w:rPr>
          <w:rFonts w:hint="eastAsia"/>
        </w:rPr>
        <w:t>根据《大气有害物质无组织排放卫生防护距离推导技术导则》(GB/T39499-2020)，单一特征大气有害物质终值的确定：卫生防护距离初值小于50m时，级差为50m。如计算初值小于50m，卫生防护距离终值取50m。多种特征大气有害物质终值的确定：当企业某生产单元的无组织排放存在多种特征大气有害物质时，如果分别推导出的卫生防护距离初值在同一级别时，则该企业的卫生防护距离终值应提高一级。因此，本项目计算结果卫生防护距离终值取</w:t>
      </w:r>
      <w:r>
        <w:t>10</w:t>
      </w:r>
      <w:r>
        <w:rPr>
          <w:rFonts w:hint="eastAsia"/>
        </w:rPr>
        <w:t>0m。</w:t>
      </w:r>
    </w:p>
    <w:p>
      <w:pPr>
        <w:pStyle w:val="49"/>
        <w:ind w:firstLine="480"/>
      </w:pPr>
      <w:r>
        <w:rPr>
          <w:rFonts w:hint="eastAsia"/>
        </w:rPr>
        <w:t>根据现场调查，本项目鸡舍、鸡粪风干车间、一体化污水处理设施等生产单元周边100m范围内无居民点，不存在环保搬迁。</w:t>
      </w:r>
    </w:p>
    <w:p>
      <w:pPr>
        <w:spacing w:line="360" w:lineRule="auto"/>
        <w:ind w:firstLine="480" w:firstLineChars="200"/>
        <w:rPr>
          <w:rFonts w:hint="eastAsia"/>
          <w:color w:val="000000"/>
        </w:rPr>
      </w:pPr>
      <w:r>
        <w:rPr>
          <w:rFonts w:hint="eastAsia"/>
          <w:color w:val="000000"/>
        </w:rPr>
        <w:t>根据卫生防护距离的要求，在本项目卫生防护距离范围内，不得规划建设诸如机关、学校、医院、养老院、居民区等环境空气要求较高的项目。</w:t>
      </w:r>
    </w:p>
    <w:p>
      <w:pPr>
        <w:pStyle w:val="4"/>
      </w:pPr>
      <w:bookmarkStart w:id="197" w:name="_Toc194481186"/>
      <w:r>
        <w:rPr>
          <w:rFonts w:hint="eastAsia"/>
        </w:rPr>
        <w:t>5.2.4 大气环境影响评价结论</w:t>
      </w:r>
      <w:bookmarkEnd w:id="197"/>
    </w:p>
    <w:p>
      <w:pPr>
        <w:pStyle w:val="49"/>
        <w:ind w:firstLine="480"/>
      </w:pPr>
      <w:r>
        <w:rPr>
          <w:rFonts w:hint="eastAsia" w:cs="Times New Roman"/>
        </w:rPr>
        <w:t>1、</w:t>
      </w:r>
      <w:r>
        <w:rPr>
          <w:rFonts w:hint="eastAsia"/>
        </w:rPr>
        <w:t>根据估算模式计算，正常工况下本项目污染源排放的大气污染物中，最大落地浓度占标率小于</w:t>
      </w:r>
      <w:r>
        <w:rPr>
          <w:rFonts w:cs="Times New Roman"/>
        </w:rPr>
        <w:t>10%</w:t>
      </w:r>
      <w:r>
        <w:rPr>
          <w:rFonts w:hint="eastAsia"/>
        </w:rPr>
        <w:t xml:space="preserve">，对区域环境空气影响不大。 </w:t>
      </w:r>
    </w:p>
    <w:p>
      <w:pPr>
        <w:pStyle w:val="49"/>
        <w:ind w:firstLine="480"/>
      </w:pPr>
      <w:r>
        <w:rPr>
          <w:rFonts w:hint="eastAsia" w:cs="Times New Roman"/>
        </w:rPr>
        <w:t>2、</w:t>
      </w:r>
      <w:r>
        <w:rPr>
          <w:rFonts w:hint="eastAsia"/>
        </w:rPr>
        <w:t>据计算结果，本项目无须设置大气环境防护距离。本项目卫生防护距离为100m，根据现场调查，本项目鸡舍、鸡粪风干车间等生产单元周边50m范围内无居民点，不存在环保搬迁。</w:t>
      </w:r>
      <w:r>
        <w:rPr>
          <w:rFonts w:hint="eastAsia"/>
          <w:color w:val="000000"/>
        </w:rPr>
        <w:t>同时根据卫生防护距离的要求，在本项目卫生防护距离范围内，不得规划建设诸如机关、学校、医院、养老院、居民区等环境空气要求较高的项目。</w:t>
      </w:r>
    </w:p>
    <w:p>
      <w:pPr>
        <w:pStyle w:val="49"/>
        <w:ind w:firstLine="480"/>
      </w:pPr>
      <w:r>
        <w:rPr>
          <w:rFonts w:hint="eastAsia"/>
        </w:rPr>
        <w:t>综上，项目实施后对周边大气环境影响较小，认为大气环境影响可以接受。</w:t>
      </w:r>
    </w:p>
    <w:p>
      <w:pPr>
        <w:pStyle w:val="3"/>
      </w:pPr>
      <w:bookmarkStart w:id="198" w:name="_Toc194481187"/>
      <w:r>
        <w:rPr>
          <w:rFonts w:hint="eastAsia"/>
        </w:rPr>
        <w:t>5</w:t>
      </w:r>
      <w:r>
        <w:t>.</w:t>
      </w:r>
      <w:r>
        <w:rPr>
          <w:rFonts w:hint="eastAsia"/>
        </w:rPr>
        <w:t>3 地表水</w:t>
      </w:r>
      <w:r>
        <w:t>环境影响分析</w:t>
      </w:r>
      <w:bookmarkEnd w:id="198"/>
    </w:p>
    <w:p>
      <w:pPr>
        <w:pStyle w:val="4"/>
      </w:pPr>
      <w:bookmarkStart w:id="199" w:name="_Toc194481188"/>
      <w:r>
        <w:rPr>
          <w:rFonts w:hint="eastAsia"/>
        </w:rPr>
        <w:t>5.3.</w:t>
      </w:r>
      <w:r>
        <w:t>1</w:t>
      </w:r>
      <w:r>
        <w:rPr>
          <w:rFonts w:hint="eastAsia"/>
        </w:rPr>
        <w:t xml:space="preserve"> 评价等级的确定</w:t>
      </w:r>
      <w:bookmarkEnd w:id="199"/>
    </w:p>
    <w:p>
      <w:pPr>
        <w:adjustRightInd w:val="0"/>
        <w:spacing w:line="360" w:lineRule="auto"/>
        <w:ind w:firstLine="480" w:firstLineChars="200"/>
        <w:rPr>
          <w:rFonts w:hint="eastAsia"/>
          <w:snapToGrid w:val="0"/>
          <w:color w:val="000000"/>
        </w:rPr>
      </w:pPr>
      <w:r>
        <w:rPr>
          <w:rStyle w:val="50"/>
        </w:rPr>
        <w:t>根据《环境影响评价技术导则 地表水环境》（HJ2.3-2018），地表水环境评价工作等级按照影响类型、排放方式、排放量或影响情况、受纳水体环境质量现状、水环境保护目标等综合确定。本项目属于水污染影响型建设项目，其评价等级按照下表</w:t>
      </w:r>
      <w:r>
        <w:rPr>
          <w:rStyle w:val="50"/>
          <w:rFonts w:hint="eastAsia"/>
        </w:rPr>
        <w:t>5.3</w:t>
      </w:r>
      <w:r>
        <w:rPr>
          <w:rStyle w:val="50"/>
        </w:rPr>
        <w:t>-</w:t>
      </w:r>
      <w:r>
        <w:rPr>
          <w:rStyle w:val="50"/>
          <w:rFonts w:hint="eastAsia"/>
        </w:rPr>
        <w:t>1</w:t>
      </w:r>
      <w:r>
        <w:rPr>
          <w:rStyle w:val="50"/>
        </w:rPr>
        <w:t>进行判定</w:t>
      </w:r>
      <w:r>
        <w:rPr>
          <w:snapToGrid w:val="0"/>
          <w:color w:val="000000"/>
        </w:rPr>
        <w:t>。</w:t>
      </w:r>
    </w:p>
    <w:p>
      <w:pPr>
        <w:pStyle w:val="53"/>
        <w:rPr>
          <w:snapToGrid w:val="0"/>
        </w:rPr>
      </w:pPr>
      <w:r>
        <w:rPr>
          <w:snapToGrid w:val="0"/>
        </w:rPr>
        <w:t>表</w:t>
      </w:r>
      <w:r>
        <w:rPr>
          <w:rFonts w:hint="eastAsia"/>
          <w:snapToGrid w:val="0"/>
        </w:rPr>
        <w:t>5</w:t>
      </w:r>
      <w:r>
        <w:rPr>
          <w:snapToGrid w:val="0"/>
        </w:rPr>
        <w:t>.</w:t>
      </w:r>
      <w:r>
        <w:rPr>
          <w:rFonts w:hint="eastAsia"/>
          <w:snapToGrid w:val="0"/>
        </w:rPr>
        <w:t>3</w:t>
      </w:r>
      <w:r>
        <w:rPr>
          <w:snapToGrid w:val="0"/>
        </w:rPr>
        <w:t>-</w:t>
      </w:r>
      <w:r>
        <w:rPr>
          <w:rFonts w:hint="eastAsia"/>
          <w:snapToGrid w:val="0"/>
        </w:rPr>
        <w:t>1</w:t>
      </w:r>
      <w:r>
        <w:rPr>
          <w:snapToGrid w:val="0"/>
        </w:rPr>
        <w:t xml:space="preserve"> 水污染影响型建设项目评价等级判定</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109"/>
        <w:gridCol w:w="6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restart"/>
            <w:vAlign w:val="center"/>
          </w:tcPr>
          <w:p>
            <w:pPr>
              <w:pStyle w:val="51"/>
              <w:rPr>
                <w:snapToGrid w:val="0"/>
              </w:rPr>
            </w:pPr>
            <w:r>
              <w:rPr>
                <w:rFonts w:hint="eastAsia"/>
                <w:snapToGrid w:val="0"/>
              </w:rPr>
              <w:t>评价等级</w:t>
            </w:r>
          </w:p>
        </w:tc>
        <w:tc>
          <w:tcPr>
            <w:tcW w:w="7219" w:type="dxa"/>
            <w:gridSpan w:val="2"/>
            <w:vAlign w:val="center"/>
          </w:tcPr>
          <w:p>
            <w:pPr>
              <w:pStyle w:val="51"/>
              <w:rPr>
                <w:snapToGrid w:val="0"/>
              </w:rPr>
            </w:pPr>
            <w:r>
              <w:rPr>
                <w:rFonts w:hint="eastAsia"/>
                <w:snapToGrid w:val="0"/>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51"/>
              <w:rPr>
                <w:snapToGrid w:val="0"/>
              </w:rPr>
            </w:pPr>
          </w:p>
        </w:tc>
        <w:tc>
          <w:tcPr>
            <w:tcW w:w="1109" w:type="dxa"/>
            <w:vAlign w:val="center"/>
          </w:tcPr>
          <w:p>
            <w:pPr>
              <w:pStyle w:val="51"/>
              <w:rPr>
                <w:snapToGrid w:val="0"/>
              </w:rPr>
            </w:pPr>
            <w:r>
              <w:rPr>
                <w:rFonts w:hint="eastAsia"/>
                <w:snapToGrid w:val="0"/>
              </w:rPr>
              <w:t>排放方式</w:t>
            </w:r>
          </w:p>
        </w:tc>
        <w:tc>
          <w:tcPr>
            <w:tcW w:w="6110" w:type="dxa"/>
            <w:vAlign w:val="center"/>
          </w:tcPr>
          <w:p>
            <w:pPr>
              <w:pStyle w:val="51"/>
              <w:rPr>
                <w:snapToGrid w:val="0"/>
              </w:rPr>
            </w:pPr>
            <w:r>
              <w:rPr>
                <w:rFonts w:cs="Times New Roman"/>
                <w:color w:val="000000"/>
                <w:szCs w:val="21"/>
              </w:rPr>
              <w:t>废水排放量Q/（m</w:t>
            </w:r>
            <w:r>
              <w:rPr>
                <w:rFonts w:cs="Times New Roman"/>
                <w:color w:val="000000"/>
                <w:szCs w:val="21"/>
                <w:vertAlign w:val="superscript"/>
              </w:rPr>
              <w:t>3</w:t>
            </w:r>
            <w:r>
              <w:rPr>
                <w:rFonts w:cs="Times New Roman"/>
                <w:color w:val="000000"/>
                <w:szCs w:val="21"/>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Align w:val="center"/>
          </w:tcPr>
          <w:p>
            <w:pPr>
              <w:pStyle w:val="51"/>
              <w:rPr>
                <w:snapToGrid w:val="0"/>
              </w:rPr>
            </w:pPr>
            <w:r>
              <w:rPr>
                <w:rFonts w:cs="Times New Roman"/>
                <w:color w:val="000000"/>
                <w:szCs w:val="21"/>
              </w:rPr>
              <w:t>一级</w:t>
            </w:r>
          </w:p>
        </w:tc>
        <w:tc>
          <w:tcPr>
            <w:tcW w:w="1109" w:type="dxa"/>
            <w:vAlign w:val="center"/>
          </w:tcPr>
          <w:p>
            <w:pPr>
              <w:pStyle w:val="51"/>
              <w:rPr>
                <w:snapToGrid w:val="0"/>
              </w:rPr>
            </w:pPr>
            <w:r>
              <w:rPr>
                <w:rFonts w:cs="Times New Roman"/>
                <w:color w:val="000000"/>
                <w:szCs w:val="21"/>
              </w:rPr>
              <w:t>直接排放</w:t>
            </w:r>
          </w:p>
        </w:tc>
        <w:tc>
          <w:tcPr>
            <w:tcW w:w="6110" w:type="dxa"/>
            <w:vAlign w:val="center"/>
          </w:tcPr>
          <w:p>
            <w:pPr>
              <w:pStyle w:val="51"/>
              <w:rPr>
                <w:snapToGrid w:val="0"/>
              </w:rPr>
            </w:pPr>
            <w:r>
              <w:rPr>
                <w:rFonts w:cs="Times New Roman"/>
                <w:color w:val="000000"/>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7" w:type="dxa"/>
            <w:vAlign w:val="center"/>
          </w:tcPr>
          <w:p>
            <w:pPr>
              <w:pStyle w:val="51"/>
              <w:rPr>
                <w:snapToGrid w:val="0"/>
              </w:rPr>
            </w:pPr>
            <w:r>
              <w:rPr>
                <w:rFonts w:cs="Times New Roman"/>
                <w:color w:val="000000"/>
                <w:szCs w:val="21"/>
              </w:rPr>
              <w:t>二级</w:t>
            </w:r>
          </w:p>
        </w:tc>
        <w:tc>
          <w:tcPr>
            <w:tcW w:w="1109" w:type="dxa"/>
            <w:vAlign w:val="center"/>
          </w:tcPr>
          <w:p>
            <w:pPr>
              <w:pStyle w:val="51"/>
              <w:rPr>
                <w:snapToGrid w:val="0"/>
              </w:rPr>
            </w:pPr>
            <w:r>
              <w:rPr>
                <w:rFonts w:cs="Times New Roman"/>
                <w:color w:val="000000"/>
                <w:szCs w:val="21"/>
              </w:rPr>
              <w:t>直接排放</w:t>
            </w:r>
          </w:p>
        </w:tc>
        <w:tc>
          <w:tcPr>
            <w:tcW w:w="6110" w:type="dxa"/>
            <w:vAlign w:val="center"/>
          </w:tcPr>
          <w:p>
            <w:pPr>
              <w:pStyle w:val="51"/>
              <w:rPr>
                <w:snapToGrid w:val="0"/>
              </w:rPr>
            </w:pPr>
            <w:r>
              <w:rPr>
                <w:rFonts w:cs="Times New Roman"/>
                <w:color w:val="00000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Align w:val="center"/>
          </w:tcPr>
          <w:p>
            <w:pPr>
              <w:pStyle w:val="51"/>
              <w:rPr>
                <w:snapToGrid w:val="0"/>
              </w:rPr>
            </w:pPr>
            <w:r>
              <w:rPr>
                <w:rFonts w:cs="Times New Roman"/>
                <w:color w:val="000000"/>
                <w:szCs w:val="21"/>
              </w:rPr>
              <w:t>三级A</w:t>
            </w:r>
          </w:p>
        </w:tc>
        <w:tc>
          <w:tcPr>
            <w:tcW w:w="1109" w:type="dxa"/>
            <w:vAlign w:val="center"/>
          </w:tcPr>
          <w:p>
            <w:pPr>
              <w:pStyle w:val="51"/>
              <w:rPr>
                <w:snapToGrid w:val="0"/>
              </w:rPr>
            </w:pPr>
            <w:r>
              <w:rPr>
                <w:rFonts w:cs="Times New Roman"/>
                <w:color w:val="000000"/>
                <w:szCs w:val="21"/>
              </w:rPr>
              <w:t>直接排放</w:t>
            </w:r>
          </w:p>
        </w:tc>
        <w:tc>
          <w:tcPr>
            <w:tcW w:w="6110" w:type="dxa"/>
            <w:vAlign w:val="center"/>
          </w:tcPr>
          <w:p>
            <w:pPr>
              <w:pStyle w:val="51"/>
              <w:rPr>
                <w:snapToGrid w:val="0"/>
              </w:rPr>
            </w:pPr>
            <w:r>
              <w:rPr>
                <w:rFonts w:cs="Times New Roman"/>
                <w:color w:val="000000"/>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Align w:val="center"/>
          </w:tcPr>
          <w:p>
            <w:pPr>
              <w:pStyle w:val="51"/>
              <w:rPr>
                <w:snapToGrid w:val="0"/>
              </w:rPr>
            </w:pPr>
            <w:r>
              <w:rPr>
                <w:rFonts w:cs="Times New Roman"/>
                <w:color w:val="000000"/>
                <w:szCs w:val="21"/>
              </w:rPr>
              <w:t>三级B</w:t>
            </w:r>
          </w:p>
        </w:tc>
        <w:tc>
          <w:tcPr>
            <w:tcW w:w="1109" w:type="dxa"/>
            <w:vAlign w:val="center"/>
          </w:tcPr>
          <w:p>
            <w:pPr>
              <w:pStyle w:val="51"/>
              <w:rPr>
                <w:snapToGrid w:val="0"/>
              </w:rPr>
            </w:pPr>
            <w:r>
              <w:rPr>
                <w:rFonts w:cs="Times New Roman"/>
                <w:color w:val="000000"/>
                <w:szCs w:val="21"/>
              </w:rPr>
              <w:t>间接排放</w:t>
            </w:r>
          </w:p>
        </w:tc>
        <w:tc>
          <w:tcPr>
            <w:tcW w:w="6110" w:type="dxa"/>
            <w:vAlign w:val="center"/>
          </w:tcPr>
          <w:p>
            <w:pPr>
              <w:pStyle w:val="51"/>
              <w:rPr>
                <w:snapToGrid w:val="0"/>
              </w:rPr>
            </w:pPr>
            <w:r>
              <w:rPr>
                <w:rFonts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3"/>
            <w:vAlign w:val="center"/>
          </w:tcPr>
          <w:p>
            <w:pPr>
              <w:pStyle w:val="51"/>
              <w:jc w:val="both"/>
            </w:pPr>
            <w: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51"/>
              <w:jc w:val="both"/>
            </w:pPr>
            <w: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51"/>
              <w:jc w:val="both"/>
            </w:pPr>
            <w:r>
              <w:t>注3：场区存在堆积物（露天堆放的原料、燃料、废渣等以及垃圾堆放场）、降尘污染的，应将初期雨污水纳入废水排放量，相应的主要污染物纳入水污染当量计算。</w:t>
            </w:r>
          </w:p>
          <w:p>
            <w:pPr>
              <w:pStyle w:val="51"/>
              <w:jc w:val="both"/>
            </w:pPr>
            <w:r>
              <w:t>注4：建设项目直接排放第一类污染物的，其评价等级为一级；建设项目直接排放的污染物为受纳水体超标因子的，评价等级不低于二级。</w:t>
            </w:r>
          </w:p>
          <w:p>
            <w:pPr>
              <w:pStyle w:val="51"/>
              <w:jc w:val="both"/>
            </w:pPr>
            <w:r>
              <w:t>注5：直接排放受纳水体影响范围涉及饮用水水源保护区、饮用水取水口、重点保护与珍稀水生生物的栖息地、重要水生生物的自然产卵场等保护目标时，评价等级不低于二级。</w:t>
            </w:r>
          </w:p>
          <w:p>
            <w:pPr>
              <w:pStyle w:val="51"/>
              <w:jc w:val="both"/>
            </w:pPr>
            <w:r>
              <w:t>注6：建设项目向河流、湖库排放温排水引起受纳水体水温变化超过水环境质量标准要求，且评价范围有水温敏感目标时，评价等级为一级。</w:t>
            </w:r>
          </w:p>
          <w:p>
            <w:pPr>
              <w:pStyle w:val="51"/>
              <w:jc w:val="both"/>
            </w:pPr>
            <w:r>
              <w:t>注7：建设项目利用海水作为调节温度介质，排水量</w:t>
            </w:r>
            <w:r>
              <w:rPr>
                <w:rFonts w:hint="eastAsia"/>
              </w:rPr>
              <w:t>≥</w:t>
            </w:r>
            <w:r>
              <w:t>500万m</w:t>
            </w:r>
            <w:r>
              <w:rPr>
                <w:vertAlign w:val="superscript"/>
              </w:rPr>
              <w:t>3</w:t>
            </w:r>
            <w:r>
              <w:t>/d，评价等级为一级；排水量＜500万m</w:t>
            </w:r>
            <w:r>
              <w:rPr>
                <w:vertAlign w:val="superscript"/>
              </w:rPr>
              <w:t>3</w:t>
            </w:r>
            <w:r>
              <w:t>/d，评价等级为二级。</w:t>
            </w:r>
          </w:p>
          <w:p>
            <w:pPr>
              <w:pStyle w:val="51"/>
              <w:jc w:val="both"/>
            </w:pPr>
            <w:r>
              <w:t>注8：仅涉及清净下水排放的，如其排放水质满足受纳水体水环境质量标准要求的，评价等级为三级A。</w:t>
            </w:r>
          </w:p>
          <w:p>
            <w:pPr>
              <w:pStyle w:val="51"/>
              <w:jc w:val="both"/>
            </w:pPr>
            <w:r>
              <w:t>注9：依托现有排放口，且对外环境未新增排放污染物的直接排放建设项目，评价等级参照间接排放，定为三级B。</w:t>
            </w:r>
          </w:p>
          <w:p>
            <w:pPr>
              <w:pStyle w:val="51"/>
              <w:jc w:val="both"/>
              <w:rPr>
                <w:rFonts w:cs="Times New Roman"/>
                <w:color w:val="000000"/>
                <w:szCs w:val="21"/>
              </w:rPr>
            </w:pPr>
            <w:r>
              <w:rPr>
                <w:rFonts w:hint="eastAsia"/>
              </w:rPr>
              <w:t>注</w:t>
            </w:r>
            <w:r>
              <w:t>10：建设项目生产工艺中有废水产生，但作为回水利用，不排放到外环境的，按三级B评价。</w:t>
            </w:r>
          </w:p>
        </w:tc>
      </w:tr>
    </w:tbl>
    <w:p>
      <w:pPr>
        <w:pStyle w:val="49"/>
        <w:ind w:firstLine="480"/>
        <w:rPr>
          <w:szCs w:val="21"/>
        </w:rPr>
      </w:pPr>
      <w:r>
        <w:rPr>
          <w:rFonts w:hint="eastAsia"/>
        </w:rPr>
        <w:t>本项目废水主要为鸡舍冲洗废水和生活污水</w:t>
      </w:r>
      <w:bookmarkStart w:id="200" w:name="_Hlk191544279"/>
      <w:r>
        <w:rPr>
          <w:rFonts w:hint="eastAsia"/>
        </w:rPr>
        <w:t>，</w:t>
      </w:r>
      <w:r>
        <w:rPr>
          <w:rFonts w:hint="eastAsia"/>
          <w:szCs w:val="21"/>
        </w:rPr>
        <w:t>一起进入一体化污水处理设施处理达标后，用于周边林地灌溉，不外排。</w:t>
      </w:r>
      <w:bookmarkEnd w:id="200"/>
      <w:r>
        <w:rPr>
          <w:rFonts w:hint="eastAsia"/>
          <w:color w:val="000000"/>
        </w:rPr>
        <w:t xml:space="preserve">对照上表5.3-1，最终判定本项目地表水环境影响评价等级为三级 </w:t>
      </w:r>
      <w:r>
        <w:rPr>
          <w:rFonts w:cs="Times New Roman"/>
          <w:color w:val="000000"/>
        </w:rPr>
        <w:t>B</w:t>
      </w:r>
      <w:r>
        <w:rPr>
          <w:rFonts w:hint="eastAsia" w:cs="Times New Roman"/>
          <w:color w:val="000000"/>
        </w:rPr>
        <w:t>。</w:t>
      </w:r>
    </w:p>
    <w:p>
      <w:pPr>
        <w:pStyle w:val="49"/>
        <w:ind w:firstLine="480"/>
      </w:pPr>
      <w:r>
        <w:rPr>
          <w:rFonts w:hint="eastAsia"/>
        </w:rPr>
        <w:t>根据《环境影响评价技术导则 地表水环境》（</w:t>
      </w:r>
      <w:r>
        <w:rPr>
          <w:rFonts w:cs="Times New Roman"/>
        </w:rPr>
        <w:t>HJ2.3-2018</w:t>
      </w:r>
      <w:r>
        <w:rPr>
          <w:rFonts w:hint="eastAsia"/>
        </w:rPr>
        <w:t xml:space="preserve">）中 </w:t>
      </w:r>
      <w:r>
        <w:rPr>
          <w:rFonts w:cs="Times New Roman"/>
        </w:rPr>
        <w:t xml:space="preserve">5.3 </w:t>
      </w:r>
      <w:r>
        <w:rPr>
          <w:rFonts w:hint="eastAsia"/>
        </w:rPr>
        <w:t xml:space="preserve">评价范围确定中未明确三级 </w:t>
      </w:r>
      <w:r>
        <w:rPr>
          <w:rFonts w:cs="Times New Roman"/>
        </w:rPr>
        <w:t xml:space="preserve">B </w:t>
      </w:r>
      <w:r>
        <w:rPr>
          <w:rFonts w:hint="eastAsia"/>
        </w:rPr>
        <w:t>的评价等级的评级范围，仅提出要分析其依托污水处理设施的环境可行性。因此，本环评主要分析废水处理设施的可行性和废水用于周边林地灌溉可行性。</w:t>
      </w:r>
    </w:p>
    <w:p>
      <w:pPr>
        <w:pStyle w:val="4"/>
      </w:pPr>
      <w:bookmarkStart w:id="201" w:name="_Toc194481189"/>
      <w:r>
        <w:rPr>
          <w:rFonts w:hint="eastAsia"/>
        </w:rPr>
        <w:t>5.3.2 水污染控制和水环境影响减缓措施有效性评价</w:t>
      </w:r>
      <w:bookmarkEnd w:id="201"/>
    </w:p>
    <w:p>
      <w:pPr>
        <w:pStyle w:val="49"/>
        <w:ind w:firstLine="480"/>
        <w:rPr>
          <w:snapToGrid w:val="0"/>
        </w:rPr>
      </w:pPr>
      <w:bookmarkStart w:id="202" w:name="OLE_LINK3"/>
      <w:r>
        <w:rPr>
          <w:rFonts w:hint="eastAsia"/>
          <w:snapToGrid w:val="0"/>
        </w:rPr>
        <w:t>1、废水处理技术可行性分析</w:t>
      </w:r>
    </w:p>
    <w:p>
      <w:pPr>
        <w:pStyle w:val="82"/>
        <w:ind w:firstLine="480"/>
        <w:rPr>
          <w:lang w:bidi="en-US"/>
        </w:rPr>
      </w:pPr>
      <w:r>
        <w:rPr>
          <w:lang w:bidi="en-US"/>
        </w:rPr>
        <w:t>根据《畜禽养殖业污染治理工程技术规范》（HJ497-2009）相关技术要求：选用粪污处理工艺时，应根据养殖场的养殖种类、养殖规模、粪污收集方式、当地的自然地理环境条件以及排水去向等因素确定工艺路线及处理目标，并充分考虑畜禽养殖废水的特殊性，在实现综合利用或达标排放的情况下，优先选择低运行成本的处理工艺；应慎重选用物化处理工艺。</w:t>
      </w:r>
    </w:p>
    <w:p>
      <w:pPr>
        <w:pStyle w:val="82"/>
        <w:ind w:firstLine="480"/>
        <w:rPr>
          <w:lang w:bidi="en-US"/>
        </w:rPr>
      </w:pPr>
      <w:r>
        <w:rPr>
          <w:lang w:bidi="en-US"/>
        </w:rPr>
        <w:t>根据《畜禽养殖业污染治理工程技术规范》（HJ497-2009）中</w:t>
      </w:r>
      <w:r>
        <w:rPr>
          <w:rFonts w:ascii="宋体" w:hAnsi="宋体"/>
          <w:lang w:bidi="en-US"/>
        </w:rPr>
        <w:t>“</w:t>
      </w:r>
      <w:r>
        <w:rPr>
          <w:lang w:bidi="en-US"/>
        </w:rPr>
        <w:t>6.2.1.2 养殖规模在存栏（以猪计）2000 头及以下的应尽可能采用6.2.2 模式I 或6.2.3 模式II 处理工艺；存栏（以猪计）10000 头及以上的，宜采用6.2.4 模式III 处理工艺</w:t>
      </w:r>
      <w:r>
        <w:rPr>
          <w:rFonts w:ascii="宋体" w:hAnsi="宋体"/>
          <w:lang w:bidi="en-US"/>
        </w:rPr>
        <w:t>”</w:t>
      </w:r>
      <w:r>
        <w:rPr>
          <w:lang w:bidi="en-US"/>
        </w:rPr>
        <w:t>。</w:t>
      </w:r>
    </w:p>
    <w:p>
      <w:pPr>
        <w:pStyle w:val="82"/>
        <w:ind w:firstLine="480"/>
      </w:pPr>
      <w:r>
        <w:t>本项目存栏蛋鸡</w:t>
      </w:r>
      <w:r>
        <w:rPr>
          <w:rFonts w:hint="eastAsia"/>
        </w:rPr>
        <w:t>120</w:t>
      </w:r>
      <w:r>
        <w:t>万羽，根据《畜禽养殖业污染物排放标准》（GB18596-2001），30 只蛋鸡折算成1 头猪，则本项目相当于存栏</w:t>
      </w:r>
      <w:r>
        <w:rPr>
          <w:rFonts w:hint="eastAsia"/>
        </w:rPr>
        <w:t>4</w:t>
      </w:r>
      <w:r>
        <w:t>万头生猪</w:t>
      </w:r>
      <w:r>
        <w:rPr>
          <w:rFonts w:hint="eastAsia"/>
        </w:rPr>
        <w:t>，因此本项目粪污处理宜采用</w:t>
      </w:r>
      <w:r>
        <w:t xml:space="preserve">《畜禽养殖业污染治理工程技术规范》（HJ497-2009）模式III 处理工艺。 </w:t>
      </w:r>
    </w:p>
    <w:p>
      <w:pPr>
        <w:pStyle w:val="82"/>
        <w:ind w:firstLine="480"/>
        <w:rPr>
          <w:lang w:bidi="en-US"/>
        </w:rPr>
      </w:pPr>
      <w:r>
        <w:t>模式III工艺基本流程见下图</w:t>
      </w:r>
      <w:r>
        <w:rPr>
          <w:rFonts w:hint="eastAsia"/>
        </w:rPr>
        <w:t>5.3-1。</w:t>
      </w:r>
    </w:p>
    <w:p>
      <w:pPr>
        <w:pStyle w:val="82"/>
        <w:ind w:firstLine="0" w:firstLineChars="0"/>
        <w:rPr>
          <w:snapToGrid w:val="0"/>
        </w:rPr>
      </w:pPr>
      <w:r>
        <w:drawing>
          <wp:inline distT="0" distB="0" distL="0" distR="0">
            <wp:extent cx="5274310" cy="1875790"/>
            <wp:effectExtent l="0" t="0" r="2540" b="0"/>
            <wp:docPr id="185732535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7325354" name="图片 5"/>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5274310" cy="1875790"/>
                    </a:xfrm>
                    <a:prstGeom prst="rect">
                      <a:avLst/>
                    </a:prstGeom>
                    <a:noFill/>
                    <a:ln>
                      <a:noFill/>
                    </a:ln>
                  </pic:spPr>
                </pic:pic>
              </a:graphicData>
            </a:graphic>
          </wp:inline>
        </w:drawing>
      </w:r>
    </w:p>
    <w:p>
      <w:pPr>
        <w:pStyle w:val="82"/>
        <w:ind w:firstLine="0" w:firstLineChars="0"/>
        <w:jc w:val="center"/>
        <w:rPr>
          <w:b/>
          <w:bCs/>
        </w:rPr>
      </w:pPr>
      <w:r>
        <w:rPr>
          <w:b/>
          <w:bCs/>
        </w:rPr>
        <w:t>图5.</w:t>
      </w:r>
      <w:r>
        <w:rPr>
          <w:rFonts w:hint="eastAsia"/>
          <w:b/>
          <w:bCs/>
        </w:rPr>
        <w:t>3</w:t>
      </w:r>
      <w:r>
        <w:rPr>
          <w:b/>
          <w:bCs/>
        </w:rPr>
        <w:t xml:space="preserve">-1 </w:t>
      </w:r>
      <w:r>
        <w:rPr>
          <w:rFonts w:hint="eastAsia"/>
          <w:b/>
          <w:bCs/>
        </w:rPr>
        <w:t xml:space="preserve"> </w:t>
      </w:r>
      <w:r>
        <w:rPr>
          <w:b/>
          <w:bCs/>
        </w:rPr>
        <w:t>模式III 工艺基本流程图</w:t>
      </w:r>
    </w:p>
    <w:p>
      <w:pPr>
        <w:pStyle w:val="82"/>
        <w:ind w:firstLine="480"/>
      </w:pPr>
      <w:r>
        <w:t>参考同类型养殖项目，</w:t>
      </w:r>
      <w:r>
        <w:rPr>
          <w:rFonts w:hint="eastAsia"/>
        </w:rPr>
        <w:t>本项目鸡粪采用干清粪工艺，日产日清，由鸡舍内清粪带及中央集粪带将鸡粪输送至运输车辆内，再由运输汽车转运至鸡粪风干车间，风干后转运至有湖南恩润生物科技有限公司制造有机肥。本项目废水采用一体化污水处理设施，</w:t>
      </w:r>
      <w:r>
        <w:rPr>
          <w:rFonts w:hint="eastAsia"/>
          <w:szCs w:val="21"/>
        </w:rPr>
        <w:t>处理工艺为</w:t>
      </w:r>
      <w:r>
        <w:rPr>
          <w:rFonts w:ascii="宋体" w:hAnsi="宋体"/>
          <w:szCs w:val="21"/>
        </w:rPr>
        <w:t>“</w:t>
      </w:r>
      <w:r>
        <w:rPr>
          <w:rFonts w:hint="eastAsia"/>
          <w:szCs w:val="21"/>
        </w:rPr>
        <w:t>格栅池+调节池+水解酸化池+A/O池+沉淀池+消毒池</w:t>
      </w:r>
      <w:r>
        <w:rPr>
          <w:rFonts w:ascii="宋体" w:hAnsi="宋体"/>
          <w:szCs w:val="21"/>
        </w:rPr>
        <w:t>”</w:t>
      </w:r>
      <w:r>
        <w:rPr>
          <w:rFonts w:hint="eastAsia" w:ascii="宋体" w:hAnsi="宋体"/>
          <w:szCs w:val="21"/>
        </w:rPr>
        <w:t>，与模式</w:t>
      </w:r>
      <w:r>
        <w:t>III</w:t>
      </w:r>
      <w:r>
        <w:rPr>
          <w:rFonts w:hint="eastAsia"/>
        </w:rPr>
        <w:t>处理工艺进行对比，符合</w:t>
      </w:r>
      <w:r>
        <w:t>《畜禽养殖业污染治理工程技术规范》（HJ497-2009）</w:t>
      </w:r>
      <w:r>
        <w:rPr>
          <w:rFonts w:hint="eastAsia"/>
        </w:rPr>
        <w:t>粪污处理要求。</w:t>
      </w:r>
    </w:p>
    <w:p>
      <w:pPr>
        <w:pStyle w:val="82"/>
        <w:ind w:firstLine="480"/>
        <w:rPr>
          <w:rStyle w:val="83"/>
        </w:rPr>
      </w:pPr>
      <w:r>
        <w:rPr>
          <w:rFonts w:hint="eastAsia"/>
          <w:snapToGrid w:val="0"/>
        </w:rPr>
        <w:t>本项目废水经一体化污水处理设施处理达标后，用于周边林地灌溉，废水全部综合利用，属于间接排放。</w:t>
      </w:r>
      <w:r>
        <w:rPr>
          <w:rStyle w:val="83"/>
          <w:rFonts w:hint="eastAsia"/>
        </w:rPr>
        <w:t>项目相当于存栏4万头猪，属于</w:t>
      </w:r>
      <w:r>
        <w:rPr>
          <w:rStyle w:val="83"/>
        </w:rPr>
        <w:t>大型养殖规模（存栏大于等于1000 头生猪），根据《排污许可证申请与核发技术规范畜禽养殖行业》（HJ1029-2019）中表6 畜禽养殖行业排污单位废水污染防治可行技术参考表，</w:t>
      </w:r>
      <w:r>
        <w:rPr>
          <w:rStyle w:val="83"/>
          <w:rFonts w:hint="eastAsia"/>
        </w:rPr>
        <w:t>项目一体化污水处理设施采用</w:t>
      </w:r>
      <w:r>
        <w:rPr>
          <w:rFonts w:ascii="宋体" w:hAnsi="宋体"/>
          <w:szCs w:val="21"/>
        </w:rPr>
        <w:t>“</w:t>
      </w:r>
      <w:r>
        <w:rPr>
          <w:rStyle w:val="83"/>
          <w:rFonts w:hint="eastAsia"/>
        </w:rPr>
        <w:t>格栅池+调节池+水解酸化池+A/O池+沉淀池+消毒池</w:t>
      </w:r>
      <w:r>
        <w:rPr>
          <w:rFonts w:ascii="宋体" w:hAnsi="宋体"/>
          <w:szCs w:val="21"/>
        </w:rPr>
        <w:t>”</w:t>
      </w:r>
      <w:r>
        <w:rPr>
          <w:rFonts w:hint="eastAsia" w:ascii="宋体" w:hAnsi="宋体"/>
          <w:szCs w:val="21"/>
        </w:rPr>
        <w:t>处理</w:t>
      </w:r>
      <w:r>
        <w:rPr>
          <w:rFonts w:hint="eastAsia"/>
          <w:szCs w:val="21"/>
        </w:rPr>
        <w:t>工艺，是可行技术。</w:t>
      </w:r>
    </w:p>
    <w:p>
      <w:pPr>
        <w:spacing w:line="360" w:lineRule="auto"/>
        <w:ind w:firstLine="480" w:firstLineChars="200"/>
        <w:jc w:val="both"/>
        <w:rPr>
          <w:rFonts w:ascii="Times New Roman" w:hAnsi="Times New Roman" w:cs="Times New Roman"/>
          <w:szCs w:val="20"/>
          <w14:ligatures w14:val="none"/>
        </w:rPr>
      </w:pPr>
      <w:r>
        <w:rPr>
          <w:rStyle w:val="83"/>
        </w:rPr>
        <w:t>项目污水处置符合《畜禽养殖业污染防治技术规范》（HJ/T81-2001）中</w:t>
      </w:r>
      <w:r>
        <w:rPr>
          <w:rStyle w:val="83"/>
          <w:rFonts w:ascii="宋体" w:hAnsi="宋体"/>
        </w:rPr>
        <w:t>“</w:t>
      </w:r>
      <w:r>
        <w:rPr>
          <w:rStyle w:val="83"/>
        </w:rPr>
        <w:t>畜禽养殖过程中产生的污水应坚持种养结合的原则，经无害化处理后尽量充分还田，实现无水资源化利用</w:t>
      </w:r>
      <w:r>
        <w:rPr>
          <w:rStyle w:val="83"/>
          <w:rFonts w:ascii="宋体" w:hAnsi="宋体"/>
        </w:rPr>
        <w:t>”</w:t>
      </w:r>
      <w:r>
        <w:rPr>
          <w:rStyle w:val="83"/>
        </w:rPr>
        <w:t>的要求。</w:t>
      </w:r>
    </w:p>
    <w:p>
      <w:pPr>
        <w:pStyle w:val="82"/>
        <w:ind w:firstLine="480"/>
      </w:pPr>
      <w:r>
        <w:t>本</w:t>
      </w:r>
      <w:r>
        <w:rPr>
          <w:rStyle w:val="83"/>
          <w:rFonts w:hint="eastAsia"/>
        </w:rPr>
        <w:t>项目一体化污水处理设施采用</w:t>
      </w:r>
      <w:r>
        <w:rPr>
          <w:rFonts w:ascii="宋体" w:hAnsi="宋体"/>
          <w:szCs w:val="21"/>
        </w:rPr>
        <w:t>“</w:t>
      </w:r>
      <w:r>
        <w:rPr>
          <w:rStyle w:val="83"/>
          <w:rFonts w:hint="eastAsia"/>
        </w:rPr>
        <w:t>格栅池+调节池+水解酸化池+A/O池+沉淀池+消毒池</w:t>
      </w:r>
      <w:r>
        <w:rPr>
          <w:rFonts w:ascii="宋体" w:hAnsi="宋体"/>
          <w:szCs w:val="21"/>
        </w:rPr>
        <w:t>”</w:t>
      </w:r>
      <w:r>
        <w:rPr>
          <w:rFonts w:hint="eastAsia" w:ascii="宋体" w:hAnsi="宋体"/>
          <w:szCs w:val="21"/>
        </w:rPr>
        <w:t>处理</w:t>
      </w:r>
      <w:r>
        <w:rPr>
          <w:rFonts w:hint="eastAsia"/>
          <w:szCs w:val="21"/>
        </w:rPr>
        <w:t>工艺</w:t>
      </w:r>
      <w:r>
        <w:t>，</w:t>
      </w:r>
      <w:r>
        <w:rPr>
          <w:rFonts w:hint="eastAsia"/>
        </w:rPr>
        <w:t>本</w:t>
      </w:r>
      <w:r>
        <w:t>项目综合废水污染物产排放情况详见下表</w:t>
      </w:r>
      <w:r>
        <w:rPr>
          <w:rFonts w:hint="eastAsia"/>
        </w:rPr>
        <w:t>。</w:t>
      </w:r>
    </w:p>
    <w:p>
      <w:pPr>
        <w:pStyle w:val="53"/>
      </w:pPr>
      <w:r>
        <w:t>表5.</w:t>
      </w:r>
      <w:r>
        <w:rPr>
          <w:rFonts w:hint="eastAsia"/>
        </w:rPr>
        <w:t>3</w:t>
      </w:r>
      <w:r>
        <w:t>-</w:t>
      </w:r>
      <w:r>
        <w:rPr>
          <w:rFonts w:hint="eastAsia"/>
        </w:rPr>
        <w:t>2</w:t>
      </w:r>
      <w:r>
        <w:t xml:space="preserve"> </w:t>
      </w:r>
      <w:r>
        <w:rPr>
          <w:rFonts w:hint="eastAsia"/>
        </w:rPr>
        <w:t xml:space="preserve"> 本项目综合废水污染物产排情况一览表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029"/>
        <w:gridCol w:w="1029"/>
        <w:gridCol w:w="1029"/>
        <w:gridCol w:w="1029"/>
        <w:gridCol w:w="1029"/>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51"/>
            </w:pPr>
            <w:r>
              <w:rPr>
                <w:rFonts w:hint="eastAsia"/>
              </w:rPr>
              <w:t>项目</w:t>
            </w:r>
          </w:p>
        </w:tc>
        <w:tc>
          <w:tcPr>
            <w:tcW w:w="1029" w:type="dxa"/>
            <w:vAlign w:val="center"/>
          </w:tcPr>
          <w:p>
            <w:pPr>
              <w:pStyle w:val="51"/>
            </w:pPr>
            <w:r>
              <w:rPr>
                <w:rFonts w:hint="eastAsia"/>
              </w:rPr>
              <w:t>COD</w:t>
            </w:r>
          </w:p>
        </w:tc>
        <w:tc>
          <w:tcPr>
            <w:tcW w:w="1029" w:type="dxa"/>
            <w:vAlign w:val="center"/>
          </w:tcPr>
          <w:p>
            <w:pPr>
              <w:pStyle w:val="51"/>
            </w:pPr>
            <w:r>
              <w:rPr>
                <w:rFonts w:hint="eastAsia"/>
              </w:rPr>
              <w:t>BOD</w:t>
            </w:r>
            <w:r>
              <w:rPr>
                <w:rFonts w:hint="eastAsia"/>
                <w:vertAlign w:val="subscript"/>
              </w:rPr>
              <w:t>5</w:t>
            </w:r>
          </w:p>
        </w:tc>
        <w:tc>
          <w:tcPr>
            <w:tcW w:w="1029" w:type="dxa"/>
            <w:vAlign w:val="center"/>
          </w:tcPr>
          <w:p>
            <w:pPr>
              <w:pStyle w:val="51"/>
            </w:pPr>
            <w:r>
              <w:rPr>
                <w:rFonts w:hint="eastAsia"/>
              </w:rPr>
              <w:t>氨氮</w:t>
            </w:r>
          </w:p>
        </w:tc>
        <w:tc>
          <w:tcPr>
            <w:tcW w:w="1029" w:type="dxa"/>
            <w:vAlign w:val="center"/>
          </w:tcPr>
          <w:p>
            <w:pPr>
              <w:pStyle w:val="51"/>
            </w:pPr>
            <w:r>
              <w:rPr>
                <w:rFonts w:hint="eastAsia"/>
              </w:rPr>
              <w:t>SS</w:t>
            </w:r>
          </w:p>
        </w:tc>
        <w:tc>
          <w:tcPr>
            <w:tcW w:w="1029" w:type="dxa"/>
            <w:vAlign w:val="center"/>
          </w:tcPr>
          <w:p>
            <w:pPr>
              <w:pStyle w:val="51"/>
            </w:pPr>
            <w:r>
              <w:rPr>
                <w:rFonts w:hint="eastAsia"/>
              </w:rPr>
              <w:t>总氮</w:t>
            </w:r>
          </w:p>
        </w:tc>
        <w:tc>
          <w:tcPr>
            <w:tcW w:w="1029" w:type="dxa"/>
            <w:vAlign w:val="center"/>
          </w:tcPr>
          <w:p>
            <w:pPr>
              <w:pStyle w:val="51"/>
            </w:pPr>
            <w:r>
              <w:rPr>
                <w:rFonts w:hint="eastAsia"/>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51"/>
            </w:pPr>
            <w:r>
              <w:rPr>
                <w:rFonts w:hint="eastAsia"/>
              </w:rPr>
              <w:t>进水浓度(mg/L)</w:t>
            </w:r>
          </w:p>
        </w:tc>
        <w:tc>
          <w:tcPr>
            <w:tcW w:w="1029" w:type="dxa"/>
            <w:vAlign w:val="center"/>
          </w:tcPr>
          <w:p>
            <w:pPr>
              <w:pStyle w:val="51"/>
            </w:pPr>
            <w:r>
              <w:rPr>
                <w:rFonts w:hint="eastAsia"/>
              </w:rPr>
              <w:t>300</w:t>
            </w:r>
          </w:p>
        </w:tc>
        <w:tc>
          <w:tcPr>
            <w:tcW w:w="1029" w:type="dxa"/>
            <w:vAlign w:val="center"/>
          </w:tcPr>
          <w:p>
            <w:pPr>
              <w:pStyle w:val="51"/>
            </w:pPr>
            <w:r>
              <w:rPr>
                <w:rFonts w:hint="eastAsia"/>
              </w:rPr>
              <w:t>187</w:t>
            </w:r>
          </w:p>
        </w:tc>
        <w:tc>
          <w:tcPr>
            <w:tcW w:w="1029" w:type="dxa"/>
            <w:vAlign w:val="center"/>
          </w:tcPr>
          <w:p>
            <w:pPr>
              <w:pStyle w:val="51"/>
            </w:pPr>
            <w:r>
              <w:rPr>
                <w:rFonts w:hint="eastAsia"/>
              </w:rPr>
              <w:t>23</w:t>
            </w:r>
          </w:p>
        </w:tc>
        <w:tc>
          <w:tcPr>
            <w:tcW w:w="1029" w:type="dxa"/>
            <w:vAlign w:val="center"/>
          </w:tcPr>
          <w:p>
            <w:pPr>
              <w:pStyle w:val="51"/>
            </w:pPr>
            <w:r>
              <w:rPr>
                <w:rFonts w:hint="eastAsia"/>
              </w:rPr>
              <w:t>187</w:t>
            </w:r>
          </w:p>
        </w:tc>
        <w:tc>
          <w:tcPr>
            <w:tcW w:w="1029" w:type="dxa"/>
            <w:vAlign w:val="center"/>
          </w:tcPr>
          <w:p>
            <w:pPr>
              <w:pStyle w:val="51"/>
            </w:pPr>
            <w:r>
              <w:rPr>
                <w:rFonts w:hint="eastAsia"/>
              </w:rPr>
              <w:t>5.2</w:t>
            </w:r>
          </w:p>
        </w:tc>
        <w:tc>
          <w:tcPr>
            <w:tcW w:w="1029" w:type="dxa"/>
            <w:vAlign w:val="center"/>
          </w:tcPr>
          <w:p>
            <w:pPr>
              <w:pStyle w:val="51"/>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51"/>
            </w:pPr>
            <w:r>
              <w:rPr>
                <w:rFonts w:hint="eastAsia"/>
              </w:rPr>
              <w:t>产生量(t/a)</w:t>
            </w:r>
          </w:p>
        </w:tc>
        <w:tc>
          <w:tcPr>
            <w:tcW w:w="1029" w:type="dxa"/>
            <w:vAlign w:val="center"/>
          </w:tcPr>
          <w:p>
            <w:pPr>
              <w:pStyle w:val="51"/>
            </w:pPr>
            <w:r>
              <w:rPr>
                <w:rFonts w:hint="eastAsia"/>
              </w:rPr>
              <w:t>0.4543</w:t>
            </w:r>
          </w:p>
        </w:tc>
        <w:tc>
          <w:tcPr>
            <w:tcW w:w="1029" w:type="dxa"/>
            <w:vAlign w:val="center"/>
          </w:tcPr>
          <w:p>
            <w:pPr>
              <w:pStyle w:val="51"/>
            </w:pPr>
            <w:r>
              <w:rPr>
                <w:rFonts w:hint="eastAsia"/>
              </w:rPr>
              <w:t>0.2568</w:t>
            </w:r>
          </w:p>
        </w:tc>
        <w:tc>
          <w:tcPr>
            <w:tcW w:w="1029" w:type="dxa"/>
            <w:vAlign w:val="center"/>
          </w:tcPr>
          <w:p>
            <w:pPr>
              <w:pStyle w:val="51"/>
            </w:pPr>
            <w:r>
              <w:rPr>
                <w:rFonts w:hint="eastAsia"/>
              </w:rPr>
              <w:t>0.0317</w:t>
            </w:r>
          </w:p>
        </w:tc>
        <w:tc>
          <w:tcPr>
            <w:tcW w:w="1029" w:type="dxa"/>
            <w:vAlign w:val="center"/>
          </w:tcPr>
          <w:p>
            <w:pPr>
              <w:pStyle w:val="51"/>
            </w:pPr>
            <w:r>
              <w:rPr>
                <w:rFonts w:hint="eastAsia"/>
              </w:rPr>
              <w:t>0.2573</w:t>
            </w:r>
          </w:p>
        </w:tc>
        <w:tc>
          <w:tcPr>
            <w:tcW w:w="1029" w:type="dxa"/>
            <w:vAlign w:val="center"/>
          </w:tcPr>
          <w:p>
            <w:pPr>
              <w:pStyle w:val="51"/>
            </w:pPr>
            <w:r>
              <w:rPr>
                <w:rFonts w:hint="eastAsia"/>
              </w:rPr>
              <w:t>0.0071</w:t>
            </w:r>
          </w:p>
        </w:tc>
        <w:tc>
          <w:tcPr>
            <w:tcW w:w="1029" w:type="dxa"/>
            <w:vAlign w:val="center"/>
          </w:tcPr>
          <w:p>
            <w:pPr>
              <w:pStyle w:val="51"/>
            </w:pPr>
            <w:r>
              <w:rPr>
                <w:rFonts w:hint="eastAsia"/>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2" w:type="dxa"/>
            <w:vAlign w:val="center"/>
          </w:tcPr>
          <w:p>
            <w:pPr>
              <w:pStyle w:val="51"/>
            </w:pPr>
            <w:r>
              <w:rPr>
                <w:rFonts w:hint="eastAsia"/>
              </w:rPr>
              <w:t>处理效率</w:t>
            </w:r>
          </w:p>
        </w:tc>
        <w:tc>
          <w:tcPr>
            <w:tcW w:w="1029" w:type="dxa"/>
            <w:vAlign w:val="center"/>
          </w:tcPr>
          <w:p>
            <w:pPr>
              <w:pStyle w:val="51"/>
            </w:pPr>
            <w:r>
              <w:rPr>
                <w:rFonts w:hint="eastAsia"/>
              </w:rPr>
              <w:t>92%</w:t>
            </w:r>
          </w:p>
        </w:tc>
        <w:tc>
          <w:tcPr>
            <w:tcW w:w="1029" w:type="dxa"/>
            <w:vAlign w:val="center"/>
          </w:tcPr>
          <w:p>
            <w:pPr>
              <w:pStyle w:val="51"/>
            </w:pPr>
            <w:r>
              <w:rPr>
                <w:rFonts w:hint="eastAsia"/>
              </w:rPr>
              <w:t>93%</w:t>
            </w:r>
          </w:p>
        </w:tc>
        <w:tc>
          <w:tcPr>
            <w:tcW w:w="1029" w:type="dxa"/>
            <w:vAlign w:val="center"/>
          </w:tcPr>
          <w:p>
            <w:pPr>
              <w:pStyle w:val="51"/>
            </w:pPr>
            <w:r>
              <w:rPr>
                <w:rFonts w:hint="eastAsia"/>
              </w:rPr>
              <w:t>87%</w:t>
            </w:r>
          </w:p>
        </w:tc>
        <w:tc>
          <w:tcPr>
            <w:tcW w:w="1029" w:type="dxa"/>
            <w:vAlign w:val="center"/>
          </w:tcPr>
          <w:p>
            <w:pPr>
              <w:pStyle w:val="51"/>
            </w:pPr>
            <w:r>
              <w:rPr>
                <w:rFonts w:hint="eastAsia"/>
              </w:rPr>
              <w:t>88%</w:t>
            </w:r>
          </w:p>
        </w:tc>
        <w:tc>
          <w:tcPr>
            <w:tcW w:w="1029" w:type="dxa"/>
            <w:vAlign w:val="center"/>
          </w:tcPr>
          <w:p>
            <w:pPr>
              <w:pStyle w:val="51"/>
            </w:pPr>
            <w:r>
              <w:rPr>
                <w:rFonts w:hint="eastAsia"/>
              </w:rPr>
              <w:t>80%</w:t>
            </w:r>
          </w:p>
        </w:tc>
        <w:tc>
          <w:tcPr>
            <w:tcW w:w="1029" w:type="dxa"/>
            <w:vAlign w:val="center"/>
          </w:tcPr>
          <w:p>
            <w:pPr>
              <w:pStyle w:val="51"/>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51"/>
            </w:pPr>
            <w:r>
              <w:rPr>
                <w:rFonts w:hint="eastAsia"/>
              </w:rPr>
              <w:t>出水浓度(mg/L)</w:t>
            </w:r>
          </w:p>
        </w:tc>
        <w:tc>
          <w:tcPr>
            <w:tcW w:w="1029" w:type="dxa"/>
            <w:vAlign w:val="bottom"/>
          </w:tcPr>
          <w:p>
            <w:pPr>
              <w:pStyle w:val="51"/>
            </w:pPr>
            <w:r>
              <w:rPr>
                <w:rFonts w:hint="eastAsia" w:eastAsia="等线" w:cs="Times New Roman"/>
                <w:color w:val="000000"/>
                <w:szCs w:val="21"/>
              </w:rPr>
              <w:t>25</w:t>
            </w:r>
          </w:p>
        </w:tc>
        <w:tc>
          <w:tcPr>
            <w:tcW w:w="1029" w:type="dxa"/>
            <w:vAlign w:val="bottom"/>
          </w:tcPr>
          <w:p>
            <w:pPr>
              <w:pStyle w:val="51"/>
            </w:pPr>
            <w:r>
              <w:rPr>
                <w:rFonts w:hint="eastAsia" w:eastAsia="等线" w:cs="Times New Roman"/>
                <w:color w:val="000000"/>
                <w:szCs w:val="21"/>
              </w:rPr>
              <w:t>14</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3</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22</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1</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51"/>
            </w:pPr>
            <w:r>
              <w:rPr>
                <w:rFonts w:hint="eastAsia"/>
              </w:rPr>
              <w:t>排放量(t/a)</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0.0344</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0.0193</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0.0041</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0.0303</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0.0014</w:t>
            </w:r>
          </w:p>
        </w:tc>
        <w:tc>
          <w:tcPr>
            <w:tcW w:w="1029" w:type="dxa"/>
            <w:vAlign w:val="bottom"/>
          </w:tcPr>
          <w:p>
            <w:pPr>
              <w:jc w:val="center"/>
              <w:rPr>
                <w:rFonts w:ascii="Times New Roman" w:hAnsi="Times New Roman"/>
                <w:sz w:val="21"/>
              </w:rPr>
            </w:pPr>
            <w:r>
              <w:rPr>
                <w:rFonts w:hint="eastAsia" w:ascii="Times New Roman" w:hAnsi="Times New Roman" w:eastAsia="等线" w:cs="Times New Roman"/>
                <w:color w:val="000000"/>
                <w:sz w:val="21"/>
                <w:szCs w:val="21"/>
              </w:rPr>
              <w:t>0.0001</w:t>
            </w:r>
          </w:p>
        </w:tc>
      </w:tr>
    </w:tbl>
    <w:p>
      <w:pPr>
        <w:spacing w:line="360" w:lineRule="auto"/>
        <w:ind w:firstLine="480" w:firstLineChars="200"/>
        <w:jc w:val="both"/>
        <w:rPr>
          <w:rStyle w:val="83"/>
        </w:rPr>
      </w:pPr>
      <w:r>
        <w:rPr>
          <w:rStyle w:val="83"/>
          <w:rFonts w:hint="eastAsia"/>
        </w:rPr>
        <w:t>综上分析，项目综合废水经一体化污水处理设施处理后，</w:t>
      </w:r>
      <w:r>
        <w:rPr>
          <w:rFonts w:hint="eastAsia"/>
        </w:rPr>
        <w:t>能够达到</w:t>
      </w:r>
      <w:r>
        <w:rPr>
          <w:rStyle w:val="83"/>
          <w:rFonts w:hint="eastAsia"/>
        </w:rPr>
        <w:t>《污水综合排放标准》（GB8978-1996）表4中一级标准，可用于周边林地灌溉，采取的废水处理措施是可行的。</w:t>
      </w:r>
    </w:p>
    <w:p>
      <w:pPr>
        <w:pStyle w:val="49"/>
        <w:ind w:firstLine="480"/>
      </w:pPr>
      <w:bookmarkStart w:id="203" w:name="_Hlk192085305"/>
      <w:r>
        <w:rPr>
          <w:rFonts w:hint="eastAsia"/>
        </w:rPr>
        <w:t>2、一体化污水处理设施处理规模可行性分析</w:t>
      </w:r>
    </w:p>
    <w:p>
      <w:pPr>
        <w:pStyle w:val="49"/>
        <w:ind w:firstLine="480"/>
      </w:pPr>
      <w:r>
        <w:rPr>
          <w:rFonts w:hint="eastAsia"/>
        </w:rPr>
        <w:t>本项目综合废水量为1376.294m</w:t>
      </w:r>
      <w:r>
        <w:rPr>
          <w:rFonts w:hint="eastAsia"/>
          <w:vertAlign w:val="superscript"/>
        </w:rPr>
        <w:t>3</w:t>
      </w:r>
      <w:r>
        <w:rPr>
          <w:rFonts w:hint="eastAsia"/>
        </w:rPr>
        <w:t>/a（3.771m</w:t>
      </w:r>
      <w:r>
        <w:rPr>
          <w:rFonts w:hint="eastAsia"/>
          <w:vertAlign w:val="superscript"/>
        </w:rPr>
        <w:t>3</w:t>
      </w:r>
      <w:r>
        <w:rPr>
          <w:rFonts w:hint="eastAsia"/>
        </w:rPr>
        <w:t>/d），项目一体化污水处理设施处理规模为5m</w:t>
      </w:r>
      <w:r>
        <w:rPr>
          <w:rFonts w:hint="eastAsia"/>
          <w:vertAlign w:val="superscript"/>
        </w:rPr>
        <w:t>3</w:t>
      </w:r>
      <w:r>
        <w:rPr>
          <w:rFonts w:hint="eastAsia"/>
        </w:rPr>
        <w:t>/d，可以满足项目废水处理的需求。同时根据养鸡场实际生产情况，鸡舍在饲养期间不对鸡舍进行冲洗，每次更换批次时才需要对鸡舍进行清洗，项目一年内对蛋鸡舍冲洗一次，鸡舍冲洗废水产生量为62.294m</w:t>
      </w:r>
      <w:r>
        <w:rPr>
          <w:rFonts w:hint="eastAsia"/>
          <w:vertAlign w:val="superscript"/>
        </w:rPr>
        <w:t>3</w:t>
      </w:r>
      <w:r>
        <w:rPr>
          <w:rFonts w:hint="eastAsia"/>
        </w:rPr>
        <w:t>/次，且废水中污染物浓度较高，设置1个70m</w:t>
      </w:r>
      <w:r>
        <w:rPr>
          <w:rFonts w:hint="eastAsia"/>
          <w:vertAlign w:val="superscript"/>
        </w:rPr>
        <w:t>3</w:t>
      </w:r>
      <w:r>
        <w:rPr>
          <w:rFonts w:hint="eastAsia"/>
        </w:rPr>
        <w:t>的调节池均衡水量、调节水量，降低对一体化污水处理设施的冲击。因此，一体化污水处理设施的处理规模是可行的。</w:t>
      </w:r>
    </w:p>
    <w:p>
      <w:pPr>
        <w:pStyle w:val="49"/>
        <w:ind w:firstLine="480"/>
        <w:rPr>
          <w:snapToGrid w:val="0"/>
        </w:rPr>
      </w:pPr>
      <w:r>
        <w:rPr>
          <w:rFonts w:hint="eastAsia"/>
          <w:snapToGrid w:val="0"/>
        </w:rPr>
        <w:t>3、废水水量消纳可行性分析</w:t>
      </w:r>
    </w:p>
    <w:p>
      <w:pPr>
        <w:pStyle w:val="49"/>
        <w:ind w:firstLine="480"/>
        <w:rPr>
          <w:snapToGrid w:val="0"/>
        </w:rPr>
      </w:pPr>
      <w:r>
        <w:rPr>
          <w:rFonts w:hint="eastAsia"/>
          <w:snapToGrid w:val="0"/>
        </w:rPr>
        <w:t>根据《湖南省用水定额》（</w:t>
      </w:r>
      <w:r>
        <w:rPr>
          <w:snapToGrid w:val="0"/>
        </w:rPr>
        <w:t>DB43/T388-2020</w:t>
      </w:r>
      <w:r>
        <w:rPr>
          <w:rFonts w:hint="eastAsia"/>
          <w:snapToGrid w:val="0"/>
        </w:rPr>
        <w:t xml:space="preserve">）中附录 </w:t>
      </w:r>
      <w:r>
        <w:rPr>
          <w:snapToGrid w:val="0"/>
        </w:rPr>
        <w:t xml:space="preserve">A </w:t>
      </w:r>
      <w:r>
        <w:rPr>
          <w:rFonts w:hint="eastAsia"/>
          <w:snapToGrid w:val="0"/>
        </w:rPr>
        <w:t>农业用水定额灌溉分区，本项目位于冷水滩区，属于</w:t>
      </w:r>
      <w:r>
        <w:rPr>
          <w:rFonts w:hint="eastAsia"/>
        </w:rPr>
        <w:t>湘中山丘区</w:t>
      </w:r>
      <w:r>
        <w:rPr>
          <w:rFonts w:hint="eastAsia"/>
          <w:snapToGrid w:val="0"/>
        </w:rPr>
        <w:t>，为</w:t>
      </w:r>
      <w:r>
        <w:rPr>
          <w:rFonts w:cs="Times New Roman"/>
        </w:rPr>
        <w:t>Ⅳ</w:t>
      </w:r>
      <w:r>
        <w:rPr>
          <w:rFonts w:hint="eastAsia"/>
        </w:rPr>
        <w:t>区</w:t>
      </w:r>
      <w:r>
        <w:rPr>
          <w:rFonts w:hint="eastAsia"/>
          <w:snapToGrid w:val="0"/>
        </w:rPr>
        <w:t>。项目采用滴灌方式，用水定额参照《湖南省用水定额》（</w:t>
      </w:r>
      <w:r>
        <w:rPr>
          <w:snapToGrid w:val="0"/>
        </w:rPr>
        <w:t>DB43/T 388-2020</w:t>
      </w:r>
      <w:r>
        <w:rPr>
          <w:rFonts w:hint="eastAsia"/>
          <w:snapToGrid w:val="0"/>
        </w:rPr>
        <w:t>）中表 2</w:t>
      </w:r>
      <w:r>
        <w:rPr>
          <w:snapToGrid w:val="0"/>
        </w:rPr>
        <w:t xml:space="preserve"> </w:t>
      </w:r>
      <w:r>
        <w:rPr>
          <w:rFonts w:hint="eastAsia"/>
          <w:snapToGrid w:val="0"/>
        </w:rPr>
        <w:t>规定位置灌溉用水定额中苗木数据（灌溉保证率取75%），用水定额按99</w:t>
      </w:r>
      <w:r>
        <w:rPr>
          <w:snapToGrid w:val="0"/>
        </w:rPr>
        <w:t>m</w:t>
      </w:r>
      <w:r>
        <w:rPr>
          <w:snapToGrid w:val="0"/>
          <w:vertAlign w:val="superscript"/>
        </w:rPr>
        <w:t>3</w:t>
      </w:r>
      <w:r>
        <w:rPr>
          <w:snapToGrid w:val="0"/>
        </w:rPr>
        <w:t xml:space="preserve"> /667m</w:t>
      </w:r>
      <w:r>
        <w:rPr>
          <w:snapToGrid w:val="0"/>
          <w:vertAlign w:val="superscript"/>
        </w:rPr>
        <w:t>2</w:t>
      </w:r>
      <w:r>
        <w:rPr>
          <w:snapToGrid w:val="0"/>
        </w:rPr>
        <w:t>·a</w:t>
      </w:r>
      <w:r>
        <w:rPr>
          <w:rFonts w:hint="eastAsia"/>
          <w:snapToGrid w:val="0"/>
        </w:rPr>
        <w:t>计算，根据建设单位与飞跃村村委会签订的消纳协议，预计使用20亩的林地进行灌溉，林地灌溉用水量约为1980</w:t>
      </w:r>
      <w:r>
        <w:rPr>
          <w:snapToGrid w:val="0"/>
        </w:rPr>
        <w:t>m</w:t>
      </w:r>
      <w:r>
        <w:rPr>
          <w:snapToGrid w:val="0"/>
          <w:vertAlign w:val="superscript"/>
        </w:rPr>
        <w:t>3</w:t>
      </w:r>
      <w:r>
        <w:rPr>
          <w:snapToGrid w:val="0"/>
        </w:rPr>
        <w:t>/a</w:t>
      </w:r>
      <w:r>
        <w:rPr>
          <w:rFonts w:hint="eastAsia"/>
          <w:snapToGrid w:val="0"/>
        </w:rPr>
        <w:t>，本项目综合废水产生量为</w:t>
      </w:r>
      <w:r>
        <w:rPr>
          <w:rFonts w:hint="eastAsia"/>
        </w:rPr>
        <w:t>1376.294</w:t>
      </w:r>
      <w:r>
        <w:rPr>
          <w:snapToGrid w:val="0"/>
        </w:rPr>
        <w:t>m</w:t>
      </w:r>
      <w:r>
        <w:rPr>
          <w:snapToGrid w:val="0"/>
          <w:vertAlign w:val="superscript"/>
        </w:rPr>
        <w:t>3</w:t>
      </w:r>
      <w:r>
        <w:rPr>
          <w:snapToGrid w:val="0"/>
        </w:rPr>
        <w:t>/a</w:t>
      </w:r>
      <w:r>
        <w:rPr>
          <w:rFonts w:hint="eastAsia"/>
          <w:snapToGrid w:val="0"/>
        </w:rPr>
        <w:t>，因此飞跃村村委会提供的20亩林地足够消纳项目经处理后的废水。</w:t>
      </w:r>
    </w:p>
    <w:p>
      <w:pPr>
        <w:pStyle w:val="49"/>
        <w:ind w:firstLine="480"/>
      </w:pPr>
      <w:bookmarkStart w:id="204" w:name="OLE_LINK1"/>
      <w:r>
        <w:rPr>
          <w:rFonts w:hint="eastAsia"/>
        </w:rPr>
        <w:t>4、废水灌溉方式可行性</w:t>
      </w:r>
    </w:p>
    <w:p>
      <w:pPr>
        <w:pStyle w:val="49"/>
        <w:ind w:firstLine="480"/>
        <w:rPr>
          <w:snapToGrid w:val="0"/>
        </w:rPr>
      </w:pPr>
      <w:r>
        <w:rPr>
          <w:rFonts w:hint="eastAsia"/>
          <w:snapToGrid w:val="0"/>
        </w:rPr>
        <w:t>根据《畜禽养殖业污染治理工程技术规范》（</w:t>
      </w:r>
      <w:r>
        <w:rPr>
          <w:snapToGrid w:val="0"/>
        </w:rPr>
        <w:t>HJ497-2009</w:t>
      </w:r>
      <w:r>
        <w:rPr>
          <w:rFonts w:hint="eastAsia"/>
          <w:snapToGrid w:val="0"/>
        </w:rPr>
        <w:t xml:space="preserve">）第 </w:t>
      </w:r>
      <w:r>
        <w:rPr>
          <w:snapToGrid w:val="0"/>
        </w:rPr>
        <w:t xml:space="preserve">6.1.2.3 </w:t>
      </w:r>
      <w:r>
        <w:rPr>
          <w:rFonts w:hint="eastAsia"/>
          <w:snapToGrid w:val="0"/>
        </w:rPr>
        <w:t>条提出</w:t>
      </w:r>
      <w:r>
        <w:rPr>
          <w:rFonts w:ascii="宋体" w:hAnsi="宋体"/>
          <w:snapToGrid w:val="0"/>
        </w:rPr>
        <w:t>“</w:t>
      </w:r>
      <w:r>
        <w:rPr>
          <w:rFonts w:hint="eastAsia"/>
          <w:snapToGrid w:val="0"/>
        </w:rPr>
        <w:t xml:space="preserve">种养结合的养殖场，贮存池的贮存期不得低于当地农作物生产用肥的最大间隔时间和冬季封冻期或雨季最长降雨期，一般不得小于 </w:t>
      </w:r>
      <w:r>
        <w:rPr>
          <w:snapToGrid w:val="0"/>
        </w:rPr>
        <w:t xml:space="preserve">30d </w:t>
      </w:r>
      <w:r>
        <w:rPr>
          <w:rFonts w:hint="eastAsia"/>
          <w:snapToGrid w:val="0"/>
        </w:rPr>
        <w:t>的排放总量。</w:t>
      </w:r>
      <w:r>
        <w:rPr>
          <w:rFonts w:ascii="宋体" w:hAnsi="宋体"/>
          <w:snapToGrid w:val="0"/>
        </w:rPr>
        <w:t>”</w:t>
      </w:r>
      <w:r>
        <w:rPr>
          <w:rFonts w:hint="eastAsia"/>
          <w:snapToGrid w:val="0"/>
        </w:rPr>
        <w:t xml:space="preserve">，拟建项目按雨季 </w:t>
      </w:r>
      <w:r>
        <w:rPr>
          <w:snapToGrid w:val="0"/>
        </w:rPr>
        <w:t xml:space="preserve">30d </w:t>
      </w:r>
      <w:r>
        <w:rPr>
          <w:rFonts w:hint="eastAsia"/>
          <w:snapToGrid w:val="0"/>
        </w:rPr>
        <w:t>考虑，</w:t>
      </w:r>
      <w:r>
        <w:rPr>
          <w:rStyle w:val="83"/>
        </w:rPr>
        <w:t>废水排放量=</w:t>
      </w:r>
      <w:r>
        <w:rPr>
          <w:rStyle w:val="83"/>
          <w:rFonts w:hint="eastAsia"/>
        </w:rPr>
        <w:t>3</w:t>
      </w:r>
      <w:r>
        <w:rPr>
          <w:rStyle w:val="83"/>
        </w:rPr>
        <w:t>0×</w:t>
      </w:r>
      <w:r>
        <w:rPr>
          <w:rStyle w:val="83"/>
          <w:rFonts w:hint="eastAsia"/>
        </w:rPr>
        <w:t>3.77</w:t>
      </w:r>
      <w:r>
        <w:rPr>
          <w:rStyle w:val="83"/>
        </w:rPr>
        <w:t>m</w:t>
      </w:r>
      <w:r>
        <w:rPr>
          <w:rStyle w:val="83"/>
          <w:vertAlign w:val="superscript"/>
        </w:rPr>
        <w:t>3</w:t>
      </w:r>
      <w:r>
        <w:rPr>
          <w:rStyle w:val="83"/>
        </w:rPr>
        <w:t>/d（全年平均每天）=</w:t>
      </w:r>
      <w:r>
        <w:rPr>
          <w:rStyle w:val="83"/>
          <w:rFonts w:hint="eastAsia"/>
        </w:rPr>
        <w:t>113.1</w:t>
      </w:r>
      <w:r>
        <w:rPr>
          <w:rStyle w:val="83"/>
        </w:rPr>
        <w:t>m</w:t>
      </w:r>
      <w:r>
        <w:rPr>
          <w:rStyle w:val="83"/>
          <w:vertAlign w:val="superscript"/>
        </w:rPr>
        <w:t>3</w:t>
      </w:r>
      <w:r>
        <w:rPr>
          <w:rStyle w:val="83"/>
          <w:rFonts w:hint="eastAsia"/>
        </w:rPr>
        <w:t>。</w:t>
      </w:r>
      <w:r>
        <w:rPr>
          <w:rFonts w:hint="eastAsia"/>
          <w:snapToGrid w:val="0"/>
        </w:rPr>
        <w:t>项目拟设置1个容积为120m</w:t>
      </w:r>
      <w:r>
        <w:rPr>
          <w:rFonts w:hint="eastAsia"/>
          <w:snapToGrid w:val="0"/>
          <w:vertAlign w:val="superscript"/>
        </w:rPr>
        <w:t>3</w:t>
      </w:r>
      <w:r>
        <w:rPr>
          <w:rFonts w:hint="eastAsia"/>
          <w:snapToGrid w:val="0"/>
        </w:rPr>
        <w:t>的尾水贮存池，贮存池在梅雨、暴雨等降雨量较大或集中时段、非灌溉期</w:t>
      </w:r>
      <w:r>
        <w:t>可贮存</w:t>
      </w:r>
      <w:r>
        <w:rPr>
          <w:rFonts w:hint="eastAsia"/>
        </w:rPr>
        <w:t>3</w:t>
      </w:r>
      <w:r>
        <w:t>0d 的污水量，能够确保处理达标的废水在雨天不外排，满足《畜禽养殖业污染防治技术规范》（HJ/T81-2001）的要求。</w:t>
      </w:r>
    </w:p>
    <w:p>
      <w:pPr>
        <w:spacing w:line="360" w:lineRule="auto"/>
        <w:ind w:firstLine="480" w:firstLineChars="200"/>
        <w:rPr>
          <w:rFonts w:hint="eastAsia"/>
          <w:u w:val="single"/>
        </w:rPr>
      </w:pPr>
      <w:r>
        <w:t>本项目拟采用</w:t>
      </w:r>
      <w:r>
        <w:rPr>
          <w:rFonts w:hint="eastAsia"/>
        </w:rPr>
        <w:t>滴灌</w:t>
      </w:r>
      <w:r>
        <w:t>的方式进行</w:t>
      </w:r>
      <w:r>
        <w:rPr>
          <w:rFonts w:hint="eastAsia"/>
        </w:rPr>
        <w:t>灌溉</w:t>
      </w:r>
      <w:r>
        <w:t>。灌溉系统由专人负责，严格控制灌溉水量，严禁漫灌及雨天灌溉，避免引发</w:t>
      </w:r>
      <w:r>
        <w:rPr>
          <w:rFonts w:hint="eastAsia"/>
        </w:rPr>
        <w:t>废水</w:t>
      </w:r>
      <w:r>
        <w:t>漫溢，降低因地表径流引起的周边水环境污染的概率。</w:t>
      </w:r>
      <w:r>
        <w:rPr>
          <w:rStyle w:val="83"/>
        </w:rPr>
        <w:t>项目采取灌溉系统具有良好的节水、省水效果，灌溉方式可行。</w:t>
      </w:r>
    </w:p>
    <w:bookmarkEnd w:id="204"/>
    <w:p>
      <w:pPr>
        <w:pStyle w:val="49"/>
        <w:ind w:firstLine="480"/>
        <w:rPr>
          <w:snapToGrid w:val="0"/>
        </w:rPr>
      </w:pPr>
      <w:r>
        <w:rPr>
          <w:rFonts w:hint="eastAsia"/>
          <w:snapToGrid w:val="0"/>
        </w:rPr>
        <w:t>综上，项目建成后全厂废水均得到合理处置，项目废水经一体化污水处理设施处理达标后，用于周边林地灌溉，不外排，对周围地表水环境影响较小。</w:t>
      </w:r>
      <w:bookmarkEnd w:id="202"/>
    </w:p>
    <w:bookmarkEnd w:id="203"/>
    <w:p>
      <w:pPr>
        <w:pStyle w:val="4"/>
      </w:pPr>
      <w:bookmarkStart w:id="205" w:name="_Toc194481190"/>
      <w:r>
        <w:rPr>
          <w:rFonts w:hint="eastAsia"/>
        </w:rPr>
        <w:t>5.3.3 污染物排放量核算</w:t>
      </w:r>
      <w:bookmarkEnd w:id="205"/>
    </w:p>
    <w:p>
      <w:pPr>
        <w:pStyle w:val="49"/>
        <w:ind w:firstLine="480"/>
      </w:pPr>
      <w:r>
        <w:rPr>
          <w:rFonts w:hint="eastAsia"/>
        </w:rPr>
        <w:t>本项目废水主要为鸡舍冲洗废水和生活污水，</w:t>
      </w:r>
      <w:r>
        <w:rPr>
          <w:rFonts w:hint="eastAsia"/>
          <w:szCs w:val="21"/>
        </w:rPr>
        <w:t>一起进入一体化污水处理设施处理达标后，用于周边林地灌溉，不外排</w:t>
      </w:r>
      <w:r>
        <w:rPr>
          <w:rFonts w:hint="eastAsia"/>
        </w:rPr>
        <w:t>。</w:t>
      </w:r>
    </w:p>
    <w:p>
      <w:pPr>
        <w:pStyle w:val="49"/>
        <w:ind w:firstLine="480"/>
      </w:pPr>
      <w:r>
        <w:rPr>
          <w:rFonts w:hint="eastAsia"/>
        </w:rPr>
        <w:t>本项目废水类别、污染物及污染治理设施信息表见表 5.3</w:t>
      </w:r>
      <w:r>
        <w:t>-</w:t>
      </w:r>
      <w:r>
        <w:rPr>
          <w:rFonts w:hint="eastAsia"/>
        </w:rPr>
        <w:t>3。</w:t>
      </w:r>
    </w:p>
    <w:p>
      <w:pPr>
        <w:pStyle w:val="53"/>
        <w:rPr>
          <w:snapToGrid w:val="0"/>
        </w:rPr>
      </w:pPr>
    </w:p>
    <w:p>
      <w:pPr>
        <w:pStyle w:val="53"/>
        <w:rPr>
          <w:snapToGrid w:val="0"/>
        </w:rPr>
      </w:pPr>
    </w:p>
    <w:p>
      <w:pPr>
        <w:pStyle w:val="53"/>
        <w:rPr>
          <w:snapToGrid w:val="0"/>
        </w:rPr>
      </w:pPr>
    </w:p>
    <w:p>
      <w:pPr>
        <w:pStyle w:val="53"/>
        <w:rPr>
          <w:snapToGrid w:val="0"/>
        </w:rPr>
      </w:pPr>
      <w:r>
        <w:rPr>
          <w:snapToGrid w:val="0"/>
        </w:rPr>
        <w:t>表</w:t>
      </w:r>
      <w:r>
        <w:rPr>
          <w:rFonts w:hint="eastAsia"/>
          <w:snapToGrid w:val="0"/>
        </w:rPr>
        <w:t>5</w:t>
      </w:r>
      <w:r>
        <w:rPr>
          <w:snapToGrid w:val="0"/>
        </w:rPr>
        <w:t>.</w:t>
      </w:r>
      <w:r>
        <w:rPr>
          <w:rFonts w:hint="eastAsia"/>
          <w:snapToGrid w:val="0"/>
        </w:rPr>
        <w:t>3</w:t>
      </w:r>
      <w:r>
        <w:rPr>
          <w:snapToGrid w:val="0"/>
        </w:rPr>
        <w:t>-</w:t>
      </w:r>
      <w:r>
        <w:rPr>
          <w:rFonts w:hint="eastAsia"/>
          <w:snapToGrid w:val="0"/>
        </w:rPr>
        <w:t>3</w:t>
      </w:r>
      <w:r>
        <w:rPr>
          <w:snapToGrid w:val="0"/>
        </w:rPr>
        <w:t xml:space="preserve"> </w:t>
      </w:r>
      <w:r>
        <w:rPr>
          <w:rFonts w:hint="eastAsia"/>
        </w:rPr>
        <w:t xml:space="preserve"> </w:t>
      </w:r>
      <w:r>
        <w:rPr>
          <w:rFonts w:hint="eastAsia"/>
          <w:snapToGrid w:val="0"/>
        </w:rPr>
        <w:t>废水类别、污染物及污染治理设施信息表</w:t>
      </w:r>
    </w:p>
    <w:tbl>
      <w:tblPr>
        <w:tblStyle w:val="40"/>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61"/>
        <w:gridCol w:w="1134"/>
        <w:gridCol w:w="567"/>
        <w:gridCol w:w="567"/>
        <w:gridCol w:w="992"/>
        <w:gridCol w:w="850"/>
        <w:gridCol w:w="1563"/>
        <w:gridCol w:w="707"/>
        <w:gridCol w:w="85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pStyle w:val="51"/>
              <w:rPr>
                <w:snapToGrid w:val="0"/>
              </w:rPr>
            </w:pPr>
            <w:r>
              <w:rPr>
                <w:rFonts w:hint="eastAsia"/>
              </w:rPr>
              <w:t>序号</w:t>
            </w:r>
          </w:p>
        </w:tc>
        <w:tc>
          <w:tcPr>
            <w:tcW w:w="561" w:type="dxa"/>
            <w:vMerge w:val="restart"/>
            <w:vAlign w:val="center"/>
          </w:tcPr>
          <w:p>
            <w:pPr>
              <w:pStyle w:val="51"/>
              <w:rPr>
                <w:snapToGrid w:val="0"/>
              </w:rPr>
            </w:pPr>
            <w:r>
              <w:rPr>
                <w:rFonts w:hint="eastAsia"/>
              </w:rPr>
              <w:t>废水类别</w:t>
            </w:r>
          </w:p>
        </w:tc>
        <w:tc>
          <w:tcPr>
            <w:tcW w:w="1134" w:type="dxa"/>
            <w:vMerge w:val="restart"/>
            <w:vAlign w:val="center"/>
          </w:tcPr>
          <w:p>
            <w:pPr>
              <w:pStyle w:val="51"/>
              <w:rPr>
                <w:snapToGrid w:val="0"/>
              </w:rPr>
            </w:pPr>
            <w:r>
              <w:rPr>
                <w:rFonts w:hint="eastAsia"/>
              </w:rPr>
              <w:t>污染物种类</w:t>
            </w:r>
          </w:p>
        </w:tc>
        <w:tc>
          <w:tcPr>
            <w:tcW w:w="567" w:type="dxa"/>
            <w:vMerge w:val="restart"/>
            <w:vAlign w:val="center"/>
          </w:tcPr>
          <w:p>
            <w:pPr>
              <w:pStyle w:val="51"/>
              <w:rPr>
                <w:snapToGrid w:val="0"/>
              </w:rPr>
            </w:pPr>
            <w:r>
              <w:rPr>
                <w:rFonts w:hint="eastAsia"/>
              </w:rPr>
              <w:t>排放去向</w:t>
            </w:r>
          </w:p>
        </w:tc>
        <w:tc>
          <w:tcPr>
            <w:tcW w:w="567" w:type="dxa"/>
            <w:vMerge w:val="restart"/>
            <w:vAlign w:val="center"/>
          </w:tcPr>
          <w:p>
            <w:pPr>
              <w:pStyle w:val="51"/>
              <w:rPr>
                <w:snapToGrid w:val="0"/>
              </w:rPr>
            </w:pPr>
            <w:r>
              <w:rPr>
                <w:rFonts w:hint="eastAsia"/>
              </w:rPr>
              <w:t>排放规律</w:t>
            </w:r>
          </w:p>
        </w:tc>
        <w:tc>
          <w:tcPr>
            <w:tcW w:w="3405" w:type="dxa"/>
            <w:gridSpan w:val="3"/>
            <w:vAlign w:val="center"/>
          </w:tcPr>
          <w:p>
            <w:pPr>
              <w:pStyle w:val="51"/>
              <w:rPr>
                <w:snapToGrid w:val="0"/>
              </w:rPr>
            </w:pPr>
            <w:r>
              <w:rPr>
                <w:rFonts w:hint="eastAsia"/>
              </w:rPr>
              <w:t>污染治理设施</w:t>
            </w:r>
          </w:p>
        </w:tc>
        <w:tc>
          <w:tcPr>
            <w:tcW w:w="707" w:type="dxa"/>
            <w:vMerge w:val="restart"/>
            <w:vAlign w:val="center"/>
          </w:tcPr>
          <w:p>
            <w:pPr>
              <w:pStyle w:val="51"/>
            </w:pPr>
            <w:r>
              <w:rPr>
                <w:rFonts w:hint="eastAsia"/>
              </w:rPr>
              <w:t>排放口编号</w:t>
            </w:r>
          </w:p>
        </w:tc>
        <w:tc>
          <w:tcPr>
            <w:tcW w:w="850" w:type="dxa"/>
            <w:vMerge w:val="restart"/>
            <w:vAlign w:val="center"/>
          </w:tcPr>
          <w:p>
            <w:pPr>
              <w:pStyle w:val="51"/>
              <w:rPr>
                <w:snapToGrid w:val="0"/>
              </w:rPr>
            </w:pPr>
            <w:r>
              <w:rPr>
                <w:rFonts w:hint="eastAsia"/>
              </w:rPr>
              <w:t>排放口设置是否符合要求</w:t>
            </w:r>
          </w:p>
        </w:tc>
        <w:tc>
          <w:tcPr>
            <w:tcW w:w="708" w:type="dxa"/>
            <w:vMerge w:val="restart"/>
            <w:vAlign w:val="center"/>
          </w:tcPr>
          <w:p>
            <w:pPr>
              <w:pStyle w:val="51"/>
              <w:rPr>
                <w:snapToGrid w:val="0"/>
              </w:rPr>
            </w:pPr>
            <w:r>
              <w:rPr>
                <w:rFonts w:hint="eastAsia"/>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27" w:type="dxa"/>
            <w:vMerge w:val="continue"/>
            <w:vAlign w:val="center"/>
          </w:tcPr>
          <w:p>
            <w:pPr>
              <w:pStyle w:val="51"/>
              <w:rPr>
                <w:snapToGrid w:val="0"/>
              </w:rPr>
            </w:pPr>
          </w:p>
        </w:tc>
        <w:tc>
          <w:tcPr>
            <w:tcW w:w="561" w:type="dxa"/>
            <w:vMerge w:val="continue"/>
            <w:vAlign w:val="center"/>
          </w:tcPr>
          <w:p>
            <w:pPr>
              <w:pStyle w:val="51"/>
              <w:rPr>
                <w:snapToGrid w:val="0"/>
              </w:rPr>
            </w:pPr>
          </w:p>
        </w:tc>
        <w:tc>
          <w:tcPr>
            <w:tcW w:w="1134" w:type="dxa"/>
            <w:vMerge w:val="continue"/>
            <w:vAlign w:val="center"/>
          </w:tcPr>
          <w:p>
            <w:pPr>
              <w:pStyle w:val="51"/>
              <w:rPr>
                <w:snapToGrid w:val="0"/>
              </w:rPr>
            </w:pPr>
          </w:p>
        </w:tc>
        <w:tc>
          <w:tcPr>
            <w:tcW w:w="567" w:type="dxa"/>
            <w:vMerge w:val="continue"/>
            <w:vAlign w:val="center"/>
          </w:tcPr>
          <w:p>
            <w:pPr>
              <w:pStyle w:val="51"/>
              <w:rPr>
                <w:snapToGrid w:val="0"/>
              </w:rPr>
            </w:pPr>
          </w:p>
        </w:tc>
        <w:tc>
          <w:tcPr>
            <w:tcW w:w="567" w:type="dxa"/>
            <w:vMerge w:val="continue"/>
            <w:vAlign w:val="center"/>
          </w:tcPr>
          <w:p>
            <w:pPr>
              <w:pStyle w:val="51"/>
              <w:rPr>
                <w:snapToGrid w:val="0"/>
              </w:rPr>
            </w:pPr>
          </w:p>
        </w:tc>
        <w:tc>
          <w:tcPr>
            <w:tcW w:w="992" w:type="dxa"/>
            <w:vAlign w:val="center"/>
          </w:tcPr>
          <w:p>
            <w:pPr>
              <w:pStyle w:val="51"/>
              <w:rPr>
                <w:sz w:val="24"/>
              </w:rPr>
            </w:pPr>
            <w:r>
              <w:rPr>
                <w:rFonts w:hint="eastAsia"/>
              </w:rPr>
              <w:t xml:space="preserve">污染治 </w:t>
            </w:r>
          </w:p>
          <w:p>
            <w:pPr>
              <w:pStyle w:val="51"/>
              <w:rPr>
                <w:snapToGrid w:val="0"/>
              </w:rPr>
            </w:pPr>
            <w:r>
              <w:rPr>
                <w:rFonts w:hint="eastAsia"/>
              </w:rPr>
              <w:t>理设施编号</w:t>
            </w:r>
          </w:p>
        </w:tc>
        <w:tc>
          <w:tcPr>
            <w:tcW w:w="850" w:type="dxa"/>
            <w:vAlign w:val="center"/>
          </w:tcPr>
          <w:p>
            <w:pPr>
              <w:pStyle w:val="51"/>
              <w:rPr>
                <w:snapToGrid w:val="0"/>
              </w:rPr>
            </w:pPr>
            <w:r>
              <w:rPr>
                <w:rFonts w:hint="eastAsia"/>
              </w:rPr>
              <w:t>污染治理设施名称</w:t>
            </w:r>
          </w:p>
        </w:tc>
        <w:tc>
          <w:tcPr>
            <w:tcW w:w="1563" w:type="dxa"/>
            <w:vAlign w:val="center"/>
          </w:tcPr>
          <w:p>
            <w:pPr>
              <w:pStyle w:val="51"/>
            </w:pPr>
            <w:r>
              <w:rPr>
                <w:rFonts w:hint="eastAsia"/>
              </w:rPr>
              <w:t>污染治理设施工艺</w:t>
            </w:r>
          </w:p>
        </w:tc>
        <w:tc>
          <w:tcPr>
            <w:tcW w:w="707" w:type="dxa"/>
            <w:vMerge w:val="continue"/>
            <w:vAlign w:val="center"/>
          </w:tcPr>
          <w:p>
            <w:pPr>
              <w:pStyle w:val="51"/>
              <w:rPr>
                <w:snapToGrid w:val="0"/>
              </w:rPr>
            </w:pPr>
          </w:p>
        </w:tc>
        <w:tc>
          <w:tcPr>
            <w:tcW w:w="850" w:type="dxa"/>
            <w:vMerge w:val="continue"/>
            <w:vAlign w:val="center"/>
          </w:tcPr>
          <w:p>
            <w:pPr>
              <w:pStyle w:val="51"/>
              <w:rPr>
                <w:snapToGrid w:val="0"/>
              </w:rPr>
            </w:pPr>
          </w:p>
        </w:tc>
        <w:tc>
          <w:tcPr>
            <w:tcW w:w="708" w:type="dxa"/>
            <w:vMerge w:val="continue"/>
            <w:vAlign w:val="center"/>
          </w:tcPr>
          <w:p>
            <w:pPr>
              <w:pStyle w:val="51"/>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pStyle w:val="51"/>
              <w:rPr>
                <w:snapToGrid w:val="0"/>
              </w:rPr>
            </w:pPr>
            <w:r>
              <w:rPr>
                <w:rFonts w:hint="eastAsia"/>
              </w:rPr>
              <w:t>1</w:t>
            </w:r>
          </w:p>
        </w:tc>
        <w:tc>
          <w:tcPr>
            <w:tcW w:w="561" w:type="dxa"/>
            <w:vAlign w:val="center"/>
          </w:tcPr>
          <w:p>
            <w:pPr>
              <w:pStyle w:val="51"/>
              <w:rPr>
                <w:snapToGrid w:val="0"/>
              </w:rPr>
            </w:pPr>
            <w:r>
              <w:rPr>
                <w:rFonts w:hint="eastAsia"/>
              </w:rPr>
              <w:t>综合废水</w:t>
            </w:r>
          </w:p>
        </w:tc>
        <w:tc>
          <w:tcPr>
            <w:tcW w:w="1134" w:type="dxa"/>
            <w:vAlign w:val="center"/>
          </w:tcPr>
          <w:p>
            <w:pPr>
              <w:pStyle w:val="51"/>
              <w:rPr>
                <w:snapToGrid w:val="0"/>
              </w:rPr>
            </w:pPr>
            <w:r>
              <w:t>COD</w:t>
            </w:r>
            <w:r>
              <w:rPr>
                <w:rFonts w:hint="eastAsia"/>
              </w:rPr>
              <w:t>、</w:t>
            </w:r>
            <w:r>
              <w:t>BOD</w:t>
            </w:r>
            <w:r>
              <w:rPr>
                <w:vertAlign w:val="subscript"/>
              </w:rPr>
              <w:t>5</w:t>
            </w:r>
            <w:r>
              <w:rPr>
                <w:rFonts w:hint="eastAsia"/>
              </w:rPr>
              <w:t>、</w:t>
            </w:r>
            <w:r>
              <w:t>SS</w:t>
            </w:r>
            <w:r>
              <w:rPr>
                <w:rFonts w:hint="eastAsia"/>
              </w:rPr>
              <w:t>、氨氮、</w:t>
            </w:r>
            <w:r>
              <w:t>TN</w:t>
            </w:r>
            <w:r>
              <w:rPr>
                <w:rFonts w:hint="eastAsia"/>
              </w:rPr>
              <w:t>、</w:t>
            </w:r>
            <w:r>
              <w:t>TP</w:t>
            </w:r>
          </w:p>
        </w:tc>
        <w:tc>
          <w:tcPr>
            <w:tcW w:w="567" w:type="dxa"/>
            <w:vAlign w:val="center"/>
          </w:tcPr>
          <w:p>
            <w:pPr>
              <w:pStyle w:val="51"/>
              <w:rPr>
                <w:snapToGrid w:val="0"/>
              </w:rPr>
            </w:pPr>
            <w:r>
              <w:rPr>
                <w:rFonts w:hint="eastAsia"/>
              </w:rPr>
              <w:t>不外排</w:t>
            </w:r>
          </w:p>
        </w:tc>
        <w:tc>
          <w:tcPr>
            <w:tcW w:w="567" w:type="dxa"/>
            <w:vAlign w:val="center"/>
          </w:tcPr>
          <w:p>
            <w:pPr>
              <w:pStyle w:val="51"/>
              <w:rPr>
                <w:snapToGrid w:val="0"/>
              </w:rPr>
            </w:pPr>
            <w:r>
              <w:rPr>
                <w:rFonts w:hint="eastAsia"/>
              </w:rPr>
              <w:t>/</w:t>
            </w:r>
          </w:p>
        </w:tc>
        <w:tc>
          <w:tcPr>
            <w:tcW w:w="992" w:type="dxa"/>
            <w:vAlign w:val="center"/>
          </w:tcPr>
          <w:p>
            <w:pPr>
              <w:pStyle w:val="51"/>
            </w:pPr>
            <w:r>
              <w:rPr>
                <w:rFonts w:hint="eastAsia"/>
              </w:rPr>
              <w:t>TW001</w:t>
            </w:r>
          </w:p>
        </w:tc>
        <w:tc>
          <w:tcPr>
            <w:tcW w:w="850" w:type="dxa"/>
            <w:vAlign w:val="center"/>
          </w:tcPr>
          <w:p>
            <w:pPr>
              <w:pStyle w:val="51"/>
            </w:pPr>
            <w:r>
              <w:rPr>
                <w:rFonts w:hint="eastAsia"/>
              </w:rPr>
              <w:t>一体化污水处理设施</w:t>
            </w:r>
          </w:p>
        </w:tc>
        <w:tc>
          <w:tcPr>
            <w:tcW w:w="1563" w:type="dxa"/>
            <w:vAlign w:val="center"/>
          </w:tcPr>
          <w:p>
            <w:pPr>
              <w:pStyle w:val="51"/>
            </w:pPr>
            <w:r>
              <w:rPr>
                <w:rFonts w:hint="eastAsia"/>
              </w:rPr>
              <w:t>格栅池+调节池+水解酸化池+A/O池+沉淀池+消毒</w:t>
            </w:r>
            <w:r>
              <w:rPr>
                <w:rStyle w:val="83"/>
                <w:rFonts w:hint="eastAsia"/>
              </w:rPr>
              <w:t>池</w:t>
            </w:r>
          </w:p>
        </w:tc>
        <w:tc>
          <w:tcPr>
            <w:tcW w:w="707" w:type="dxa"/>
            <w:vAlign w:val="center"/>
          </w:tcPr>
          <w:p>
            <w:pPr>
              <w:pStyle w:val="51"/>
              <w:rPr>
                <w:snapToGrid w:val="0"/>
              </w:rPr>
            </w:pPr>
            <w:r>
              <w:rPr>
                <w:rFonts w:hint="eastAsia"/>
              </w:rPr>
              <w:t>/</w:t>
            </w:r>
          </w:p>
        </w:tc>
        <w:tc>
          <w:tcPr>
            <w:tcW w:w="850" w:type="dxa"/>
            <w:vAlign w:val="center"/>
          </w:tcPr>
          <w:p>
            <w:pPr>
              <w:pStyle w:val="51"/>
              <w:rPr>
                <w:snapToGrid w:val="0"/>
              </w:rPr>
            </w:pPr>
            <w:r>
              <w:rPr>
                <w:rFonts w:hint="eastAsia"/>
              </w:rPr>
              <w:t>/</w:t>
            </w:r>
          </w:p>
        </w:tc>
        <w:tc>
          <w:tcPr>
            <w:tcW w:w="708" w:type="dxa"/>
            <w:vAlign w:val="center"/>
          </w:tcPr>
          <w:p>
            <w:pPr>
              <w:pStyle w:val="51"/>
              <w:rPr>
                <w:snapToGrid w:val="0"/>
              </w:rPr>
            </w:pPr>
            <w:r>
              <w:rPr>
                <w:rFonts w:hint="eastAsia"/>
              </w:rPr>
              <w:t>/</w:t>
            </w:r>
          </w:p>
        </w:tc>
      </w:tr>
    </w:tbl>
    <w:p>
      <w:pPr>
        <w:pStyle w:val="53"/>
        <w:rPr>
          <w:b w:val="0"/>
          <w:bCs/>
          <w:snapToGrid w:val="0"/>
        </w:rPr>
      </w:pPr>
    </w:p>
    <w:p>
      <w:pPr>
        <w:pStyle w:val="49"/>
        <w:ind w:firstLine="480"/>
        <w:sectPr>
          <w:pgSz w:w="11906" w:h="16838"/>
          <w:pgMar w:top="1440" w:right="1800" w:bottom="1440" w:left="1800" w:header="851" w:footer="992" w:gutter="0"/>
          <w:cols w:space="425" w:num="1"/>
          <w:docGrid w:type="lines" w:linePitch="312" w:charSpace="0"/>
        </w:sectPr>
      </w:pPr>
    </w:p>
    <w:p>
      <w:pPr>
        <w:pStyle w:val="3"/>
      </w:pPr>
      <w:bookmarkStart w:id="206" w:name="_Toc194481191"/>
      <w:r>
        <w:rPr>
          <w:rFonts w:hint="eastAsia"/>
        </w:rPr>
        <w:t>5</w:t>
      </w:r>
      <w:r>
        <w:t>.</w:t>
      </w:r>
      <w:r>
        <w:rPr>
          <w:rFonts w:hint="eastAsia"/>
        </w:rPr>
        <w:t>4 地下水</w:t>
      </w:r>
      <w:r>
        <w:t>环境影响分析</w:t>
      </w:r>
      <w:bookmarkEnd w:id="206"/>
    </w:p>
    <w:p>
      <w:pPr>
        <w:pStyle w:val="4"/>
      </w:pPr>
      <w:bookmarkStart w:id="207" w:name="_Toc194481192"/>
      <w:r>
        <w:rPr>
          <w:rFonts w:hint="eastAsia"/>
        </w:rPr>
        <w:t>5.4.</w:t>
      </w:r>
      <w:r>
        <w:t>1</w:t>
      </w:r>
      <w:r>
        <w:rPr>
          <w:rFonts w:hint="eastAsia"/>
        </w:rPr>
        <w:t xml:space="preserve"> 地下水评价等级的确定</w:t>
      </w:r>
      <w:bookmarkEnd w:id="207"/>
    </w:p>
    <w:p>
      <w:pPr>
        <w:pStyle w:val="49"/>
        <w:ind w:firstLine="480"/>
      </w:pPr>
      <w:r>
        <w:t>根据《环境影响评价技术导则 地下水环境》（HJ610-2016）</w:t>
      </w:r>
      <w:r>
        <w:rPr>
          <w:rFonts w:hint="eastAsia"/>
        </w:rPr>
        <w:t>附录A中地下水环境影响评价行业分类表，本项目属于</w:t>
      </w:r>
      <w:r>
        <w:rPr>
          <w:rFonts w:hint="eastAsia" w:ascii="宋体" w:hAnsi="宋体"/>
          <w:color w:val="000000"/>
          <w14:ligatures w14:val="none"/>
        </w:rPr>
        <w:t>“</w:t>
      </w:r>
      <w:r>
        <w:rPr>
          <w:rFonts w:hint="eastAsia" w:cs="Times New Roman"/>
          <w:color w:val="000000"/>
          <w14:ligatures w14:val="none"/>
        </w:rPr>
        <w:t>畜禽养殖场、养殖小区</w:t>
      </w:r>
      <w:r>
        <w:rPr>
          <w:rFonts w:hint="eastAsia" w:ascii="宋体" w:hAnsi="宋体"/>
          <w:color w:val="000000"/>
          <w14:ligatures w14:val="none"/>
        </w:rPr>
        <w:t>”报告书，</w:t>
      </w:r>
      <w:r>
        <w:rPr>
          <w:rFonts w:hint="eastAsia"/>
        </w:rPr>
        <w:t>地下水环境影响评价项目类别为</w:t>
      </w:r>
      <w:r>
        <w:rPr>
          <w:rFonts w:cs="Times New Roman"/>
          <w:color w:val="000000"/>
          <w14:ligatures w14:val="none"/>
        </w:rPr>
        <w:t>III</w:t>
      </w:r>
      <w:r>
        <w:t>类</w:t>
      </w:r>
      <w:r>
        <w:rPr>
          <w:rFonts w:hint="eastAsia"/>
        </w:rPr>
        <w:t>。</w:t>
      </w:r>
    </w:p>
    <w:p>
      <w:pPr>
        <w:pStyle w:val="49"/>
        <w:ind w:firstLine="480"/>
      </w:pPr>
      <w:r>
        <w:rPr>
          <w:rFonts w:hint="eastAsia"/>
        </w:rPr>
        <w:t>建设项目的地下水环境敏感程度可分为敏感、较敏感、不敏感三级，分级原则见表5.4-1。</w:t>
      </w:r>
    </w:p>
    <w:p>
      <w:pPr>
        <w:pStyle w:val="53"/>
      </w:pPr>
      <w:r>
        <w:t>表</w:t>
      </w:r>
      <w:r>
        <w:rPr>
          <w:rFonts w:hint="eastAsia"/>
        </w:rPr>
        <w:t>5.4</w:t>
      </w:r>
      <w:r>
        <w:t>-</w:t>
      </w:r>
      <w:r>
        <w:rPr>
          <w:rFonts w:hint="eastAsia"/>
        </w:rPr>
        <w:t>1</w:t>
      </w:r>
      <w:r>
        <w:t xml:space="preserve"> 地下水环境敏感程度分级</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51"/>
            </w:pPr>
            <w:r>
              <w:rPr>
                <w:color w:val="000000"/>
                <w:szCs w:val="21"/>
              </w:rPr>
              <w:t>分级</w:t>
            </w:r>
          </w:p>
        </w:tc>
        <w:tc>
          <w:tcPr>
            <w:tcW w:w="7450" w:type="dxa"/>
            <w:vAlign w:val="center"/>
          </w:tcPr>
          <w:p>
            <w:pPr>
              <w:pStyle w:val="51"/>
            </w:pPr>
            <w:r>
              <w:rPr>
                <w:color w:val="000000"/>
                <w:szCs w:val="21"/>
              </w:rPr>
              <w:t>项目场地的地下水环境敏感特征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51"/>
            </w:pPr>
            <w:r>
              <w:rPr>
                <w:color w:val="000000"/>
                <w:szCs w:val="21"/>
              </w:rPr>
              <w:t>敏感</w:t>
            </w:r>
          </w:p>
        </w:tc>
        <w:tc>
          <w:tcPr>
            <w:tcW w:w="7450" w:type="dxa"/>
            <w:vAlign w:val="center"/>
          </w:tcPr>
          <w:p>
            <w:pPr>
              <w:pStyle w:val="51"/>
              <w:jc w:val="both"/>
            </w:pPr>
            <w:r>
              <w:rPr>
                <w:color w:val="000000"/>
                <w:szCs w:val="21"/>
              </w:rPr>
              <w:t>集中式饮用水水源（包括已建成的在用、备用、应急水源地，在建和规划的水源地）准保护区；除生活供水水源地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51"/>
            </w:pPr>
            <w:r>
              <w:rPr>
                <w:color w:val="000000"/>
                <w:szCs w:val="21"/>
              </w:rPr>
              <w:t>较敏感</w:t>
            </w:r>
          </w:p>
        </w:tc>
        <w:tc>
          <w:tcPr>
            <w:tcW w:w="7450" w:type="dxa"/>
            <w:vAlign w:val="center"/>
          </w:tcPr>
          <w:p>
            <w:pPr>
              <w:pStyle w:val="51"/>
              <w:jc w:val="both"/>
            </w:pPr>
            <w:r>
              <w:rPr>
                <w:color w:val="000000"/>
                <w:szCs w:val="21"/>
              </w:rPr>
              <w:t>集中式饮用水水源（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pStyle w:val="51"/>
            </w:pPr>
            <w:r>
              <w:rPr>
                <w:color w:val="000000"/>
                <w:szCs w:val="21"/>
              </w:rPr>
              <w:t>不敏感</w:t>
            </w:r>
          </w:p>
        </w:tc>
        <w:tc>
          <w:tcPr>
            <w:tcW w:w="7450" w:type="dxa"/>
            <w:vAlign w:val="center"/>
          </w:tcPr>
          <w:p>
            <w:pPr>
              <w:pStyle w:val="51"/>
              <w:jc w:val="both"/>
            </w:pPr>
            <w:r>
              <w:rPr>
                <w:color w:val="000000"/>
                <w:szCs w:val="21"/>
              </w:rPr>
              <w:t>以上情形之外的其它地区。</w:t>
            </w:r>
          </w:p>
        </w:tc>
      </w:tr>
    </w:tbl>
    <w:p>
      <w:pPr>
        <w:pStyle w:val="49"/>
        <w:ind w:firstLine="480"/>
        <w:rPr>
          <w:color w:val="000000"/>
        </w:rPr>
      </w:pPr>
      <w:r>
        <w:rPr>
          <w:color w:val="000000"/>
        </w:rPr>
        <w:t>根据调查可知，</w:t>
      </w:r>
      <w:r>
        <w:rPr>
          <w:rFonts w:hint="eastAsia"/>
          <w:color w:val="000000"/>
        </w:rPr>
        <w:t>项目</w:t>
      </w:r>
      <w:r>
        <w:rPr>
          <w:rFonts w:hint="eastAsia"/>
        </w:rPr>
        <w:t>周边居民大多使用地下水，即项目所在地为农村居民分散式饮用水水源地，</w:t>
      </w:r>
      <w:r>
        <w:rPr>
          <w:rFonts w:cs="Times New Roman"/>
          <w:color w:val="000000"/>
        </w:rPr>
        <w:t>地下水环境敏感程度为</w:t>
      </w:r>
      <w:r>
        <w:rPr>
          <w:rFonts w:hint="eastAsia" w:cs="Times New Roman"/>
          <w:color w:val="000000"/>
        </w:rPr>
        <w:t>较</w:t>
      </w:r>
      <w:r>
        <w:rPr>
          <w:rFonts w:cs="Times New Roman"/>
          <w:color w:val="000000"/>
        </w:rPr>
        <w:t>敏感。</w:t>
      </w:r>
    </w:p>
    <w:p>
      <w:pPr>
        <w:pStyle w:val="49"/>
        <w:ind w:firstLine="480"/>
      </w:pPr>
      <w:r>
        <w:t>根据《环境影响评价技术导则—地下水环境》（HJ610-2016）中地下水环境影响评价工作等级划分的原则对工程评价工作等级进行划分。</w:t>
      </w:r>
    </w:p>
    <w:p>
      <w:pPr>
        <w:pStyle w:val="53"/>
      </w:pPr>
      <w:r>
        <w:t>表</w:t>
      </w:r>
      <w:r>
        <w:rPr>
          <w:rFonts w:hint="eastAsia"/>
        </w:rPr>
        <w:t>5.4</w:t>
      </w:r>
      <w:r>
        <w:t>-</w:t>
      </w:r>
      <w:r>
        <w:rPr>
          <w:rFonts w:hint="eastAsia"/>
        </w:rPr>
        <w:t>2 评价工作等级分级表</w:t>
      </w:r>
      <w:r>
        <w:t xml:space="preserve"> </w:t>
      </w:r>
    </w:p>
    <w:tbl>
      <w:tblPr>
        <w:tblStyle w:val="39"/>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9"/>
        <w:gridCol w:w="1577"/>
        <w:gridCol w:w="1575"/>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tcBorders>
              <w:tl2br w:val="single" w:color="auto" w:sz="4" w:space="0"/>
            </w:tcBorders>
            <w:vAlign w:val="center"/>
          </w:tcPr>
          <w:p>
            <w:pPr>
              <w:pStyle w:val="51"/>
              <w:rPr>
                <w:snapToGrid w:val="0"/>
              </w:rPr>
            </w:pPr>
            <w:r>
              <w:rPr>
                <w:rFonts w:hint="eastAsia"/>
                <w:snapToGrid w:val="0"/>
              </w:rPr>
              <w:t xml:space="preserve">                   </w:t>
            </w:r>
            <w:r>
              <w:rPr>
                <w:snapToGrid w:val="0"/>
              </w:rPr>
              <w:t>项目类别</w:t>
            </w:r>
          </w:p>
          <w:p>
            <w:pPr>
              <w:pStyle w:val="51"/>
              <w:jc w:val="both"/>
              <w:rPr>
                <w:snapToGrid w:val="0"/>
              </w:rPr>
            </w:pPr>
            <w:r>
              <w:rPr>
                <w:snapToGrid w:val="0"/>
              </w:rPr>
              <w:t>环境敏感程度</w:t>
            </w:r>
          </w:p>
        </w:tc>
        <w:tc>
          <w:tcPr>
            <w:tcW w:w="1577" w:type="dxa"/>
            <w:vAlign w:val="center"/>
          </w:tcPr>
          <w:p>
            <w:pPr>
              <w:pStyle w:val="51"/>
              <w:rPr>
                <w:snapToGrid w:val="0"/>
              </w:rPr>
            </w:pPr>
            <w:r>
              <w:rPr>
                <w:snapToGrid w:val="0"/>
              </w:rPr>
              <w:t>Ⅰ类项目</w:t>
            </w:r>
          </w:p>
        </w:tc>
        <w:tc>
          <w:tcPr>
            <w:tcW w:w="1575" w:type="dxa"/>
            <w:vAlign w:val="center"/>
          </w:tcPr>
          <w:p>
            <w:pPr>
              <w:pStyle w:val="51"/>
              <w:rPr>
                <w:snapToGrid w:val="0"/>
              </w:rPr>
            </w:pPr>
            <w:r>
              <w:rPr>
                <w:snapToGrid w:val="0"/>
              </w:rPr>
              <w:t>Ⅱ类项目</w:t>
            </w:r>
          </w:p>
        </w:tc>
        <w:tc>
          <w:tcPr>
            <w:tcW w:w="1579" w:type="dxa"/>
            <w:vAlign w:val="center"/>
          </w:tcPr>
          <w:p>
            <w:pPr>
              <w:pStyle w:val="51"/>
              <w:rPr>
                <w:snapToGrid w:val="0"/>
              </w:rPr>
            </w:pPr>
            <w:r>
              <w:rPr>
                <w:snapToGrid w:val="0"/>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vAlign w:val="center"/>
          </w:tcPr>
          <w:p>
            <w:pPr>
              <w:pStyle w:val="51"/>
              <w:rPr>
                <w:snapToGrid w:val="0"/>
              </w:rPr>
            </w:pPr>
            <w:r>
              <w:rPr>
                <w:snapToGrid w:val="0"/>
              </w:rPr>
              <w:t>敏感</w:t>
            </w:r>
          </w:p>
        </w:tc>
        <w:tc>
          <w:tcPr>
            <w:tcW w:w="1577" w:type="dxa"/>
            <w:vAlign w:val="center"/>
          </w:tcPr>
          <w:p>
            <w:pPr>
              <w:pStyle w:val="51"/>
              <w:rPr>
                <w:snapToGrid w:val="0"/>
              </w:rPr>
            </w:pPr>
            <w:r>
              <w:rPr>
                <w:snapToGrid w:val="0"/>
              </w:rPr>
              <w:t>一</w:t>
            </w:r>
          </w:p>
        </w:tc>
        <w:tc>
          <w:tcPr>
            <w:tcW w:w="1575" w:type="dxa"/>
            <w:vAlign w:val="center"/>
          </w:tcPr>
          <w:p>
            <w:pPr>
              <w:pStyle w:val="51"/>
              <w:rPr>
                <w:snapToGrid w:val="0"/>
              </w:rPr>
            </w:pPr>
            <w:r>
              <w:rPr>
                <w:snapToGrid w:val="0"/>
              </w:rPr>
              <w:t>一</w:t>
            </w:r>
          </w:p>
        </w:tc>
        <w:tc>
          <w:tcPr>
            <w:tcW w:w="1579" w:type="dxa"/>
            <w:vAlign w:val="center"/>
          </w:tcPr>
          <w:p>
            <w:pPr>
              <w:pStyle w:val="51"/>
              <w:rPr>
                <w:snapToGrid w:val="0"/>
              </w:rPr>
            </w:pPr>
            <w:r>
              <w:rPr>
                <w:snapToGrid w:val="0"/>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vAlign w:val="center"/>
          </w:tcPr>
          <w:p>
            <w:pPr>
              <w:pStyle w:val="51"/>
              <w:rPr>
                <w:snapToGrid w:val="0"/>
              </w:rPr>
            </w:pPr>
            <w:r>
              <w:rPr>
                <w:snapToGrid w:val="0"/>
              </w:rPr>
              <w:t>较敏感</w:t>
            </w:r>
          </w:p>
        </w:tc>
        <w:tc>
          <w:tcPr>
            <w:tcW w:w="1577" w:type="dxa"/>
            <w:tcBorders>
              <w:bottom w:val="single" w:color="auto" w:sz="4" w:space="0"/>
            </w:tcBorders>
            <w:vAlign w:val="center"/>
          </w:tcPr>
          <w:p>
            <w:pPr>
              <w:pStyle w:val="51"/>
              <w:rPr>
                <w:snapToGrid w:val="0"/>
              </w:rPr>
            </w:pPr>
            <w:r>
              <w:rPr>
                <w:snapToGrid w:val="0"/>
              </w:rPr>
              <w:t>一</w:t>
            </w:r>
          </w:p>
        </w:tc>
        <w:tc>
          <w:tcPr>
            <w:tcW w:w="1575" w:type="dxa"/>
            <w:vAlign w:val="center"/>
          </w:tcPr>
          <w:p>
            <w:pPr>
              <w:pStyle w:val="51"/>
              <w:rPr>
                <w:snapToGrid w:val="0"/>
              </w:rPr>
            </w:pPr>
            <w:r>
              <w:rPr>
                <w:snapToGrid w:val="0"/>
              </w:rPr>
              <w:t>二</w:t>
            </w:r>
          </w:p>
        </w:tc>
        <w:tc>
          <w:tcPr>
            <w:tcW w:w="1579" w:type="dxa"/>
            <w:vAlign w:val="center"/>
          </w:tcPr>
          <w:p>
            <w:pPr>
              <w:pStyle w:val="51"/>
              <w:rPr>
                <w:snapToGrid w:val="0"/>
              </w:rPr>
            </w:pPr>
            <w:r>
              <w:rPr>
                <w:snapToGrid w:val="0"/>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49" w:type="dxa"/>
            <w:vAlign w:val="center"/>
          </w:tcPr>
          <w:p>
            <w:pPr>
              <w:pStyle w:val="51"/>
              <w:rPr>
                <w:snapToGrid w:val="0"/>
              </w:rPr>
            </w:pPr>
            <w:r>
              <w:rPr>
                <w:snapToGrid w:val="0"/>
              </w:rPr>
              <w:t>不敏感</w:t>
            </w:r>
          </w:p>
        </w:tc>
        <w:tc>
          <w:tcPr>
            <w:tcW w:w="1577" w:type="dxa"/>
            <w:tcBorders>
              <w:bottom w:val="single" w:color="auto" w:sz="4" w:space="0"/>
            </w:tcBorders>
            <w:vAlign w:val="center"/>
          </w:tcPr>
          <w:p>
            <w:pPr>
              <w:pStyle w:val="51"/>
              <w:rPr>
                <w:snapToGrid w:val="0"/>
              </w:rPr>
            </w:pPr>
            <w:r>
              <w:rPr>
                <w:snapToGrid w:val="0"/>
              </w:rPr>
              <w:t>二</w:t>
            </w:r>
          </w:p>
        </w:tc>
        <w:tc>
          <w:tcPr>
            <w:tcW w:w="1575" w:type="dxa"/>
            <w:vAlign w:val="center"/>
          </w:tcPr>
          <w:p>
            <w:pPr>
              <w:pStyle w:val="51"/>
              <w:rPr>
                <w:snapToGrid w:val="0"/>
              </w:rPr>
            </w:pPr>
            <w:r>
              <w:rPr>
                <w:snapToGrid w:val="0"/>
              </w:rPr>
              <w:t>三</w:t>
            </w:r>
          </w:p>
        </w:tc>
        <w:tc>
          <w:tcPr>
            <w:tcW w:w="1579" w:type="dxa"/>
            <w:vAlign w:val="center"/>
          </w:tcPr>
          <w:p>
            <w:pPr>
              <w:pStyle w:val="51"/>
              <w:rPr>
                <w:snapToGrid w:val="0"/>
              </w:rPr>
            </w:pPr>
            <w:r>
              <w:rPr>
                <w:snapToGrid w:val="0"/>
              </w:rPr>
              <w:t>三</w:t>
            </w:r>
          </w:p>
        </w:tc>
      </w:tr>
    </w:tbl>
    <w:p>
      <w:pPr>
        <w:pStyle w:val="49"/>
        <w:ind w:firstLine="480"/>
      </w:pPr>
      <w:r>
        <w:t>结合上述分析以及根据评价工作等级分级表，最终确定本项目地下水环境评价等级为</w:t>
      </w:r>
      <w:r>
        <w:rPr>
          <w:rFonts w:hint="eastAsia"/>
        </w:rPr>
        <w:t>三</w:t>
      </w:r>
      <w:r>
        <w:t>级。</w:t>
      </w:r>
    </w:p>
    <w:p>
      <w:pPr>
        <w:pStyle w:val="4"/>
      </w:pPr>
      <w:bookmarkStart w:id="208" w:name="_Toc194481193"/>
      <w:r>
        <w:rPr>
          <w:rFonts w:hint="eastAsia"/>
        </w:rPr>
        <w:t>5.4.2 区域水文地质条件</w:t>
      </w:r>
      <w:bookmarkEnd w:id="208"/>
    </w:p>
    <w:p>
      <w:pPr>
        <w:spacing w:line="360" w:lineRule="auto"/>
        <w:ind w:firstLine="480" w:firstLineChars="200"/>
        <w:rPr>
          <w:rFonts w:hint="eastAsia"/>
          <w:color w:val="000000"/>
        </w:rPr>
      </w:pPr>
      <w:r>
        <w:rPr>
          <w:rFonts w:ascii="Times New Roman" w:hAnsi="Times New Roman" w:cs="Times New Roman"/>
          <w:color w:val="000000"/>
        </w:rPr>
        <w:t>1</w:t>
      </w:r>
      <w:r>
        <w:rPr>
          <w:rFonts w:hint="eastAsia"/>
          <w:color w:val="000000"/>
        </w:rPr>
        <w:t>、地形、地质特征</w:t>
      </w:r>
    </w:p>
    <w:p>
      <w:pPr>
        <w:pStyle w:val="49"/>
        <w:ind w:firstLine="480"/>
      </w:pPr>
      <w:r>
        <w:rPr>
          <w:rFonts w:hint="eastAsia"/>
        </w:rPr>
        <w:t>区域内内地质构造为白垩系红色岩层与二叠系灰岩呈现角度不整合接触，无大的断裂构造通过。按地质剖面由上至下分别有：耕植土层、洪积土层、冲积土层、残积土层、第四系（</w:t>
      </w:r>
      <w:r>
        <w:t>Q</w:t>
      </w:r>
      <w:r>
        <w:rPr>
          <w:rFonts w:hint="eastAsia"/>
        </w:rPr>
        <w:t>）、亚粘土和砾石。项目区域属构造侵蚀剥蚀丘岗地貌，波状起伏地形、岗地平缓，坡角</w:t>
      </w:r>
      <w:r>
        <w:t>5-10</w:t>
      </w:r>
      <w:r>
        <w:rPr>
          <w:rFonts w:hint="eastAsia"/>
        </w:rPr>
        <w:t>度。地层岩性属于江南古陆的武陵雪峰分区，元古界地层分布最广，古生界以寒武系、奥陶系、石灰系、二迭系海相地层为主，中生界、新生界则以陆相沉积为特征。出露岩性有松散土层、砾岩、砂岩、泥灰岩、灰岩、粘土岩、板岩、变质砂岩等。地表分布有第四系（</w:t>
      </w:r>
      <w:r>
        <w:t>Q</w:t>
      </w:r>
      <w:r>
        <w:rPr>
          <w:rFonts w:hint="eastAsia"/>
        </w:rPr>
        <w:t>）、第三系（</w:t>
      </w:r>
      <w:r>
        <w:t>N</w:t>
      </w:r>
      <w:r>
        <w:rPr>
          <w:rFonts w:hint="eastAsia"/>
        </w:rPr>
        <w:t>）与上侏罗</w:t>
      </w:r>
      <w:r>
        <w:t>—</w:t>
      </w:r>
      <w:r>
        <w:rPr>
          <w:rFonts w:hint="eastAsia"/>
        </w:rPr>
        <w:t>白垩系地层，主要由黄土、粘土、亚粘土砾石组成。第四纪坡积及残积地层分布面广，肌肤覆盖全线，局部地带为低洼沟谷地。</w:t>
      </w:r>
    </w:p>
    <w:p>
      <w:pPr>
        <w:spacing w:line="360" w:lineRule="auto"/>
        <w:ind w:firstLine="480" w:firstLineChars="200"/>
        <w:rPr>
          <w:rFonts w:hint="eastAsia"/>
          <w:color w:val="000000"/>
        </w:rPr>
      </w:pPr>
      <w:r>
        <w:rPr>
          <w:rFonts w:ascii="Times New Roman" w:hAnsi="Times New Roman" w:cs="Times New Roman"/>
          <w:color w:val="000000"/>
        </w:rPr>
        <w:t>2</w:t>
      </w:r>
      <w:r>
        <w:rPr>
          <w:rFonts w:hint="eastAsia"/>
          <w:color w:val="000000"/>
        </w:rPr>
        <w:t>、土壤特征</w:t>
      </w:r>
    </w:p>
    <w:p>
      <w:pPr>
        <w:pStyle w:val="49"/>
        <w:ind w:firstLine="480"/>
      </w:pPr>
      <w:r>
        <w:rPr>
          <w:rFonts w:hint="eastAsia"/>
        </w:rPr>
        <w:t>区域内土壤以黄壤为主，主要成土母质为黏土和石灰岩等，项目区岩土体工程地质层主要为以下几个部分，拟建场地出露的地层为第四系黏土（Q</w:t>
      </w:r>
      <w:r>
        <w:rPr>
          <w:rFonts w:hint="eastAsia"/>
          <w:vertAlign w:val="superscript"/>
        </w:rPr>
        <w:t>el</w:t>
      </w:r>
      <w:r>
        <w:rPr>
          <w:rFonts w:hint="eastAsia"/>
        </w:rPr>
        <w:t>）和石炭系下统石磴子组（C</w:t>
      </w:r>
      <w:r>
        <w:rPr>
          <w:rFonts w:hint="eastAsia"/>
          <w:vertAlign w:val="subscript"/>
        </w:rPr>
        <w:t>1</w:t>
      </w:r>
      <w:r>
        <w:rPr>
          <w:rFonts w:hint="eastAsia"/>
        </w:rPr>
        <w:t>S）。</w:t>
      </w:r>
    </w:p>
    <w:p>
      <w:pPr>
        <w:pStyle w:val="49"/>
        <w:ind w:firstLine="480"/>
      </w:pPr>
      <w:r>
        <w:rPr>
          <w:rFonts w:hint="eastAsia"/>
        </w:rPr>
        <w:t>3、</w:t>
      </w:r>
      <w:r>
        <w:rPr>
          <w:rFonts w:hint="eastAsia"/>
          <w:color w:val="000000"/>
        </w:rPr>
        <w:t>地下水文地质特征</w:t>
      </w:r>
    </w:p>
    <w:p>
      <w:pPr>
        <w:pStyle w:val="49"/>
        <w:ind w:firstLine="480"/>
      </w:pPr>
      <w:r>
        <w:t>区内地下水的分布和埋藏受地层岩性、地质构造和地貌控制，依据赋存条件、水动力特征、含水介质及组成情况，场地地下水类型主要为松散岩类孔隙水。可分为上层滞水和孔隙潜水两个亚类。上层滞水主要赋存于杂填土和残坡积层中的黏性土层的上部，受大气降水及地表水的影响，无稳定水位，水量较小，对工程建设影响不大；孔隙潜水主要赋存于残坡积层松散层中，无稳定水位，水量变化较大，含水量较强。</w:t>
      </w:r>
    </w:p>
    <w:p>
      <w:pPr>
        <w:pStyle w:val="49"/>
        <w:ind w:firstLine="480"/>
      </w:pPr>
      <w:r>
        <w:rPr>
          <w:lang w:val="zh-CN"/>
        </w:rPr>
        <w:t>区内地下水主要为大气降水渗入补给，降水通过孔隙、溶隙向下渗透补给岩溶含水层，部分在深部径流向当地侵蚀基准面运移，潜流入</w:t>
      </w:r>
      <w:r>
        <w:rPr>
          <w:rFonts w:hint="eastAsia"/>
          <w:lang w:val="zh-CN"/>
        </w:rPr>
        <w:t>湘江</w:t>
      </w:r>
      <w:r>
        <w:rPr>
          <w:lang w:val="zh-CN"/>
        </w:rPr>
        <w:t>。松散层孔隙水，地下水动态明显地随大气降水而变化，雨后流量增加明显。</w:t>
      </w:r>
    </w:p>
    <w:p>
      <w:pPr>
        <w:pStyle w:val="49"/>
        <w:ind w:firstLine="0" w:firstLineChars="0"/>
        <w:jc w:val="center"/>
      </w:pPr>
      <w:r>
        <w:rPr>
          <w:color w:val="FF0000"/>
        </w:rPr>
        <mc:AlternateContent>
          <mc:Choice Requires="wps">
            <w:drawing>
              <wp:anchor distT="0" distB="0" distL="114300" distR="114300" simplePos="0" relativeHeight="251666432" behindDoc="0" locked="0" layoutInCell="1" allowOverlap="1">
                <wp:simplePos x="0" y="0"/>
                <wp:positionH relativeFrom="column">
                  <wp:posOffset>3089275</wp:posOffset>
                </wp:positionH>
                <wp:positionV relativeFrom="paragraph">
                  <wp:posOffset>1401445</wp:posOffset>
                </wp:positionV>
                <wp:extent cx="584835" cy="104775"/>
                <wp:effectExtent l="0" t="0" r="0" b="0"/>
                <wp:wrapNone/>
                <wp:docPr id="658335526" name="WordArt 8"/>
                <wp:cNvGraphicFramePr/>
                <a:graphic xmlns:a="http://schemas.openxmlformats.org/drawingml/2006/main">
                  <a:graphicData uri="http://schemas.microsoft.com/office/word/2010/wordprocessingShape">
                    <wps:wsp>
                      <wps:cNvSpPr txBox="true">
                        <a:spLocks noChangeArrowheads="true" noChangeShapeType="true" noTextEdit="true"/>
                      </wps:cNvSpPr>
                      <wps:spPr bwMode="auto">
                        <a:xfrm>
                          <a:off x="0" y="0"/>
                          <a:ext cx="584835" cy="104775"/>
                        </a:xfrm>
                        <a:prstGeom prst="rect">
                          <a:avLst/>
                        </a:prstGeom>
                      </wps:spPr>
                      <wps:txbx>
                        <w:txbxContent>
                          <w:p>
                            <w:pPr>
                              <w:jc w:val="center"/>
                              <w:rPr>
                                <w:rFonts w:hint="eastAsia"/>
                                <w:color w:val="000000"/>
                                <w:sz w:val="16"/>
                                <w:szCs w:val="16"/>
                                <w14:textOutline w14:w="9525" w14:cap="flat" w14:cmpd="sng" w14:algn="ctr">
                                  <w14:solidFill>
                                    <w14:srgbClr w14:val="FF0000"/>
                                  </w14:solidFill>
                                  <w14:prstDash w14:val="solid"/>
                                  <w14:round/>
                                </w14:textOutline>
                                <w14:ligatures w14:val="none"/>
                              </w:rPr>
                            </w:pPr>
                            <w:r>
                              <w:rPr>
                                <w:rFonts w:hint="eastAsia"/>
                                <w:color w:val="000000"/>
                                <w:sz w:val="16"/>
                                <w:szCs w:val="16"/>
                                <w14:textOutline w14:w="9525" w14:cap="flat" w14:cmpd="sng" w14:algn="ctr">
                                  <w14:solidFill>
                                    <w14:srgbClr w14:val="FF0000"/>
                                  </w14:solidFill>
                                  <w14:prstDash w14:val="solid"/>
                                  <w14:round/>
                                </w14:textOutline>
                              </w:rPr>
                              <w:t>本项目</w:t>
                            </w:r>
                          </w:p>
                        </w:txbxContent>
                      </wps:txbx>
                      <wps:bodyPr wrap="square" numCol="1" fromWordArt="true">
                        <a:prstTxWarp prst="textPlain">
                          <a:avLst>
                            <a:gd name="adj" fmla="val 50000"/>
                          </a:avLst>
                        </a:prstTxWarp>
                        <a:spAutoFit/>
                      </wps:bodyPr>
                    </wps:wsp>
                  </a:graphicData>
                </a:graphic>
              </wp:anchor>
            </w:drawing>
          </mc:Choice>
          <mc:Fallback>
            <w:pict>
              <v:shape id="WordArt 8" o:spid="_x0000_s1026" o:spt="202" type="#_x0000_t202" style="position:absolute;left:0pt;margin-left:243.25pt;margin-top:110.35pt;height:8.25pt;width:46.05pt;z-index:251666432;mso-width-relative:page;mso-height-relative:page;" filled="f" stroked="f" coordsize="21600,21600" o:gfxdata="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OLxxjDbAAAACwEAAA8A&#10;AAAAAAAAAQAgAAAAOAAAAGRycy9kb3ducmV2LnhtbFBLAQIUABQAAAAIAIdO4kDMxb37/gEAAO8D&#10;AAAOAAAAAAAAAAEAIAAAAEABAABkcnMvZTJvRG9jLnhtbFBLBQYAAAAABgAGAFkBAACwBQAAAAA=&#10;" adj="10800">
                <v:fill on="f" focussize="0,0"/>
                <v:stroke on="f"/>
                <v:imagedata o:title=""/>
                <o:lock v:ext="edit" text="t" aspectratio="f"/>
                <v:textbox style="mso-fit-shape-to-text:t;">
                  <w:txbxContent>
                    <w:p>
                      <w:pPr>
                        <w:jc w:val="center"/>
                        <w:rPr>
                          <w:rFonts w:hint="eastAsia"/>
                          <w:color w:val="000000"/>
                          <w:sz w:val="16"/>
                          <w:szCs w:val="16"/>
                          <w14:textOutline w14:w="9525" w14:cap="flat" w14:cmpd="sng" w14:algn="ctr">
                            <w14:solidFill>
                              <w14:srgbClr w14:val="FF0000"/>
                            </w14:solidFill>
                            <w14:prstDash w14:val="solid"/>
                            <w14:round/>
                          </w14:textOutline>
                          <w14:ligatures w14:val="none"/>
                        </w:rPr>
                      </w:pPr>
                      <w:r>
                        <w:rPr>
                          <w:rFonts w:hint="eastAsia"/>
                          <w:color w:val="000000"/>
                          <w:sz w:val="16"/>
                          <w:szCs w:val="16"/>
                          <w14:textOutline w14:w="9525" w14:cap="flat" w14:cmpd="sng" w14:algn="ctr">
                            <w14:solidFill>
                              <w14:srgbClr w14:val="FF0000"/>
                            </w14:solidFill>
                            <w14:prstDash w14:val="solid"/>
                            <w14:round/>
                          </w14:textOutline>
                        </w:rPr>
                        <w:t>本项目</w:t>
                      </w:r>
                    </w:p>
                  </w:txbxContent>
                </v:textbox>
              </v:shape>
            </w:pict>
          </mc:Fallback>
        </mc:AlternateContent>
      </w:r>
      <w:r>
        <w:rPr>
          <w:rFonts w:cs="Times New Roman"/>
        </w:rPr>
        <mc:AlternateContent>
          <mc:Choice Requires="wps">
            <w:drawing>
              <wp:anchor distT="0" distB="0" distL="114300" distR="114300" simplePos="0" relativeHeight="251664384" behindDoc="0" locked="0" layoutInCell="1" allowOverlap="1">
                <wp:simplePos x="0" y="0"/>
                <wp:positionH relativeFrom="column">
                  <wp:posOffset>3615690</wp:posOffset>
                </wp:positionH>
                <wp:positionV relativeFrom="paragraph">
                  <wp:posOffset>1635125</wp:posOffset>
                </wp:positionV>
                <wp:extent cx="104775" cy="95885"/>
                <wp:effectExtent l="0" t="0" r="28575" b="18415"/>
                <wp:wrapNone/>
                <wp:docPr id="816524835" name="Rectangle 7"/>
                <wp:cNvGraphicFramePr/>
                <a:graphic xmlns:a="http://schemas.openxmlformats.org/drawingml/2006/main">
                  <a:graphicData uri="http://schemas.microsoft.com/office/word/2010/wordprocessingShape">
                    <wps:wsp>
                      <wps:cNvSpPr>
                        <a:spLocks noChangeArrowheads="true"/>
                      </wps:cNvSpPr>
                      <wps:spPr bwMode="auto">
                        <a:xfrm>
                          <a:off x="0" y="0"/>
                          <a:ext cx="104775" cy="95885"/>
                        </a:xfrm>
                        <a:prstGeom prst="rect">
                          <a:avLst/>
                        </a:prstGeom>
                        <a:noFill/>
                        <a:ln w="19050">
                          <a:solidFill>
                            <a:srgbClr val="FF0000"/>
                          </a:solidFill>
                          <a:miter lim="800000"/>
                        </a:ln>
                      </wps:spPr>
                      <wps:bodyPr rot="0" vert="horz" wrap="square" lIns="91440" tIns="45720" rIns="91440" bIns="45720" anchor="t" anchorCtr="false" upright="true">
                        <a:noAutofit/>
                      </wps:bodyPr>
                    </wps:wsp>
                  </a:graphicData>
                </a:graphic>
              </wp:anchor>
            </w:drawing>
          </mc:Choice>
          <mc:Fallback>
            <w:pict>
              <v:rect id="Rectangle 7" o:spid="_x0000_s1026" o:spt="1" style="position:absolute;left:0pt;margin-left:284.7pt;margin-top:128.75pt;height:7.55pt;width:8.25pt;z-index:251664384;mso-width-relative:page;mso-height-relative:page;" filled="f" stroked="t" coordsize="21600,21600" o:gfxdata="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8Snmv2gAAAAsBAAAPAAAAAAAAAAEAIAAAADgAAABkcnMvZG93bnJldi54bWxQSwEC&#10;FAAUAAAACACHTuJAQzCMhBUCAAAMBAAADgAAAAAAAAABACAAAAA/AQAAZHJzL2Uyb0RvYy54bWxQ&#10;SwUGAAAAAAYABgBZAQAAxgUAAAAA&#10;">
                <v:fill on="f" focussize="0,0"/>
                <v:stroke weight="1.5pt" color="#FF0000" miterlimit="8" joinstyle="miter"/>
                <v:imagedata o:title=""/>
                <o:lock v:ext="edit" aspectratio="f"/>
              </v:rect>
            </w:pict>
          </mc:Fallback>
        </mc:AlternateContent>
      </w:r>
      <w:r>
        <w:rPr>
          <w:b/>
          <w:bCs/>
          <w:kern w:val="24"/>
        </w:rPr>
        <w:drawing>
          <wp:anchor distT="0" distB="0" distL="114300" distR="114300" simplePos="0" relativeHeight="251662336" behindDoc="0" locked="0" layoutInCell="1" allowOverlap="1">
            <wp:simplePos x="0" y="0"/>
            <wp:positionH relativeFrom="column">
              <wp:posOffset>1865630</wp:posOffset>
            </wp:positionH>
            <wp:positionV relativeFrom="paragraph">
              <wp:posOffset>482600</wp:posOffset>
            </wp:positionV>
            <wp:extent cx="3147695" cy="2560320"/>
            <wp:effectExtent l="0" t="0" r="0" b="0"/>
            <wp:wrapNone/>
            <wp:docPr id="200224316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02243166" name="图片 6"/>
                    <pic:cNvPicPr>
                      <a:picLocks noChangeAspect="true"/>
                    </pic:cNvPicPr>
                  </pic:nvPicPr>
                  <pic:blipFill>
                    <a:blip r:embed="rId30" cstate="print">
                      <a:extLst>
                        <a:ext uri="{28A0092B-C50C-407E-A947-70E740481C1C}">
                          <a14:useLocalDpi xmlns:a14="http://schemas.microsoft.com/office/drawing/2010/main" val="false"/>
                        </a:ext>
                      </a:extLst>
                    </a:blip>
                    <a:stretch>
                      <a:fillRect/>
                    </a:stretch>
                  </pic:blipFill>
                  <pic:spPr>
                    <a:xfrm>
                      <a:off x="0" y="0"/>
                      <a:ext cx="3149372" cy="2561661"/>
                    </a:xfrm>
                    <a:prstGeom prst="rect">
                      <a:avLst/>
                    </a:prstGeom>
                  </pic:spPr>
                </pic:pic>
              </a:graphicData>
            </a:graphic>
          </wp:anchor>
        </w:drawing>
      </w:r>
      <w:r>
        <w:rPr>
          <w:rFonts w:cs="Times New Roman"/>
        </w:rPr>
        <mc:AlternateContent>
          <mc:Choice Requires="wps">
            <w:drawing>
              <wp:anchor distT="0" distB="0" distL="114300" distR="114300" simplePos="0" relativeHeight="251659264" behindDoc="0" locked="0" layoutInCell="1" allowOverlap="1">
                <wp:simplePos x="0" y="0"/>
                <wp:positionH relativeFrom="column">
                  <wp:posOffset>2811780</wp:posOffset>
                </wp:positionH>
                <wp:positionV relativeFrom="paragraph">
                  <wp:posOffset>4576445</wp:posOffset>
                </wp:positionV>
                <wp:extent cx="45085" cy="47625"/>
                <wp:effectExtent l="17145" t="18415" r="13970" b="10160"/>
                <wp:wrapNone/>
                <wp:docPr id="911337332" name="Rectangle 7"/>
                <wp:cNvGraphicFramePr/>
                <a:graphic xmlns:a="http://schemas.openxmlformats.org/drawingml/2006/main">
                  <a:graphicData uri="http://schemas.microsoft.com/office/word/2010/wordprocessingShape">
                    <wps:wsp>
                      <wps:cNvSpPr>
                        <a:spLocks noChangeArrowheads="true"/>
                      </wps:cNvSpPr>
                      <wps:spPr bwMode="auto">
                        <a:xfrm>
                          <a:off x="0" y="0"/>
                          <a:ext cx="45085" cy="47625"/>
                        </a:xfrm>
                        <a:prstGeom prst="rect">
                          <a:avLst/>
                        </a:prstGeom>
                        <a:noFill/>
                        <a:ln w="19050">
                          <a:solidFill>
                            <a:srgbClr val="FF0000"/>
                          </a:solidFill>
                          <a:miter lim="800000"/>
                        </a:ln>
                      </wps:spPr>
                      <wps:bodyPr rot="0" vert="horz" wrap="square" lIns="91440" tIns="45720" rIns="91440" bIns="45720" anchor="t" anchorCtr="false" upright="true">
                        <a:noAutofit/>
                      </wps:bodyPr>
                    </wps:wsp>
                  </a:graphicData>
                </a:graphic>
              </wp:anchor>
            </w:drawing>
          </mc:Choice>
          <mc:Fallback>
            <w:pict>
              <v:rect id="Rectangle 7" o:spid="_x0000_s1026" o:spt="1" style="position:absolute;left:0pt;margin-left:221.4pt;margin-top:360.35pt;height:3.75pt;width:3.55pt;z-index:251659264;mso-width-relative:page;mso-height-relative:page;" filled="f" stroked="t" coordsize="21600,21600" o:gfxdata="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qfq+22gAAAAsBAAAPAAAAAAAAAAEAIAAAADgAAABkcnMvZG93bnJldi54bWxQSwEC&#10;FAAUAAAACACHTuJApPRf/xUCAAALBAAADgAAAAAAAAABACAAAAA/AQAAZHJzL2Uyb0RvYy54bWxQ&#10;SwUGAAAAAAYABgBZAQAAxgUAAAAA&#10;">
                <v:fill on="f" focussize="0,0"/>
                <v:stroke weight="1.5pt" color="#FF0000" miterlimit="8" joinstyle="miter"/>
                <v:imagedata o:title=""/>
                <o:lock v:ext="edit" aspectratio="f"/>
              </v:rect>
            </w:pict>
          </mc:Fallback>
        </mc:AlternateContent>
      </w:r>
      <w:r>
        <w:rPr>
          <w:color w:val="FF0000"/>
        </w:rPr>
        <mc:AlternateContent>
          <mc:Choice Requires="wps">
            <w:drawing>
              <wp:anchor distT="0" distB="0" distL="114300" distR="114300" simplePos="0" relativeHeight="251661312" behindDoc="0" locked="0" layoutInCell="1" allowOverlap="1">
                <wp:simplePos x="0" y="0"/>
                <wp:positionH relativeFrom="column">
                  <wp:posOffset>1988185</wp:posOffset>
                </wp:positionH>
                <wp:positionV relativeFrom="paragraph">
                  <wp:posOffset>4418330</wp:posOffset>
                </wp:positionV>
                <wp:extent cx="584835" cy="104775"/>
                <wp:effectExtent l="0" t="0" r="0" b="0"/>
                <wp:wrapNone/>
                <wp:docPr id="1645778303" name="WordArt 8"/>
                <wp:cNvGraphicFramePr/>
                <a:graphic xmlns:a="http://schemas.openxmlformats.org/drawingml/2006/main">
                  <a:graphicData uri="http://schemas.microsoft.com/office/word/2010/wordprocessingShape">
                    <wps:wsp>
                      <wps:cNvSpPr txBox="true">
                        <a:spLocks noChangeArrowheads="true" noChangeShapeType="true" noTextEdit="true"/>
                      </wps:cNvSpPr>
                      <wps:spPr bwMode="auto">
                        <a:xfrm>
                          <a:off x="0" y="0"/>
                          <a:ext cx="584835" cy="104775"/>
                        </a:xfrm>
                        <a:prstGeom prst="rect">
                          <a:avLst/>
                        </a:prstGeom>
                      </wps:spPr>
                      <wps:txbx>
                        <w:txbxContent>
                          <w:p>
                            <w:pPr>
                              <w:jc w:val="center"/>
                              <w:rPr>
                                <w:rFonts w:hint="eastAsia"/>
                                <w:color w:val="000000"/>
                                <w:sz w:val="16"/>
                                <w:szCs w:val="16"/>
                                <w14:textOutline w14:w="9525" w14:cap="flat" w14:cmpd="sng" w14:algn="ctr">
                                  <w14:solidFill>
                                    <w14:srgbClr w14:val="FF0000"/>
                                  </w14:solidFill>
                                  <w14:prstDash w14:val="solid"/>
                                  <w14:round/>
                                </w14:textOutline>
                                <w14:ligatures w14:val="none"/>
                              </w:rPr>
                            </w:pPr>
                            <w:r>
                              <w:rPr>
                                <w:rFonts w:hint="eastAsia"/>
                                <w:color w:val="000000"/>
                                <w:sz w:val="16"/>
                                <w:szCs w:val="16"/>
                                <w14:textOutline w14:w="9525" w14:cap="flat" w14:cmpd="sng" w14:algn="ctr">
                                  <w14:solidFill>
                                    <w14:srgbClr w14:val="FF0000"/>
                                  </w14:solidFill>
                                  <w14:prstDash w14:val="solid"/>
                                  <w14:round/>
                                </w14:textOutline>
                              </w:rPr>
                              <w:t>本项目</w:t>
                            </w:r>
                          </w:p>
                        </w:txbxContent>
                      </wps:txbx>
                      <wps:bodyPr wrap="square" numCol="1" fromWordArt="true">
                        <a:prstTxWarp prst="textPlain">
                          <a:avLst>
                            <a:gd name="adj" fmla="val 50000"/>
                          </a:avLst>
                        </a:prstTxWarp>
                        <a:spAutoFit/>
                      </wps:bodyPr>
                    </wps:wsp>
                  </a:graphicData>
                </a:graphic>
              </wp:anchor>
            </w:drawing>
          </mc:Choice>
          <mc:Fallback>
            <w:pict>
              <v:shape id="WordArt 8" o:spid="_x0000_s1026" o:spt="202" type="#_x0000_t202" style="position:absolute;left:0pt;margin-left:156.55pt;margin-top:347.9pt;height:8.25pt;width:46.05pt;z-index:251661312;mso-width-relative:page;mso-height-relative:page;" filled="f" stroked="f" coordsize="21600,21600" o:gfxdata="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OVbdC2wAAAAsBAAAP&#10;AAAAAAAAAAEAIAAAADgAAABkcnMvZG93bnJldi54bWxQSwECFAAUAAAACACHTuJAZINbEv8BAADw&#10;AwAADgAAAAAAAAABACAAAABAAQAAZHJzL2Uyb0RvYy54bWxQSwUGAAAAAAYABgBZAQAAsQUAAAAA&#10;" adj="10800">
                <v:fill on="f" focussize="0,0"/>
                <v:stroke on="f"/>
                <v:imagedata o:title=""/>
                <o:lock v:ext="edit" text="t" aspectratio="f"/>
                <v:textbox style="mso-fit-shape-to-text:t;">
                  <w:txbxContent>
                    <w:p>
                      <w:pPr>
                        <w:jc w:val="center"/>
                        <w:rPr>
                          <w:rFonts w:hint="eastAsia"/>
                          <w:color w:val="000000"/>
                          <w:sz w:val="16"/>
                          <w:szCs w:val="16"/>
                          <w14:textOutline w14:w="9525" w14:cap="flat" w14:cmpd="sng" w14:algn="ctr">
                            <w14:solidFill>
                              <w14:srgbClr w14:val="FF0000"/>
                            </w14:solidFill>
                            <w14:prstDash w14:val="solid"/>
                            <w14:round/>
                          </w14:textOutline>
                          <w14:ligatures w14:val="none"/>
                        </w:rPr>
                      </w:pPr>
                      <w:r>
                        <w:rPr>
                          <w:rFonts w:hint="eastAsia"/>
                          <w:color w:val="000000"/>
                          <w:sz w:val="16"/>
                          <w:szCs w:val="16"/>
                          <w14:textOutline w14:w="9525" w14:cap="flat" w14:cmpd="sng" w14:algn="ctr">
                            <w14:solidFill>
                              <w14:srgbClr w14:val="FF0000"/>
                            </w14:solidFill>
                            <w14:prstDash w14:val="solid"/>
                            <w14:round/>
                          </w14:textOutline>
                        </w:rPr>
                        <w:t>本项目</w:t>
                      </w:r>
                    </w:p>
                  </w:txbxContent>
                </v:textbox>
              </v:shape>
            </w:pict>
          </mc:Fallback>
        </mc:AlternateContent>
      </w:r>
      <w:r>
        <w:rPr>
          <w:rFonts w:hint="eastAsia"/>
        </w:rPr>
        <w:drawing>
          <wp:inline distT="0" distB="0" distL="0" distR="0">
            <wp:extent cx="5294630" cy="7915275"/>
            <wp:effectExtent l="19050" t="19050" r="20320" b="9525"/>
            <wp:docPr id="156558103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5581034" name="图片 3"/>
                    <pic:cNvPicPr>
                      <a:picLocks noChangeAspect="true"/>
                    </pic:cNvPicPr>
                  </pic:nvPicPr>
                  <pic:blipFill>
                    <a:blip r:embed="rId31" cstate="print">
                      <a:extLst>
                        <a:ext uri="{28A0092B-C50C-407E-A947-70E740481C1C}">
                          <a14:useLocalDpi xmlns:a14="http://schemas.microsoft.com/office/drawing/2010/main" val="false"/>
                        </a:ext>
                      </a:extLst>
                    </a:blip>
                    <a:stretch>
                      <a:fillRect/>
                    </a:stretch>
                  </pic:blipFill>
                  <pic:spPr>
                    <a:xfrm>
                      <a:off x="0" y="0"/>
                      <a:ext cx="5345345" cy="7990343"/>
                    </a:xfrm>
                    <a:prstGeom prst="rect">
                      <a:avLst/>
                    </a:prstGeom>
                    <a:ln>
                      <a:solidFill>
                        <a:schemeClr val="tx1"/>
                      </a:solidFill>
                    </a:ln>
                  </pic:spPr>
                </pic:pic>
              </a:graphicData>
            </a:graphic>
          </wp:inline>
        </w:drawing>
      </w:r>
    </w:p>
    <w:p>
      <w:pPr>
        <w:pStyle w:val="49"/>
        <w:ind w:firstLine="0" w:firstLineChars="0"/>
        <w:jc w:val="center"/>
        <w:rPr>
          <w:b/>
          <w:bCs/>
          <w:kern w:val="24"/>
        </w:rPr>
      </w:pPr>
      <w:r>
        <w:rPr>
          <w:rFonts w:hint="eastAsia" w:cs="Times New Roman"/>
          <w:b/>
          <w:bCs/>
        </w:rPr>
        <w:t xml:space="preserve">图5.4-1  </w:t>
      </w:r>
      <w:r>
        <w:rPr>
          <w:b/>
          <w:bCs/>
          <w:kern w:val="24"/>
        </w:rPr>
        <w:t>区域水文地质图</w:t>
      </w:r>
    </w:p>
    <w:p>
      <w:pPr>
        <w:pStyle w:val="4"/>
      </w:pPr>
      <w:bookmarkStart w:id="209" w:name="_Toc194481194"/>
      <w:r>
        <w:rPr>
          <w:rFonts w:hint="eastAsia"/>
        </w:rPr>
        <w:t>5.4.3 地下水污染机理</w:t>
      </w:r>
      <w:bookmarkEnd w:id="209"/>
    </w:p>
    <w:p>
      <w:pPr>
        <w:pStyle w:val="49"/>
        <w:ind w:firstLine="480"/>
      </w:pPr>
      <w:r>
        <w:rPr>
          <w:rFonts w:hint="eastAsia"/>
        </w:rPr>
        <w:t>污染物对地下水的影响主要是由于降雨或废水排放等通过垂直渗透进入包气带，进入包气带的污染物在物理、化学和生物作用下经吸附、转化、迁移和分解后进入地下水。因此，包气带是联接地面污染物与地下含水层的主要通道和过渡带，既是污染物媒介体，又是污染物的净化场所和防护层。一般说来，土壤粒细而紧密，渗透性差，则污染慢；反之，颗粒大松散，渗透性能良好则污染重。污染物通过土层垂直下渗首先经过表土，再进入包气带，在包气带污染物可以达到一定程度的净化，不能被净化或固定的污染物随入渗进入地下水层。</w:t>
      </w:r>
    </w:p>
    <w:p>
      <w:pPr>
        <w:pStyle w:val="49"/>
        <w:ind w:firstLine="480"/>
      </w:pPr>
      <w:r>
        <w:rPr>
          <w:rFonts w:hint="eastAsia"/>
        </w:rPr>
        <w:t>无机物在自然界是不能降解的，在下渗的过程中靠吸收或生成难溶性化合物滞留土层中，吸收作用对于污水中的不同离子的迁移影响程度也不同，各种离子有各自的迁移特性和规律，有机物在下渗过程中靠吸收和生成难溶化合物滞留于土层中，在细菌或微生物的作用下发生分解而去除。</w:t>
      </w:r>
    </w:p>
    <w:p>
      <w:pPr>
        <w:pStyle w:val="4"/>
      </w:pPr>
      <w:bookmarkStart w:id="210" w:name="_Toc194481195"/>
      <w:r>
        <w:rPr>
          <w:rFonts w:hint="eastAsia"/>
        </w:rPr>
        <w:t>5.4.4 地下水污染途径分析</w:t>
      </w:r>
      <w:bookmarkEnd w:id="210"/>
    </w:p>
    <w:p>
      <w:pPr>
        <w:pStyle w:val="49"/>
        <w:ind w:firstLine="480"/>
      </w:pPr>
      <w:r>
        <w:rPr>
          <w:rFonts w:hint="eastAsia"/>
        </w:rPr>
        <w:t xml:space="preserve">地下水污染途径是多种多样的，大致可归为以下四类： </w:t>
      </w:r>
    </w:p>
    <w:p>
      <w:pPr>
        <w:pStyle w:val="49"/>
        <w:ind w:firstLine="480"/>
      </w:pPr>
      <w:r>
        <w:rPr>
          <w:rFonts w:hint="eastAsia"/>
        </w:rPr>
        <w:t>（</w:t>
      </w:r>
      <w:r>
        <w:t>1</w:t>
      </w:r>
      <w:r>
        <w:rPr>
          <w:rFonts w:hint="eastAsia"/>
        </w:rPr>
        <w:t>）间歇入渗型。大气降水或其他施肥水使污染物随水通过非饱水带，周期地渗入含水层，主要是污染潜水。淋滤固体废物堆引起的污染，即属此类。</w:t>
      </w:r>
    </w:p>
    <w:p>
      <w:pPr>
        <w:pStyle w:val="49"/>
        <w:ind w:firstLine="480"/>
      </w:pPr>
      <w:r>
        <w:t>（</w:t>
      </w:r>
      <w:r>
        <w:rPr>
          <w:rFonts w:hint="eastAsia"/>
        </w:rPr>
        <w:t>2</w:t>
      </w:r>
      <w:r>
        <w:t>）</w:t>
      </w:r>
      <w:r>
        <w:rPr>
          <w:rFonts w:hint="eastAsia"/>
        </w:rPr>
        <w:t>连续入渗型。污染物随水不断地渗入含水层，主要也是污染潜水。废水聚集地段（如废水渠、废水池、废水渗井等）和受污染的地表水体连续渗漏造成地下水污染，即属此类。</w:t>
      </w:r>
    </w:p>
    <w:p>
      <w:pPr>
        <w:pStyle w:val="49"/>
        <w:ind w:firstLine="480"/>
      </w:pPr>
      <w:r>
        <w:t>（</w:t>
      </w:r>
      <w:r>
        <w:rPr>
          <w:rFonts w:hint="eastAsia"/>
        </w:rPr>
        <w:t>3</w:t>
      </w:r>
      <w:r>
        <w:t>）</w:t>
      </w:r>
      <w:r>
        <w:rPr>
          <w:rFonts w:hint="eastAsia"/>
        </w:rPr>
        <w:t>越流型。污染物是通过越流的方式从已受污染的含水层（或天然咸水层）转移到未受污染的含水层（或天然淡水层）。污染物或者是通过整个层间，或者是通过地层尖灭的天窗，或者是通过破损的井管，污染潜水和承压水。地下水的开采改变了越流方向，使已受污染的潜水进入未受污染的承压水，即属此类。</w:t>
      </w:r>
    </w:p>
    <w:p>
      <w:pPr>
        <w:pStyle w:val="49"/>
        <w:ind w:firstLine="480"/>
      </w:pPr>
      <w:r>
        <w:rPr>
          <w:rFonts w:hint="eastAsia"/>
        </w:rPr>
        <w:t>（4）径流型。污染物通过地下径流进入含水层，污染潜水或承压水。污染物通过地下岩溶孔道进入含水层，即属此类。</w:t>
      </w:r>
    </w:p>
    <w:p>
      <w:pPr>
        <w:pStyle w:val="49"/>
        <w:ind w:firstLine="480"/>
      </w:pPr>
      <w:r>
        <w:rPr>
          <w:rFonts w:hint="eastAsia"/>
        </w:rPr>
        <w:t>根据本项目特点进行分析，可能造成的地下水污染途径有：鸡舍、鸡粪风干车间、一体化污水处理设施污水处理池、配电房柴油储存区等因长期使用或工程质量不符合要求出现破损情况，造成粪污、综合废水、柴油下渗。一旦地下水受到污染，将难以清除、治理和修复，不仅技术复杂，经济投入大，而且治理的时间周期也很长，可能影响到人体健康，且受污染的地下水有可能进入土壤，导致土壤逐渐盐碱化、毒化和废毁，有可能污染到一整条食物链系统。因此，应加强养殖区的防渗措施，杜绝地下水污染事件的发生。</w:t>
      </w:r>
    </w:p>
    <w:p>
      <w:pPr>
        <w:pStyle w:val="4"/>
      </w:pPr>
      <w:bookmarkStart w:id="211" w:name="_Toc194481196"/>
      <w:r>
        <w:rPr>
          <w:rFonts w:hint="eastAsia"/>
        </w:rPr>
        <w:t>5.4.5 地下水环境影响分析与评价</w:t>
      </w:r>
      <w:bookmarkEnd w:id="211"/>
    </w:p>
    <w:p>
      <w:pPr>
        <w:pStyle w:val="49"/>
        <w:ind w:firstLine="480"/>
      </w:pPr>
      <w:r>
        <w:rPr>
          <w:rFonts w:hint="eastAsia"/>
        </w:rPr>
        <w:t>1、取水对地下水水位的影响分析</w:t>
      </w:r>
    </w:p>
    <w:p>
      <w:pPr>
        <w:pStyle w:val="49"/>
        <w:ind w:firstLine="480"/>
      </w:pPr>
      <w:r>
        <w:rPr>
          <w:rFonts w:hint="eastAsia"/>
        </w:rPr>
        <w:t>本项目打井取水可能会使地下水资源受到影响，造成区域地下水位下降和水资源减少，打井取水对地下水环境系统的影响主要表现在水资源量和水质两个方面，其一，由于打井排水改变了地下水系统原有的水动力平衡条件，造成局部地下水水位下降、可利用的水资源量减少，这是负面和不利的影响；其二，排水改善了地下水系统的径流条件，使原本缓慢流动的地下水运动加快，这对改善地下水水质又具有积极的意义。本项目所在区域地下水资源充足，而养殖场地下水取水量为124499.968</w:t>
      </w:r>
      <w:r>
        <w:t>m</w:t>
      </w:r>
      <w:r>
        <w:rPr>
          <w:vertAlign w:val="superscript"/>
        </w:rPr>
        <w:t>3</w:t>
      </w:r>
      <w:r>
        <w:t>/a</w:t>
      </w:r>
      <w:r>
        <w:rPr>
          <w:rFonts w:hint="eastAsia"/>
        </w:rPr>
        <w:t>，区域补水主要为大气降水，项目抽取地下水后，雨水将作为主要地下水的补充水源，不会改变区域地下水水位和地下水流向，对地下水水量影响较小，不会对周边村落村民自打水井水量产生不利的影响。</w:t>
      </w:r>
    </w:p>
    <w:p>
      <w:pPr>
        <w:pStyle w:val="49"/>
        <w:ind w:firstLine="480"/>
      </w:pPr>
      <w:r>
        <w:rPr>
          <w:rFonts w:hint="eastAsia"/>
        </w:rPr>
        <w:t>2、正常工况地下水环境影响分析</w:t>
      </w:r>
    </w:p>
    <w:p>
      <w:pPr>
        <w:pStyle w:val="49"/>
        <w:ind w:firstLine="480"/>
      </w:pPr>
      <w:r>
        <w:rPr>
          <w:rFonts w:hint="eastAsia"/>
        </w:rPr>
        <w:t>根据工程分析可知，项目对地下水可能造成影响的污染源主要是鸡舍、鸡粪风干车间、污水处理区、事故应急池、配电房柴油储存区、危废暂存间。主要污染源为综合废水、柴油、危险废物。</w:t>
      </w:r>
    </w:p>
    <w:p>
      <w:pPr>
        <w:pStyle w:val="49"/>
        <w:ind w:firstLine="480"/>
      </w:pPr>
      <w:r>
        <w:rPr>
          <w:rFonts w:hint="eastAsia" w:ascii="宋体" w:hAnsi="宋体"/>
        </w:rPr>
        <w:t>建设单位</w:t>
      </w:r>
      <w:r>
        <w:rPr>
          <w:rFonts w:hint="eastAsia"/>
        </w:rPr>
        <w:t>参照</w:t>
      </w:r>
      <w:r>
        <w:rPr>
          <w:rFonts w:cs="Times New Roman"/>
        </w:rPr>
        <w:t xml:space="preserve"> GB16889、 GB18597、GB18598、GB18599、GB/T50934</w:t>
      </w:r>
      <w:r>
        <w:rPr>
          <w:rFonts w:hint="eastAsia" w:ascii="宋体" w:hAnsi="宋体"/>
        </w:rPr>
        <w:t>等水平防渗要求，对</w:t>
      </w:r>
      <w:r>
        <w:rPr>
          <w:rFonts w:hint="eastAsia"/>
        </w:rPr>
        <w:t>鸡舍、鸡粪风干车间、污水处理区、事故应急池、配电房柴油储存区等进行防渗处理，在正常情况下，可有效防止项目运营过程中污染物进入地下水环境。</w:t>
      </w:r>
    </w:p>
    <w:p>
      <w:pPr>
        <w:pStyle w:val="49"/>
        <w:ind w:firstLine="480"/>
      </w:pPr>
      <w:r>
        <w:rPr>
          <w:rFonts w:hint="eastAsia"/>
        </w:rPr>
        <w:t>根据《环境影响评价技术导则 地下水环境》（</w:t>
      </w:r>
      <w:r>
        <w:t>HJ610-2016</w:t>
      </w:r>
      <w:r>
        <w:rPr>
          <w:rFonts w:hint="eastAsia"/>
        </w:rPr>
        <w:t>）</w:t>
      </w:r>
      <w:r>
        <w:t>9.4.2</w:t>
      </w:r>
      <w:r>
        <w:rPr>
          <w:rFonts w:hint="eastAsia"/>
        </w:rPr>
        <w:t xml:space="preserve">条，已依据 </w:t>
      </w:r>
      <w:r>
        <w:t>GB16889</w:t>
      </w:r>
      <w:r>
        <w:rPr>
          <w:rFonts w:hint="eastAsia"/>
        </w:rPr>
        <w:t>、</w:t>
      </w:r>
      <w:r>
        <w:t>GB18597</w:t>
      </w:r>
      <w:r>
        <w:rPr>
          <w:rFonts w:hint="eastAsia"/>
        </w:rPr>
        <w:t>、</w:t>
      </w:r>
      <w:r>
        <w:t>GB18598</w:t>
      </w:r>
      <w:r>
        <w:rPr>
          <w:rFonts w:hint="eastAsia"/>
        </w:rPr>
        <w:t>、</w:t>
      </w:r>
      <w:r>
        <w:t>GB18599</w:t>
      </w:r>
      <w:r>
        <w:rPr>
          <w:rFonts w:hint="eastAsia"/>
        </w:rPr>
        <w:t>、</w:t>
      </w:r>
      <w:r>
        <w:t>GB/T50934</w:t>
      </w:r>
      <w:r>
        <w:rPr>
          <w:rFonts w:hint="eastAsia"/>
        </w:rPr>
        <w:t>设计地下水污染防渗措施的建设项目，可不进行正常状况情景下的预测。</w:t>
      </w:r>
    </w:p>
    <w:p>
      <w:pPr>
        <w:pStyle w:val="49"/>
        <w:ind w:firstLine="480"/>
      </w:pPr>
      <w:r>
        <w:rPr>
          <w:rFonts w:hint="eastAsia"/>
        </w:rPr>
        <w:t>3、非正常工况环境影响分析</w:t>
      </w:r>
    </w:p>
    <w:p>
      <w:pPr>
        <w:pStyle w:val="49"/>
        <w:ind w:firstLine="480"/>
      </w:pPr>
      <w:r>
        <w:rPr>
          <w:rFonts w:hint="eastAsia"/>
        </w:rPr>
        <w:t>在非正常工况或者事故情况下，本项目可能对区域地下水造成影响。通过对项目建设内容分析，非正常工况下或事故情况下拟建项目对地下水的可能影响的途径有：</w:t>
      </w:r>
    </w:p>
    <w:p>
      <w:pPr>
        <w:pStyle w:val="49"/>
        <w:overflowPunct w:val="0"/>
        <w:ind w:firstLine="480"/>
      </w:pPr>
      <w:bookmarkStart w:id="212" w:name="_Hlk193902537"/>
      <w:r>
        <w:rPr>
          <w:rFonts w:hint="eastAsia"/>
        </w:rPr>
        <w:t>① 鸡舍、鸡粪风干车间地面破损，粪污发生泄漏，导致粪污通过裂缝渗入地下影响地下水质；</w:t>
      </w:r>
    </w:p>
    <w:p>
      <w:pPr>
        <w:pStyle w:val="49"/>
        <w:ind w:firstLine="480"/>
        <w:rPr>
          <w:rFonts w:hint="eastAsia" w:ascii="宋体" w:hAnsi="宋体"/>
        </w:rPr>
      </w:pPr>
      <w:r>
        <w:rPr>
          <w:rFonts w:ascii="宋体" w:hAnsi="宋体"/>
        </w:rPr>
        <w:t>②</w:t>
      </w:r>
      <w:r>
        <w:rPr>
          <w:rFonts w:hint="eastAsia"/>
        </w:rPr>
        <w:t>一体化污水处理设施废水处理池破裂，废水发生泄漏，同时污水处理区地面破损，导致废水通过裂缝渗入地下影响地下水质；</w:t>
      </w:r>
    </w:p>
    <w:p>
      <w:pPr>
        <w:pStyle w:val="49"/>
        <w:ind w:firstLine="480"/>
        <w:rPr>
          <w:rFonts w:hint="eastAsia" w:ascii="宋体" w:hAnsi="宋体"/>
        </w:rPr>
      </w:pPr>
      <w:r>
        <w:rPr>
          <w:rFonts w:ascii="宋体" w:hAnsi="宋体"/>
        </w:rPr>
        <w:t>③</w:t>
      </w:r>
      <w:r>
        <w:rPr>
          <w:rFonts w:hint="eastAsia" w:ascii="宋体" w:hAnsi="宋体"/>
        </w:rPr>
        <w:t>配电房柴油储存区地面破损，柴油发生泄漏，导致柴油通过裂缝</w:t>
      </w:r>
      <w:r>
        <w:rPr>
          <w:rFonts w:hint="eastAsia"/>
        </w:rPr>
        <w:t>渗入地下影响地下水质；</w:t>
      </w:r>
    </w:p>
    <w:bookmarkEnd w:id="212"/>
    <w:p>
      <w:pPr>
        <w:pStyle w:val="49"/>
        <w:ind w:firstLine="480"/>
      </w:pPr>
      <w:r>
        <w:rPr>
          <w:rFonts w:hint="eastAsia"/>
        </w:rPr>
        <w:t>项目非正常工况下或事故情况下对地下水的各种潜在污染源、影响途径及影响分析见下表。</w:t>
      </w:r>
    </w:p>
    <w:p>
      <w:pPr>
        <w:pStyle w:val="53"/>
      </w:pPr>
      <w:r>
        <w:t>表</w:t>
      </w:r>
      <w:r>
        <w:rPr>
          <w:rFonts w:hint="eastAsia"/>
        </w:rPr>
        <w:t xml:space="preserve">5.4-3 </w:t>
      </w:r>
      <w:r>
        <w:rPr>
          <w:rFonts w:hint="eastAsia"/>
          <w:bCs/>
        </w:rPr>
        <w:t>非正常工况下地下水污染途径一览表</w:t>
      </w:r>
    </w:p>
    <w:tbl>
      <w:tblPr>
        <w:tblStyle w:val="40"/>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835"/>
        <w:gridCol w:w="1843"/>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pPr>
              <w:pStyle w:val="51"/>
            </w:pPr>
            <w:bookmarkStart w:id="213" w:name="_Hlk193902565"/>
            <w:r>
              <w:rPr>
                <w:rFonts w:hint="eastAsia"/>
                <w:b/>
                <w:bCs/>
              </w:rPr>
              <w:t>潜在污染源</w:t>
            </w:r>
          </w:p>
        </w:tc>
        <w:tc>
          <w:tcPr>
            <w:tcW w:w="2835" w:type="dxa"/>
            <w:vAlign w:val="center"/>
          </w:tcPr>
          <w:p>
            <w:pPr>
              <w:pStyle w:val="51"/>
            </w:pPr>
            <w:r>
              <w:rPr>
                <w:rFonts w:hint="eastAsia"/>
                <w:b/>
                <w:bCs/>
              </w:rPr>
              <w:t>潜在污染途径</w:t>
            </w:r>
          </w:p>
        </w:tc>
        <w:tc>
          <w:tcPr>
            <w:tcW w:w="1843" w:type="dxa"/>
            <w:vAlign w:val="center"/>
          </w:tcPr>
          <w:p>
            <w:pPr>
              <w:pStyle w:val="51"/>
            </w:pPr>
            <w:r>
              <w:rPr>
                <w:rFonts w:hint="eastAsia"/>
                <w:b/>
                <w:bCs/>
              </w:rPr>
              <w:t>主要污染物</w:t>
            </w:r>
          </w:p>
        </w:tc>
        <w:tc>
          <w:tcPr>
            <w:tcW w:w="2278" w:type="dxa"/>
            <w:vAlign w:val="center"/>
          </w:tcPr>
          <w:p>
            <w:pPr>
              <w:pStyle w:val="51"/>
            </w:pPr>
            <w:r>
              <w:rPr>
                <w:rFonts w:hint="eastAsia"/>
                <w:b/>
                <w:bCs/>
              </w:rPr>
              <w:t>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pPr>
              <w:pStyle w:val="51"/>
            </w:pPr>
            <w:r>
              <w:rPr>
                <w:rFonts w:hint="eastAsia"/>
              </w:rPr>
              <w:t>鸡舍、鸡粪风干</w:t>
            </w:r>
          </w:p>
          <w:p>
            <w:pPr>
              <w:pStyle w:val="51"/>
            </w:pPr>
            <w:r>
              <w:rPr>
                <w:rFonts w:hint="eastAsia"/>
              </w:rPr>
              <w:t>车间</w:t>
            </w:r>
          </w:p>
        </w:tc>
        <w:tc>
          <w:tcPr>
            <w:tcW w:w="2835" w:type="dxa"/>
            <w:vAlign w:val="center"/>
          </w:tcPr>
          <w:p>
            <w:pPr>
              <w:pStyle w:val="51"/>
            </w:pPr>
            <w:r>
              <w:rPr>
                <w:rFonts w:hint="eastAsia"/>
              </w:rPr>
              <w:t>地面出现破损，粪污发生泄漏，导致粪污通过裂缝渗入地下</w:t>
            </w:r>
          </w:p>
        </w:tc>
        <w:tc>
          <w:tcPr>
            <w:tcW w:w="1843" w:type="dxa"/>
            <w:vAlign w:val="center"/>
          </w:tcPr>
          <w:p>
            <w:pPr>
              <w:pStyle w:val="51"/>
            </w:pPr>
            <w:r>
              <w:t>COD</w:t>
            </w:r>
            <w:r>
              <w:rPr>
                <w:rFonts w:hint="eastAsia"/>
              </w:rPr>
              <w:t>、</w:t>
            </w:r>
            <w:r>
              <w:t>BOD</w:t>
            </w:r>
            <w:r>
              <w:rPr>
                <w:vertAlign w:val="subscript"/>
              </w:rPr>
              <w:t>5</w:t>
            </w:r>
            <w:r>
              <w:rPr>
                <w:rFonts w:hint="eastAsia"/>
              </w:rPr>
              <w:t>、</w:t>
            </w:r>
            <w:r>
              <w:t>SS</w:t>
            </w:r>
            <w:r>
              <w:rPr>
                <w:rFonts w:hint="eastAsia"/>
              </w:rPr>
              <w:t xml:space="preserve">、 </w:t>
            </w:r>
            <w:r>
              <w:t>NH</w:t>
            </w:r>
            <w:r>
              <w:rPr>
                <w:vertAlign w:val="subscript"/>
              </w:rPr>
              <w:t>3</w:t>
            </w:r>
            <w:r>
              <w:t>-N</w:t>
            </w:r>
            <w:r>
              <w:rPr>
                <w:rFonts w:hint="eastAsia"/>
              </w:rPr>
              <w:t>、粪大肠菌群</w:t>
            </w:r>
          </w:p>
        </w:tc>
        <w:tc>
          <w:tcPr>
            <w:tcW w:w="2278" w:type="dxa"/>
            <w:vAlign w:val="center"/>
          </w:tcPr>
          <w:p>
            <w:pPr>
              <w:pStyle w:val="51"/>
            </w:pPr>
            <w:r>
              <w:rPr>
                <w:rFonts w:hint="eastAsia"/>
              </w:rPr>
              <w:t>容易察觉出现的泄漏，不易造成大面积的污染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80" w:type="dxa"/>
            <w:vAlign w:val="center"/>
          </w:tcPr>
          <w:p>
            <w:pPr>
              <w:pStyle w:val="51"/>
            </w:pPr>
            <w:r>
              <w:rPr>
                <w:rFonts w:hint="eastAsia"/>
              </w:rPr>
              <w:t>一体化污水处理设施废水处理池、</w:t>
            </w:r>
          </w:p>
          <w:p>
            <w:pPr>
              <w:pStyle w:val="51"/>
            </w:pPr>
            <w:r>
              <w:rPr>
                <w:rFonts w:hint="eastAsia"/>
              </w:rPr>
              <w:t>事故应急池</w:t>
            </w:r>
          </w:p>
        </w:tc>
        <w:tc>
          <w:tcPr>
            <w:tcW w:w="2835" w:type="dxa"/>
            <w:vAlign w:val="center"/>
          </w:tcPr>
          <w:p>
            <w:pPr>
              <w:pStyle w:val="51"/>
            </w:pPr>
            <w:r>
              <w:rPr>
                <w:rFonts w:hint="eastAsia"/>
              </w:rPr>
              <w:t>池体出现破裂，废水发生泄漏，污水处理区地面破损，导致废水渗入地下</w:t>
            </w:r>
          </w:p>
        </w:tc>
        <w:tc>
          <w:tcPr>
            <w:tcW w:w="1843" w:type="dxa"/>
            <w:vAlign w:val="center"/>
          </w:tcPr>
          <w:p>
            <w:pPr>
              <w:pStyle w:val="51"/>
            </w:pPr>
            <w:r>
              <w:t>COD</w:t>
            </w:r>
            <w:r>
              <w:rPr>
                <w:rFonts w:hint="eastAsia"/>
              </w:rPr>
              <w:t>、</w:t>
            </w:r>
            <w:r>
              <w:t>BOD</w:t>
            </w:r>
            <w:r>
              <w:rPr>
                <w:vertAlign w:val="subscript"/>
              </w:rPr>
              <w:t>5</w:t>
            </w:r>
            <w:r>
              <w:rPr>
                <w:rFonts w:hint="eastAsia"/>
              </w:rPr>
              <w:t>、</w:t>
            </w:r>
            <w:r>
              <w:t>SS</w:t>
            </w:r>
            <w:r>
              <w:rPr>
                <w:rFonts w:hint="eastAsia"/>
              </w:rPr>
              <w:t xml:space="preserve">、 </w:t>
            </w:r>
            <w:r>
              <w:t>NH</w:t>
            </w:r>
            <w:r>
              <w:rPr>
                <w:vertAlign w:val="subscript"/>
              </w:rPr>
              <w:t>3</w:t>
            </w:r>
            <w:r>
              <w:t>-N</w:t>
            </w:r>
            <w:r>
              <w:rPr>
                <w:rFonts w:hint="eastAsia"/>
              </w:rPr>
              <w:t>、粪大肠菌群</w:t>
            </w:r>
          </w:p>
        </w:tc>
        <w:tc>
          <w:tcPr>
            <w:tcW w:w="2278" w:type="dxa"/>
            <w:vAlign w:val="center"/>
          </w:tcPr>
          <w:p>
            <w:pPr>
              <w:pStyle w:val="51"/>
            </w:pPr>
            <w:r>
              <w:rPr>
                <w:rFonts w:hint="eastAsia"/>
              </w:rPr>
              <w:t>容易察觉出现的泄漏，不易造成大面积的污染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980" w:type="dxa"/>
            <w:vAlign w:val="center"/>
          </w:tcPr>
          <w:p>
            <w:pPr>
              <w:pStyle w:val="51"/>
            </w:pPr>
            <w:r>
              <w:rPr>
                <w:rFonts w:hint="eastAsia"/>
              </w:rPr>
              <w:t>配电房</w:t>
            </w:r>
          </w:p>
          <w:p>
            <w:pPr>
              <w:pStyle w:val="51"/>
            </w:pPr>
            <w:r>
              <w:rPr>
                <w:rFonts w:hint="eastAsia"/>
              </w:rPr>
              <w:t>柴油储存区</w:t>
            </w:r>
          </w:p>
        </w:tc>
        <w:tc>
          <w:tcPr>
            <w:tcW w:w="2835" w:type="dxa"/>
            <w:vAlign w:val="center"/>
          </w:tcPr>
          <w:p>
            <w:pPr>
              <w:pStyle w:val="51"/>
            </w:pPr>
            <w:r>
              <w:rPr>
                <w:rFonts w:hint="eastAsia"/>
              </w:rPr>
              <w:t>地面出现破损，柴油发生泄漏，导致柴油通过裂缝渗入地下</w:t>
            </w:r>
          </w:p>
        </w:tc>
        <w:tc>
          <w:tcPr>
            <w:tcW w:w="1843" w:type="dxa"/>
            <w:vAlign w:val="center"/>
          </w:tcPr>
          <w:p>
            <w:pPr>
              <w:pStyle w:val="51"/>
            </w:pPr>
            <w:r>
              <w:rPr>
                <w:rFonts w:hint="eastAsia"/>
              </w:rPr>
              <w:t>柴油</w:t>
            </w:r>
          </w:p>
        </w:tc>
        <w:tc>
          <w:tcPr>
            <w:tcW w:w="2278" w:type="dxa"/>
            <w:vAlign w:val="center"/>
          </w:tcPr>
          <w:p>
            <w:pPr>
              <w:pStyle w:val="51"/>
            </w:pPr>
            <w:r>
              <w:rPr>
                <w:rFonts w:hint="eastAsia"/>
              </w:rPr>
              <w:t>容易察觉出现的泄漏，不易造成大面积的污染</w:t>
            </w:r>
          </w:p>
        </w:tc>
      </w:tr>
      <w:bookmarkEnd w:id="213"/>
    </w:tbl>
    <w:p>
      <w:pPr>
        <w:pStyle w:val="49"/>
        <w:ind w:firstLine="480"/>
      </w:pPr>
      <w:r>
        <w:rPr>
          <w:rFonts w:hint="eastAsia"/>
        </w:rPr>
        <w:t>本项目在正常运行工况下，本项目运行不会对地下水环境质量造成显著影响。因此本项目不进行正常状况情景下的预测。项目主要预测事故状态下污染物泄漏对地下水环境的影响。</w:t>
      </w:r>
    </w:p>
    <w:p>
      <w:pPr>
        <w:pStyle w:val="49"/>
        <w:ind w:firstLine="480"/>
      </w:pPr>
      <w:r>
        <w:rPr>
          <w:rFonts w:hint="eastAsia"/>
        </w:rPr>
        <w:t>（1）预测方法</w:t>
      </w:r>
    </w:p>
    <w:p>
      <w:pPr>
        <w:pStyle w:val="49"/>
        <w:ind w:firstLine="480"/>
      </w:pPr>
      <w:r>
        <w:rPr>
          <w:rFonts w:hint="eastAsia"/>
        </w:rPr>
        <w:t>根据项目区域水文地质图，场地内水文地质条件相对较为简单，根据《环境影响评价技术导则地下水环境》（</w:t>
      </w:r>
      <w:r>
        <w:t>HJ610-2016</w:t>
      </w:r>
      <w:r>
        <w:rPr>
          <w:rFonts w:hint="eastAsia"/>
        </w:rPr>
        <w:t>）要求，三级评价可以采取解析法进行地下水环境影响分析及评价。</w:t>
      </w:r>
    </w:p>
    <w:p>
      <w:pPr>
        <w:pStyle w:val="49"/>
        <w:ind w:firstLine="480"/>
      </w:pPr>
      <w:r>
        <w:rPr>
          <w:rFonts w:hint="eastAsia"/>
        </w:rPr>
        <w:t>（2）预测范围</w:t>
      </w:r>
    </w:p>
    <w:p>
      <w:pPr>
        <w:pStyle w:val="49"/>
        <w:ind w:firstLine="480"/>
      </w:pPr>
      <w:r>
        <w:rPr>
          <w:rFonts w:hint="eastAsia"/>
        </w:rPr>
        <w:t>根据《环境影响评价技术导则地下水环境》（</w:t>
      </w:r>
      <w:r>
        <w:t>HJ610-2016</w:t>
      </w:r>
      <w:r>
        <w:rPr>
          <w:rFonts w:hint="eastAsia"/>
        </w:rPr>
        <w:t>）的要求，本项目地下水评价等级为三级，本地下水环境影响评价预测范围与地下水现状调查范围一致，预测层位为地下水的潜水含水层。</w:t>
      </w:r>
    </w:p>
    <w:p>
      <w:pPr>
        <w:pStyle w:val="49"/>
        <w:ind w:firstLine="480"/>
      </w:pPr>
      <w:r>
        <w:rPr>
          <w:rFonts w:hint="eastAsia"/>
        </w:rPr>
        <w:t>（3）预测时段</w:t>
      </w:r>
    </w:p>
    <w:p>
      <w:pPr>
        <w:pStyle w:val="49"/>
        <w:ind w:firstLine="480"/>
      </w:pPr>
      <w:r>
        <w:rPr>
          <w:rFonts w:hint="eastAsia"/>
        </w:rPr>
        <w:t xml:space="preserve">应选取可能产生地下水污染的关键时段，至少包括污染发生后 </w:t>
      </w:r>
      <w:r>
        <w:t>100d</w:t>
      </w:r>
      <w:r>
        <w:rPr>
          <w:rFonts w:hint="eastAsia"/>
        </w:rPr>
        <w:t>、</w:t>
      </w:r>
      <w:r>
        <w:t>1000d</w:t>
      </w:r>
      <w:r>
        <w:rPr>
          <w:rFonts w:hint="eastAsia"/>
        </w:rPr>
        <w:t xml:space="preserve">，服务年限或能反映特征因子迁移规律的其他重要的时间节点。假定项目服务年限为 </w:t>
      </w:r>
      <w:r>
        <w:t>20</w:t>
      </w:r>
      <w:r>
        <w:rPr>
          <w:rFonts w:hint="eastAsia"/>
        </w:rPr>
        <w:t>年，本次预测时间段为发生污水泄漏后的30天、</w:t>
      </w:r>
      <w:r>
        <w:t>100天、365天、1000天、5年</w:t>
      </w:r>
      <w:r>
        <w:rPr>
          <w:rFonts w:hint="eastAsia"/>
        </w:rPr>
        <w:t>。</w:t>
      </w:r>
    </w:p>
    <w:p>
      <w:pPr>
        <w:pStyle w:val="49"/>
        <w:ind w:firstLine="480"/>
      </w:pPr>
      <w:r>
        <w:rPr>
          <w:rFonts w:hint="eastAsia"/>
        </w:rPr>
        <w:t>（4）预测情景</w:t>
      </w:r>
    </w:p>
    <w:p>
      <w:pPr>
        <w:pStyle w:val="49"/>
        <w:ind w:firstLine="480"/>
      </w:pPr>
      <w:bookmarkStart w:id="214" w:name="_Hlk193902672"/>
      <w:r>
        <w:rPr>
          <w:rFonts w:hint="eastAsia"/>
        </w:rPr>
        <w:t>根据项目具体情况，运营期间非正常情况下，可能污染地下水的事故情形主要为：一体化污水处理设施废水处理池发生破损，同时污水处理区地面破损，</w:t>
      </w:r>
    </w:p>
    <w:p>
      <w:pPr>
        <w:pStyle w:val="49"/>
        <w:ind w:firstLine="0" w:firstLineChars="0"/>
      </w:pPr>
      <w:r>
        <w:rPr>
          <w:rFonts w:hint="eastAsia"/>
        </w:rPr>
        <w:t>污水穿过损坏防渗层通过包气带进入地下水，从而污染地下水，影响地下水水质。</w:t>
      </w:r>
    </w:p>
    <w:bookmarkEnd w:id="214"/>
    <w:p>
      <w:pPr>
        <w:pStyle w:val="49"/>
        <w:ind w:firstLine="480"/>
      </w:pPr>
      <w:r>
        <w:rPr>
          <w:rFonts w:hint="eastAsia"/>
        </w:rPr>
        <w:t>（5）预测源强</w:t>
      </w:r>
    </w:p>
    <w:p>
      <w:pPr>
        <w:pStyle w:val="49"/>
        <w:ind w:firstLine="480"/>
      </w:pPr>
      <w:r>
        <w:rPr>
          <w:rFonts w:hint="eastAsia"/>
        </w:rPr>
        <w:t>根据工程分析可知，项目综合废水产生量为1376.294</w:t>
      </w:r>
      <w:r>
        <w:t>m</w:t>
      </w:r>
      <w:r>
        <w:rPr>
          <w:vertAlign w:val="superscript"/>
        </w:rPr>
        <w:t>3</w:t>
      </w:r>
      <w:r>
        <w:t>/a</w:t>
      </w:r>
      <w:r>
        <w:rPr>
          <w:rFonts w:hint="eastAsia"/>
        </w:rPr>
        <w:t xml:space="preserve">，非正常情况下 </w:t>
      </w:r>
      <w:r>
        <w:t>NH</w:t>
      </w:r>
      <w:r>
        <w:rPr>
          <w:vertAlign w:val="subscript"/>
        </w:rPr>
        <w:t>3</w:t>
      </w:r>
      <w:r>
        <w:rPr>
          <w:rFonts w:hint="eastAsia"/>
        </w:rPr>
        <w:t>-</w:t>
      </w:r>
      <w:r>
        <w:t xml:space="preserve">N </w:t>
      </w:r>
      <w:r>
        <w:rPr>
          <w:rFonts w:hint="eastAsia"/>
        </w:rPr>
        <w:t>排放的最高浓度为23</w:t>
      </w:r>
      <w:r>
        <w:t>mg/L</w:t>
      </w:r>
      <w:r>
        <w:rPr>
          <w:rFonts w:hint="eastAsia"/>
        </w:rPr>
        <w:t>。</w:t>
      </w:r>
    </w:p>
    <w:p>
      <w:pPr>
        <w:pStyle w:val="49"/>
        <w:ind w:firstLine="480"/>
      </w:pPr>
      <w:r>
        <w:rPr>
          <w:rFonts w:hint="eastAsia"/>
        </w:rPr>
        <w:t>为满足《地下水质量标准》（</w:t>
      </w:r>
      <w:r>
        <w:t>GB/T14848-2017</w:t>
      </w:r>
      <w:r>
        <w:rPr>
          <w:rFonts w:hint="eastAsia"/>
        </w:rPr>
        <w:t>）的评价要求，可将源强中的</w:t>
      </w:r>
      <w:r>
        <w:t>CODcr</w:t>
      </w:r>
      <w:r>
        <w:rPr>
          <w:rFonts w:hint="eastAsia"/>
        </w:rPr>
        <w:t>（化学需氧量）转换成耗氧量后再进行预测评价，根据王晓春等人就《化学需氧量（</w:t>
      </w:r>
      <w:r>
        <w:t>COD</w:t>
      </w:r>
      <w:r>
        <w:rPr>
          <w:rFonts w:hint="eastAsia"/>
        </w:rPr>
        <w:t>）与耗氧量相关关系分析》的研究成果表明，水体中的耗氧量与化学需氧量之间存在比较显著的相关性与一定的线性关系，其一元线性回归方程为：</w:t>
      </w:r>
      <w:r>
        <w:t>Y=4.273X+1.821</w:t>
      </w:r>
      <w:r>
        <w:rPr>
          <w:rFonts w:hint="eastAsia"/>
        </w:rPr>
        <w:t>（取</w:t>
      </w:r>
      <w:r>
        <w:t>CODcr</w:t>
      </w:r>
      <w:r>
        <w:rPr>
          <w:rFonts w:hint="eastAsia"/>
        </w:rPr>
        <w:t>为</w:t>
      </w:r>
      <w:r>
        <w:t>Y</w:t>
      </w:r>
      <w:r>
        <w:rPr>
          <w:rFonts w:hint="eastAsia"/>
        </w:rPr>
        <w:t>轴，耗氧量为</w:t>
      </w:r>
      <w:r>
        <w:t>X</w:t>
      </w:r>
      <w:r>
        <w:rPr>
          <w:rFonts w:hint="eastAsia"/>
        </w:rPr>
        <w:t>轴），由此将源强中的</w:t>
      </w:r>
      <w:r>
        <w:t>CODcr</w:t>
      </w:r>
      <w:r>
        <w:rPr>
          <w:rFonts w:hint="eastAsia"/>
        </w:rPr>
        <w:t>（浓度330</w:t>
      </w:r>
      <w:r>
        <w:t>mg/L</w:t>
      </w:r>
      <w:r>
        <w:rPr>
          <w:rFonts w:hint="eastAsia"/>
        </w:rPr>
        <w:t>）转换成耗氧量后，浓度为77</w:t>
      </w:r>
      <w:r>
        <w:t>mg/L</w:t>
      </w:r>
      <w:r>
        <w:rPr>
          <w:rFonts w:hint="eastAsia"/>
        </w:rPr>
        <w:t>。</w:t>
      </w:r>
    </w:p>
    <w:p>
      <w:pPr>
        <w:pStyle w:val="49"/>
        <w:ind w:firstLine="480"/>
      </w:pPr>
      <w:r>
        <w:rPr>
          <w:rFonts w:hint="eastAsia"/>
        </w:rPr>
        <w:t>（6）预测标准</w:t>
      </w:r>
    </w:p>
    <w:p>
      <w:pPr>
        <w:pStyle w:val="49"/>
        <w:ind w:firstLine="480"/>
      </w:pPr>
      <w:r>
        <w:rPr>
          <w:rFonts w:hint="eastAsia"/>
        </w:rPr>
        <w:t>根据《地下水质量标准》（</w:t>
      </w:r>
      <w:r>
        <w:rPr>
          <w:rFonts w:cs="Times New Roman"/>
        </w:rPr>
        <w:t>GB14848-2017</w:t>
      </w:r>
      <w:r>
        <w:rPr>
          <w:rFonts w:hint="eastAsia"/>
        </w:rPr>
        <w:t>）</w:t>
      </w:r>
      <w:r>
        <w:rPr>
          <w:rFonts w:cs="Times New Roman"/>
        </w:rPr>
        <w:t xml:space="preserve">III </w:t>
      </w:r>
      <w:r>
        <w:rPr>
          <w:rFonts w:hint="eastAsia"/>
        </w:rPr>
        <w:t>类标准，NH</w:t>
      </w:r>
      <w:r>
        <w:rPr>
          <w:rFonts w:hint="eastAsia"/>
          <w:vertAlign w:val="subscript"/>
        </w:rPr>
        <w:t>3</w:t>
      </w:r>
      <w:r>
        <w:rPr>
          <w:rFonts w:hint="eastAsia"/>
        </w:rPr>
        <w:t>-N的浓度不大于0.5</w:t>
      </w:r>
      <w:r>
        <w:rPr>
          <w:rFonts w:cs="Times New Roman"/>
        </w:rPr>
        <w:t>mg/L</w:t>
      </w:r>
      <w:r>
        <w:rPr>
          <w:rFonts w:hint="eastAsia"/>
        </w:rPr>
        <w:t>，</w:t>
      </w:r>
      <w:r>
        <w:rPr>
          <w:rFonts w:hint="eastAsia" w:ascii="宋体" w:hAnsi="宋体"/>
        </w:rPr>
        <w:t>耗氧量</w:t>
      </w:r>
      <w:r>
        <w:rPr>
          <w:rFonts w:hint="eastAsia"/>
        </w:rPr>
        <w:t xml:space="preserve">的浓度不大于 </w:t>
      </w:r>
      <w:r>
        <w:rPr>
          <w:rFonts w:cs="Times New Roman"/>
        </w:rPr>
        <w:t>3mg/L</w:t>
      </w:r>
      <w:r>
        <w:rPr>
          <w:rFonts w:hint="eastAsia" w:ascii="宋体" w:hAnsi="宋体"/>
        </w:rPr>
        <w:t>。</w:t>
      </w:r>
    </w:p>
    <w:p>
      <w:pPr>
        <w:pStyle w:val="49"/>
        <w:ind w:firstLine="480"/>
      </w:pPr>
      <w:r>
        <w:rPr>
          <w:rFonts w:hint="eastAsia"/>
        </w:rPr>
        <w:t>（7）地下水影响预测</w:t>
      </w:r>
    </w:p>
    <w:p>
      <w:pPr>
        <w:pStyle w:val="49"/>
        <w:ind w:firstLine="480"/>
      </w:pPr>
      <w:r>
        <w:rPr>
          <w:rFonts w:ascii="宋体" w:hAnsi="宋体"/>
        </w:rPr>
        <w:t>①</w:t>
      </w:r>
      <w:r>
        <w:rPr>
          <w:rFonts w:hint="eastAsia"/>
        </w:rPr>
        <w:t>预测模型</w:t>
      </w:r>
    </w:p>
    <w:p>
      <w:pPr>
        <w:pStyle w:val="49"/>
        <w:ind w:firstLine="480"/>
        <w:rPr>
          <w:rFonts w:hint="eastAsia" w:ascii="宋体" w:hAnsi="宋体"/>
        </w:rPr>
      </w:pPr>
      <w:r>
        <w:rPr>
          <w:rFonts w:hint="eastAsia"/>
        </w:rPr>
        <w:t>根据调查，本项目所在区域无大规模开采地下水的行为，也无地下水环境敏感区，水文地质条件相对较为简单，因此按照《环境影响评价技术导则</w:t>
      </w:r>
      <w:r>
        <w:rPr>
          <w:rFonts w:cs="Times New Roman"/>
        </w:rPr>
        <w:t>-</w:t>
      </w:r>
      <w:r>
        <w:rPr>
          <w:rFonts w:hint="eastAsia"/>
        </w:rPr>
        <w:t>地下水环境》（</w:t>
      </w:r>
      <w:r>
        <w:rPr>
          <w:rFonts w:cs="Times New Roman"/>
        </w:rPr>
        <w:t>HJ610-2016</w:t>
      </w:r>
      <w:r>
        <w:rPr>
          <w:rFonts w:hint="eastAsia"/>
        </w:rPr>
        <w:t>）要求，本次预测采用导则推荐的一维稳定流动一维水动力弥散问题，概</w:t>
      </w:r>
      <w:r>
        <w:rPr>
          <w:rFonts w:hint="eastAsia" w:ascii="宋体" w:hAnsi="宋体"/>
        </w:rPr>
        <w:t>化条件为一维半无限长多孔介质柱体，一端为定浓度边界。其解析解为：</w:t>
      </w:r>
    </w:p>
    <w:p>
      <w:pPr>
        <w:pStyle w:val="49"/>
        <w:ind w:firstLine="0" w:firstLineChars="0"/>
        <w:jc w:val="center"/>
        <w:rPr>
          <w:rFonts w:cs="Times New Roman"/>
          <w:color w:val="000000"/>
          <w:kern w:val="2"/>
          <w:position w:val="-34"/>
          <w:szCs w:val="22"/>
        </w:rPr>
      </w:pPr>
      <w:r>
        <w:rPr>
          <w:rFonts w:cs="Times New Roman"/>
          <w:color w:val="000000"/>
          <w:kern w:val="2"/>
          <w:position w:val="-34"/>
          <w:szCs w:val="22"/>
        </w:rPr>
        <w:object>
          <v:shape id="_x0000_i1029" o:spt="75" type="#_x0000_t75" style="height:43.5pt;width:209.25pt;" o:ole="t" fillcolor="#CCE8CF" filled="f" o:preferrelative="t" stroked="f" coordsize="21600,21600">
            <v:path/>
            <v:fill on="f" color2="#CCE8CF" focussize="0,0"/>
            <v:stroke on="f" joinstyle="miter"/>
            <v:imagedata r:id="rId33" o:title=""/>
            <o:lock v:ext="edit" aspectratio="t"/>
            <w10:wrap type="none"/>
            <w10:anchorlock/>
          </v:shape>
          <o:OLEObject Type="Embed" ProgID="Equation.3" ShapeID="_x0000_i1029" DrawAspect="Content" ObjectID="_1468075729" r:id="rId32">
            <o:LockedField>false</o:LockedField>
          </o:OLEObject>
        </w:object>
      </w:r>
    </w:p>
    <w:p>
      <w:pPr>
        <w:pStyle w:val="49"/>
        <w:ind w:firstLine="480"/>
      </w:pPr>
      <w:r>
        <w:t>式中：</w:t>
      </w:r>
      <w:r>
        <w:rPr>
          <w:i/>
          <w:iCs/>
        </w:rPr>
        <w:t>x</w:t>
      </w:r>
      <w:r>
        <w:t>—距注入点的距离；m；</w:t>
      </w:r>
    </w:p>
    <w:p>
      <w:pPr>
        <w:pStyle w:val="49"/>
        <w:ind w:firstLine="1200" w:firstLineChars="500"/>
      </w:pPr>
      <w:r>
        <w:rPr>
          <w:i/>
          <w:iCs/>
        </w:rPr>
        <w:t>t</w:t>
      </w:r>
      <w:r>
        <w:t>—时间，d；</w:t>
      </w:r>
    </w:p>
    <w:p>
      <w:pPr>
        <w:pStyle w:val="49"/>
        <w:ind w:firstLine="1200" w:firstLineChars="500"/>
      </w:pPr>
      <w:r>
        <w:rPr>
          <w:i/>
          <w:iCs/>
        </w:rPr>
        <w:t>C</w:t>
      </w:r>
      <w:r>
        <w:t>—</w:t>
      </w:r>
      <w:r>
        <w:rPr>
          <w:i/>
          <w:iCs/>
        </w:rPr>
        <w:t>t</w:t>
      </w:r>
      <w:r>
        <w:t>时刻</w:t>
      </w:r>
      <w:r>
        <w:rPr>
          <w:i/>
          <w:iCs/>
        </w:rPr>
        <w:t>x</w:t>
      </w:r>
      <w:r>
        <w:t>处的示踪剂浓度，mg/L；</w:t>
      </w:r>
    </w:p>
    <w:p>
      <w:pPr>
        <w:pStyle w:val="49"/>
        <w:ind w:firstLine="1200" w:firstLineChars="500"/>
      </w:pPr>
      <w:r>
        <w:rPr>
          <w:i/>
          <w:iCs/>
        </w:rPr>
        <w:t>C</w:t>
      </w:r>
      <w:r>
        <w:rPr>
          <w:i/>
          <w:iCs/>
          <w:vertAlign w:val="subscript"/>
        </w:rPr>
        <w:t>0</w:t>
      </w:r>
      <w:r>
        <w:t>—注入的示踪剂浓度，mg/L；</w:t>
      </w:r>
    </w:p>
    <w:p>
      <w:pPr>
        <w:pStyle w:val="49"/>
        <w:ind w:firstLine="1200" w:firstLineChars="500"/>
      </w:pPr>
      <w:r>
        <w:rPr>
          <w:i/>
          <w:iCs/>
        </w:rPr>
        <w:t>u</w:t>
      </w:r>
      <w:r>
        <w:t>—水渗流速度，m/d；</w:t>
      </w:r>
    </w:p>
    <w:p>
      <w:pPr>
        <w:pStyle w:val="49"/>
        <w:ind w:firstLine="1200" w:firstLineChars="500"/>
      </w:pPr>
      <w:r>
        <w:rPr>
          <w:i/>
          <w:iCs/>
        </w:rPr>
        <w:t>D</w:t>
      </w:r>
      <w:r>
        <w:rPr>
          <w:i/>
          <w:iCs/>
          <w:vertAlign w:val="subscript"/>
        </w:rPr>
        <w:t>L</w:t>
      </w:r>
      <w:r>
        <w:t>—纵向弥散系数，m</w:t>
      </w:r>
      <w:r>
        <w:rPr>
          <w:vertAlign w:val="superscript"/>
        </w:rPr>
        <w:t>2</w:t>
      </w:r>
      <w:r>
        <w:t>/d；</w:t>
      </w:r>
    </w:p>
    <w:p>
      <w:pPr>
        <w:pStyle w:val="49"/>
        <w:ind w:firstLine="1200" w:firstLineChars="500"/>
      </w:pPr>
      <w:r>
        <w:rPr>
          <w:i/>
          <w:iCs/>
        </w:rPr>
        <w:t>erfc</w:t>
      </w:r>
      <w:r>
        <w:t>—余误差函数（可查《水文地质手册》获得）。</w:t>
      </w:r>
    </w:p>
    <w:p>
      <w:pPr>
        <w:pStyle w:val="49"/>
        <w:ind w:firstLine="480"/>
      </w:pPr>
      <w:r>
        <w:rPr>
          <w:rFonts w:ascii="宋体" w:hAnsi="宋体"/>
        </w:rPr>
        <w:t>②</w:t>
      </w:r>
      <w:r>
        <w:rPr>
          <w:rFonts w:hint="eastAsia"/>
        </w:rPr>
        <w:t>参数选定</w:t>
      </w:r>
    </w:p>
    <w:p>
      <w:pPr>
        <w:pStyle w:val="49"/>
        <w:ind w:firstLine="480"/>
      </w:pPr>
      <w:r>
        <w:rPr>
          <w:rFonts w:cs="Times New Roman"/>
        </w:rPr>
        <w:t>1</w:t>
      </w:r>
      <w:r>
        <w:rPr>
          <w:rFonts w:ascii="宋体" w:hAnsi="宋体" w:cs="Times New Roman"/>
        </w:rPr>
        <w:t>)</w:t>
      </w:r>
      <w:r>
        <w:t>水渗流速度</w:t>
      </w:r>
      <w:r>
        <w:rPr>
          <w:i/>
          <w:iCs/>
        </w:rPr>
        <w:t>u</w:t>
      </w:r>
    </w:p>
    <w:p>
      <w:pPr>
        <w:pStyle w:val="49"/>
        <w:ind w:firstLine="480"/>
      </w:pPr>
      <w:r>
        <w:t>采用经验公式法达西公式推求地下水流速。</w:t>
      </w:r>
    </w:p>
    <w:p>
      <w:pPr>
        <w:pStyle w:val="49"/>
        <w:ind w:firstLine="480"/>
        <w:jc w:val="center"/>
        <w:rPr>
          <w:i/>
          <w:iCs/>
          <w:szCs w:val="22"/>
        </w:rPr>
      </w:pPr>
      <w:r>
        <w:rPr>
          <w:i/>
          <w:iCs/>
          <w:szCs w:val="22"/>
        </w:rPr>
        <w:t>u=KI/n</w:t>
      </w:r>
    </w:p>
    <w:p>
      <w:pPr>
        <w:pStyle w:val="49"/>
        <w:ind w:firstLine="480"/>
      </w:pPr>
      <w:r>
        <w:t>式中：</w:t>
      </w:r>
      <w:r>
        <w:rPr>
          <w:i/>
          <w:iCs/>
          <w:szCs w:val="22"/>
        </w:rPr>
        <w:t>K</w:t>
      </w:r>
      <w:r>
        <w:rPr>
          <w:szCs w:val="22"/>
        </w:rPr>
        <w:t>—渗透系数；</w:t>
      </w:r>
    </w:p>
    <w:p>
      <w:pPr>
        <w:pStyle w:val="49"/>
        <w:ind w:firstLine="1200" w:firstLineChars="500"/>
        <w:rPr>
          <w:szCs w:val="22"/>
        </w:rPr>
      </w:pPr>
      <w:r>
        <w:rPr>
          <w:i/>
          <w:iCs/>
          <w:szCs w:val="22"/>
        </w:rPr>
        <w:t xml:space="preserve">I </w:t>
      </w:r>
      <w:r>
        <w:rPr>
          <w:szCs w:val="22"/>
        </w:rPr>
        <w:t>—地下水水力坡度，无量纲；</w:t>
      </w:r>
    </w:p>
    <w:p>
      <w:pPr>
        <w:pStyle w:val="49"/>
        <w:ind w:firstLine="1200" w:firstLineChars="500"/>
        <w:rPr>
          <w:szCs w:val="22"/>
        </w:rPr>
      </w:pPr>
      <w:r>
        <w:rPr>
          <w:i/>
          <w:iCs/>
          <w:szCs w:val="22"/>
        </w:rPr>
        <w:t>n</w:t>
      </w:r>
      <w:r>
        <w:rPr>
          <w:szCs w:val="22"/>
        </w:rPr>
        <w:t>—为有效孔隙率，无量纲</w:t>
      </w:r>
      <w:r>
        <w:rPr>
          <w:rFonts w:hint="eastAsia"/>
          <w:szCs w:val="22"/>
        </w:rPr>
        <w:t>。</w:t>
      </w:r>
    </w:p>
    <w:p>
      <w:pPr>
        <w:pStyle w:val="49"/>
        <w:ind w:firstLine="480"/>
        <w:rPr>
          <w:rFonts w:hint="eastAsia" w:ascii="宋体" w:hAnsi="宋体"/>
        </w:rPr>
      </w:pPr>
      <w:r>
        <w:rPr>
          <w:rFonts w:hint="eastAsia"/>
          <w:color w:val="000000"/>
        </w:rPr>
        <w:t>项目场区潜水含水层土层主要为粘土，潜水</w:t>
      </w:r>
      <w:r>
        <w:rPr>
          <w:rFonts w:hint="eastAsia"/>
        </w:rPr>
        <w:t>含水层渗透系数取值根据《环境影响评价技术导则地下水环境》（</w:t>
      </w:r>
      <w:r>
        <w:rPr>
          <w:rFonts w:cs="Times New Roman"/>
        </w:rPr>
        <w:t>H1610-2016</w:t>
      </w:r>
      <w:r>
        <w:rPr>
          <w:rFonts w:hint="eastAsia"/>
        </w:rPr>
        <w:t xml:space="preserve">）附录 </w:t>
      </w:r>
      <w:r>
        <w:rPr>
          <w:rFonts w:cs="Times New Roman"/>
        </w:rPr>
        <w:t xml:space="preserve">B </w:t>
      </w:r>
      <w:r>
        <w:rPr>
          <w:rFonts w:hint="eastAsia" w:ascii="宋体" w:hAnsi="宋体"/>
        </w:rPr>
        <w:t xml:space="preserve">中表 </w:t>
      </w:r>
      <w:r>
        <w:rPr>
          <w:rFonts w:cs="Times New Roman"/>
        </w:rPr>
        <w:t xml:space="preserve">B.1 </w:t>
      </w:r>
      <w:r>
        <w:rPr>
          <w:rFonts w:hint="eastAsia" w:ascii="宋体" w:hAnsi="宋体"/>
        </w:rPr>
        <w:t>推荐的经验值，渗透系数</w:t>
      </w:r>
      <w:r>
        <w:rPr>
          <w:rFonts w:cs="Times New Roman"/>
        </w:rPr>
        <w:t>K</w:t>
      </w:r>
      <w:r>
        <w:rPr>
          <w:rFonts w:hint="eastAsia" w:ascii="宋体" w:hAnsi="宋体"/>
        </w:rPr>
        <w:t>取值</w:t>
      </w:r>
      <w:r>
        <w:rPr>
          <w:rFonts w:hint="eastAsia" w:cs="Times New Roman"/>
        </w:rPr>
        <w:t>0.1</w:t>
      </w:r>
      <w:r>
        <w:rPr>
          <w:rFonts w:cs="Times New Roman"/>
        </w:rPr>
        <w:t>m/d</w:t>
      </w:r>
      <w:r>
        <w:rPr>
          <w:rFonts w:hint="eastAsia" w:ascii="宋体" w:hAnsi="宋体"/>
        </w:rPr>
        <w:t>。</w:t>
      </w:r>
    </w:p>
    <w:p>
      <w:pPr>
        <w:pStyle w:val="49"/>
        <w:ind w:firstLine="480"/>
      </w:pPr>
      <w:r>
        <w:rPr>
          <w:rFonts w:hint="eastAsia"/>
        </w:rPr>
        <w:t xml:space="preserve">地下水水力坡度 </w:t>
      </w:r>
      <w:r>
        <w:rPr>
          <w:rFonts w:cs="Times New Roman"/>
          <w:i/>
          <w:iCs/>
        </w:rPr>
        <w:t xml:space="preserve">I </w:t>
      </w:r>
      <w:r>
        <w:rPr>
          <w:rFonts w:hint="eastAsia"/>
        </w:rPr>
        <w:t>取</w:t>
      </w:r>
      <w:r>
        <w:rPr>
          <w:szCs w:val="20"/>
        </w:rPr>
        <w:t>场区地形坡度，即坡度</w:t>
      </w:r>
      <w:r>
        <w:rPr>
          <w:rFonts w:hint="eastAsia"/>
          <w:szCs w:val="20"/>
        </w:rPr>
        <w:t>7.8</w:t>
      </w:r>
      <w:r>
        <w:rPr>
          <w:szCs w:val="20"/>
        </w:rPr>
        <w:t>%</w:t>
      </w:r>
      <w:r>
        <w:rPr>
          <w:rFonts w:hint="eastAsia"/>
          <w:szCs w:val="20"/>
        </w:rPr>
        <w:t>。</w:t>
      </w:r>
    </w:p>
    <w:p>
      <w:pPr>
        <w:pStyle w:val="49"/>
        <w:ind w:firstLine="480"/>
        <w:rPr>
          <w:rFonts w:hint="eastAsia" w:ascii="宋体" w:hAnsi="宋体"/>
          <w:color w:val="000000"/>
          <w14:ligatures w14:val="none"/>
        </w:rPr>
      </w:pPr>
      <w:r>
        <w:rPr>
          <w:rFonts w:hint="eastAsia"/>
        </w:rPr>
        <w:t>岩石和土壤孔隙度的大小与颗粒的排列方式、颗粒大小、分选性、颗粒形</w:t>
      </w:r>
      <w:r>
        <w:rPr>
          <w:rFonts w:hint="eastAsia" w:ascii="宋体" w:hAnsi="宋体"/>
        </w:rPr>
        <w:t>状以及胶结程度有关。</w:t>
      </w:r>
      <w:r>
        <w:rPr>
          <w:rFonts w:hint="eastAsia"/>
          <w:color w:val="000000"/>
          <w14:ligatures w14:val="none"/>
        </w:rPr>
        <w:t>项目场区岩性主要为粘土</w:t>
      </w:r>
      <w:r>
        <w:rPr>
          <w:rFonts w:hint="eastAsia" w:ascii="宋体" w:hAnsi="宋体"/>
          <w:color w:val="000000"/>
          <w14:ligatures w14:val="none"/>
        </w:rPr>
        <w:t>，</w:t>
      </w:r>
      <w:r>
        <w:rPr>
          <w:rFonts w:cs="Times New Roman"/>
          <w:color w:val="000000"/>
          <w:szCs w:val="22"/>
        </w:rPr>
        <w:t>有效孔隙度</w:t>
      </w:r>
      <w:r>
        <w:rPr>
          <w:rFonts w:hint="eastAsia" w:ascii="宋体" w:hAnsi="宋体"/>
          <w:color w:val="000000"/>
          <w14:ligatures w14:val="none"/>
        </w:rPr>
        <w:t>取值为</w:t>
      </w:r>
      <w:r>
        <w:rPr>
          <w:rFonts w:cs="Times New Roman"/>
          <w:color w:val="000000"/>
          <w14:ligatures w14:val="none"/>
        </w:rPr>
        <w:t>0.34</w:t>
      </w:r>
      <w:r>
        <w:rPr>
          <w:rFonts w:hint="eastAsia" w:ascii="宋体" w:hAnsi="宋体"/>
          <w:color w:val="000000"/>
          <w14:ligatures w14:val="none"/>
        </w:rPr>
        <w:t>。</w:t>
      </w:r>
    </w:p>
    <w:p>
      <w:pPr>
        <w:pStyle w:val="49"/>
        <w:ind w:firstLine="480"/>
        <w:rPr>
          <w:color w:val="000000"/>
        </w:rPr>
      </w:pPr>
      <w:r>
        <w:rPr>
          <w:rFonts w:hint="eastAsia"/>
          <w:color w:val="000000"/>
        </w:rPr>
        <w:t>地下水的实际渗透速度：</w:t>
      </w:r>
      <w:r>
        <w:rPr>
          <w:rFonts w:cs="Times New Roman"/>
          <w:i/>
          <w:iCs/>
          <w:color w:val="000000"/>
        </w:rPr>
        <w:t>u=KI/n</w:t>
      </w:r>
      <w:r>
        <w:rPr>
          <w:rFonts w:cs="Times New Roman"/>
          <w:color w:val="000000"/>
        </w:rPr>
        <w:t>=</w:t>
      </w:r>
      <w:r>
        <w:rPr>
          <w:rFonts w:hint="eastAsia" w:cs="Times New Roman"/>
          <w:color w:val="000000"/>
        </w:rPr>
        <w:t>0.1</w:t>
      </w:r>
      <w:r>
        <w:rPr>
          <w:rFonts w:cs="Times New Roman"/>
          <w:color w:val="000000"/>
        </w:rPr>
        <w:t>m/d×</w:t>
      </w:r>
      <w:r>
        <w:rPr>
          <w:rFonts w:hint="eastAsia" w:cs="Times New Roman"/>
          <w:color w:val="000000"/>
        </w:rPr>
        <w:t>0.078</w:t>
      </w:r>
      <w:r>
        <w:rPr>
          <w:rFonts w:cs="Times New Roman"/>
          <w:color w:val="000000"/>
        </w:rPr>
        <w:t>/0.</w:t>
      </w:r>
      <w:r>
        <w:rPr>
          <w:rFonts w:hint="eastAsia" w:cs="Times New Roman"/>
          <w:color w:val="000000"/>
        </w:rPr>
        <w:t>34</w:t>
      </w:r>
      <w:r>
        <w:rPr>
          <w:rFonts w:cs="Times New Roman"/>
          <w:color w:val="000000"/>
        </w:rPr>
        <w:t>=</w:t>
      </w:r>
      <w:r>
        <w:rPr>
          <w:rFonts w:hint="eastAsia" w:cs="Times New Roman"/>
          <w:color w:val="000000"/>
        </w:rPr>
        <w:t>0.023</w:t>
      </w:r>
      <w:r>
        <w:rPr>
          <w:rFonts w:cs="Times New Roman"/>
          <w:color w:val="000000"/>
        </w:rPr>
        <w:t>m/d</w:t>
      </w:r>
      <w:r>
        <w:rPr>
          <w:rFonts w:hint="eastAsia"/>
          <w:color w:val="000000"/>
        </w:rPr>
        <w:t>。</w:t>
      </w:r>
    </w:p>
    <w:p>
      <w:pPr>
        <w:pStyle w:val="49"/>
        <w:ind w:firstLine="480"/>
        <w:rPr>
          <w:szCs w:val="20"/>
        </w:rPr>
      </w:pPr>
      <w:r>
        <w:rPr>
          <w:rFonts w:cs="Times New Roman"/>
        </w:rPr>
        <w:t>2</w:t>
      </w:r>
      <w:r>
        <w:rPr>
          <w:rFonts w:hint="eastAsia" w:ascii="宋体" w:hAnsi="宋体"/>
        </w:rPr>
        <w:t>)</w:t>
      </w:r>
      <w:r>
        <w:rPr>
          <w:rFonts w:hint="eastAsia"/>
          <w:color w:val="000000"/>
        </w:rPr>
        <w:t xml:space="preserve">纵向 </w:t>
      </w:r>
      <w:r>
        <w:rPr>
          <w:rFonts w:cs="Times New Roman"/>
          <w:i/>
          <w:iCs/>
          <w:color w:val="000000"/>
        </w:rPr>
        <w:t>x</w:t>
      </w:r>
      <w:r>
        <w:rPr>
          <w:rFonts w:cs="Times New Roman"/>
          <w:color w:val="000000"/>
        </w:rPr>
        <w:t xml:space="preserve"> </w:t>
      </w:r>
      <w:r>
        <w:rPr>
          <w:rFonts w:hint="eastAsia"/>
          <w:color w:val="000000"/>
        </w:rPr>
        <w:t xml:space="preserve">方向的弥散系数 </w:t>
      </w:r>
      <w:r>
        <w:rPr>
          <w:rFonts w:cs="Times New Roman"/>
          <w:i/>
          <w:iCs/>
          <w:color w:val="000000"/>
        </w:rPr>
        <w:t>DL</w:t>
      </w:r>
    </w:p>
    <w:p>
      <w:pPr>
        <w:adjustRightInd w:val="0"/>
        <w:spacing w:line="360" w:lineRule="auto"/>
        <w:ind w:firstLine="480" w:firstLineChars="200"/>
        <w:rPr>
          <w:rFonts w:ascii="Times New Roman" w:hAnsi="Times New Roman" w:cs="Times New Roman"/>
          <w:bCs/>
          <w:color w:val="000000"/>
          <w:szCs w:val="22"/>
          <w:lang w:bidi="en-US"/>
        </w:rPr>
      </w:pPr>
      <w:r>
        <w:rPr>
          <w:rFonts w:ascii="Times New Roman" w:hAnsi="Times New Roman" w:cs="Times New Roman"/>
          <w:color w:val="000000"/>
          <w:szCs w:val="22"/>
          <w:lang w:bidi="en-US"/>
        </w:rPr>
        <w:t>弥散度是地下水动力弥散理论中用来描述空隙介质弥散特征的一个重要参数，具 有尺度效应性质，它反映了含水层介质空间结构的非均质性，本次充分收集了大量国 内外在不同试验尺度下和实验条件下分别运用解析方法和数值方法所得的纵向弥散 度资料，结合工作区的实际条件，给定纵向弥散系数为</w:t>
      </w:r>
      <w:r>
        <w:rPr>
          <w:rFonts w:ascii="Times New Roman" w:hAnsi="Times New Roman" w:cs="Times New Roman"/>
          <w:bCs/>
          <w:color w:val="000000"/>
          <w:szCs w:val="22"/>
          <w:lang w:bidi="en-US"/>
        </w:rPr>
        <w:t>0.</w:t>
      </w:r>
      <w:r>
        <w:rPr>
          <w:rFonts w:hint="eastAsia" w:ascii="Times New Roman" w:hAnsi="Times New Roman" w:cs="Times New Roman"/>
          <w:bCs/>
          <w:color w:val="000000"/>
          <w:szCs w:val="22"/>
          <w:lang w:bidi="en-US"/>
        </w:rPr>
        <w:t>23</w:t>
      </w:r>
      <w:r>
        <w:rPr>
          <w:rFonts w:ascii="Times New Roman" w:hAnsi="Times New Roman" w:cs="Times New Roman"/>
          <w:bCs/>
          <w:color w:val="000000"/>
          <w:szCs w:val="22"/>
          <w:lang w:bidi="en-US"/>
        </w:rPr>
        <w:t>m</w:t>
      </w:r>
      <w:r>
        <w:rPr>
          <w:rFonts w:ascii="Times New Roman" w:hAnsi="Times New Roman" w:cs="Times New Roman"/>
          <w:bCs/>
          <w:color w:val="000000"/>
          <w:szCs w:val="22"/>
          <w:vertAlign w:val="superscript"/>
          <w:lang w:bidi="en-US"/>
        </w:rPr>
        <w:t>2</w:t>
      </w:r>
      <w:r>
        <w:rPr>
          <w:rFonts w:ascii="Times New Roman" w:hAnsi="Times New Roman" w:cs="Times New Roman"/>
          <w:bCs/>
          <w:color w:val="000000"/>
          <w:szCs w:val="22"/>
          <w:lang w:bidi="en-US"/>
        </w:rPr>
        <w:t>/d。</w:t>
      </w:r>
    </w:p>
    <w:p>
      <w:pPr>
        <w:pStyle w:val="49"/>
        <w:ind w:firstLine="480"/>
        <w:rPr>
          <w:rFonts w:hint="eastAsia" w:ascii="宋体" w:hAnsi="宋体"/>
        </w:rPr>
      </w:pPr>
      <w:r>
        <w:rPr>
          <w:rFonts w:cs="Times New Roman"/>
        </w:rPr>
        <w:t>3</w:t>
      </w:r>
      <w:r>
        <w:rPr>
          <w:rFonts w:hint="eastAsia" w:ascii="宋体" w:hAnsi="宋体"/>
        </w:rPr>
        <w:t>)计算参数结果见下表</w:t>
      </w:r>
    </w:p>
    <w:p>
      <w:pPr>
        <w:pStyle w:val="53"/>
      </w:pPr>
      <w:r>
        <w:t>表</w:t>
      </w:r>
      <w:r>
        <w:rPr>
          <w:rFonts w:hint="eastAsia"/>
        </w:rPr>
        <w:t>5.4-4 计算参数一览表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268"/>
        <w:gridCol w:w="1939"/>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restart"/>
            <w:vAlign w:val="center"/>
          </w:tcPr>
          <w:p>
            <w:pPr>
              <w:pStyle w:val="51"/>
              <w:rPr>
                <w:rFonts w:cs="Times New Roman"/>
              </w:rPr>
            </w:pPr>
            <w:r>
              <w:rPr>
                <w:rStyle w:val="159"/>
                <w:rFonts w:hint="eastAsia"/>
              </w:rPr>
              <w:t xml:space="preserve">地下水实际流速 </w:t>
            </w:r>
            <w:r>
              <w:rPr>
                <w:rStyle w:val="159"/>
              </w:rPr>
              <w:t>u(m/d)</w:t>
            </w:r>
          </w:p>
        </w:tc>
        <w:tc>
          <w:tcPr>
            <w:tcW w:w="2268" w:type="dxa"/>
            <w:vMerge w:val="restart"/>
            <w:vAlign w:val="center"/>
          </w:tcPr>
          <w:p>
            <w:pPr>
              <w:pStyle w:val="51"/>
            </w:pPr>
            <w:r>
              <w:rPr>
                <w:rFonts w:hint="eastAsia"/>
              </w:rPr>
              <w:t xml:space="preserve">弥散系数 </w:t>
            </w:r>
            <w:r>
              <w:rPr>
                <w:rFonts w:cs="Times New Roman"/>
              </w:rPr>
              <w:t>DL (m</w:t>
            </w:r>
            <w:r>
              <w:rPr>
                <w:rFonts w:cs="Times New Roman"/>
                <w:szCs w:val="21"/>
                <w:vertAlign w:val="superscript"/>
              </w:rPr>
              <w:t>2</w:t>
            </w:r>
            <w:r>
              <w:rPr>
                <w:rFonts w:cs="Times New Roman"/>
                <w:sz w:val="14"/>
                <w:szCs w:val="14"/>
              </w:rPr>
              <w:t xml:space="preserve"> </w:t>
            </w:r>
            <w:r>
              <w:rPr>
                <w:rFonts w:cs="Times New Roman"/>
              </w:rPr>
              <w:t>/d)</w:t>
            </w:r>
          </w:p>
        </w:tc>
        <w:tc>
          <w:tcPr>
            <w:tcW w:w="3878" w:type="dxa"/>
            <w:gridSpan w:val="2"/>
            <w:vAlign w:val="center"/>
          </w:tcPr>
          <w:p>
            <w:pPr>
              <w:pStyle w:val="51"/>
            </w:pPr>
            <w:r>
              <w:rPr>
                <w:rFonts w:hint="eastAsia"/>
              </w:rPr>
              <w:t xml:space="preserve">污染源强 </w:t>
            </w:r>
            <w:r>
              <w:t>Co(mg/L)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51"/>
            </w:pPr>
          </w:p>
        </w:tc>
        <w:tc>
          <w:tcPr>
            <w:tcW w:w="2268" w:type="dxa"/>
            <w:vMerge w:val="continue"/>
            <w:vAlign w:val="center"/>
          </w:tcPr>
          <w:p>
            <w:pPr>
              <w:pStyle w:val="51"/>
            </w:pPr>
          </w:p>
        </w:tc>
        <w:tc>
          <w:tcPr>
            <w:tcW w:w="1939" w:type="dxa"/>
            <w:vAlign w:val="center"/>
          </w:tcPr>
          <w:p>
            <w:pPr>
              <w:pStyle w:val="51"/>
            </w:pPr>
            <w:r>
              <w:rPr>
                <w:rFonts w:hint="eastAsia"/>
              </w:rPr>
              <w:t>NH</w:t>
            </w:r>
            <w:r>
              <w:rPr>
                <w:rFonts w:hint="eastAsia"/>
                <w:vertAlign w:val="subscript"/>
              </w:rPr>
              <w:t>3</w:t>
            </w:r>
            <w:r>
              <w:rPr>
                <w:rFonts w:hint="eastAsia"/>
              </w:rPr>
              <w:t>-N</w:t>
            </w:r>
          </w:p>
        </w:tc>
        <w:tc>
          <w:tcPr>
            <w:tcW w:w="1939" w:type="dxa"/>
            <w:vAlign w:val="center"/>
          </w:tcPr>
          <w:p>
            <w:pPr>
              <w:pStyle w:val="51"/>
            </w:pPr>
            <w:r>
              <w:rPr>
                <w:rFonts w:hint="eastAsia"/>
              </w:rPr>
              <w:t>耗氧量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pStyle w:val="51"/>
            </w:pPr>
            <w:r>
              <w:rPr>
                <w:rFonts w:hint="eastAsia"/>
              </w:rPr>
              <w:t>0.023</w:t>
            </w:r>
          </w:p>
        </w:tc>
        <w:tc>
          <w:tcPr>
            <w:tcW w:w="2268" w:type="dxa"/>
            <w:vAlign w:val="center"/>
          </w:tcPr>
          <w:p>
            <w:pPr>
              <w:pStyle w:val="51"/>
            </w:pPr>
            <w:r>
              <w:rPr>
                <w:rFonts w:hint="eastAsia"/>
              </w:rPr>
              <w:t>0.23</w:t>
            </w:r>
          </w:p>
        </w:tc>
        <w:tc>
          <w:tcPr>
            <w:tcW w:w="1939" w:type="dxa"/>
            <w:vAlign w:val="center"/>
          </w:tcPr>
          <w:p>
            <w:pPr>
              <w:pStyle w:val="51"/>
            </w:pPr>
            <w:r>
              <w:rPr>
                <w:rFonts w:hint="eastAsia"/>
              </w:rPr>
              <w:t>23</w:t>
            </w:r>
          </w:p>
        </w:tc>
        <w:tc>
          <w:tcPr>
            <w:tcW w:w="1939" w:type="dxa"/>
            <w:vAlign w:val="center"/>
          </w:tcPr>
          <w:p>
            <w:pPr>
              <w:pStyle w:val="51"/>
            </w:pPr>
            <w:r>
              <w:rPr>
                <w:rFonts w:hint="eastAsia"/>
              </w:rPr>
              <w:t>77</w:t>
            </w:r>
          </w:p>
        </w:tc>
      </w:tr>
    </w:tbl>
    <w:p>
      <w:pPr>
        <w:pStyle w:val="49"/>
        <w:ind w:firstLine="480"/>
      </w:pPr>
      <w:r>
        <w:rPr>
          <w:rFonts w:hint="eastAsia"/>
        </w:rPr>
        <w:t>8</w:t>
      </w:r>
      <w:r>
        <w:t>、</w:t>
      </w:r>
      <w:r>
        <w:rPr>
          <w:rFonts w:hint="eastAsia"/>
        </w:rPr>
        <w:t>预测结果</w:t>
      </w:r>
    </w:p>
    <w:p>
      <w:pPr>
        <w:pStyle w:val="49"/>
        <w:ind w:firstLine="480"/>
      </w:pPr>
      <w:r>
        <w:t>本次评价预测时段为泄漏后的第</w:t>
      </w:r>
      <w:r>
        <w:rPr>
          <w:rFonts w:hint="eastAsia"/>
        </w:rPr>
        <w:t>30天、</w:t>
      </w:r>
      <w:r>
        <w:t>100天、365天、1000天、5年，污染物运移情况预测结果详见下表。</w:t>
      </w:r>
    </w:p>
    <w:p>
      <w:pPr>
        <w:adjustRightInd w:val="0"/>
        <w:spacing w:line="36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表</w:t>
      </w:r>
      <w:r>
        <w:rPr>
          <w:rFonts w:hint="eastAsia" w:ascii="Times New Roman" w:hAnsi="Times New Roman" w:cs="Times New Roman"/>
          <w:b/>
          <w:color w:val="000000"/>
          <w:sz w:val="21"/>
          <w:szCs w:val="21"/>
        </w:rPr>
        <w:t>5.4</w:t>
      </w:r>
      <w:r>
        <w:rPr>
          <w:rFonts w:ascii="Times New Roman" w:hAnsi="Times New Roman" w:cs="Times New Roman"/>
          <w:b/>
          <w:color w:val="000000"/>
          <w:sz w:val="21"/>
          <w:szCs w:val="21"/>
        </w:rPr>
        <w:t>-</w:t>
      </w:r>
      <w:r>
        <w:rPr>
          <w:rFonts w:hint="eastAsia" w:ascii="Times New Roman" w:hAnsi="Times New Roman" w:cs="Times New Roman"/>
          <w:b/>
          <w:color w:val="000000"/>
          <w:sz w:val="21"/>
          <w:szCs w:val="21"/>
        </w:rPr>
        <w:t>5</w:t>
      </w:r>
      <w:r>
        <w:rPr>
          <w:rFonts w:ascii="Times New Roman" w:hAnsi="Times New Roman" w:cs="Times New Roman"/>
          <w:b/>
          <w:color w:val="000000"/>
          <w:sz w:val="21"/>
          <w:szCs w:val="21"/>
        </w:rPr>
        <w:t xml:space="preserve">  地下水中</w:t>
      </w:r>
      <w:r>
        <w:rPr>
          <w:rFonts w:hint="eastAsia" w:ascii="Times New Roman" w:hAnsi="Times New Roman" w:cs="Times New Roman"/>
          <w:b/>
          <w:bCs/>
          <w:color w:val="000000"/>
          <w:sz w:val="21"/>
          <w:szCs w:val="21"/>
        </w:rPr>
        <w:t>NH</w:t>
      </w:r>
      <w:r>
        <w:rPr>
          <w:rFonts w:hint="eastAsia" w:ascii="Times New Roman" w:hAnsi="Times New Roman" w:cs="Times New Roman"/>
          <w:b/>
          <w:bCs/>
          <w:color w:val="000000"/>
          <w:sz w:val="21"/>
          <w:szCs w:val="21"/>
          <w:vertAlign w:val="subscript"/>
        </w:rPr>
        <w:t>3</w:t>
      </w:r>
      <w:r>
        <w:rPr>
          <w:rFonts w:hint="eastAsia" w:ascii="Times New Roman" w:hAnsi="Times New Roman" w:cs="Times New Roman"/>
          <w:b/>
          <w:bCs/>
          <w:color w:val="000000"/>
          <w:sz w:val="21"/>
          <w:szCs w:val="21"/>
        </w:rPr>
        <w:t>-N</w:t>
      </w:r>
      <w:r>
        <w:rPr>
          <w:rFonts w:ascii="Times New Roman" w:hAnsi="Times New Roman" w:cs="Times New Roman"/>
          <w:b/>
          <w:bCs/>
          <w:color w:val="000000"/>
          <w:sz w:val="21"/>
          <w:szCs w:val="21"/>
        </w:rPr>
        <w:t>浓</w:t>
      </w:r>
      <w:r>
        <w:rPr>
          <w:rFonts w:ascii="Times New Roman" w:hAnsi="Times New Roman" w:cs="Times New Roman"/>
          <w:b/>
          <w:color w:val="000000"/>
          <w:sz w:val="21"/>
          <w:szCs w:val="21"/>
        </w:rPr>
        <w:t>度预测结果</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334"/>
        <w:gridCol w:w="1335"/>
        <w:gridCol w:w="1334"/>
        <w:gridCol w:w="133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Merge w:val="restart"/>
            <w:vAlign w:val="center"/>
          </w:tcPr>
          <w:p>
            <w:pPr>
              <w:pStyle w:val="51"/>
            </w:pPr>
            <w:r>
              <w:rPr>
                <w:rFonts w:hint="eastAsia"/>
              </w:rPr>
              <w:t>距离（m）</w:t>
            </w:r>
          </w:p>
        </w:tc>
        <w:tc>
          <w:tcPr>
            <w:tcW w:w="6673" w:type="dxa"/>
            <w:gridSpan w:val="5"/>
            <w:vAlign w:val="center"/>
          </w:tcPr>
          <w:p>
            <w:pPr>
              <w:pStyle w:val="51"/>
            </w:pPr>
            <w:r>
              <w:rPr>
                <w:rFonts w:cs="Times New Roman"/>
                <w:b/>
                <w:color w:val="000000"/>
                <w:szCs w:val="21"/>
              </w:rPr>
              <w:t>预测浓度(mg/L)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Merge w:val="continue"/>
            <w:vAlign w:val="center"/>
          </w:tcPr>
          <w:p>
            <w:pPr>
              <w:pStyle w:val="51"/>
            </w:pPr>
          </w:p>
        </w:tc>
        <w:tc>
          <w:tcPr>
            <w:tcW w:w="1334" w:type="dxa"/>
            <w:vAlign w:val="center"/>
          </w:tcPr>
          <w:p>
            <w:pPr>
              <w:pStyle w:val="51"/>
            </w:pPr>
            <w:r>
              <w:rPr>
                <w:rFonts w:hint="eastAsia"/>
              </w:rPr>
              <w:t>30d</w:t>
            </w:r>
          </w:p>
        </w:tc>
        <w:tc>
          <w:tcPr>
            <w:tcW w:w="1335" w:type="dxa"/>
            <w:vAlign w:val="center"/>
          </w:tcPr>
          <w:p>
            <w:pPr>
              <w:pStyle w:val="51"/>
            </w:pPr>
            <w:r>
              <w:rPr>
                <w:rFonts w:hint="eastAsia"/>
              </w:rPr>
              <w:t>100d</w:t>
            </w:r>
          </w:p>
        </w:tc>
        <w:tc>
          <w:tcPr>
            <w:tcW w:w="1334" w:type="dxa"/>
            <w:vAlign w:val="center"/>
          </w:tcPr>
          <w:p>
            <w:pPr>
              <w:pStyle w:val="51"/>
            </w:pPr>
            <w:r>
              <w:rPr>
                <w:rFonts w:hint="eastAsia"/>
              </w:rPr>
              <w:t>365d</w:t>
            </w:r>
          </w:p>
        </w:tc>
        <w:tc>
          <w:tcPr>
            <w:tcW w:w="1335" w:type="dxa"/>
            <w:vAlign w:val="center"/>
          </w:tcPr>
          <w:p>
            <w:pPr>
              <w:pStyle w:val="51"/>
            </w:pPr>
            <w:r>
              <w:rPr>
                <w:rFonts w:hint="eastAsia"/>
              </w:rPr>
              <w:t>1000d</w:t>
            </w:r>
          </w:p>
        </w:tc>
        <w:tc>
          <w:tcPr>
            <w:tcW w:w="1335" w:type="dxa"/>
            <w:vAlign w:val="center"/>
          </w:tcPr>
          <w:p>
            <w:pPr>
              <w:pStyle w:val="51"/>
            </w:pPr>
            <w:r>
              <w:rPr>
                <w:rFonts w:hint="eastAsia"/>
              </w:rPr>
              <w:t>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0</w:t>
            </w:r>
          </w:p>
        </w:tc>
        <w:tc>
          <w:tcPr>
            <w:tcW w:w="1334" w:type="dxa"/>
            <w:vAlign w:val="center"/>
          </w:tcPr>
          <w:p>
            <w:pPr>
              <w:pStyle w:val="51"/>
            </w:pPr>
            <w:r>
              <w:rPr>
                <w:rFonts w:hint="eastAsia"/>
              </w:rPr>
              <w:t>2.30E+01</w:t>
            </w:r>
          </w:p>
        </w:tc>
        <w:tc>
          <w:tcPr>
            <w:tcW w:w="1335" w:type="dxa"/>
            <w:vAlign w:val="center"/>
          </w:tcPr>
          <w:p>
            <w:pPr>
              <w:pStyle w:val="51"/>
            </w:pPr>
            <w:r>
              <w:rPr>
                <w:rFonts w:hint="eastAsia"/>
              </w:rPr>
              <w:t>2.30E+01</w:t>
            </w:r>
          </w:p>
        </w:tc>
        <w:tc>
          <w:tcPr>
            <w:tcW w:w="1334" w:type="dxa"/>
            <w:vAlign w:val="center"/>
          </w:tcPr>
          <w:p>
            <w:pPr>
              <w:pStyle w:val="51"/>
            </w:pPr>
            <w:r>
              <w:rPr>
                <w:rFonts w:hint="eastAsia"/>
              </w:rPr>
              <w:t>2.30E+01</w:t>
            </w:r>
          </w:p>
        </w:tc>
        <w:tc>
          <w:tcPr>
            <w:tcW w:w="1335" w:type="dxa"/>
            <w:vAlign w:val="center"/>
          </w:tcPr>
          <w:p>
            <w:pPr>
              <w:pStyle w:val="51"/>
            </w:pPr>
            <w:r>
              <w:rPr>
                <w:rFonts w:hint="eastAsia"/>
              </w:rPr>
              <w:t>2.30E+01</w:t>
            </w:r>
          </w:p>
        </w:tc>
        <w:tc>
          <w:tcPr>
            <w:tcW w:w="1335" w:type="dxa"/>
            <w:vAlign w:val="center"/>
          </w:tcPr>
          <w:p>
            <w:pPr>
              <w:pStyle w:val="51"/>
            </w:pPr>
            <w:r>
              <w:rPr>
                <w:rFonts w:hint="eastAsia"/>
              </w:rPr>
              <w:t>2.30E+01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23" w:type="dxa"/>
            <w:vAlign w:val="center"/>
          </w:tcPr>
          <w:p>
            <w:pPr>
              <w:pStyle w:val="51"/>
            </w:pPr>
            <w:r>
              <w:rPr>
                <w:rFonts w:hint="eastAsia"/>
              </w:rPr>
              <w:t>1</w:t>
            </w:r>
          </w:p>
        </w:tc>
        <w:tc>
          <w:tcPr>
            <w:tcW w:w="1334" w:type="dxa"/>
            <w:vAlign w:val="center"/>
          </w:tcPr>
          <w:p>
            <w:pPr>
              <w:pStyle w:val="51"/>
            </w:pPr>
            <w:r>
              <w:rPr>
                <w:rFonts w:hint="eastAsia"/>
              </w:rPr>
              <w:t>1.90E+01</w:t>
            </w:r>
          </w:p>
        </w:tc>
        <w:tc>
          <w:tcPr>
            <w:tcW w:w="1335" w:type="dxa"/>
            <w:vAlign w:val="center"/>
          </w:tcPr>
          <w:p>
            <w:pPr>
              <w:pStyle w:val="51"/>
            </w:pPr>
            <w:r>
              <w:rPr>
                <w:rFonts w:hint="eastAsia"/>
              </w:rPr>
              <w:t>2.12E+01</w:t>
            </w:r>
          </w:p>
        </w:tc>
        <w:tc>
          <w:tcPr>
            <w:tcW w:w="1334" w:type="dxa"/>
            <w:vAlign w:val="center"/>
          </w:tcPr>
          <w:p>
            <w:pPr>
              <w:pStyle w:val="51"/>
            </w:pPr>
            <w:r>
              <w:rPr>
                <w:rFonts w:hint="eastAsia"/>
              </w:rPr>
              <w:t>2.24E+01</w:t>
            </w:r>
          </w:p>
        </w:tc>
        <w:tc>
          <w:tcPr>
            <w:tcW w:w="1335" w:type="dxa"/>
            <w:vAlign w:val="center"/>
          </w:tcPr>
          <w:p>
            <w:pPr>
              <w:pStyle w:val="51"/>
            </w:pPr>
            <w:r>
              <w:rPr>
                <w:rFonts w:hint="eastAsia"/>
              </w:rPr>
              <w:t>2.28E+01</w:t>
            </w:r>
          </w:p>
        </w:tc>
        <w:tc>
          <w:tcPr>
            <w:tcW w:w="1335" w:type="dxa"/>
            <w:vAlign w:val="center"/>
          </w:tcPr>
          <w:p>
            <w:pPr>
              <w:pStyle w:val="51"/>
            </w:pPr>
            <w:r>
              <w:rPr>
                <w:rFonts w:hint="eastAsia"/>
              </w:rPr>
              <w:t>2.29E+01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2</w:t>
            </w:r>
          </w:p>
        </w:tc>
        <w:tc>
          <w:tcPr>
            <w:tcW w:w="1334" w:type="dxa"/>
            <w:vAlign w:val="center"/>
          </w:tcPr>
          <w:p>
            <w:pPr>
              <w:pStyle w:val="51"/>
            </w:pPr>
            <w:r>
              <w:rPr>
                <w:rFonts w:hint="eastAsia"/>
              </w:rPr>
              <w:t>1.49E+01</w:t>
            </w:r>
          </w:p>
        </w:tc>
        <w:tc>
          <w:tcPr>
            <w:tcW w:w="1335" w:type="dxa"/>
            <w:vAlign w:val="center"/>
          </w:tcPr>
          <w:p>
            <w:pPr>
              <w:pStyle w:val="51"/>
            </w:pPr>
            <w:r>
              <w:rPr>
                <w:rFonts w:hint="eastAsia"/>
              </w:rPr>
              <w:t>1.93E+01</w:t>
            </w:r>
          </w:p>
        </w:tc>
        <w:tc>
          <w:tcPr>
            <w:tcW w:w="1334" w:type="dxa"/>
            <w:vAlign w:val="center"/>
          </w:tcPr>
          <w:p>
            <w:pPr>
              <w:pStyle w:val="51"/>
            </w:pPr>
            <w:r>
              <w:rPr>
                <w:rFonts w:hint="eastAsia"/>
              </w:rPr>
              <w:t>2.18E+01</w:t>
            </w:r>
          </w:p>
        </w:tc>
        <w:tc>
          <w:tcPr>
            <w:tcW w:w="1335" w:type="dxa"/>
            <w:vAlign w:val="center"/>
          </w:tcPr>
          <w:p>
            <w:pPr>
              <w:pStyle w:val="51"/>
            </w:pPr>
            <w:r>
              <w:rPr>
                <w:rFonts w:hint="eastAsia"/>
              </w:rPr>
              <w:t>2.27E+01</w:t>
            </w:r>
          </w:p>
        </w:tc>
        <w:tc>
          <w:tcPr>
            <w:tcW w:w="1335" w:type="dxa"/>
            <w:vAlign w:val="center"/>
          </w:tcPr>
          <w:p>
            <w:pPr>
              <w:pStyle w:val="51"/>
            </w:pPr>
            <w:r>
              <w:rPr>
                <w:rFonts w:hint="eastAsia"/>
              </w:rPr>
              <w:t>2.29E+01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5</w:t>
            </w:r>
          </w:p>
        </w:tc>
        <w:tc>
          <w:tcPr>
            <w:tcW w:w="1334" w:type="dxa"/>
            <w:vAlign w:val="center"/>
          </w:tcPr>
          <w:p>
            <w:pPr>
              <w:pStyle w:val="51"/>
            </w:pPr>
            <w:r>
              <w:rPr>
                <w:rFonts w:hint="eastAsia"/>
              </w:rPr>
              <w:t>5.21E+00</w:t>
            </w:r>
          </w:p>
        </w:tc>
        <w:tc>
          <w:tcPr>
            <w:tcW w:w="1335" w:type="dxa"/>
            <w:vAlign w:val="center"/>
          </w:tcPr>
          <w:p>
            <w:pPr>
              <w:pStyle w:val="51"/>
            </w:pPr>
            <w:r>
              <w:rPr>
                <w:rFonts w:hint="eastAsia"/>
              </w:rPr>
              <w:t>1.33E+01</w:t>
            </w:r>
          </w:p>
        </w:tc>
        <w:tc>
          <w:tcPr>
            <w:tcW w:w="1334" w:type="dxa"/>
            <w:vAlign w:val="center"/>
          </w:tcPr>
          <w:p>
            <w:pPr>
              <w:pStyle w:val="51"/>
            </w:pPr>
            <w:r>
              <w:rPr>
                <w:rFonts w:hint="eastAsia"/>
              </w:rPr>
              <w:t>1.96E+01</w:t>
            </w:r>
          </w:p>
        </w:tc>
        <w:tc>
          <w:tcPr>
            <w:tcW w:w="1335" w:type="dxa"/>
            <w:vAlign w:val="center"/>
          </w:tcPr>
          <w:p>
            <w:pPr>
              <w:pStyle w:val="51"/>
            </w:pPr>
            <w:r>
              <w:rPr>
                <w:rFonts w:hint="eastAsia"/>
              </w:rPr>
              <w:t>2.20E+01</w:t>
            </w:r>
          </w:p>
        </w:tc>
        <w:tc>
          <w:tcPr>
            <w:tcW w:w="1335" w:type="dxa"/>
            <w:vAlign w:val="center"/>
          </w:tcPr>
          <w:p>
            <w:pPr>
              <w:pStyle w:val="51"/>
            </w:pPr>
            <w:r>
              <w:rPr>
                <w:rFonts w:hint="eastAsia"/>
              </w:rPr>
              <w:t>2.27E+01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23" w:type="dxa"/>
            <w:vAlign w:val="center"/>
          </w:tcPr>
          <w:p>
            <w:pPr>
              <w:pStyle w:val="51"/>
            </w:pPr>
            <w:r>
              <w:rPr>
                <w:rFonts w:hint="eastAsia"/>
              </w:rPr>
              <w:t>10</w:t>
            </w:r>
          </w:p>
        </w:tc>
        <w:tc>
          <w:tcPr>
            <w:tcW w:w="1334" w:type="dxa"/>
            <w:vAlign w:val="center"/>
          </w:tcPr>
          <w:p>
            <w:pPr>
              <w:pStyle w:val="51"/>
            </w:pPr>
            <w:r>
              <w:rPr>
                <w:rFonts w:hint="eastAsia"/>
              </w:rPr>
              <w:t>2.66E-01</w:t>
            </w:r>
          </w:p>
        </w:tc>
        <w:tc>
          <w:tcPr>
            <w:tcW w:w="1335" w:type="dxa"/>
            <w:vAlign w:val="center"/>
          </w:tcPr>
          <w:p>
            <w:pPr>
              <w:pStyle w:val="51"/>
            </w:pPr>
            <w:r>
              <w:rPr>
                <w:rFonts w:hint="eastAsia"/>
              </w:rPr>
              <w:t>5.13E+00</w:t>
            </w:r>
          </w:p>
        </w:tc>
        <w:tc>
          <w:tcPr>
            <w:tcW w:w="1334" w:type="dxa"/>
            <w:vAlign w:val="center"/>
          </w:tcPr>
          <w:p>
            <w:pPr>
              <w:pStyle w:val="51"/>
            </w:pPr>
            <w:r>
              <w:rPr>
                <w:rFonts w:hint="eastAsia"/>
              </w:rPr>
              <w:t>1.52E+01</w:t>
            </w:r>
          </w:p>
        </w:tc>
        <w:tc>
          <w:tcPr>
            <w:tcW w:w="1335" w:type="dxa"/>
            <w:vAlign w:val="center"/>
          </w:tcPr>
          <w:p>
            <w:pPr>
              <w:pStyle w:val="51"/>
            </w:pPr>
            <w:r>
              <w:rPr>
                <w:rFonts w:hint="eastAsia"/>
              </w:rPr>
              <w:t>2.06E+01</w:t>
            </w:r>
          </w:p>
        </w:tc>
        <w:tc>
          <w:tcPr>
            <w:tcW w:w="1335" w:type="dxa"/>
            <w:vAlign w:val="center"/>
          </w:tcPr>
          <w:p>
            <w:pPr>
              <w:pStyle w:val="51"/>
            </w:pPr>
            <w:r>
              <w:rPr>
                <w:rFonts w:hint="eastAsia"/>
              </w:rPr>
              <w:t>2.22E+01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20</w:t>
            </w:r>
          </w:p>
        </w:tc>
        <w:tc>
          <w:tcPr>
            <w:tcW w:w="1334" w:type="dxa"/>
            <w:vAlign w:val="center"/>
          </w:tcPr>
          <w:p>
            <w:pPr>
              <w:pStyle w:val="51"/>
            </w:pPr>
            <w:r>
              <w:rPr>
                <w:rFonts w:hint="eastAsia"/>
              </w:rPr>
              <w:t>4.50E-06</w:t>
            </w:r>
          </w:p>
        </w:tc>
        <w:tc>
          <w:tcPr>
            <w:tcW w:w="1335" w:type="dxa"/>
            <w:vAlign w:val="center"/>
          </w:tcPr>
          <w:p>
            <w:pPr>
              <w:pStyle w:val="51"/>
            </w:pPr>
            <w:r>
              <w:rPr>
                <w:rFonts w:hint="eastAsia"/>
              </w:rPr>
              <w:t>1.90E-01</w:t>
            </w:r>
          </w:p>
        </w:tc>
        <w:tc>
          <w:tcPr>
            <w:tcW w:w="1334" w:type="dxa"/>
            <w:vAlign w:val="center"/>
          </w:tcPr>
          <w:p>
            <w:pPr>
              <w:pStyle w:val="51"/>
            </w:pPr>
            <w:r>
              <w:rPr>
                <w:rFonts w:hint="eastAsia"/>
              </w:rPr>
              <w:t>6.68E+00</w:t>
            </w:r>
          </w:p>
        </w:tc>
        <w:tc>
          <w:tcPr>
            <w:tcW w:w="1335" w:type="dxa"/>
            <w:vAlign w:val="center"/>
          </w:tcPr>
          <w:p>
            <w:pPr>
              <w:pStyle w:val="51"/>
            </w:pPr>
            <w:r>
              <w:rPr>
                <w:rFonts w:hint="eastAsia"/>
              </w:rPr>
              <w:t>1.66E+01</w:t>
            </w:r>
          </w:p>
        </w:tc>
        <w:tc>
          <w:tcPr>
            <w:tcW w:w="1335" w:type="dxa"/>
            <w:vAlign w:val="center"/>
          </w:tcPr>
          <w:p>
            <w:pPr>
              <w:pStyle w:val="51"/>
            </w:pPr>
            <w:r>
              <w:rPr>
                <w:rFonts w:hint="eastAsia"/>
              </w:rPr>
              <w:t>2.06E+01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23" w:type="dxa"/>
            <w:vAlign w:val="center"/>
          </w:tcPr>
          <w:p>
            <w:pPr>
              <w:pStyle w:val="51"/>
            </w:pPr>
            <w:r>
              <w:rPr>
                <w:rFonts w:hint="eastAsia"/>
              </w:rPr>
              <w:t>30</w:t>
            </w:r>
          </w:p>
        </w:tc>
        <w:tc>
          <w:tcPr>
            <w:tcW w:w="1334" w:type="dxa"/>
            <w:vAlign w:val="center"/>
          </w:tcPr>
          <w:p>
            <w:pPr>
              <w:pStyle w:val="51"/>
            </w:pPr>
            <w:r>
              <w:rPr>
                <w:rFonts w:hint="eastAsia"/>
              </w:rPr>
              <w:t>6.27E-14</w:t>
            </w:r>
          </w:p>
        </w:tc>
        <w:tc>
          <w:tcPr>
            <w:tcW w:w="1335" w:type="dxa"/>
            <w:vAlign w:val="center"/>
          </w:tcPr>
          <w:p>
            <w:pPr>
              <w:pStyle w:val="51"/>
            </w:pPr>
            <w:r>
              <w:rPr>
                <w:rFonts w:hint="eastAsia"/>
              </w:rPr>
              <w:t>9.52E-04</w:t>
            </w:r>
          </w:p>
        </w:tc>
        <w:tc>
          <w:tcPr>
            <w:tcW w:w="1334" w:type="dxa"/>
            <w:vAlign w:val="center"/>
          </w:tcPr>
          <w:p>
            <w:pPr>
              <w:pStyle w:val="51"/>
            </w:pPr>
            <w:r>
              <w:rPr>
                <w:rFonts w:hint="eastAsia"/>
              </w:rPr>
              <w:t>1.80E+00</w:t>
            </w:r>
          </w:p>
        </w:tc>
        <w:tc>
          <w:tcPr>
            <w:tcW w:w="1335" w:type="dxa"/>
            <w:vAlign w:val="center"/>
          </w:tcPr>
          <w:p>
            <w:pPr>
              <w:pStyle w:val="51"/>
            </w:pPr>
            <w:r>
              <w:rPr>
                <w:rFonts w:hint="eastAsia"/>
              </w:rPr>
              <w:t>1.17E+01</w:t>
            </w:r>
          </w:p>
        </w:tc>
        <w:tc>
          <w:tcPr>
            <w:tcW w:w="1335" w:type="dxa"/>
            <w:vAlign w:val="center"/>
          </w:tcPr>
          <w:p>
            <w:pPr>
              <w:pStyle w:val="51"/>
            </w:pPr>
            <w:r>
              <w:rPr>
                <w:rFonts w:hint="eastAsia"/>
              </w:rPr>
              <w:t>1.82E+01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50</w:t>
            </w:r>
          </w:p>
        </w:tc>
        <w:tc>
          <w:tcPr>
            <w:tcW w:w="1334" w:type="dxa"/>
          </w:tcPr>
          <w:p>
            <w:pPr>
              <w:pStyle w:val="51"/>
            </w:pPr>
            <w:r>
              <w:rPr>
                <w:rFonts w:hint="eastAsia"/>
              </w:rPr>
              <w:t>0.00E+00</w:t>
            </w:r>
          </w:p>
        </w:tc>
        <w:tc>
          <w:tcPr>
            <w:tcW w:w="1335" w:type="dxa"/>
            <w:vAlign w:val="center"/>
          </w:tcPr>
          <w:p>
            <w:pPr>
              <w:pStyle w:val="51"/>
            </w:pPr>
            <w:r>
              <w:rPr>
                <w:rFonts w:hint="eastAsia"/>
              </w:rPr>
              <w:t>4.61E-11</w:t>
            </w:r>
          </w:p>
        </w:tc>
        <w:tc>
          <w:tcPr>
            <w:tcW w:w="1334" w:type="dxa"/>
            <w:vAlign w:val="center"/>
          </w:tcPr>
          <w:p>
            <w:pPr>
              <w:pStyle w:val="51"/>
            </w:pPr>
            <w:r>
              <w:rPr>
                <w:rFonts w:hint="eastAsia"/>
              </w:rPr>
              <w:t>2.65E-02</w:t>
            </w:r>
          </w:p>
        </w:tc>
        <w:tc>
          <w:tcPr>
            <w:tcW w:w="1335" w:type="dxa"/>
            <w:vAlign w:val="center"/>
          </w:tcPr>
          <w:p>
            <w:pPr>
              <w:pStyle w:val="51"/>
            </w:pPr>
            <w:r>
              <w:rPr>
                <w:rFonts w:hint="eastAsia"/>
              </w:rPr>
              <w:t>3.53E+00</w:t>
            </w:r>
          </w:p>
        </w:tc>
        <w:tc>
          <w:tcPr>
            <w:tcW w:w="1335" w:type="dxa"/>
            <w:vAlign w:val="center"/>
          </w:tcPr>
          <w:p>
            <w:pPr>
              <w:pStyle w:val="51"/>
            </w:pPr>
            <w:r>
              <w:rPr>
                <w:rFonts w:hint="eastAsia"/>
              </w:rPr>
              <w:t>1.16E+01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100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vAlign w:val="center"/>
          </w:tcPr>
          <w:p>
            <w:pPr>
              <w:pStyle w:val="51"/>
            </w:pPr>
            <w:r>
              <w:rPr>
                <w:rFonts w:hint="eastAsia"/>
              </w:rPr>
              <w:t>4.61E-11</w:t>
            </w:r>
          </w:p>
        </w:tc>
        <w:tc>
          <w:tcPr>
            <w:tcW w:w="1335" w:type="dxa"/>
            <w:vAlign w:val="center"/>
          </w:tcPr>
          <w:p>
            <w:pPr>
              <w:pStyle w:val="51"/>
            </w:pPr>
            <w:r>
              <w:rPr>
                <w:rFonts w:hint="eastAsia"/>
              </w:rPr>
              <w:t>6.28E-03</w:t>
            </w:r>
          </w:p>
        </w:tc>
        <w:tc>
          <w:tcPr>
            <w:tcW w:w="1335" w:type="dxa"/>
            <w:vAlign w:val="center"/>
          </w:tcPr>
          <w:p>
            <w:pPr>
              <w:pStyle w:val="51"/>
            </w:pPr>
            <w:r>
              <w:rPr>
                <w:rFonts w:hint="eastAsia"/>
              </w:rPr>
              <w:t>7.63E-01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23" w:type="dxa"/>
            <w:vAlign w:val="center"/>
          </w:tcPr>
          <w:p>
            <w:pPr>
              <w:pStyle w:val="51"/>
            </w:pPr>
            <w:r>
              <w:rPr>
                <w:rFonts w:hint="eastAsia"/>
              </w:rPr>
              <w:t>150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tcPr>
          <w:p>
            <w:pPr>
              <w:pStyle w:val="51"/>
            </w:pPr>
            <w:r>
              <w:rPr>
                <w:rFonts w:hint="eastAsia"/>
              </w:rPr>
              <w:t>0.00E+00</w:t>
            </w:r>
          </w:p>
        </w:tc>
        <w:tc>
          <w:tcPr>
            <w:tcW w:w="1335" w:type="dxa"/>
            <w:vAlign w:val="center"/>
          </w:tcPr>
          <w:p>
            <w:pPr>
              <w:pStyle w:val="51"/>
            </w:pPr>
            <w:r>
              <w:rPr>
                <w:rFonts w:hint="eastAsia"/>
              </w:rPr>
              <w:t>6.60E-08</w:t>
            </w:r>
          </w:p>
        </w:tc>
        <w:tc>
          <w:tcPr>
            <w:tcW w:w="1335" w:type="dxa"/>
            <w:vAlign w:val="center"/>
          </w:tcPr>
          <w:p>
            <w:pPr>
              <w:pStyle w:val="51"/>
            </w:pPr>
            <w:r>
              <w:rPr>
                <w:rFonts w:hint="eastAsia"/>
              </w:rPr>
              <w:t>3.52E-03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200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tcPr>
          <w:p>
            <w:pPr>
              <w:pStyle w:val="51"/>
            </w:pPr>
            <w:r>
              <w:rPr>
                <w:rFonts w:hint="eastAsia"/>
              </w:rPr>
              <w:t>0.00E+00</w:t>
            </w:r>
          </w:p>
        </w:tc>
        <w:tc>
          <w:tcPr>
            <w:tcW w:w="1335" w:type="dxa"/>
          </w:tcPr>
          <w:p>
            <w:pPr>
              <w:pStyle w:val="51"/>
            </w:pPr>
            <w:r>
              <w:rPr>
                <w:rFonts w:hint="eastAsia"/>
              </w:rPr>
              <w:t>0.00E+00</w:t>
            </w:r>
          </w:p>
        </w:tc>
        <w:tc>
          <w:tcPr>
            <w:tcW w:w="1335" w:type="dxa"/>
            <w:vAlign w:val="center"/>
          </w:tcPr>
          <w:p>
            <w:pPr>
              <w:pStyle w:val="51"/>
            </w:pPr>
            <w:r>
              <w:rPr>
                <w:rFonts w:hint="eastAsia"/>
              </w:rPr>
              <w:t>1.19E-06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250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tcPr>
          <w:p>
            <w:pPr>
              <w:pStyle w:val="51"/>
            </w:pPr>
            <w:r>
              <w:rPr>
                <w:rFonts w:hint="eastAsia"/>
              </w:rPr>
              <w:t>0.00E+00</w:t>
            </w:r>
          </w:p>
        </w:tc>
        <w:tc>
          <w:tcPr>
            <w:tcW w:w="1335" w:type="dxa"/>
          </w:tcPr>
          <w:p>
            <w:pPr>
              <w:pStyle w:val="51"/>
            </w:pPr>
            <w:r>
              <w:rPr>
                <w:rFonts w:hint="eastAsia"/>
              </w:rPr>
              <w:t>0.00E+00</w:t>
            </w:r>
          </w:p>
        </w:tc>
        <w:tc>
          <w:tcPr>
            <w:tcW w:w="1335" w:type="dxa"/>
            <w:vAlign w:val="center"/>
          </w:tcPr>
          <w:p>
            <w:pPr>
              <w:pStyle w:val="51"/>
            </w:pPr>
            <w:r>
              <w:rPr>
                <w:rFonts w:hint="eastAsia"/>
              </w:rPr>
              <w:t>8.72E-12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300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tcPr>
          <w:p>
            <w:pPr>
              <w:pStyle w:val="51"/>
            </w:pPr>
            <w:r>
              <w:rPr>
                <w:rFonts w:hint="eastAsia"/>
              </w:rPr>
              <w:t>0.00E+00</w:t>
            </w:r>
          </w:p>
        </w:tc>
        <w:tc>
          <w:tcPr>
            <w:tcW w:w="1335" w:type="dxa"/>
          </w:tcPr>
          <w:p>
            <w:pPr>
              <w:pStyle w:val="51"/>
            </w:pPr>
            <w:r>
              <w:rPr>
                <w:rFonts w:hint="eastAsia"/>
              </w:rPr>
              <w:t>0.00E+00</w:t>
            </w:r>
          </w:p>
        </w:tc>
        <w:tc>
          <w:tcPr>
            <w:tcW w:w="1335" w:type="dxa"/>
            <w:vAlign w:val="center"/>
          </w:tcPr>
          <w:p>
            <w:pPr>
              <w:pStyle w:val="51"/>
            </w:pPr>
            <w:r>
              <w:rPr>
                <w:rFonts w:hint="eastAsia"/>
              </w:rPr>
              <w:t>0.00E+00</w:t>
            </w:r>
          </w:p>
        </w:tc>
      </w:tr>
    </w:tbl>
    <w:p>
      <w:pPr>
        <w:adjustRightInd w:val="0"/>
        <w:spacing w:line="36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表</w:t>
      </w:r>
      <w:r>
        <w:rPr>
          <w:rFonts w:hint="eastAsia" w:ascii="Times New Roman" w:hAnsi="Times New Roman" w:cs="Times New Roman"/>
          <w:b/>
          <w:color w:val="000000"/>
          <w:sz w:val="21"/>
          <w:szCs w:val="21"/>
        </w:rPr>
        <w:t>5.4</w:t>
      </w:r>
      <w:r>
        <w:rPr>
          <w:rFonts w:ascii="Times New Roman" w:hAnsi="Times New Roman" w:cs="Times New Roman"/>
          <w:b/>
          <w:color w:val="000000"/>
          <w:sz w:val="21"/>
          <w:szCs w:val="21"/>
        </w:rPr>
        <w:t>-</w:t>
      </w:r>
      <w:r>
        <w:rPr>
          <w:rFonts w:hint="eastAsia" w:ascii="Times New Roman" w:hAnsi="Times New Roman" w:cs="Times New Roman"/>
          <w:b/>
          <w:color w:val="000000"/>
          <w:sz w:val="21"/>
          <w:szCs w:val="21"/>
        </w:rPr>
        <w:t xml:space="preserve">6 </w:t>
      </w:r>
      <w:r>
        <w:rPr>
          <w:rFonts w:ascii="Times New Roman" w:hAnsi="Times New Roman" w:cs="Times New Roman"/>
          <w:b/>
          <w:color w:val="000000"/>
          <w:sz w:val="21"/>
          <w:szCs w:val="21"/>
        </w:rPr>
        <w:t xml:space="preserve"> 地下水中</w:t>
      </w:r>
      <w:r>
        <w:rPr>
          <w:rFonts w:hint="eastAsia" w:ascii="Times New Roman" w:hAnsi="Times New Roman" w:cs="Times New Roman"/>
          <w:b/>
          <w:bCs/>
          <w:color w:val="000000"/>
          <w:sz w:val="21"/>
          <w:szCs w:val="21"/>
        </w:rPr>
        <w:t>耗氧量</w:t>
      </w:r>
      <w:r>
        <w:rPr>
          <w:rFonts w:ascii="Times New Roman" w:hAnsi="Times New Roman" w:cs="Times New Roman"/>
          <w:b/>
          <w:bCs/>
          <w:color w:val="000000"/>
          <w:sz w:val="21"/>
          <w:szCs w:val="21"/>
        </w:rPr>
        <w:t>浓</w:t>
      </w:r>
      <w:r>
        <w:rPr>
          <w:rFonts w:ascii="Times New Roman" w:hAnsi="Times New Roman" w:cs="Times New Roman"/>
          <w:b/>
          <w:color w:val="000000"/>
          <w:sz w:val="21"/>
          <w:szCs w:val="21"/>
        </w:rPr>
        <w:t>度预测结果</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334"/>
        <w:gridCol w:w="1335"/>
        <w:gridCol w:w="1334"/>
        <w:gridCol w:w="133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Merge w:val="restart"/>
            <w:vAlign w:val="center"/>
          </w:tcPr>
          <w:p>
            <w:pPr>
              <w:pStyle w:val="51"/>
            </w:pPr>
            <w:r>
              <w:rPr>
                <w:rFonts w:hint="eastAsia"/>
              </w:rPr>
              <w:t>距离（m）</w:t>
            </w:r>
          </w:p>
        </w:tc>
        <w:tc>
          <w:tcPr>
            <w:tcW w:w="6673" w:type="dxa"/>
            <w:gridSpan w:val="5"/>
            <w:vAlign w:val="center"/>
          </w:tcPr>
          <w:p>
            <w:pPr>
              <w:pStyle w:val="51"/>
            </w:pPr>
            <w:r>
              <w:rPr>
                <w:rFonts w:cs="Times New Roman"/>
                <w:b/>
                <w:color w:val="000000"/>
                <w:szCs w:val="21"/>
              </w:rPr>
              <w:t>预测浓度(mg/L)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Merge w:val="continue"/>
            <w:vAlign w:val="center"/>
          </w:tcPr>
          <w:p>
            <w:pPr>
              <w:pStyle w:val="51"/>
            </w:pPr>
          </w:p>
        </w:tc>
        <w:tc>
          <w:tcPr>
            <w:tcW w:w="1334" w:type="dxa"/>
            <w:vAlign w:val="center"/>
          </w:tcPr>
          <w:p>
            <w:pPr>
              <w:pStyle w:val="51"/>
            </w:pPr>
            <w:r>
              <w:rPr>
                <w:rFonts w:hint="eastAsia"/>
              </w:rPr>
              <w:t>30d</w:t>
            </w:r>
          </w:p>
        </w:tc>
        <w:tc>
          <w:tcPr>
            <w:tcW w:w="1335" w:type="dxa"/>
            <w:vAlign w:val="center"/>
          </w:tcPr>
          <w:p>
            <w:pPr>
              <w:pStyle w:val="51"/>
            </w:pPr>
            <w:r>
              <w:rPr>
                <w:rFonts w:hint="eastAsia"/>
              </w:rPr>
              <w:t>100d</w:t>
            </w:r>
          </w:p>
        </w:tc>
        <w:tc>
          <w:tcPr>
            <w:tcW w:w="1334" w:type="dxa"/>
            <w:vAlign w:val="center"/>
          </w:tcPr>
          <w:p>
            <w:pPr>
              <w:pStyle w:val="51"/>
            </w:pPr>
            <w:r>
              <w:rPr>
                <w:rFonts w:hint="eastAsia"/>
              </w:rPr>
              <w:t>365d</w:t>
            </w:r>
          </w:p>
        </w:tc>
        <w:tc>
          <w:tcPr>
            <w:tcW w:w="1335" w:type="dxa"/>
            <w:vAlign w:val="center"/>
          </w:tcPr>
          <w:p>
            <w:pPr>
              <w:pStyle w:val="51"/>
            </w:pPr>
            <w:r>
              <w:rPr>
                <w:rFonts w:hint="eastAsia"/>
              </w:rPr>
              <w:t>1000d</w:t>
            </w:r>
          </w:p>
        </w:tc>
        <w:tc>
          <w:tcPr>
            <w:tcW w:w="1335" w:type="dxa"/>
            <w:vAlign w:val="center"/>
          </w:tcPr>
          <w:p>
            <w:pPr>
              <w:pStyle w:val="51"/>
            </w:pPr>
            <w:r>
              <w:rPr>
                <w:rFonts w:hint="eastAsia"/>
              </w:rPr>
              <w:t>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0</w:t>
            </w:r>
          </w:p>
        </w:tc>
        <w:tc>
          <w:tcPr>
            <w:tcW w:w="1334" w:type="dxa"/>
            <w:vAlign w:val="center"/>
          </w:tcPr>
          <w:p>
            <w:pPr>
              <w:pStyle w:val="51"/>
            </w:pPr>
            <w:r>
              <w:rPr>
                <w:rFonts w:hint="eastAsia"/>
              </w:rPr>
              <w:t>7.70E+01</w:t>
            </w:r>
          </w:p>
        </w:tc>
        <w:tc>
          <w:tcPr>
            <w:tcW w:w="1335" w:type="dxa"/>
          </w:tcPr>
          <w:p>
            <w:pPr>
              <w:pStyle w:val="51"/>
            </w:pPr>
            <w:r>
              <w:rPr>
                <w:rFonts w:hint="eastAsia"/>
              </w:rPr>
              <w:t>7.70E+01</w:t>
            </w:r>
          </w:p>
        </w:tc>
        <w:tc>
          <w:tcPr>
            <w:tcW w:w="1334" w:type="dxa"/>
          </w:tcPr>
          <w:p>
            <w:pPr>
              <w:pStyle w:val="51"/>
            </w:pPr>
            <w:r>
              <w:rPr>
                <w:rFonts w:hint="eastAsia"/>
              </w:rPr>
              <w:t>7.70E+01</w:t>
            </w:r>
          </w:p>
        </w:tc>
        <w:tc>
          <w:tcPr>
            <w:tcW w:w="1335" w:type="dxa"/>
          </w:tcPr>
          <w:p>
            <w:pPr>
              <w:pStyle w:val="51"/>
            </w:pPr>
            <w:r>
              <w:rPr>
                <w:rFonts w:hint="eastAsia"/>
              </w:rPr>
              <w:t>7.70E+01</w:t>
            </w:r>
          </w:p>
        </w:tc>
        <w:tc>
          <w:tcPr>
            <w:tcW w:w="1335" w:type="dxa"/>
          </w:tcPr>
          <w:p>
            <w:pPr>
              <w:pStyle w:val="51"/>
            </w:pPr>
            <w:r>
              <w:rPr>
                <w:rFonts w:hint="eastAsia"/>
              </w:rPr>
              <w:t>7.70E+01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23" w:type="dxa"/>
            <w:vAlign w:val="center"/>
          </w:tcPr>
          <w:p>
            <w:pPr>
              <w:pStyle w:val="51"/>
            </w:pPr>
            <w:r>
              <w:rPr>
                <w:rFonts w:hint="eastAsia"/>
              </w:rPr>
              <w:t>1</w:t>
            </w:r>
          </w:p>
        </w:tc>
        <w:tc>
          <w:tcPr>
            <w:tcW w:w="1334" w:type="dxa"/>
            <w:vAlign w:val="center"/>
          </w:tcPr>
          <w:p>
            <w:pPr>
              <w:pStyle w:val="51"/>
            </w:pPr>
            <w:r>
              <w:rPr>
                <w:rFonts w:hint="eastAsia"/>
              </w:rPr>
              <w:t>6.36E+01</w:t>
            </w:r>
          </w:p>
        </w:tc>
        <w:tc>
          <w:tcPr>
            <w:tcW w:w="1335" w:type="dxa"/>
            <w:vAlign w:val="center"/>
          </w:tcPr>
          <w:p>
            <w:pPr>
              <w:pStyle w:val="51"/>
            </w:pPr>
            <w:r>
              <w:rPr>
                <w:rFonts w:hint="eastAsia"/>
              </w:rPr>
              <w:t>7.10E+01</w:t>
            </w:r>
          </w:p>
        </w:tc>
        <w:tc>
          <w:tcPr>
            <w:tcW w:w="1334" w:type="dxa"/>
            <w:vAlign w:val="center"/>
          </w:tcPr>
          <w:p>
            <w:pPr>
              <w:pStyle w:val="51"/>
            </w:pPr>
            <w:r>
              <w:rPr>
                <w:rFonts w:hint="eastAsia"/>
              </w:rPr>
              <w:t>7.51E+01</w:t>
            </w:r>
          </w:p>
        </w:tc>
        <w:tc>
          <w:tcPr>
            <w:tcW w:w="1335" w:type="dxa"/>
            <w:vAlign w:val="center"/>
          </w:tcPr>
          <w:p>
            <w:pPr>
              <w:pStyle w:val="51"/>
            </w:pPr>
            <w:r>
              <w:rPr>
                <w:rFonts w:hint="eastAsia"/>
              </w:rPr>
              <w:t>7.65E+01</w:t>
            </w:r>
          </w:p>
        </w:tc>
        <w:tc>
          <w:tcPr>
            <w:tcW w:w="1335" w:type="dxa"/>
            <w:vAlign w:val="center"/>
          </w:tcPr>
          <w:p>
            <w:pPr>
              <w:pStyle w:val="51"/>
            </w:pPr>
            <w:r>
              <w:rPr>
                <w:rFonts w:hint="eastAsia"/>
              </w:rPr>
              <w:t>7.68E+01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2</w:t>
            </w:r>
          </w:p>
        </w:tc>
        <w:tc>
          <w:tcPr>
            <w:tcW w:w="1334" w:type="dxa"/>
            <w:vAlign w:val="center"/>
          </w:tcPr>
          <w:p>
            <w:pPr>
              <w:pStyle w:val="51"/>
            </w:pPr>
            <w:r>
              <w:rPr>
                <w:rFonts w:hint="eastAsia"/>
              </w:rPr>
              <w:t>4.99E+01</w:t>
            </w:r>
          </w:p>
        </w:tc>
        <w:tc>
          <w:tcPr>
            <w:tcW w:w="1335" w:type="dxa"/>
            <w:vAlign w:val="center"/>
          </w:tcPr>
          <w:p>
            <w:pPr>
              <w:pStyle w:val="51"/>
            </w:pPr>
            <w:r>
              <w:rPr>
                <w:rFonts w:hint="eastAsia"/>
              </w:rPr>
              <w:t>6.46E+01</w:t>
            </w:r>
          </w:p>
        </w:tc>
        <w:tc>
          <w:tcPr>
            <w:tcW w:w="1334" w:type="dxa"/>
            <w:vAlign w:val="center"/>
          </w:tcPr>
          <w:p>
            <w:pPr>
              <w:pStyle w:val="51"/>
            </w:pPr>
            <w:r>
              <w:rPr>
                <w:rFonts w:hint="eastAsia"/>
              </w:rPr>
              <w:t>7.29E+01</w:t>
            </w:r>
          </w:p>
        </w:tc>
        <w:tc>
          <w:tcPr>
            <w:tcW w:w="1335" w:type="dxa"/>
            <w:vAlign w:val="center"/>
          </w:tcPr>
          <w:p>
            <w:pPr>
              <w:pStyle w:val="51"/>
            </w:pPr>
            <w:r>
              <w:rPr>
                <w:rFonts w:hint="eastAsia"/>
              </w:rPr>
              <w:t>7.59E+01</w:t>
            </w:r>
          </w:p>
        </w:tc>
        <w:tc>
          <w:tcPr>
            <w:tcW w:w="1335" w:type="dxa"/>
            <w:vAlign w:val="center"/>
          </w:tcPr>
          <w:p>
            <w:pPr>
              <w:pStyle w:val="51"/>
            </w:pPr>
            <w:r>
              <w:rPr>
                <w:rFonts w:hint="eastAsia"/>
              </w:rPr>
              <w:t>7.66E+01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5</w:t>
            </w:r>
          </w:p>
        </w:tc>
        <w:tc>
          <w:tcPr>
            <w:tcW w:w="1334" w:type="dxa"/>
            <w:vAlign w:val="center"/>
          </w:tcPr>
          <w:p>
            <w:pPr>
              <w:pStyle w:val="51"/>
            </w:pPr>
            <w:r>
              <w:rPr>
                <w:rFonts w:hint="eastAsia"/>
              </w:rPr>
              <w:t>1.74E+01</w:t>
            </w:r>
          </w:p>
        </w:tc>
        <w:tc>
          <w:tcPr>
            <w:tcW w:w="1335" w:type="dxa"/>
            <w:vAlign w:val="center"/>
          </w:tcPr>
          <w:p>
            <w:pPr>
              <w:pStyle w:val="51"/>
            </w:pPr>
            <w:r>
              <w:rPr>
                <w:rFonts w:hint="eastAsia"/>
              </w:rPr>
              <w:t>4.45E+01</w:t>
            </w:r>
          </w:p>
        </w:tc>
        <w:tc>
          <w:tcPr>
            <w:tcW w:w="1334" w:type="dxa"/>
            <w:vAlign w:val="center"/>
          </w:tcPr>
          <w:p>
            <w:pPr>
              <w:pStyle w:val="51"/>
            </w:pPr>
            <w:r>
              <w:rPr>
                <w:rFonts w:hint="eastAsia"/>
              </w:rPr>
              <w:t>7.06E+01</w:t>
            </w:r>
          </w:p>
        </w:tc>
        <w:tc>
          <w:tcPr>
            <w:tcW w:w="1335" w:type="dxa"/>
            <w:vAlign w:val="center"/>
          </w:tcPr>
          <w:p>
            <w:pPr>
              <w:pStyle w:val="51"/>
            </w:pPr>
            <w:r>
              <w:rPr>
                <w:rFonts w:hint="eastAsia"/>
              </w:rPr>
              <w:t>7.37E+01</w:t>
            </w:r>
          </w:p>
        </w:tc>
        <w:tc>
          <w:tcPr>
            <w:tcW w:w="1335" w:type="dxa"/>
            <w:vAlign w:val="center"/>
          </w:tcPr>
          <w:p>
            <w:pPr>
              <w:pStyle w:val="51"/>
            </w:pPr>
            <w:r>
              <w:rPr>
                <w:rFonts w:hint="eastAsia"/>
              </w:rPr>
              <w:t>7.59E+01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10</w:t>
            </w:r>
          </w:p>
        </w:tc>
        <w:tc>
          <w:tcPr>
            <w:tcW w:w="1334" w:type="dxa"/>
            <w:vAlign w:val="center"/>
          </w:tcPr>
          <w:p>
            <w:pPr>
              <w:pStyle w:val="51"/>
            </w:pPr>
            <w:r>
              <w:rPr>
                <w:rFonts w:hint="eastAsia"/>
              </w:rPr>
              <w:t>8.89E-01</w:t>
            </w:r>
          </w:p>
        </w:tc>
        <w:tc>
          <w:tcPr>
            <w:tcW w:w="1335" w:type="dxa"/>
            <w:vAlign w:val="center"/>
          </w:tcPr>
          <w:p>
            <w:pPr>
              <w:pStyle w:val="51"/>
            </w:pPr>
            <w:r>
              <w:rPr>
                <w:rFonts w:hint="eastAsia"/>
              </w:rPr>
              <w:t>1.72E+01</w:t>
            </w:r>
          </w:p>
        </w:tc>
        <w:tc>
          <w:tcPr>
            <w:tcW w:w="1334" w:type="dxa"/>
            <w:vAlign w:val="center"/>
          </w:tcPr>
          <w:p>
            <w:pPr>
              <w:pStyle w:val="51"/>
            </w:pPr>
            <w:r>
              <w:rPr>
                <w:rFonts w:hint="eastAsia"/>
              </w:rPr>
              <w:t>5.10E+01</w:t>
            </w:r>
          </w:p>
        </w:tc>
        <w:tc>
          <w:tcPr>
            <w:tcW w:w="1335" w:type="dxa"/>
            <w:vAlign w:val="center"/>
          </w:tcPr>
          <w:p>
            <w:pPr>
              <w:pStyle w:val="51"/>
            </w:pPr>
            <w:r>
              <w:rPr>
                <w:rFonts w:hint="eastAsia"/>
              </w:rPr>
              <w:t>6.90E+01</w:t>
            </w:r>
          </w:p>
        </w:tc>
        <w:tc>
          <w:tcPr>
            <w:tcW w:w="1335" w:type="dxa"/>
            <w:vAlign w:val="center"/>
          </w:tcPr>
          <w:p>
            <w:pPr>
              <w:pStyle w:val="51"/>
            </w:pPr>
            <w:r>
              <w:rPr>
                <w:rFonts w:hint="eastAsia"/>
              </w:rPr>
              <w:t>7.42E+01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23" w:type="dxa"/>
            <w:vAlign w:val="center"/>
          </w:tcPr>
          <w:p>
            <w:pPr>
              <w:pStyle w:val="51"/>
            </w:pPr>
            <w:r>
              <w:rPr>
                <w:rFonts w:hint="eastAsia"/>
              </w:rPr>
              <w:t>20</w:t>
            </w:r>
          </w:p>
        </w:tc>
        <w:tc>
          <w:tcPr>
            <w:tcW w:w="1334" w:type="dxa"/>
            <w:vAlign w:val="center"/>
          </w:tcPr>
          <w:p>
            <w:pPr>
              <w:pStyle w:val="51"/>
            </w:pPr>
            <w:r>
              <w:rPr>
                <w:rFonts w:hint="eastAsia"/>
              </w:rPr>
              <w:t>1.51E-05</w:t>
            </w:r>
          </w:p>
        </w:tc>
        <w:tc>
          <w:tcPr>
            <w:tcW w:w="1335" w:type="dxa"/>
            <w:vAlign w:val="center"/>
          </w:tcPr>
          <w:p>
            <w:pPr>
              <w:pStyle w:val="51"/>
            </w:pPr>
            <w:r>
              <w:rPr>
                <w:rFonts w:hint="eastAsia"/>
              </w:rPr>
              <w:t>6.36E-01</w:t>
            </w:r>
          </w:p>
        </w:tc>
        <w:tc>
          <w:tcPr>
            <w:tcW w:w="1334" w:type="dxa"/>
            <w:vAlign w:val="center"/>
          </w:tcPr>
          <w:p>
            <w:pPr>
              <w:pStyle w:val="51"/>
            </w:pPr>
            <w:r>
              <w:rPr>
                <w:rFonts w:hint="eastAsia"/>
              </w:rPr>
              <w:t>2.23E+01</w:t>
            </w:r>
          </w:p>
        </w:tc>
        <w:tc>
          <w:tcPr>
            <w:tcW w:w="1335" w:type="dxa"/>
            <w:vAlign w:val="center"/>
          </w:tcPr>
          <w:p>
            <w:pPr>
              <w:pStyle w:val="51"/>
            </w:pPr>
            <w:r>
              <w:rPr>
                <w:rFonts w:hint="eastAsia"/>
              </w:rPr>
              <w:t>5.56E+01</w:t>
            </w:r>
          </w:p>
        </w:tc>
        <w:tc>
          <w:tcPr>
            <w:tcW w:w="1335" w:type="dxa"/>
            <w:vAlign w:val="center"/>
          </w:tcPr>
          <w:p>
            <w:pPr>
              <w:pStyle w:val="51"/>
            </w:pPr>
            <w:r>
              <w:rPr>
                <w:rFonts w:hint="eastAsia"/>
              </w:rPr>
              <w:t>6.90E+01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30</w:t>
            </w:r>
          </w:p>
        </w:tc>
        <w:tc>
          <w:tcPr>
            <w:tcW w:w="1334" w:type="dxa"/>
            <w:vAlign w:val="center"/>
          </w:tcPr>
          <w:p>
            <w:pPr>
              <w:pStyle w:val="51"/>
            </w:pPr>
            <w:r>
              <w:rPr>
                <w:rFonts w:hint="eastAsia"/>
              </w:rPr>
              <w:t>2.10E-13</w:t>
            </w:r>
          </w:p>
        </w:tc>
        <w:tc>
          <w:tcPr>
            <w:tcW w:w="1335" w:type="dxa"/>
            <w:vAlign w:val="center"/>
          </w:tcPr>
          <w:p>
            <w:pPr>
              <w:pStyle w:val="51"/>
            </w:pPr>
            <w:r>
              <w:rPr>
                <w:rFonts w:hint="eastAsia"/>
              </w:rPr>
              <w:t>3.19E-03</w:t>
            </w:r>
          </w:p>
        </w:tc>
        <w:tc>
          <w:tcPr>
            <w:tcW w:w="1334" w:type="dxa"/>
            <w:vAlign w:val="center"/>
          </w:tcPr>
          <w:p>
            <w:pPr>
              <w:pStyle w:val="51"/>
            </w:pPr>
            <w:r>
              <w:rPr>
                <w:rFonts w:hint="eastAsia"/>
              </w:rPr>
              <w:t>6.03E+00</w:t>
            </w:r>
          </w:p>
        </w:tc>
        <w:tc>
          <w:tcPr>
            <w:tcW w:w="1335" w:type="dxa"/>
            <w:vAlign w:val="center"/>
          </w:tcPr>
          <w:p>
            <w:pPr>
              <w:pStyle w:val="51"/>
            </w:pPr>
            <w:r>
              <w:rPr>
                <w:rFonts w:hint="eastAsia"/>
              </w:rPr>
              <w:t>3.91E+01</w:t>
            </w:r>
          </w:p>
        </w:tc>
        <w:tc>
          <w:tcPr>
            <w:tcW w:w="1335" w:type="dxa"/>
            <w:vAlign w:val="center"/>
          </w:tcPr>
          <w:p>
            <w:pPr>
              <w:pStyle w:val="51"/>
            </w:pPr>
            <w:r>
              <w:rPr>
                <w:rFonts w:hint="eastAsia"/>
              </w:rPr>
              <w:t>6.09E+01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50</w:t>
            </w:r>
          </w:p>
        </w:tc>
        <w:tc>
          <w:tcPr>
            <w:tcW w:w="1334" w:type="dxa"/>
          </w:tcPr>
          <w:p>
            <w:pPr>
              <w:pStyle w:val="51"/>
            </w:pPr>
            <w:r>
              <w:rPr>
                <w:rFonts w:hint="eastAsia"/>
              </w:rPr>
              <w:t>0.00E+00</w:t>
            </w:r>
          </w:p>
        </w:tc>
        <w:tc>
          <w:tcPr>
            <w:tcW w:w="1335" w:type="dxa"/>
            <w:vAlign w:val="center"/>
          </w:tcPr>
          <w:p>
            <w:pPr>
              <w:pStyle w:val="51"/>
            </w:pPr>
            <w:r>
              <w:rPr>
                <w:rFonts w:hint="eastAsia"/>
              </w:rPr>
              <w:t>1.54E-10</w:t>
            </w:r>
          </w:p>
        </w:tc>
        <w:tc>
          <w:tcPr>
            <w:tcW w:w="1334" w:type="dxa"/>
            <w:vAlign w:val="center"/>
          </w:tcPr>
          <w:p>
            <w:pPr>
              <w:pStyle w:val="51"/>
            </w:pPr>
            <w:r>
              <w:rPr>
                <w:rFonts w:hint="eastAsia"/>
              </w:rPr>
              <w:t>8.86E-02</w:t>
            </w:r>
          </w:p>
        </w:tc>
        <w:tc>
          <w:tcPr>
            <w:tcW w:w="1335" w:type="dxa"/>
            <w:vAlign w:val="center"/>
          </w:tcPr>
          <w:p>
            <w:pPr>
              <w:pStyle w:val="51"/>
            </w:pPr>
            <w:r>
              <w:rPr>
                <w:rFonts w:hint="eastAsia"/>
              </w:rPr>
              <w:t>1.18E+01</w:t>
            </w:r>
          </w:p>
        </w:tc>
        <w:tc>
          <w:tcPr>
            <w:tcW w:w="1335" w:type="dxa"/>
            <w:vAlign w:val="center"/>
          </w:tcPr>
          <w:p>
            <w:pPr>
              <w:pStyle w:val="51"/>
            </w:pPr>
            <w:r>
              <w:rPr>
                <w:rFonts w:hint="eastAsia"/>
              </w:rPr>
              <w:t>3.87E+01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100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vAlign w:val="center"/>
          </w:tcPr>
          <w:p>
            <w:pPr>
              <w:pStyle w:val="51"/>
            </w:pPr>
            <w:r>
              <w:rPr>
                <w:rFonts w:hint="eastAsia"/>
              </w:rPr>
              <w:t>1.54E-10</w:t>
            </w:r>
          </w:p>
        </w:tc>
        <w:tc>
          <w:tcPr>
            <w:tcW w:w="1335" w:type="dxa"/>
            <w:vAlign w:val="center"/>
          </w:tcPr>
          <w:p>
            <w:pPr>
              <w:pStyle w:val="51"/>
            </w:pPr>
            <w:r>
              <w:rPr>
                <w:rFonts w:hint="eastAsia"/>
              </w:rPr>
              <w:t>2.10E-02</w:t>
            </w:r>
          </w:p>
        </w:tc>
        <w:tc>
          <w:tcPr>
            <w:tcW w:w="1335" w:type="dxa"/>
            <w:vAlign w:val="center"/>
          </w:tcPr>
          <w:p>
            <w:pPr>
              <w:pStyle w:val="51"/>
            </w:pPr>
            <w:r>
              <w:rPr>
                <w:rFonts w:hint="eastAsia"/>
              </w:rPr>
              <w:t>2.55E+00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23" w:type="dxa"/>
            <w:vAlign w:val="center"/>
          </w:tcPr>
          <w:p>
            <w:pPr>
              <w:pStyle w:val="51"/>
            </w:pPr>
            <w:r>
              <w:rPr>
                <w:rFonts w:hint="eastAsia"/>
              </w:rPr>
              <w:t>150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tcPr>
          <w:p>
            <w:pPr>
              <w:pStyle w:val="51"/>
            </w:pPr>
            <w:r>
              <w:rPr>
                <w:rFonts w:hint="eastAsia"/>
              </w:rPr>
              <w:t>0.00E+00</w:t>
            </w:r>
          </w:p>
        </w:tc>
        <w:tc>
          <w:tcPr>
            <w:tcW w:w="1335" w:type="dxa"/>
            <w:vAlign w:val="center"/>
          </w:tcPr>
          <w:p>
            <w:pPr>
              <w:pStyle w:val="51"/>
            </w:pPr>
            <w:r>
              <w:rPr>
                <w:rFonts w:hint="eastAsia"/>
              </w:rPr>
              <w:t>2.21E-07</w:t>
            </w:r>
          </w:p>
        </w:tc>
        <w:tc>
          <w:tcPr>
            <w:tcW w:w="1335" w:type="dxa"/>
            <w:vAlign w:val="center"/>
          </w:tcPr>
          <w:p>
            <w:pPr>
              <w:pStyle w:val="51"/>
            </w:pPr>
            <w:r>
              <w:rPr>
                <w:rFonts w:hint="eastAsia"/>
              </w:rPr>
              <w:t>1.18E-02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200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tcPr>
          <w:p>
            <w:pPr>
              <w:pStyle w:val="51"/>
            </w:pPr>
            <w:r>
              <w:rPr>
                <w:rFonts w:hint="eastAsia"/>
              </w:rPr>
              <w:t>0.00E+00</w:t>
            </w:r>
          </w:p>
        </w:tc>
        <w:tc>
          <w:tcPr>
            <w:tcW w:w="1335" w:type="dxa"/>
          </w:tcPr>
          <w:p>
            <w:pPr>
              <w:pStyle w:val="51"/>
            </w:pPr>
            <w:r>
              <w:rPr>
                <w:rFonts w:hint="eastAsia"/>
              </w:rPr>
              <w:t>0.00E+00</w:t>
            </w:r>
          </w:p>
        </w:tc>
        <w:tc>
          <w:tcPr>
            <w:tcW w:w="1335" w:type="dxa"/>
            <w:vAlign w:val="center"/>
          </w:tcPr>
          <w:p>
            <w:pPr>
              <w:pStyle w:val="51"/>
            </w:pPr>
            <w:r>
              <w:rPr>
                <w:rFonts w:hint="eastAsia"/>
              </w:rPr>
              <w:t>3.97E-06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250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tcPr>
          <w:p>
            <w:pPr>
              <w:pStyle w:val="51"/>
            </w:pPr>
            <w:r>
              <w:rPr>
                <w:rFonts w:hint="eastAsia"/>
              </w:rPr>
              <w:t>0.00E+00</w:t>
            </w:r>
          </w:p>
        </w:tc>
        <w:tc>
          <w:tcPr>
            <w:tcW w:w="1335" w:type="dxa"/>
          </w:tcPr>
          <w:p>
            <w:pPr>
              <w:pStyle w:val="51"/>
            </w:pPr>
            <w:r>
              <w:rPr>
                <w:rFonts w:hint="eastAsia"/>
              </w:rPr>
              <w:t>0.00E+00</w:t>
            </w:r>
          </w:p>
        </w:tc>
        <w:tc>
          <w:tcPr>
            <w:tcW w:w="1335" w:type="dxa"/>
            <w:vAlign w:val="center"/>
          </w:tcPr>
          <w:p>
            <w:pPr>
              <w:pStyle w:val="51"/>
            </w:pPr>
            <w:r>
              <w:rPr>
                <w:rFonts w:hint="eastAsia"/>
              </w:rPr>
              <w:t>2.92E-11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Align w:val="center"/>
          </w:tcPr>
          <w:p>
            <w:pPr>
              <w:pStyle w:val="51"/>
            </w:pPr>
            <w:r>
              <w:rPr>
                <w:rFonts w:hint="eastAsia"/>
              </w:rPr>
              <w:t>300</w:t>
            </w:r>
          </w:p>
        </w:tc>
        <w:tc>
          <w:tcPr>
            <w:tcW w:w="1334" w:type="dxa"/>
          </w:tcPr>
          <w:p>
            <w:pPr>
              <w:pStyle w:val="51"/>
            </w:pPr>
            <w:r>
              <w:rPr>
                <w:rFonts w:hint="eastAsia"/>
              </w:rPr>
              <w:t>0.00E+00</w:t>
            </w:r>
          </w:p>
        </w:tc>
        <w:tc>
          <w:tcPr>
            <w:tcW w:w="1335" w:type="dxa"/>
          </w:tcPr>
          <w:p>
            <w:pPr>
              <w:pStyle w:val="51"/>
            </w:pPr>
            <w:r>
              <w:rPr>
                <w:rFonts w:hint="eastAsia"/>
              </w:rPr>
              <w:t>0.00E+00</w:t>
            </w:r>
          </w:p>
        </w:tc>
        <w:tc>
          <w:tcPr>
            <w:tcW w:w="1334" w:type="dxa"/>
          </w:tcPr>
          <w:p>
            <w:pPr>
              <w:pStyle w:val="51"/>
            </w:pPr>
            <w:r>
              <w:rPr>
                <w:rFonts w:hint="eastAsia"/>
              </w:rPr>
              <w:t>0.00E+00</w:t>
            </w:r>
          </w:p>
        </w:tc>
        <w:tc>
          <w:tcPr>
            <w:tcW w:w="1335" w:type="dxa"/>
          </w:tcPr>
          <w:p>
            <w:pPr>
              <w:pStyle w:val="51"/>
            </w:pPr>
            <w:r>
              <w:rPr>
                <w:rFonts w:hint="eastAsia"/>
              </w:rPr>
              <w:t>0.00E+00</w:t>
            </w:r>
          </w:p>
        </w:tc>
        <w:tc>
          <w:tcPr>
            <w:tcW w:w="1335" w:type="dxa"/>
            <w:vAlign w:val="center"/>
          </w:tcPr>
          <w:p>
            <w:pPr>
              <w:pStyle w:val="51"/>
            </w:pPr>
            <w:r>
              <w:rPr>
                <w:rFonts w:hint="eastAsia"/>
              </w:rPr>
              <w:t>0.00E+00</w:t>
            </w:r>
          </w:p>
        </w:tc>
      </w:tr>
    </w:tbl>
    <w:p>
      <w:pPr>
        <w:pStyle w:val="49"/>
        <w:ind w:firstLine="480"/>
      </w:pPr>
      <w:r>
        <w:rPr>
          <w:rFonts w:hint="eastAsia"/>
        </w:rPr>
        <w:t>9、预测结果分析</w:t>
      </w:r>
    </w:p>
    <w:p>
      <w:pPr>
        <w:pStyle w:val="49"/>
        <w:ind w:firstLine="480"/>
      </w:pPr>
      <w:r>
        <w:rPr>
          <w:szCs w:val="20"/>
        </w:rPr>
        <w:t>根据《环境影响评价技术导则 地下水环境》附录D推荐的预测公式预测结果可知，</w:t>
      </w:r>
      <w:r>
        <w:t>在模拟期内，非正常工况下，废水渗漏将会造成项目周边一定范围内地下水污染影响因子浓度升高，随着时间的增长，污染晕中心随着水流向下游迁移，污染物在运移的过程中随着地下水的稀释作用，浓度逐渐降低，随污染物运移，污染范围随之扩大。</w:t>
      </w:r>
    </w:p>
    <w:p>
      <w:pPr>
        <w:pStyle w:val="49"/>
        <w:wordWrap w:val="0"/>
        <w:ind w:firstLine="480"/>
      </w:pPr>
      <w:r>
        <w:rPr>
          <w:rFonts w:hint="eastAsia"/>
        </w:rPr>
        <w:t>NH</w:t>
      </w:r>
      <w:r>
        <w:rPr>
          <w:rFonts w:hint="eastAsia"/>
          <w:vertAlign w:val="subscript"/>
        </w:rPr>
        <w:t>3</w:t>
      </w:r>
      <w:r>
        <w:rPr>
          <w:rFonts w:hint="eastAsia"/>
        </w:rPr>
        <w:t>-N：30天时，预测超标距离为9</w:t>
      </w:r>
      <w:r>
        <w:t>m</w:t>
      </w:r>
      <w:r>
        <w:rPr>
          <w:rFonts w:hint="eastAsia"/>
        </w:rPr>
        <w:t>，</w:t>
      </w:r>
      <w:r>
        <w:t>影响距离为</w:t>
      </w:r>
      <w:r>
        <w:rPr>
          <w:rFonts w:hint="eastAsia"/>
        </w:rPr>
        <w:t>12</w:t>
      </w:r>
      <w:r>
        <w:t>m</w:t>
      </w:r>
      <w:r>
        <w:rPr>
          <w:rFonts w:hint="eastAsia"/>
        </w:rPr>
        <w:t>；100</w:t>
      </w:r>
      <w:r>
        <w:t>天时</w:t>
      </w:r>
      <w:r>
        <w:rPr>
          <w:rFonts w:hint="eastAsia"/>
        </w:rPr>
        <w:t>，预测超标距离为17</w:t>
      </w:r>
      <w:r>
        <w:t>m</w:t>
      </w:r>
      <w:r>
        <w:rPr>
          <w:rFonts w:hint="eastAsia"/>
        </w:rPr>
        <w:t>，</w:t>
      </w:r>
      <w:r>
        <w:t>影响距离为</w:t>
      </w:r>
      <w:r>
        <w:rPr>
          <w:rFonts w:hint="eastAsia"/>
        </w:rPr>
        <w:t>24</w:t>
      </w:r>
      <w:r>
        <w:t>m</w:t>
      </w:r>
      <w:r>
        <w:rPr>
          <w:rFonts w:hint="eastAsia"/>
        </w:rPr>
        <w:t>；365</w:t>
      </w:r>
      <w:r>
        <w:t>天时</w:t>
      </w:r>
      <w:r>
        <w:rPr>
          <w:rFonts w:hint="eastAsia"/>
        </w:rPr>
        <w:t>，预测超标距离为37</w:t>
      </w:r>
      <w:r>
        <w:t>m</w:t>
      </w:r>
      <w:r>
        <w:rPr>
          <w:rFonts w:hint="eastAsia"/>
        </w:rPr>
        <w:t>，</w:t>
      </w:r>
      <w:r>
        <w:t>影响距离为</w:t>
      </w:r>
      <w:r>
        <w:rPr>
          <w:rFonts w:hint="eastAsia"/>
        </w:rPr>
        <w:t>50</w:t>
      </w:r>
      <w:r>
        <w:t>m</w:t>
      </w:r>
      <w:r>
        <w:rPr>
          <w:rFonts w:hint="eastAsia"/>
        </w:rPr>
        <w:t>；1000</w:t>
      </w:r>
      <w:r>
        <w:t>天时</w:t>
      </w:r>
      <w:r>
        <w:rPr>
          <w:rFonts w:hint="eastAsia"/>
        </w:rPr>
        <w:t>，预测超标距离为70</w:t>
      </w:r>
      <w:r>
        <w:t>m</w:t>
      </w:r>
      <w:r>
        <w:rPr>
          <w:rFonts w:hint="eastAsia"/>
        </w:rPr>
        <w:t>，</w:t>
      </w:r>
      <w:r>
        <w:t>影响距离为</w:t>
      </w:r>
      <w:r>
        <w:rPr>
          <w:rFonts w:hint="eastAsia"/>
        </w:rPr>
        <w:t>91</w:t>
      </w:r>
      <w:r>
        <w:t>m</w:t>
      </w:r>
      <w:r>
        <w:rPr>
          <w:rFonts w:hint="eastAsia"/>
        </w:rPr>
        <w:t>；5年时，预测距离为105m，影响距离为134m。</w:t>
      </w:r>
    </w:p>
    <w:p>
      <w:pPr>
        <w:pStyle w:val="49"/>
        <w:wordWrap w:val="0"/>
        <w:ind w:firstLine="480"/>
      </w:pPr>
      <w:r>
        <w:rPr>
          <w:rFonts w:hint="eastAsia"/>
        </w:rPr>
        <w:t>耗氧量：30天时，预测超标距离为8</w:t>
      </w:r>
      <w:r>
        <w:t>m</w:t>
      </w:r>
      <w:r>
        <w:rPr>
          <w:rFonts w:hint="eastAsia"/>
        </w:rPr>
        <w:t>，</w:t>
      </w:r>
      <w:r>
        <w:t>影响距离为</w:t>
      </w:r>
      <w:r>
        <w:rPr>
          <w:rFonts w:hint="eastAsia"/>
        </w:rPr>
        <w:t>13</w:t>
      </w:r>
      <w:r>
        <w:t>m</w:t>
      </w:r>
      <w:r>
        <w:rPr>
          <w:rFonts w:hint="eastAsia"/>
        </w:rPr>
        <w:t>；100</w:t>
      </w:r>
      <w:r>
        <w:t>天时</w:t>
      </w:r>
      <w:r>
        <w:rPr>
          <w:rFonts w:hint="eastAsia"/>
        </w:rPr>
        <w:t>，预测超标距离为15</w:t>
      </w:r>
      <w:r>
        <w:t>m</w:t>
      </w:r>
      <w:r>
        <w:rPr>
          <w:rFonts w:hint="eastAsia"/>
        </w:rPr>
        <w:t>，</w:t>
      </w:r>
      <w:r>
        <w:t>影响距离为</w:t>
      </w:r>
      <w:r>
        <w:rPr>
          <w:rFonts w:hint="eastAsia"/>
        </w:rPr>
        <w:t>25</w:t>
      </w:r>
      <w:r>
        <w:t>m</w:t>
      </w:r>
      <w:r>
        <w:rPr>
          <w:rFonts w:hint="eastAsia"/>
        </w:rPr>
        <w:t>；365</w:t>
      </w:r>
      <w:r>
        <w:t>天时</w:t>
      </w:r>
      <w:r>
        <w:rPr>
          <w:rFonts w:hint="eastAsia"/>
        </w:rPr>
        <w:t>，预测超标距离为34</w:t>
      </w:r>
      <w:r>
        <w:t>m</w:t>
      </w:r>
      <w:r>
        <w:rPr>
          <w:rFonts w:hint="eastAsia"/>
        </w:rPr>
        <w:t>，</w:t>
      </w:r>
      <w:r>
        <w:t>影响距离为</w:t>
      </w:r>
      <w:r>
        <w:rPr>
          <w:rFonts w:hint="eastAsia"/>
        </w:rPr>
        <w:t>52</w:t>
      </w:r>
      <w:r>
        <w:t>m</w:t>
      </w:r>
      <w:r>
        <w:rPr>
          <w:rFonts w:hint="eastAsia"/>
        </w:rPr>
        <w:t>；1000</w:t>
      </w:r>
      <w:r>
        <w:t>天时</w:t>
      </w:r>
      <w:r>
        <w:rPr>
          <w:rFonts w:hint="eastAsia"/>
        </w:rPr>
        <w:t>，预测超标距离为64</w:t>
      </w:r>
      <w:r>
        <w:t>m</w:t>
      </w:r>
      <w:r>
        <w:rPr>
          <w:rFonts w:hint="eastAsia"/>
        </w:rPr>
        <w:t>，</w:t>
      </w:r>
      <w:r>
        <w:t>影响距离为</w:t>
      </w:r>
      <w:r>
        <w:rPr>
          <w:rFonts w:hint="eastAsia"/>
        </w:rPr>
        <w:t>94</w:t>
      </w:r>
      <w:r>
        <w:t>m</w:t>
      </w:r>
      <w:r>
        <w:rPr>
          <w:rFonts w:hint="eastAsia"/>
        </w:rPr>
        <w:t>；5年时，预测距离为97m，影响距离为138m。</w:t>
      </w:r>
    </w:p>
    <w:p>
      <w:pPr>
        <w:pStyle w:val="49"/>
        <w:wordWrap w:val="0"/>
        <w:ind w:firstLine="480"/>
      </w:pPr>
      <w:r>
        <w:rPr>
          <w:rFonts w:hint="eastAsia"/>
        </w:rPr>
        <w:t>根据现场勘查，地下水下游距离项目最近的地下水水井为项目东南面 365</w:t>
      </w:r>
      <w:r>
        <w:t xml:space="preserve">m </w:t>
      </w:r>
      <w:r>
        <w:rPr>
          <w:rFonts w:hint="eastAsia"/>
        </w:rPr>
        <w:t xml:space="preserve">处的横冲蒋家居民点水井，已经超过了 </w:t>
      </w:r>
      <w:r>
        <w:t>NH</w:t>
      </w:r>
      <w:r>
        <w:rPr>
          <w:vertAlign w:val="subscript"/>
        </w:rPr>
        <w:t>3</w:t>
      </w:r>
      <w:r>
        <w:t>-N</w:t>
      </w:r>
      <w:r>
        <w:rPr>
          <w:rFonts w:hint="eastAsia"/>
        </w:rPr>
        <w:t>、</w:t>
      </w:r>
      <w:r>
        <w:t xml:space="preserve">COD </w:t>
      </w:r>
      <w:r>
        <w:rPr>
          <w:rFonts w:hint="eastAsia"/>
        </w:rPr>
        <w:t>的影响范围，因此即使发生非正常工况排放，项目对地下水环境的潜在影响很小。</w:t>
      </w:r>
    </w:p>
    <w:p>
      <w:pPr>
        <w:pStyle w:val="4"/>
      </w:pPr>
      <w:bookmarkStart w:id="215" w:name="_Toc194481197"/>
      <w:r>
        <w:rPr>
          <w:rFonts w:hint="eastAsia"/>
        </w:rPr>
        <w:t>5.4.6 地下水环境影响评价结论</w:t>
      </w:r>
      <w:bookmarkEnd w:id="215"/>
    </w:p>
    <w:p>
      <w:pPr>
        <w:pStyle w:val="49"/>
        <w:ind w:firstLine="480"/>
        <w:rPr>
          <w:rFonts w:hint="eastAsia" w:ascii="宋体" w:hAnsi="宋体"/>
        </w:rPr>
      </w:pPr>
      <w:r>
        <w:rPr>
          <w:rFonts w:hint="eastAsia"/>
        </w:rPr>
        <w:t>在非正常情况下，废水通过渗透作用可对地下水造成一定的影响，因此，企业需对主要污染部位</w:t>
      </w:r>
      <w:r>
        <w:rPr>
          <w:rFonts w:hint="eastAsia" w:ascii="宋体" w:hAnsi="宋体"/>
        </w:rPr>
        <w:t>采取相应防渗措施，确保污染物不进入地下水。</w:t>
      </w:r>
    </w:p>
    <w:p>
      <w:pPr>
        <w:pStyle w:val="49"/>
        <w:ind w:firstLine="480"/>
        <w:rPr>
          <w:rFonts w:hint="eastAsia" w:ascii="宋体" w:hAnsi="宋体"/>
        </w:rPr>
      </w:pPr>
      <w:r>
        <w:rPr>
          <w:rFonts w:hint="eastAsia"/>
        </w:rPr>
        <w:t>综上所述，只要做好适当的预防措施，项目的建设对地下水环境影响较小。</w:t>
      </w:r>
    </w:p>
    <w:p>
      <w:pPr>
        <w:pStyle w:val="3"/>
      </w:pPr>
      <w:bookmarkStart w:id="216" w:name="_Toc194481198"/>
      <w:r>
        <w:rPr>
          <w:rFonts w:hint="eastAsia"/>
        </w:rPr>
        <w:t>5</w:t>
      </w:r>
      <w:r>
        <w:t>.</w:t>
      </w:r>
      <w:r>
        <w:rPr>
          <w:rFonts w:hint="eastAsia"/>
        </w:rPr>
        <w:t>5</w:t>
      </w:r>
      <w:r>
        <w:t xml:space="preserve"> </w:t>
      </w:r>
      <w:r>
        <w:rPr>
          <w:rFonts w:hint="eastAsia"/>
        </w:rPr>
        <w:t>声</w:t>
      </w:r>
      <w:r>
        <w:t>环境影响分析</w:t>
      </w:r>
      <w:bookmarkEnd w:id="216"/>
    </w:p>
    <w:p>
      <w:pPr>
        <w:pStyle w:val="4"/>
      </w:pPr>
      <w:bookmarkStart w:id="217" w:name="_Toc194481199"/>
      <w:r>
        <w:rPr>
          <w:rFonts w:hint="eastAsia"/>
        </w:rPr>
        <w:t>5.5.1 营运期噪声源强</w:t>
      </w:r>
      <w:bookmarkEnd w:id="217"/>
    </w:p>
    <w:p>
      <w:pPr>
        <w:pStyle w:val="49"/>
        <w:ind w:firstLine="480"/>
      </w:pPr>
      <w:r>
        <w:rPr>
          <w:rFonts w:hint="eastAsia"/>
        </w:rPr>
        <w:t>项目主要噪声源为各类设备产生的机械噪声。项目主要噪声源设备源强详见第三章工程分析3.3.2.3章节中表3.3-19、表3.3-20。</w:t>
      </w:r>
    </w:p>
    <w:p>
      <w:pPr>
        <w:pStyle w:val="4"/>
      </w:pPr>
      <w:bookmarkStart w:id="218" w:name="_Toc194481200"/>
      <w:r>
        <w:rPr>
          <w:rFonts w:hint="eastAsia"/>
        </w:rPr>
        <w:t>5.5.2 声环境影响分析</w:t>
      </w:r>
      <w:bookmarkEnd w:id="218"/>
    </w:p>
    <w:p>
      <w:pPr>
        <w:pStyle w:val="49"/>
        <w:ind w:firstLine="480"/>
      </w:pPr>
      <w:r>
        <w:rPr>
          <w:rFonts w:hint="eastAsia"/>
        </w:rPr>
        <w:t>1、预测模式</w:t>
      </w:r>
    </w:p>
    <w:p>
      <w:pPr>
        <w:pStyle w:val="49"/>
        <w:ind w:firstLine="480"/>
        <w:rPr>
          <w:rFonts w:hint="eastAsia" w:hAnsi="宋体" w:cs="Times New Roman"/>
        </w:rPr>
      </w:pPr>
      <w:r>
        <w:rPr>
          <w:rFonts w:hint="eastAsia" w:hAnsi="宋体" w:cs="Times New Roman"/>
        </w:rPr>
        <w:t>本次噪声评价采用《环境影响评价技术导则 声环境》（</w:t>
      </w:r>
      <w:r>
        <w:rPr>
          <w:rFonts w:cs="Times New Roman"/>
        </w:rPr>
        <w:t>HJ2.4-2021</w:t>
      </w:r>
      <w:r>
        <w:rPr>
          <w:rFonts w:hint="eastAsia" w:hAnsi="宋体" w:cs="Times New Roman"/>
        </w:rPr>
        <w:t>）中推荐模式进行预测，模式如下：</w:t>
      </w:r>
    </w:p>
    <w:p>
      <w:pPr>
        <w:pStyle w:val="82"/>
        <w:ind w:firstLine="480"/>
      </w:pPr>
      <w:r>
        <w:rPr>
          <w:rFonts w:hint="eastAsia" w:hAnsi="宋体"/>
        </w:rPr>
        <w:t>①</w:t>
      </w:r>
      <w:r>
        <w:rPr>
          <w:rFonts w:hint="eastAsia"/>
        </w:rPr>
        <w:t>参考点</w:t>
      </w:r>
      <w:r>
        <w:rPr>
          <w:i/>
          <w:iCs/>
        </w:rPr>
        <w:t>ro</w:t>
      </w:r>
      <w:r>
        <w:rPr>
          <w:rFonts w:hint="eastAsia"/>
        </w:rPr>
        <w:t>到预测点</w:t>
      </w:r>
      <w:r>
        <w:rPr>
          <w:i/>
          <w:iCs/>
        </w:rPr>
        <w:t>r</w:t>
      </w:r>
      <w:r>
        <w:rPr>
          <w:rFonts w:hint="eastAsia"/>
        </w:rPr>
        <w:t xml:space="preserve">处之间的户外传播衰减量 </w:t>
      </w:r>
    </w:p>
    <w:p>
      <w:pPr>
        <w:pStyle w:val="82"/>
        <w:ind w:firstLine="0" w:firstLineChars="0"/>
        <w:jc w:val="center"/>
      </w:pPr>
      <w:r>
        <w:rPr>
          <w:i/>
          <w:iCs/>
        </w:rPr>
        <w:t>L</w:t>
      </w:r>
      <w:r>
        <w:rPr>
          <w:i/>
          <w:iCs/>
          <w:sz w:val="16"/>
          <w:szCs w:val="16"/>
        </w:rPr>
        <w:t>P</w:t>
      </w:r>
      <w:r>
        <w:t>(</w:t>
      </w:r>
      <w:r>
        <w:rPr>
          <w:i/>
          <w:iCs/>
        </w:rPr>
        <w:t>r</w:t>
      </w:r>
      <w:r>
        <w:t>)=</w:t>
      </w:r>
      <w:r>
        <w:rPr>
          <w:i/>
          <w:iCs/>
        </w:rPr>
        <w:t>L</w:t>
      </w:r>
      <w:r>
        <w:rPr>
          <w:i/>
          <w:iCs/>
          <w:sz w:val="16"/>
          <w:szCs w:val="16"/>
        </w:rPr>
        <w:t>P</w:t>
      </w:r>
      <w:r>
        <w:t>(</w:t>
      </w:r>
      <w:r>
        <w:rPr>
          <w:i/>
          <w:iCs/>
        </w:rPr>
        <w:t>ro</w:t>
      </w:r>
      <w:r>
        <w:t>)+</w:t>
      </w:r>
      <w:r>
        <w:rPr>
          <w:i/>
          <w:iCs/>
        </w:rPr>
        <w:t>D</w:t>
      </w:r>
      <w:r>
        <w:rPr>
          <w:rFonts w:hint="eastAsia"/>
          <w:sz w:val="16"/>
          <w:szCs w:val="16"/>
        </w:rPr>
        <w:t>c</w:t>
      </w:r>
      <w:r>
        <w:t>- (</w:t>
      </w:r>
      <w:r>
        <w:rPr>
          <w:i/>
          <w:iCs/>
        </w:rPr>
        <w:t>A</w:t>
      </w:r>
      <w:r>
        <w:rPr>
          <w:i/>
          <w:iCs/>
          <w:sz w:val="16"/>
          <w:szCs w:val="16"/>
        </w:rPr>
        <w:t>div</w:t>
      </w:r>
      <w:r>
        <w:t>+</w:t>
      </w:r>
      <w:r>
        <w:rPr>
          <w:i/>
          <w:iCs/>
        </w:rPr>
        <w:t>A</w:t>
      </w:r>
      <w:r>
        <w:rPr>
          <w:i/>
          <w:iCs/>
          <w:sz w:val="16"/>
          <w:szCs w:val="16"/>
        </w:rPr>
        <w:t>atm</w:t>
      </w:r>
      <w:r>
        <w:t>+</w:t>
      </w:r>
      <w:r>
        <w:rPr>
          <w:i/>
          <w:iCs/>
        </w:rPr>
        <w:t>A</w:t>
      </w:r>
      <w:r>
        <w:rPr>
          <w:i/>
          <w:iCs/>
          <w:sz w:val="16"/>
          <w:szCs w:val="16"/>
        </w:rPr>
        <w:t>bar</w:t>
      </w:r>
      <w:r>
        <w:t>+</w:t>
      </w:r>
      <w:r>
        <w:rPr>
          <w:i/>
          <w:iCs/>
        </w:rPr>
        <w:t>A</w:t>
      </w:r>
      <w:r>
        <w:rPr>
          <w:i/>
          <w:iCs/>
          <w:sz w:val="16"/>
          <w:szCs w:val="16"/>
        </w:rPr>
        <w:t>gr</w:t>
      </w:r>
      <w:r>
        <w:t>+</w:t>
      </w:r>
      <w:r>
        <w:rPr>
          <w:i/>
          <w:iCs/>
        </w:rPr>
        <w:t>A</w:t>
      </w:r>
      <w:r>
        <w:rPr>
          <w:i/>
          <w:iCs/>
          <w:sz w:val="16"/>
          <w:szCs w:val="16"/>
        </w:rPr>
        <w:t>misc</w:t>
      </w:r>
      <w:r>
        <w:t>)</w:t>
      </w:r>
    </w:p>
    <w:p>
      <w:pPr>
        <w:pStyle w:val="82"/>
        <w:ind w:firstLine="480"/>
      </w:pPr>
      <w:r>
        <w:rPr>
          <w:rFonts w:hint="eastAsia"/>
        </w:rPr>
        <w:t>式中：</w:t>
      </w:r>
      <w:r>
        <w:rPr>
          <w:i/>
          <w:iCs/>
        </w:rPr>
        <w:t>L</w:t>
      </w:r>
      <w:r>
        <w:rPr>
          <w:i/>
          <w:iCs/>
          <w:sz w:val="16"/>
          <w:szCs w:val="16"/>
        </w:rPr>
        <w:t>P</w:t>
      </w:r>
      <w:r>
        <w:t>(</w:t>
      </w:r>
      <w:r>
        <w:rPr>
          <w:i/>
          <w:iCs/>
        </w:rPr>
        <w:t>r</w:t>
      </w:r>
      <w:r>
        <w:t>)——</w:t>
      </w:r>
      <w:r>
        <w:rPr>
          <w:rFonts w:hint="eastAsia"/>
        </w:rPr>
        <w:t>预测点处声压级，</w:t>
      </w:r>
      <w:r>
        <w:t>dB</w:t>
      </w:r>
      <w:r>
        <w:rPr>
          <w:rFonts w:hint="eastAsia"/>
        </w:rPr>
        <w:t xml:space="preserve">； </w:t>
      </w:r>
    </w:p>
    <w:p>
      <w:pPr>
        <w:pStyle w:val="82"/>
        <w:ind w:firstLine="1200" w:firstLineChars="500"/>
      </w:pPr>
      <w:r>
        <w:rPr>
          <w:i/>
          <w:iCs/>
        </w:rPr>
        <w:t>L</w:t>
      </w:r>
      <w:r>
        <w:rPr>
          <w:i/>
          <w:iCs/>
          <w:sz w:val="16"/>
          <w:szCs w:val="16"/>
        </w:rPr>
        <w:t>P</w:t>
      </w:r>
      <w:r>
        <w:t>(</w:t>
      </w:r>
      <w:r>
        <w:rPr>
          <w:i/>
          <w:iCs/>
        </w:rPr>
        <w:t>ro</w:t>
      </w:r>
      <w:r>
        <w:t>)——</w:t>
      </w:r>
      <w:r>
        <w:rPr>
          <w:rFonts w:hint="eastAsia"/>
        </w:rPr>
        <w:t>参考位置</w:t>
      </w:r>
      <w:r>
        <w:rPr>
          <w:i/>
          <w:iCs/>
        </w:rPr>
        <w:t>ro</w:t>
      </w:r>
      <w:r>
        <w:rPr>
          <w:rFonts w:hint="eastAsia"/>
        </w:rPr>
        <w:t>处的声压级，</w:t>
      </w:r>
      <w:r>
        <w:t>dB</w:t>
      </w:r>
      <w:r>
        <w:rPr>
          <w:rFonts w:hint="eastAsia"/>
        </w:rPr>
        <w:t xml:space="preserve">； </w:t>
      </w:r>
    </w:p>
    <w:p>
      <w:pPr>
        <w:pStyle w:val="82"/>
        <w:ind w:firstLine="1200" w:firstLineChars="500"/>
        <w:rPr>
          <w:i/>
          <w:iCs/>
        </w:rPr>
      </w:pPr>
      <w:r>
        <w:rPr>
          <w:i/>
          <w:iCs/>
        </w:rPr>
        <w:t>D</w:t>
      </w:r>
      <w:r>
        <w:rPr>
          <w:sz w:val="16"/>
          <w:szCs w:val="16"/>
        </w:rPr>
        <w:t>c</w:t>
      </w:r>
      <w:r>
        <w:t>——</w:t>
      </w:r>
      <w:r>
        <w:rPr>
          <w:rFonts w:hint="eastAsia"/>
        </w:rPr>
        <w:t>指向性校正，它描述点声源的等效连续声压级与产生声功率级</w:t>
      </w:r>
      <w:r>
        <w:rPr>
          <w:rFonts w:hint="eastAsia"/>
          <w:i/>
          <w:iCs/>
        </w:rPr>
        <w:t>L</w:t>
      </w:r>
      <w:r>
        <w:rPr>
          <w:rFonts w:hint="eastAsia"/>
          <w:sz w:val="16"/>
          <w:szCs w:val="16"/>
        </w:rPr>
        <w:t>w</w:t>
      </w:r>
      <w:r>
        <w:rPr>
          <w:rFonts w:hint="eastAsia"/>
        </w:rPr>
        <w:t>的全向点声源在规定方向的声级偏差程度，</w:t>
      </w:r>
      <w:r>
        <w:t>dB</w:t>
      </w:r>
      <w:r>
        <w:rPr>
          <w:rFonts w:hint="eastAsia"/>
        </w:rPr>
        <w:t>；</w:t>
      </w:r>
    </w:p>
    <w:p>
      <w:pPr>
        <w:pStyle w:val="82"/>
        <w:ind w:firstLine="1200" w:firstLineChars="500"/>
      </w:pPr>
      <w:r>
        <w:rPr>
          <w:i/>
          <w:iCs/>
        </w:rPr>
        <w:t>A</w:t>
      </w:r>
      <w:r>
        <w:rPr>
          <w:sz w:val="16"/>
          <w:szCs w:val="16"/>
        </w:rPr>
        <w:t>div</w:t>
      </w:r>
      <w:r>
        <w:t>——</w:t>
      </w:r>
      <w:r>
        <w:rPr>
          <w:rFonts w:hint="eastAsia"/>
        </w:rPr>
        <w:t>几何发散引起的倍频带衰减量，</w:t>
      </w:r>
      <w:r>
        <w:t>dB</w:t>
      </w:r>
      <w:r>
        <w:rPr>
          <w:rFonts w:hint="eastAsia"/>
        </w:rPr>
        <w:t xml:space="preserve">； </w:t>
      </w:r>
    </w:p>
    <w:p>
      <w:pPr>
        <w:pStyle w:val="82"/>
        <w:ind w:firstLine="1200" w:firstLineChars="500"/>
      </w:pPr>
      <w:r>
        <w:rPr>
          <w:i/>
          <w:iCs/>
        </w:rPr>
        <w:t>A</w:t>
      </w:r>
      <w:r>
        <w:rPr>
          <w:sz w:val="16"/>
          <w:szCs w:val="16"/>
        </w:rPr>
        <w:t>atm</w:t>
      </w:r>
      <w:r>
        <w:t>——</w:t>
      </w:r>
      <w:r>
        <w:rPr>
          <w:rFonts w:hint="eastAsia"/>
        </w:rPr>
        <w:t>大气吸收引起的倍频带衰减量，</w:t>
      </w:r>
      <w:r>
        <w:t>dB</w:t>
      </w:r>
      <w:r>
        <w:rPr>
          <w:rFonts w:hint="eastAsia"/>
        </w:rPr>
        <w:t xml:space="preserve">； </w:t>
      </w:r>
    </w:p>
    <w:p>
      <w:pPr>
        <w:pStyle w:val="82"/>
        <w:ind w:firstLine="1200" w:firstLineChars="500"/>
      </w:pPr>
      <w:r>
        <w:rPr>
          <w:i/>
          <w:iCs/>
        </w:rPr>
        <w:t>A</w:t>
      </w:r>
      <w:r>
        <w:rPr>
          <w:sz w:val="16"/>
          <w:szCs w:val="16"/>
        </w:rPr>
        <w:t>bar</w:t>
      </w:r>
      <w:r>
        <w:t>——</w:t>
      </w:r>
      <w:r>
        <w:rPr>
          <w:rFonts w:hint="eastAsia"/>
        </w:rPr>
        <w:t>声屏障引起的倍频带衰减量，</w:t>
      </w:r>
      <w:r>
        <w:t>dB</w:t>
      </w:r>
      <w:r>
        <w:rPr>
          <w:rFonts w:hint="eastAsia"/>
        </w:rPr>
        <w:t xml:space="preserve">； </w:t>
      </w:r>
    </w:p>
    <w:p>
      <w:pPr>
        <w:pStyle w:val="82"/>
        <w:ind w:firstLine="1200" w:firstLineChars="500"/>
      </w:pPr>
      <w:r>
        <w:rPr>
          <w:i/>
          <w:iCs/>
        </w:rPr>
        <w:t>A</w:t>
      </w:r>
      <w:r>
        <w:rPr>
          <w:sz w:val="16"/>
          <w:szCs w:val="16"/>
        </w:rPr>
        <w:t>gr</w:t>
      </w:r>
      <w:r>
        <w:t>——</w:t>
      </w:r>
      <w:r>
        <w:rPr>
          <w:rFonts w:hint="eastAsia"/>
        </w:rPr>
        <w:t>地面效应引起的倍频带衰减量，</w:t>
      </w:r>
      <w:r>
        <w:t>dB</w:t>
      </w:r>
      <w:r>
        <w:rPr>
          <w:rFonts w:hint="eastAsia"/>
        </w:rPr>
        <w:t xml:space="preserve">； </w:t>
      </w:r>
    </w:p>
    <w:p>
      <w:pPr>
        <w:pStyle w:val="82"/>
        <w:ind w:firstLine="1200" w:firstLineChars="500"/>
      </w:pPr>
      <w:r>
        <w:rPr>
          <w:i/>
          <w:iCs/>
        </w:rPr>
        <w:t>A</w:t>
      </w:r>
      <w:r>
        <w:rPr>
          <w:sz w:val="16"/>
          <w:szCs w:val="16"/>
        </w:rPr>
        <w:t>misc</w:t>
      </w:r>
      <w:r>
        <w:t>——</w:t>
      </w:r>
      <w:r>
        <w:rPr>
          <w:rFonts w:hint="eastAsia"/>
        </w:rPr>
        <w:t>其他多方面效应引起的倍频带衰减量，</w:t>
      </w:r>
      <w:r>
        <w:t>dB</w:t>
      </w:r>
      <w:r>
        <w:rPr>
          <w:rFonts w:hint="eastAsia"/>
        </w:rPr>
        <w:t>；</w:t>
      </w:r>
    </w:p>
    <w:p>
      <w:pPr>
        <w:pStyle w:val="82"/>
        <w:ind w:firstLine="480"/>
        <w:rPr>
          <w:rFonts w:hint="eastAsia" w:hAnsi="宋体"/>
        </w:rPr>
      </w:pPr>
      <w:r>
        <w:rPr>
          <w:rFonts w:hint="eastAsia"/>
        </w:rPr>
        <w:t xml:space="preserve">a）声波几何发散引起的 </w:t>
      </w:r>
      <w:r>
        <w:t xml:space="preserve">A </w:t>
      </w:r>
      <w:r>
        <w:rPr>
          <w:rFonts w:hint="eastAsia"/>
        </w:rPr>
        <w:t>声级衰减量</w:t>
      </w:r>
      <w:r>
        <w:rPr>
          <w:rFonts w:hint="eastAsia"/>
          <w:i/>
          <w:iCs/>
        </w:rPr>
        <w:t xml:space="preserve"> </w:t>
      </w:r>
      <w:r>
        <w:rPr>
          <w:i/>
          <w:iCs/>
        </w:rPr>
        <w:t>A</w:t>
      </w:r>
      <w:r>
        <w:rPr>
          <w:sz w:val="16"/>
          <w:szCs w:val="16"/>
        </w:rPr>
        <w:t>div</w:t>
      </w:r>
      <w:r>
        <w:rPr>
          <w:rFonts w:hint="eastAsia"/>
        </w:rPr>
        <w:t>点声源</w:t>
      </w:r>
    </w:p>
    <w:p>
      <w:pPr>
        <w:pStyle w:val="82"/>
        <w:ind w:firstLine="480"/>
        <w:jc w:val="center"/>
        <w:rPr>
          <w:rFonts w:hint="eastAsia" w:hAnsi="宋体"/>
        </w:rPr>
      </w:pPr>
      <w:r>
        <w:rPr>
          <w:rFonts w:hAnsi="宋体"/>
        </w:rPr>
        <w:drawing>
          <wp:inline distT="0" distB="0" distL="0" distR="0">
            <wp:extent cx="1000125" cy="314325"/>
            <wp:effectExtent l="0" t="0" r="0" b="0"/>
            <wp:docPr id="84411725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4117251" name="图片 2"/>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0" y="0"/>
                      <a:ext cx="1000125" cy="314325"/>
                    </a:xfrm>
                    <a:prstGeom prst="rect">
                      <a:avLst/>
                    </a:prstGeom>
                    <a:noFill/>
                    <a:ln>
                      <a:noFill/>
                    </a:ln>
                  </pic:spPr>
                </pic:pic>
              </a:graphicData>
            </a:graphic>
          </wp:inline>
        </w:drawing>
      </w:r>
    </w:p>
    <w:p>
      <w:pPr>
        <w:pStyle w:val="82"/>
        <w:ind w:firstLine="480"/>
      </w:pPr>
      <w:r>
        <w:rPr>
          <w:rFonts w:hint="eastAsia"/>
        </w:rPr>
        <w:t>式中：</w:t>
      </w:r>
      <w:r>
        <w:rPr>
          <w:i/>
          <w:iCs/>
        </w:rPr>
        <w:t>A</w:t>
      </w:r>
      <w:r>
        <w:rPr>
          <w:sz w:val="16"/>
          <w:szCs w:val="16"/>
        </w:rPr>
        <w:t>div</w:t>
      </w:r>
      <w:r>
        <w:rPr>
          <w:sz w:val="14"/>
          <w:szCs w:val="14"/>
        </w:rPr>
        <w:t xml:space="preserve"> </w:t>
      </w:r>
      <w:r>
        <w:t>——</w:t>
      </w:r>
      <w:r>
        <w:rPr>
          <w:rFonts w:hint="eastAsia"/>
        </w:rPr>
        <w:t>几何发散引起的衰减，</w:t>
      </w:r>
      <w:r>
        <w:t>dB</w:t>
      </w:r>
      <w:r>
        <w:rPr>
          <w:rFonts w:hint="eastAsia"/>
        </w:rPr>
        <w:t xml:space="preserve">； </w:t>
      </w:r>
    </w:p>
    <w:p>
      <w:pPr>
        <w:pStyle w:val="82"/>
        <w:ind w:firstLine="1200" w:firstLineChars="500"/>
      </w:pPr>
      <w:r>
        <w:rPr>
          <w:i/>
          <w:iCs/>
        </w:rPr>
        <w:t xml:space="preserve">r </w:t>
      </w:r>
      <w:r>
        <w:t>——</w:t>
      </w:r>
      <w:r>
        <w:rPr>
          <w:rFonts w:hint="eastAsia"/>
        </w:rPr>
        <w:t xml:space="preserve">预测点距声源的距离； </w:t>
      </w:r>
    </w:p>
    <w:p>
      <w:pPr>
        <w:pStyle w:val="82"/>
        <w:ind w:firstLine="1200" w:firstLineChars="500"/>
      </w:pPr>
      <w:r>
        <w:rPr>
          <w:i/>
          <w:iCs/>
        </w:rPr>
        <w:t>r</w:t>
      </w:r>
      <w:r>
        <w:rPr>
          <w:i/>
          <w:iCs/>
          <w:sz w:val="16"/>
          <w:szCs w:val="16"/>
        </w:rPr>
        <w:t>0</w:t>
      </w:r>
      <w:r>
        <w:t>——</w:t>
      </w:r>
      <w:r>
        <w:rPr>
          <w:rFonts w:hint="eastAsia"/>
        </w:rPr>
        <w:t>参考位置距声源的距离。</w:t>
      </w:r>
    </w:p>
    <w:p>
      <w:pPr>
        <w:pStyle w:val="82"/>
        <w:ind w:firstLine="480"/>
        <w:rPr>
          <w:rFonts w:hint="eastAsia" w:hAnsi="宋体"/>
        </w:rPr>
      </w:pPr>
      <w:r>
        <w:t>b</w:t>
      </w:r>
      <w:r>
        <w:rPr>
          <w:rFonts w:hint="eastAsia"/>
        </w:rPr>
        <w:t>）空气吸收衰减量</w:t>
      </w:r>
      <w:r>
        <w:rPr>
          <w:i/>
          <w:iCs/>
        </w:rPr>
        <w:t>A</w:t>
      </w:r>
      <w:r>
        <w:rPr>
          <w:i/>
          <w:iCs/>
          <w:sz w:val="16"/>
          <w:szCs w:val="16"/>
        </w:rPr>
        <w:t>a</w:t>
      </w:r>
      <w:r>
        <w:rPr>
          <w:sz w:val="16"/>
          <w:szCs w:val="16"/>
        </w:rPr>
        <w:t>tm</w:t>
      </w:r>
    </w:p>
    <w:p>
      <w:pPr>
        <w:pStyle w:val="82"/>
        <w:ind w:firstLine="480"/>
        <w:jc w:val="center"/>
        <w:rPr>
          <w:rFonts w:hint="eastAsia" w:hAnsi="宋体"/>
        </w:rPr>
      </w:pPr>
      <w:r>
        <w:rPr>
          <w:rFonts w:hAnsi="宋体"/>
        </w:rPr>
        <w:drawing>
          <wp:inline distT="0" distB="0" distL="0" distR="0">
            <wp:extent cx="923925" cy="438150"/>
            <wp:effectExtent l="0" t="0" r="0" b="0"/>
            <wp:docPr id="164333649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43336494" name="图片 1"/>
                    <pic:cNvPicPr>
                      <a:picLocks noChangeAspect="true" noChangeArrowheads="true"/>
                    </pic:cNvPicPr>
                  </pic:nvPicPr>
                  <pic:blipFill>
                    <a:blip r:embed="rId35">
                      <a:extLst>
                        <a:ext uri="{28A0092B-C50C-407E-A947-70E740481C1C}">
                          <a14:useLocalDpi xmlns:a14="http://schemas.microsoft.com/office/drawing/2010/main" val="false"/>
                        </a:ext>
                      </a:extLst>
                    </a:blip>
                    <a:srcRect/>
                    <a:stretch>
                      <a:fillRect/>
                    </a:stretch>
                  </pic:blipFill>
                  <pic:spPr>
                    <a:xfrm>
                      <a:off x="0" y="0"/>
                      <a:ext cx="923925" cy="438150"/>
                    </a:xfrm>
                    <a:prstGeom prst="rect">
                      <a:avLst/>
                    </a:prstGeom>
                    <a:noFill/>
                    <a:ln>
                      <a:noFill/>
                    </a:ln>
                  </pic:spPr>
                </pic:pic>
              </a:graphicData>
            </a:graphic>
          </wp:inline>
        </w:drawing>
      </w:r>
    </w:p>
    <w:p>
      <w:pPr>
        <w:pStyle w:val="82"/>
        <w:ind w:firstLine="480"/>
        <w:rPr>
          <w:rFonts w:hint="eastAsia" w:ascii="宋体" w:hAnsi="宋体" w:cs="宋体"/>
          <w:sz w:val="32"/>
          <w:szCs w:val="32"/>
        </w:rPr>
      </w:pPr>
      <w:r>
        <w:rPr>
          <w:rFonts w:hint="eastAsia" w:ascii="宋体" w:hAnsi="宋体" w:cs="宋体"/>
          <w:color w:val="000000"/>
        </w:rPr>
        <w:t>式中：</w:t>
      </w:r>
      <w:r>
        <w:rPr>
          <w:i/>
          <w:iCs/>
          <w:color w:val="000000"/>
        </w:rPr>
        <w:t>A</w:t>
      </w:r>
      <w:r>
        <w:rPr>
          <w:color w:val="000000"/>
          <w:sz w:val="16"/>
          <w:szCs w:val="16"/>
        </w:rPr>
        <w:t>atm</w:t>
      </w:r>
      <w:r>
        <w:rPr>
          <w:rStyle w:val="83"/>
        </w:rPr>
        <w:t>——</w:t>
      </w:r>
      <w:r>
        <w:rPr>
          <w:rFonts w:hint="eastAsia" w:ascii="宋体" w:hAnsi="宋体" w:cs="宋体"/>
          <w:color w:val="000000"/>
        </w:rPr>
        <w:t>大气吸收引起的衰减，</w:t>
      </w:r>
      <w:r>
        <w:rPr>
          <w:color w:val="000000"/>
        </w:rPr>
        <w:t>dB</w:t>
      </w:r>
      <w:r>
        <w:rPr>
          <w:rFonts w:hint="eastAsia" w:ascii="宋体" w:hAnsi="宋体" w:cs="宋体"/>
          <w:color w:val="000000"/>
        </w:rPr>
        <w:t xml:space="preserve">； </w:t>
      </w:r>
    </w:p>
    <w:p>
      <w:pPr>
        <w:pStyle w:val="82"/>
        <w:ind w:firstLine="1200" w:firstLineChars="500"/>
        <w:rPr>
          <w:rFonts w:hint="eastAsia" w:ascii="宋体" w:hAnsi="宋体" w:cs="宋体"/>
          <w:sz w:val="32"/>
          <w:szCs w:val="32"/>
        </w:rPr>
      </w:pPr>
      <w:r>
        <w:rPr>
          <w:rStyle w:val="83"/>
        </w:rPr>
        <w:t>α——</w:t>
      </w:r>
      <w:r>
        <w:rPr>
          <w:rFonts w:hint="eastAsia" w:ascii="宋体" w:hAnsi="宋体" w:cs="宋体"/>
          <w:color w:val="000000"/>
        </w:rPr>
        <w:t xml:space="preserve">与温度、湿度和声波频率有关的大气吸收衰减系数； </w:t>
      </w:r>
    </w:p>
    <w:p>
      <w:pPr>
        <w:pStyle w:val="82"/>
        <w:ind w:firstLine="1200" w:firstLineChars="500"/>
        <w:rPr>
          <w:rFonts w:hint="eastAsia" w:ascii="宋体" w:hAnsi="宋体" w:cs="宋体"/>
          <w:sz w:val="32"/>
          <w:szCs w:val="32"/>
        </w:rPr>
      </w:pPr>
      <w:r>
        <w:rPr>
          <w:i/>
          <w:iCs/>
          <w:color w:val="000000"/>
        </w:rPr>
        <w:t>r</w:t>
      </w:r>
      <w:r>
        <w:rPr>
          <w:color w:val="000000"/>
        </w:rPr>
        <w:t>——</w:t>
      </w:r>
      <w:r>
        <w:rPr>
          <w:rFonts w:hint="eastAsia" w:ascii="宋体" w:hAnsi="宋体" w:cs="宋体"/>
          <w:color w:val="000000"/>
        </w:rPr>
        <w:t xml:space="preserve">预测点距声源的距离； </w:t>
      </w:r>
    </w:p>
    <w:p>
      <w:pPr>
        <w:pStyle w:val="82"/>
        <w:ind w:firstLine="1200" w:firstLineChars="500"/>
        <w:rPr>
          <w:rFonts w:hint="eastAsia" w:hAnsi="宋体"/>
        </w:rPr>
      </w:pPr>
      <w:r>
        <w:rPr>
          <w:i/>
          <w:iCs/>
        </w:rPr>
        <w:t>r</w:t>
      </w:r>
      <w:r>
        <w:rPr>
          <w:sz w:val="16"/>
          <w:szCs w:val="16"/>
        </w:rPr>
        <w:t>0</w:t>
      </w:r>
      <w:r>
        <w:t>——</w:t>
      </w:r>
      <w:r>
        <w:rPr>
          <w:rFonts w:hint="eastAsia" w:hAnsi="宋体"/>
        </w:rPr>
        <w:t>参考位置距声源的距离。</w:t>
      </w:r>
    </w:p>
    <w:p>
      <w:pPr>
        <w:pStyle w:val="82"/>
        <w:ind w:firstLine="480"/>
      </w:pPr>
      <w:r>
        <w:t>c</w:t>
      </w:r>
      <w:r>
        <w:rPr>
          <w:rFonts w:hint="eastAsia"/>
        </w:rPr>
        <w:t>）遮挡物引起的衰减量</w:t>
      </w:r>
      <w:r>
        <w:rPr>
          <w:i/>
          <w:iCs/>
        </w:rPr>
        <w:t>A</w:t>
      </w:r>
      <w:r>
        <w:rPr>
          <w:sz w:val="16"/>
          <w:szCs w:val="16"/>
        </w:rPr>
        <w:t xml:space="preserve">bar </w:t>
      </w:r>
    </w:p>
    <w:p>
      <w:pPr>
        <w:pStyle w:val="82"/>
        <w:ind w:firstLine="480"/>
      </w:pPr>
      <w:r>
        <w:rPr>
          <w:rFonts w:hint="eastAsia"/>
        </w:rPr>
        <w:t xml:space="preserve">噪声在向外传播过程中将受到厂房或其它车间的阻挡影响，从而引起声能量的较大衰减，具体衰减根据不同声级的传播途径而定，一般取 </w:t>
      </w:r>
      <w:r>
        <w:t>10~20dB(A)</w:t>
      </w:r>
      <w:r>
        <w:rPr>
          <w:rFonts w:hint="eastAsia"/>
        </w:rPr>
        <w:t>。</w:t>
      </w:r>
    </w:p>
    <w:p>
      <w:pPr>
        <w:pStyle w:val="82"/>
        <w:ind w:firstLine="480"/>
      </w:pPr>
      <w:r>
        <w:t>d</w:t>
      </w:r>
      <w:r>
        <w:rPr>
          <w:rFonts w:hint="eastAsia"/>
        </w:rPr>
        <w:t>）结合拟建项目的场区平面布置和噪声源分布情况，本次评价不再考虑地面效应引起的倍频带衰减</w:t>
      </w:r>
      <w:r>
        <w:rPr>
          <w:i/>
          <w:iCs/>
        </w:rPr>
        <w:t>A</w:t>
      </w:r>
      <w:r>
        <w:rPr>
          <w:sz w:val="16"/>
          <w:szCs w:val="16"/>
        </w:rPr>
        <w:t>gr</w:t>
      </w:r>
      <w:r>
        <w:rPr>
          <w:rFonts w:hint="eastAsia"/>
        </w:rPr>
        <w:t>和其他多方面效应引起的倍频带衰减</w:t>
      </w:r>
      <w:r>
        <w:rPr>
          <w:i/>
          <w:iCs/>
        </w:rPr>
        <w:t>A</w:t>
      </w:r>
      <w:r>
        <w:rPr>
          <w:sz w:val="16"/>
          <w:szCs w:val="16"/>
        </w:rPr>
        <w:t>misc</w:t>
      </w:r>
      <w:r>
        <w:rPr>
          <w:rFonts w:hint="eastAsia"/>
        </w:rPr>
        <w:t>。</w:t>
      </w:r>
    </w:p>
    <w:p>
      <w:pPr>
        <w:pStyle w:val="82"/>
        <w:ind w:firstLine="480"/>
      </w:pPr>
      <w:r>
        <w:rPr>
          <w:rFonts w:hint="eastAsia" w:ascii="宋体" w:hAnsi="宋体" w:cs="宋体"/>
        </w:rPr>
        <w:t>②</w:t>
      </w:r>
      <w:r>
        <w:rPr>
          <w:rFonts w:hint="eastAsia"/>
        </w:rPr>
        <w:t>室内声源等效室外声源声功率级计算方法</w:t>
      </w:r>
    </w:p>
    <w:p>
      <w:pPr>
        <w:pStyle w:val="82"/>
        <w:widowControl w:val="0"/>
        <w:ind w:firstLine="480"/>
      </w:pPr>
      <w:r>
        <w:rPr>
          <w:rFonts w:hint="eastAsia"/>
        </w:rPr>
        <w:t xml:space="preserve">声源位于室内，室内声源可采用等效室外声源声功率级法进行计算。设靠近开口处（或窗户）室内、室外某倍频带的声压级分别为 </w:t>
      </w:r>
      <w:r>
        <w:t xml:space="preserve">LP1 </w:t>
      </w:r>
      <w:r>
        <w:rPr>
          <w:rFonts w:hint="eastAsia"/>
        </w:rPr>
        <w:t xml:space="preserve">和 </w:t>
      </w:r>
      <w:r>
        <w:t>LP2</w:t>
      </w:r>
      <w:r>
        <w:rPr>
          <w:rFonts w:hint="eastAsia"/>
        </w:rPr>
        <w:t>。若声源所在室内声场为近</w:t>
      </w:r>
      <w:r>
        <w:rPr>
          <w:rFonts w:hint="eastAsia" w:ascii="宋体" w:hAnsi="宋体"/>
        </w:rPr>
        <w:t>似扩散声场，则室外的倍频带声压级可按以下计算公式如下：</w:t>
      </w:r>
    </w:p>
    <w:p>
      <w:pPr>
        <w:pStyle w:val="49"/>
        <w:ind w:firstLine="480"/>
        <w:jc w:val="center"/>
      </w:pPr>
      <w:r>
        <w:drawing>
          <wp:inline distT="0" distB="0" distL="0" distR="0">
            <wp:extent cx="1475740" cy="342265"/>
            <wp:effectExtent l="0" t="0" r="0" b="635"/>
            <wp:docPr id="53374677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3746777" name="图片 1"/>
                    <pic:cNvPicPr>
                      <a:picLocks noChangeAspect="true"/>
                    </pic:cNvPicPr>
                  </pic:nvPicPr>
                  <pic:blipFill>
                    <a:blip r:embed="rId36"/>
                    <a:stretch>
                      <a:fillRect/>
                    </a:stretch>
                  </pic:blipFill>
                  <pic:spPr>
                    <a:xfrm>
                      <a:off x="0" y="0"/>
                      <a:ext cx="1476190" cy="342857"/>
                    </a:xfrm>
                    <a:prstGeom prst="rect">
                      <a:avLst/>
                    </a:prstGeom>
                  </pic:spPr>
                </pic:pic>
              </a:graphicData>
            </a:graphic>
          </wp:inline>
        </w:drawing>
      </w:r>
    </w:p>
    <w:p>
      <w:pPr>
        <w:pStyle w:val="49"/>
        <w:ind w:firstLine="480"/>
      </w:pPr>
      <w:r>
        <w:rPr>
          <w:rFonts w:hint="eastAsia"/>
        </w:rPr>
        <w:t>式中：</w:t>
      </w:r>
      <w:r>
        <w:rPr>
          <w:rFonts w:cs="Times New Roman"/>
        </w:rPr>
        <w:t>TL</w:t>
      </w:r>
      <w:r>
        <w:rPr>
          <w:rFonts w:hint="eastAsia"/>
        </w:rPr>
        <w:t>—隔墙（或窗户）倍频带的隔声量，</w:t>
      </w:r>
      <w:r>
        <w:rPr>
          <w:rFonts w:cs="Times New Roman"/>
        </w:rPr>
        <w:t>dB</w:t>
      </w:r>
      <w:r>
        <w:rPr>
          <w:rFonts w:hint="eastAsia"/>
        </w:rPr>
        <w:t xml:space="preserve">。 </w:t>
      </w:r>
    </w:p>
    <w:p>
      <w:pPr>
        <w:pStyle w:val="49"/>
        <w:ind w:firstLine="480"/>
        <w:rPr>
          <w:rFonts w:hint="eastAsia" w:ascii="宋体" w:hAnsi="宋体"/>
        </w:rPr>
      </w:pPr>
      <w:r>
        <w:rPr>
          <w:rFonts w:hint="eastAsia" w:ascii="宋体" w:hAnsi="宋体"/>
        </w:rPr>
        <w:t>按下式计算某一室内声源靠近围护结构处产生的倍频带声压级：</w:t>
      </w:r>
    </w:p>
    <w:p>
      <w:pPr>
        <w:pStyle w:val="49"/>
        <w:ind w:firstLine="480"/>
        <w:jc w:val="center"/>
      </w:pPr>
      <w:r>
        <w:drawing>
          <wp:inline distT="0" distB="0" distL="0" distR="0">
            <wp:extent cx="1942465" cy="466090"/>
            <wp:effectExtent l="0" t="0" r="635" b="0"/>
            <wp:docPr id="128047490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0474903" name="图片 1"/>
                    <pic:cNvPicPr>
                      <a:picLocks noChangeAspect="true"/>
                    </pic:cNvPicPr>
                  </pic:nvPicPr>
                  <pic:blipFill>
                    <a:blip r:embed="rId37"/>
                    <a:stretch>
                      <a:fillRect/>
                    </a:stretch>
                  </pic:blipFill>
                  <pic:spPr>
                    <a:xfrm>
                      <a:off x="0" y="0"/>
                      <a:ext cx="1942857" cy="466667"/>
                    </a:xfrm>
                    <a:prstGeom prst="rect">
                      <a:avLst/>
                    </a:prstGeom>
                  </pic:spPr>
                </pic:pic>
              </a:graphicData>
            </a:graphic>
          </wp:inline>
        </w:drawing>
      </w:r>
    </w:p>
    <w:p>
      <w:pPr>
        <w:pStyle w:val="49"/>
        <w:ind w:firstLine="480"/>
      </w:pPr>
      <w:r>
        <w:rPr>
          <w:rFonts w:hint="eastAsia"/>
        </w:rPr>
        <w:t>式中：</w:t>
      </w:r>
      <w:r>
        <w:rPr>
          <w:rFonts w:cs="Times New Roman"/>
        </w:rPr>
        <w:t>Q</w:t>
      </w:r>
      <w:r>
        <w:rPr>
          <w:rFonts w:hint="eastAsia"/>
        </w:rPr>
        <w:t>—指向性因数，通常对无指向性声源，当声源放在房间中心时，</w:t>
      </w:r>
      <w:r>
        <w:rPr>
          <w:rFonts w:cs="Times New Roman"/>
        </w:rPr>
        <w:t>Q=1</w:t>
      </w:r>
      <w:r>
        <w:rPr>
          <w:rFonts w:hint="eastAsia"/>
        </w:rPr>
        <w:t>；当放在一面墙的中心时，</w:t>
      </w:r>
      <w:r>
        <w:rPr>
          <w:rFonts w:cs="Times New Roman"/>
        </w:rPr>
        <w:t>Q=2</w:t>
      </w:r>
      <w:r>
        <w:rPr>
          <w:rFonts w:hint="eastAsia"/>
        </w:rPr>
        <w:t>；当放在两面墙夹角处时，</w:t>
      </w:r>
      <w:r>
        <w:rPr>
          <w:rFonts w:cs="Times New Roman"/>
        </w:rPr>
        <w:t>Q=4</w:t>
      </w:r>
      <w:r>
        <w:rPr>
          <w:rFonts w:hint="eastAsia"/>
        </w:rPr>
        <w:t>；当放在三面墙夹角处时，</w:t>
      </w:r>
      <w:r>
        <w:rPr>
          <w:rFonts w:cs="Times New Roman"/>
        </w:rPr>
        <w:t>Q=8</w:t>
      </w:r>
      <w:r>
        <w:rPr>
          <w:rFonts w:hint="eastAsia"/>
        </w:rPr>
        <w:t xml:space="preserve">； </w:t>
      </w:r>
    </w:p>
    <w:p>
      <w:pPr>
        <w:pStyle w:val="49"/>
        <w:ind w:firstLine="480"/>
      </w:pPr>
      <w:r>
        <w:rPr>
          <w:rFonts w:cs="Times New Roman"/>
          <w:i/>
          <w:iCs/>
        </w:rPr>
        <w:t>R</w:t>
      </w:r>
      <w:r>
        <w:rPr>
          <w:rFonts w:hint="eastAsia"/>
        </w:rPr>
        <w:t xml:space="preserve">—房间常数， </w:t>
      </w:r>
      <w:r>
        <w:rPr>
          <w:rFonts w:hint="eastAsia"/>
          <w:i/>
          <w:iCs/>
        </w:rPr>
        <w:t>R</w:t>
      </w:r>
      <w:r>
        <w:rPr>
          <w:rFonts w:hint="eastAsia"/>
        </w:rPr>
        <w:t>=</w:t>
      </w:r>
      <w:r>
        <w:rPr>
          <w:rFonts w:hint="eastAsia"/>
          <w:i/>
          <w:iCs/>
        </w:rPr>
        <w:t>S</w:t>
      </w:r>
      <w:r>
        <w:rPr>
          <w:rFonts w:hint="eastAsia" w:cs="Times New Roman"/>
          <w:i/>
          <w:iCs/>
        </w:rPr>
        <w:t>a</w:t>
      </w:r>
      <w:r>
        <w:rPr>
          <w:rFonts w:hint="eastAsia" w:cs="Times New Roman"/>
        </w:rPr>
        <w:t>(</w:t>
      </w:r>
      <w:r>
        <w:rPr>
          <w:rFonts w:hint="eastAsia" w:cs="Times New Roman"/>
          <w:i/>
          <w:iCs/>
        </w:rPr>
        <w:t>1-a</w:t>
      </w:r>
      <w:r>
        <w:rPr>
          <w:rFonts w:hint="eastAsia" w:cs="Times New Roman"/>
        </w:rPr>
        <w:t>)</w:t>
      </w:r>
      <w:r>
        <w:rPr>
          <w:rFonts w:hint="eastAsia"/>
        </w:rPr>
        <w:t>，</w:t>
      </w:r>
      <w:r>
        <w:rPr>
          <w:rFonts w:cs="Times New Roman"/>
        </w:rPr>
        <w:t xml:space="preserve">S </w:t>
      </w:r>
      <w:r>
        <w:rPr>
          <w:rFonts w:hint="eastAsia"/>
        </w:rPr>
        <w:t>为房间内表面面积，m</w:t>
      </w:r>
      <w:r>
        <w:rPr>
          <w:rFonts w:hint="eastAsia"/>
          <w:vertAlign w:val="superscript"/>
        </w:rPr>
        <w:t>2</w:t>
      </w:r>
      <w:r>
        <w:rPr>
          <w:rFonts w:hint="eastAsia"/>
        </w:rPr>
        <w:t>，</w:t>
      </w:r>
      <w:r>
        <w:rPr>
          <w:rFonts w:cs="Times New Roman"/>
        </w:rPr>
        <w:t xml:space="preserve">α </w:t>
      </w:r>
      <w:r>
        <w:rPr>
          <w:rFonts w:hint="eastAsia"/>
        </w:rPr>
        <w:t xml:space="preserve">为平均吸声系数； </w:t>
      </w:r>
      <w:r>
        <w:rPr>
          <w:rFonts w:cs="Times New Roman"/>
        </w:rPr>
        <w:t>r</w:t>
      </w:r>
      <w:r>
        <w:rPr>
          <w:rFonts w:hint="eastAsia"/>
        </w:rPr>
        <w:t>—声源到靠近围护结构某点处的距离，</w:t>
      </w:r>
      <w:r>
        <w:rPr>
          <w:rFonts w:cs="Times New Roman"/>
        </w:rPr>
        <w:t>m</w:t>
      </w:r>
      <w:r>
        <w:rPr>
          <w:rFonts w:hint="eastAsia"/>
        </w:rPr>
        <w:t xml:space="preserve">。 </w:t>
      </w:r>
    </w:p>
    <w:p>
      <w:pPr>
        <w:pStyle w:val="49"/>
        <w:ind w:firstLine="480"/>
        <w:rPr>
          <w:rFonts w:hint="eastAsia" w:ascii="宋体" w:hAnsi="宋体"/>
        </w:rPr>
      </w:pPr>
      <w:r>
        <w:rPr>
          <w:rFonts w:hint="eastAsia" w:ascii="宋体" w:hAnsi="宋体"/>
        </w:rPr>
        <w:t>然后按下式计算出所有室内声源在围护结构处产生的</w:t>
      </w:r>
      <w:r>
        <w:rPr>
          <w:rFonts w:cs="Times New Roman"/>
          <w:i/>
          <w:iCs/>
        </w:rPr>
        <w:t xml:space="preserve">i </w:t>
      </w:r>
      <w:r>
        <w:rPr>
          <w:rFonts w:hint="eastAsia" w:ascii="宋体" w:hAnsi="宋体"/>
        </w:rPr>
        <w:t>倍频带叠加声压级：</w:t>
      </w:r>
    </w:p>
    <w:p>
      <w:pPr>
        <w:pStyle w:val="49"/>
        <w:ind w:firstLine="480"/>
        <w:jc w:val="center"/>
        <w:rPr>
          <w:rFonts w:hint="eastAsia" w:ascii="宋体" w:hAnsi="宋体"/>
        </w:rPr>
      </w:pPr>
      <w:r>
        <w:drawing>
          <wp:inline distT="0" distB="0" distL="0" distR="0">
            <wp:extent cx="1657350" cy="421640"/>
            <wp:effectExtent l="0" t="0" r="0" b="0"/>
            <wp:docPr id="52036742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0367422" name="图片 1"/>
                    <pic:cNvPicPr>
                      <a:picLocks noChangeAspect="true"/>
                    </pic:cNvPicPr>
                  </pic:nvPicPr>
                  <pic:blipFill>
                    <a:blip r:embed="rId38"/>
                    <a:stretch>
                      <a:fillRect/>
                    </a:stretch>
                  </pic:blipFill>
                  <pic:spPr>
                    <a:xfrm>
                      <a:off x="0" y="0"/>
                      <a:ext cx="1681913" cy="427986"/>
                    </a:xfrm>
                    <a:prstGeom prst="rect">
                      <a:avLst/>
                    </a:prstGeom>
                  </pic:spPr>
                </pic:pic>
              </a:graphicData>
            </a:graphic>
          </wp:inline>
        </w:drawing>
      </w:r>
    </w:p>
    <w:p>
      <w:pPr>
        <w:pStyle w:val="49"/>
        <w:ind w:firstLine="480"/>
      </w:pPr>
      <w:r>
        <w:rPr>
          <w:rFonts w:hint="eastAsia"/>
        </w:rPr>
        <w:t>式中：</w:t>
      </w:r>
      <w:r>
        <w:rPr>
          <w:rFonts w:cs="Times New Roman"/>
          <w:i/>
          <w:iCs/>
        </w:rPr>
        <w:t>L</w:t>
      </w:r>
      <w:r>
        <w:rPr>
          <w:rFonts w:cs="Times New Roman"/>
          <w:i/>
          <w:iCs/>
          <w:sz w:val="16"/>
          <w:szCs w:val="16"/>
        </w:rPr>
        <w:t>P1i</w:t>
      </w:r>
      <w:r>
        <w:rPr>
          <w:rFonts w:cs="Times New Roman"/>
        </w:rPr>
        <w:t>—</w:t>
      </w:r>
      <w:r>
        <w:rPr>
          <w:rFonts w:hint="eastAsia"/>
        </w:rPr>
        <w:t xml:space="preserve">靠近围护结构处室内 </w:t>
      </w:r>
      <w:r>
        <w:rPr>
          <w:rFonts w:cs="Times New Roman"/>
          <w:i/>
          <w:iCs/>
        </w:rPr>
        <w:t xml:space="preserve">N </w:t>
      </w:r>
      <w:r>
        <w:rPr>
          <w:rFonts w:hint="eastAsia"/>
        </w:rPr>
        <w:t xml:space="preserve">个声源 </w:t>
      </w:r>
      <w:r>
        <w:rPr>
          <w:rFonts w:cs="Times New Roman"/>
          <w:i/>
          <w:iCs/>
        </w:rPr>
        <w:t xml:space="preserve">i </w:t>
      </w:r>
      <w:r>
        <w:rPr>
          <w:rFonts w:hint="eastAsia"/>
        </w:rPr>
        <w:t>倍频带的叠加声压级，</w:t>
      </w:r>
      <w:r>
        <w:rPr>
          <w:rFonts w:cs="Times New Roman"/>
        </w:rPr>
        <w:t>dB</w:t>
      </w:r>
      <w:r>
        <w:rPr>
          <w:rFonts w:hint="eastAsia"/>
        </w:rPr>
        <w:t xml:space="preserve">； </w:t>
      </w:r>
    </w:p>
    <w:p>
      <w:pPr>
        <w:pStyle w:val="49"/>
        <w:ind w:firstLine="1200" w:firstLineChars="500"/>
      </w:pPr>
      <w:r>
        <w:rPr>
          <w:rFonts w:cs="Times New Roman"/>
          <w:i/>
          <w:iCs/>
        </w:rPr>
        <w:t>L</w:t>
      </w:r>
      <w:r>
        <w:rPr>
          <w:rFonts w:cs="Times New Roman"/>
          <w:i/>
          <w:iCs/>
          <w:sz w:val="16"/>
          <w:szCs w:val="16"/>
        </w:rPr>
        <w:t>P1ij</w:t>
      </w:r>
      <w:r>
        <w:rPr>
          <w:rFonts w:cs="Times New Roman"/>
        </w:rPr>
        <w:t>—</w:t>
      </w:r>
      <w:r>
        <w:rPr>
          <w:rFonts w:hint="eastAsia"/>
        </w:rPr>
        <w:t>室内</w:t>
      </w:r>
      <w:r>
        <w:rPr>
          <w:rFonts w:hint="eastAsia"/>
          <w:i/>
          <w:iCs/>
        </w:rPr>
        <w:t xml:space="preserve"> </w:t>
      </w:r>
      <w:r>
        <w:rPr>
          <w:rFonts w:cs="Times New Roman"/>
          <w:i/>
          <w:iCs/>
        </w:rPr>
        <w:t xml:space="preserve">j </w:t>
      </w:r>
      <w:r>
        <w:rPr>
          <w:rFonts w:hint="eastAsia"/>
        </w:rPr>
        <w:t>声源</w:t>
      </w:r>
      <w:r>
        <w:rPr>
          <w:rFonts w:hint="eastAsia"/>
          <w:i/>
          <w:iCs/>
        </w:rPr>
        <w:t xml:space="preserve"> </w:t>
      </w:r>
      <w:r>
        <w:rPr>
          <w:rFonts w:cs="Times New Roman"/>
          <w:i/>
          <w:iCs/>
        </w:rPr>
        <w:t>i</w:t>
      </w:r>
      <w:r>
        <w:rPr>
          <w:rFonts w:cs="Times New Roman"/>
        </w:rPr>
        <w:t xml:space="preserve"> </w:t>
      </w:r>
      <w:r>
        <w:rPr>
          <w:rFonts w:hint="eastAsia"/>
        </w:rPr>
        <w:t>倍频带的声压级，</w:t>
      </w:r>
      <w:r>
        <w:rPr>
          <w:rFonts w:cs="Times New Roman"/>
        </w:rPr>
        <w:t>dB</w:t>
      </w:r>
      <w:r>
        <w:rPr>
          <w:rFonts w:hint="eastAsia"/>
        </w:rPr>
        <w:t xml:space="preserve">； </w:t>
      </w:r>
    </w:p>
    <w:p>
      <w:pPr>
        <w:pStyle w:val="49"/>
        <w:ind w:firstLine="1200" w:firstLineChars="500"/>
      </w:pPr>
      <w:r>
        <w:rPr>
          <w:rFonts w:cs="Times New Roman"/>
          <w:i/>
          <w:iCs/>
        </w:rPr>
        <w:t>N</w:t>
      </w:r>
      <w:r>
        <w:rPr>
          <w:rFonts w:cs="Times New Roman"/>
        </w:rPr>
        <w:t>—</w:t>
      </w:r>
      <w:r>
        <w:rPr>
          <w:rFonts w:hint="eastAsia"/>
        </w:rPr>
        <w:t xml:space="preserve">室内声源总数。 </w:t>
      </w:r>
    </w:p>
    <w:p>
      <w:pPr>
        <w:pStyle w:val="49"/>
        <w:ind w:firstLine="480"/>
      </w:pPr>
      <w:r>
        <w:rPr>
          <w:rFonts w:hint="eastAsia"/>
        </w:rPr>
        <w:t>然后按下式将室外声源的声压级和透过面积换算成等效的室外声源，计算出中心位置位于透声面积（</w:t>
      </w:r>
      <w:r>
        <w:rPr>
          <w:rFonts w:cs="Times New Roman"/>
          <w:i/>
          <w:iCs/>
        </w:rPr>
        <w:t>S</w:t>
      </w:r>
      <w:r>
        <w:rPr>
          <w:rFonts w:hint="eastAsia"/>
        </w:rPr>
        <w:t>）处的等效声源的倍频带声功率级。</w:t>
      </w:r>
    </w:p>
    <w:p>
      <w:pPr>
        <w:pStyle w:val="49"/>
        <w:ind w:firstLine="480"/>
        <w:rPr>
          <w:color w:val="000000"/>
        </w:rPr>
      </w:pPr>
      <w:r>
        <w:rPr>
          <w:rFonts w:hint="eastAsia"/>
          <w:color w:val="000000"/>
        </w:rPr>
        <w:t>然后按室外声源预测方法计算预测点处的</w:t>
      </w:r>
      <w:r>
        <w:rPr>
          <w:rFonts w:cs="Times New Roman"/>
          <w:color w:val="000000"/>
        </w:rPr>
        <w:t xml:space="preserve"> A</w:t>
      </w:r>
      <w:r>
        <w:rPr>
          <w:rFonts w:cs="Times New Roman"/>
          <w:i/>
          <w:iCs/>
          <w:color w:val="000000"/>
        </w:rPr>
        <w:t xml:space="preserve"> </w:t>
      </w:r>
      <w:r>
        <w:rPr>
          <w:rFonts w:hint="eastAsia"/>
          <w:color w:val="000000"/>
        </w:rPr>
        <w:t>声级。</w:t>
      </w:r>
    </w:p>
    <w:p>
      <w:pPr>
        <w:pStyle w:val="49"/>
        <w:ind w:firstLine="480"/>
      </w:pPr>
      <w:r>
        <w:rPr>
          <w:rFonts w:hint="eastAsia"/>
        </w:rPr>
        <w:t xml:space="preserve"> ③建设项目声源在预测点产生的等效声级贡献值计算</w:t>
      </w:r>
    </w:p>
    <w:p>
      <w:pPr>
        <w:pStyle w:val="49"/>
        <w:ind w:firstLine="480"/>
      </w:pPr>
      <w:r>
        <w:rPr>
          <w:rFonts w:hint="eastAsia"/>
        </w:rPr>
        <w:t>设第</w:t>
      </w:r>
      <w:r>
        <w:rPr>
          <w:rFonts w:hint="eastAsia"/>
          <w:i/>
          <w:iCs/>
        </w:rPr>
        <w:t xml:space="preserve"> </w:t>
      </w:r>
      <w:r>
        <w:rPr>
          <w:rFonts w:cs="Times New Roman"/>
          <w:i/>
          <w:iCs/>
        </w:rPr>
        <w:t xml:space="preserve">i </w:t>
      </w:r>
      <w:r>
        <w:rPr>
          <w:rFonts w:hint="eastAsia"/>
        </w:rPr>
        <w:t xml:space="preserve">个室外声源在预测点产生的 </w:t>
      </w:r>
      <w:r>
        <w:rPr>
          <w:rFonts w:cs="Times New Roman"/>
        </w:rPr>
        <w:t xml:space="preserve">A </w:t>
      </w:r>
      <w:r>
        <w:rPr>
          <w:rFonts w:hint="eastAsia"/>
        </w:rPr>
        <w:t>声级为</w:t>
      </w:r>
      <w:r>
        <w:rPr>
          <w:rFonts w:hint="eastAsia"/>
          <w:i/>
          <w:iCs/>
        </w:rPr>
        <w:t xml:space="preserve"> </w:t>
      </w:r>
      <w:r>
        <w:rPr>
          <w:rFonts w:cs="Times New Roman"/>
          <w:i/>
          <w:iCs/>
        </w:rPr>
        <w:t>L</w:t>
      </w:r>
      <w:r>
        <w:rPr>
          <w:rFonts w:cs="Times New Roman"/>
          <w:i/>
          <w:iCs/>
          <w:sz w:val="16"/>
          <w:szCs w:val="16"/>
        </w:rPr>
        <w:t>Ai</w:t>
      </w:r>
      <w:r>
        <w:rPr>
          <w:rFonts w:hint="eastAsia"/>
        </w:rPr>
        <w:t xml:space="preserve">，在 </w:t>
      </w:r>
      <w:r>
        <w:rPr>
          <w:rFonts w:cs="Times New Roman"/>
        </w:rPr>
        <w:t xml:space="preserve">T </w:t>
      </w:r>
      <w:r>
        <w:rPr>
          <w:rFonts w:hint="eastAsia"/>
        </w:rPr>
        <w:t>时间内该声源工作时间为</w:t>
      </w:r>
      <w:r>
        <w:rPr>
          <w:rFonts w:hint="eastAsia"/>
          <w:i/>
          <w:iCs/>
        </w:rPr>
        <w:t xml:space="preserve"> </w:t>
      </w:r>
      <w:r>
        <w:rPr>
          <w:rFonts w:cs="Times New Roman"/>
          <w:i/>
          <w:iCs/>
        </w:rPr>
        <w:t>ti</w:t>
      </w:r>
      <w:r>
        <w:rPr>
          <w:rFonts w:hint="eastAsia"/>
        </w:rPr>
        <w:t>；第</w:t>
      </w:r>
      <w:r>
        <w:rPr>
          <w:rFonts w:hint="eastAsia"/>
          <w:i/>
          <w:iCs/>
        </w:rPr>
        <w:t xml:space="preserve"> </w:t>
      </w:r>
      <w:r>
        <w:rPr>
          <w:rFonts w:cs="Times New Roman"/>
          <w:i/>
          <w:iCs/>
        </w:rPr>
        <w:t xml:space="preserve">j </w:t>
      </w:r>
      <w:r>
        <w:rPr>
          <w:rFonts w:hint="eastAsia"/>
        </w:rPr>
        <w:t xml:space="preserve">个等效室外声源在预测点产生的 </w:t>
      </w:r>
      <w:r>
        <w:rPr>
          <w:rFonts w:cs="Times New Roman"/>
        </w:rPr>
        <w:t xml:space="preserve">A </w:t>
      </w:r>
      <w:r>
        <w:rPr>
          <w:rFonts w:hint="eastAsia"/>
        </w:rPr>
        <w:t>声级为</w:t>
      </w:r>
      <w:r>
        <w:rPr>
          <w:rFonts w:hint="eastAsia"/>
          <w:i/>
          <w:iCs/>
        </w:rPr>
        <w:t xml:space="preserve"> </w:t>
      </w:r>
      <w:r>
        <w:rPr>
          <w:rFonts w:cs="Times New Roman"/>
          <w:i/>
          <w:iCs/>
        </w:rPr>
        <w:t>L</w:t>
      </w:r>
      <w:r>
        <w:rPr>
          <w:rFonts w:cs="Times New Roman"/>
          <w:i/>
          <w:iCs/>
          <w:sz w:val="16"/>
          <w:szCs w:val="16"/>
        </w:rPr>
        <w:t>Aj</w:t>
      </w:r>
      <w:r>
        <w:rPr>
          <w:rFonts w:hint="eastAsia"/>
        </w:rPr>
        <w:t xml:space="preserve">，在 </w:t>
      </w:r>
      <w:r>
        <w:rPr>
          <w:rFonts w:cs="Times New Roman"/>
        </w:rPr>
        <w:t xml:space="preserve">T </w:t>
      </w:r>
      <w:r>
        <w:rPr>
          <w:rFonts w:hint="eastAsia"/>
        </w:rPr>
        <w:t>时间内该声源工作时间为</w:t>
      </w:r>
      <w:r>
        <w:rPr>
          <w:rFonts w:hint="eastAsia"/>
          <w:i/>
          <w:iCs/>
        </w:rPr>
        <w:t xml:space="preserve"> </w:t>
      </w:r>
      <w:r>
        <w:rPr>
          <w:rFonts w:cs="Times New Roman"/>
          <w:i/>
          <w:iCs/>
        </w:rPr>
        <w:t>tj</w:t>
      </w:r>
      <w:r>
        <w:rPr>
          <w:rFonts w:hint="eastAsia"/>
        </w:rPr>
        <w:t>，</w:t>
      </w:r>
      <w:r>
        <w:rPr>
          <w:rFonts w:hint="eastAsia" w:ascii="宋体" w:hAnsi="宋体"/>
        </w:rPr>
        <w:t>则拟建工程声源对预测点产生的贡献值（</w:t>
      </w:r>
      <w:r>
        <w:rPr>
          <w:rFonts w:cs="Times New Roman"/>
          <w:i/>
          <w:iCs/>
        </w:rPr>
        <w:t>L</w:t>
      </w:r>
      <w:r>
        <w:rPr>
          <w:rFonts w:cs="Times New Roman"/>
          <w:i/>
          <w:iCs/>
          <w:sz w:val="16"/>
          <w:szCs w:val="16"/>
        </w:rPr>
        <w:t>eqg</w:t>
      </w:r>
      <w:r>
        <w:rPr>
          <w:rFonts w:hint="eastAsia" w:ascii="宋体" w:hAnsi="宋体"/>
        </w:rPr>
        <w:t>）为：</w:t>
      </w:r>
    </w:p>
    <w:p>
      <w:pPr>
        <w:pStyle w:val="49"/>
        <w:ind w:firstLine="0" w:firstLineChars="0"/>
        <w:jc w:val="center"/>
      </w:pPr>
      <w:r>
        <w:drawing>
          <wp:inline distT="0" distB="0" distL="0" distR="0">
            <wp:extent cx="2381250" cy="466725"/>
            <wp:effectExtent l="0" t="0" r="0" b="0"/>
            <wp:docPr id="13721169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211696" name="图片 3"/>
                    <pic:cNvPicPr>
                      <a:picLocks noChangeAspect="true" noChangeArrowheads="true"/>
                    </pic:cNvPicPr>
                  </pic:nvPicPr>
                  <pic:blipFill>
                    <a:blip r:embed="rId39">
                      <a:extLst>
                        <a:ext uri="{28A0092B-C50C-407E-A947-70E740481C1C}">
                          <a14:useLocalDpi xmlns:a14="http://schemas.microsoft.com/office/drawing/2010/main" val="false"/>
                        </a:ext>
                      </a:extLst>
                    </a:blip>
                    <a:srcRect/>
                    <a:stretch>
                      <a:fillRect/>
                    </a:stretch>
                  </pic:blipFill>
                  <pic:spPr>
                    <a:xfrm>
                      <a:off x="0" y="0"/>
                      <a:ext cx="2381250" cy="466725"/>
                    </a:xfrm>
                    <a:prstGeom prst="rect">
                      <a:avLst/>
                    </a:prstGeom>
                    <a:noFill/>
                    <a:ln>
                      <a:noFill/>
                    </a:ln>
                  </pic:spPr>
                </pic:pic>
              </a:graphicData>
            </a:graphic>
          </wp:inline>
        </w:drawing>
      </w:r>
    </w:p>
    <w:p>
      <w:pPr>
        <w:pStyle w:val="49"/>
        <w:ind w:firstLine="480"/>
      </w:pPr>
      <w:r>
        <w:rPr>
          <w:rFonts w:hint="eastAsia"/>
        </w:rPr>
        <w:t>式中：</w:t>
      </w:r>
      <w:r>
        <w:rPr>
          <w:i/>
          <w:iCs/>
        </w:rPr>
        <w:t>L</w:t>
      </w:r>
      <w:r>
        <w:rPr>
          <w:i/>
          <w:iCs/>
          <w:sz w:val="16"/>
          <w:szCs w:val="16"/>
        </w:rPr>
        <w:t>eqg</w:t>
      </w:r>
      <w:r>
        <w:t>—</w:t>
      </w:r>
      <w:r>
        <w:rPr>
          <w:rFonts w:hint="eastAsia"/>
        </w:rPr>
        <w:t>建设项目声源在预测点的等效声级贡献值，</w:t>
      </w:r>
      <w:r>
        <w:t>dB(A)</w:t>
      </w:r>
      <w:r>
        <w:rPr>
          <w:rFonts w:hint="eastAsia"/>
        </w:rPr>
        <w:t xml:space="preserve">； </w:t>
      </w:r>
    </w:p>
    <w:p>
      <w:pPr>
        <w:pStyle w:val="49"/>
        <w:ind w:firstLine="1200" w:firstLineChars="500"/>
      </w:pPr>
      <w:r>
        <w:rPr>
          <w:i/>
          <w:iCs/>
        </w:rPr>
        <w:t>L</w:t>
      </w:r>
      <w:r>
        <w:rPr>
          <w:i/>
          <w:iCs/>
          <w:sz w:val="16"/>
          <w:szCs w:val="16"/>
        </w:rPr>
        <w:t>Ai</w:t>
      </w:r>
      <w:r>
        <w:t xml:space="preserve">—i </w:t>
      </w:r>
      <w:r>
        <w:rPr>
          <w:rFonts w:hint="eastAsia"/>
        </w:rPr>
        <w:t xml:space="preserve">声源在预测点产生的 </w:t>
      </w:r>
      <w:r>
        <w:t xml:space="preserve">A </w:t>
      </w:r>
      <w:r>
        <w:rPr>
          <w:rFonts w:hint="eastAsia"/>
        </w:rPr>
        <w:t>声级，</w:t>
      </w:r>
      <w:r>
        <w:t>dB(A)</w:t>
      </w:r>
      <w:r>
        <w:rPr>
          <w:rFonts w:hint="eastAsia"/>
        </w:rPr>
        <w:t xml:space="preserve">； </w:t>
      </w:r>
    </w:p>
    <w:p>
      <w:pPr>
        <w:pStyle w:val="49"/>
        <w:ind w:firstLine="1200" w:firstLineChars="500"/>
      </w:pPr>
      <w:r>
        <w:t>L</w:t>
      </w:r>
      <w:r>
        <w:rPr>
          <w:i/>
          <w:iCs/>
          <w:sz w:val="16"/>
          <w:szCs w:val="16"/>
        </w:rPr>
        <w:t>Aj</w:t>
      </w:r>
      <w:r>
        <w:t xml:space="preserve">—j </w:t>
      </w:r>
      <w:r>
        <w:rPr>
          <w:rFonts w:hint="eastAsia"/>
        </w:rPr>
        <w:t xml:space="preserve">声源在预测点产生的 </w:t>
      </w:r>
      <w:r>
        <w:t xml:space="preserve">A </w:t>
      </w:r>
      <w:r>
        <w:rPr>
          <w:rFonts w:hint="eastAsia"/>
        </w:rPr>
        <w:t>声级，</w:t>
      </w:r>
      <w:r>
        <w:t>dB(A)</w:t>
      </w:r>
      <w:r>
        <w:rPr>
          <w:rFonts w:hint="eastAsia"/>
        </w:rPr>
        <w:t xml:space="preserve">； </w:t>
      </w:r>
    </w:p>
    <w:p>
      <w:pPr>
        <w:pStyle w:val="49"/>
        <w:ind w:firstLine="1200" w:firstLineChars="500"/>
      </w:pPr>
      <w:r>
        <w:rPr>
          <w:i/>
          <w:iCs/>
        </w:rPr>
        <w:t>t</w:t>
      </w:r>
      <w:r>
        <w:rPr>
          <w:i/>
          <w:iCs/>
          <w:sz w:val="16"/>
          <w:szCs w:val="16"/>
        </w:rPr>
        <w:t>i</w:t>
      </w:r>
      <w:r>
        <w:t xml:space="preserve">—i </w:t>
      </w:r>
      <w:r>
        <w:rPr>
          <w:rFonts w:hint="eastAsia"/>
        </w:rPr>
        <w:t xml:space="preserve">声源在 </w:t>
      </w:r>
      <w:r>
        <w:t xml:space="preserve">T </w:t>
      </w:r>
      <w:r>
        <w:rPr>
          <w:rFonts w:hint="eastAsia"/>
        </w:rPr>
        <w:t>时段内的运行时间，</w:t>
      </w:r>
      <w:r>
        <w:t>s</w:t>
      </w:r>
      <w:r>
        <w:rPr>
          <w:rFonts w:hint="eastAsia"/>
        </w:rPr>
        <w:t xml:space="preserve">； </w:t>
      </w:r>
    </w:p>
    <w:p>
      <w:pPr>
        <w:pStyle w:val="49"/>
        <w:ind w:firstLine="1200" w:firstLineChars="500"/>
      </w:pPr>
      <w:r>
        <w:rPr>
          <w:i/>
          <w:iCs/>
        </w:rPr>
        <w:t>t</w:t>
      </w:r>
      <w:r>
        <w:rPr>
          <w:i/>
          <w:iCs/>
          <w:sz w:val="16"/>
          <w:szCs w:val="16"/>
        </w:rPr>
        <w:t>j</w:t>
      </w:r>
      <w:r>
        <w:t xml:space="preserve">—j </w:t>
      </w:r>
      <w:r>
        <w:rPr>
          <w:rFonts w:hint="eastAsia"/>
        </w:rPr>
        <w:t xml:space="preserve">声源在 </w:t>
      </w:r>
      <w:r>
        <w:t xml:space="preserve">T </w:t>
      </w:r>
      <w:r>
        <w:rPr>
          <w:rFonts w:hint="eastAsia"/>
        </w:rPr>
        <w:t>时段内的运行时间，</w:t>
      </w:r>
      <w:r>
        <w:t>s</w:t>
      </w:r>
      <w:r>
        <w:rPr>
          <w:rFonts w:hint="eastAsia"/>
        </w:rPr>
        <w:t xml:space="preserve">； </w:t>
      </w:r>
    </w:p>
    <w:p>
      <w:pPr>
        <w:pStyle w:val="49"/>
        <w:ind w:firstLine="1200" w:firstLineChars="500"/>
      </w:pPr>
      <w:r>
        <w:rPr>
          <w:i/>
          <w:iCs/>
        </w:rPr>
        <w:t>T</w:t>
      </w:r>
      <w:r>
        <w:t>—</w:t>
      </w:r>
      <w:r>
        <w:rPr>
          <w:rFonts w:hint="eastAsia"/>
        </w:rPr>
        <w:t>用于计算等效声级，</w:t>
      </w:r>
      <w:r>
        <w:t>s</w:t>
      </w:r>
      <w:r>
        <w:rPr>
          <w:rFonts w:hint="eastAsia"/>
        </w:rPr>
        <w:t xml:space="preserve">； </w:t>
      </w:r>
    </w:p>
    <w:p>
      <w:pPr>
        <w:pStyle w:val="49"/>
        <w:ind w:firstLine="1200" w:firstLineChars="500"/>
      </w:pPr>
      <w:r>
        <w:rPr>
          <w:i/>
          <w:iCs/>
        </w:rPr>
        <w:t>N</w:t>
      </w:r>
      <w:r>
        <w:t>—</w:t>
      </w:r>
      <w:r>
        <w:rPr>
          <w:rFonts w:hint="eastAsia"/>
        </w:rPr>
        <w:t xml:space="preserve">室外声源个数； </w:t>
      </w:r>
    </w:p>
    <w:p>
      <w:pPr>
        <w:pStyle w:val="49"/>
        <w:ind w:firstLine="1200" w:firstLineChars="500"/>
      </w:pPr>
      <w:r>
        <w:rPr>
          <w:i/>
          <w:iCs/>
        </w:rPr>
        <w:t>M</w:t>
      </w:r>
      <w:r>
        <w:t>—</w:t>
      </w:r>
      <w:r>
        <w:rPr>
          <w:rFonts w:hint="eastAsia"/>
        </w:rPr>
        <w:t>等效室外声源个数。</w:t>
      </w:r>
    </w:p>
    <w:p>
      <w:pPr>
        <w:pStyle w:val="49"/>
        <w:ind w:firstLine="480"/>
        <w:rPr>
          <w:rFonts w:hint="eastAsia" w:hAnsi="宋体"/>
        </w:rPr>
      </w:pPr>
      <w:r>
        <w:rPr>
          <w:rFonts w:hint="eastAsia" w:ascii="宋体" w:hAnsi="宋体"/>
        </w:rPr>
        <w:t>④</w:t>
      </w:r>
      <w:r>
        <w:rPr>
          <w:rFonts w:hint="eastAsia"/>
          <w:color w:val="000000"/>
        </w:rPr>
        <w:t>预测值计算</w:t>
      </w:r>
    </w:p>
    <w:p>
      <w:pPr>
        <w:pStyle w:val="49"/>
        <w:ind w:firstLine="480"/>
      </w:pPr>
      <w:r>
        <w:rPr>
          <w:rFonts w:hint="eastAsia"/>
        </w:rPr>
        <w:t>预测点的预测等效声级</w:t>
      </w:r>
      <w:r>
        <w:t>(</w:t>
      </w:r>
      <w:r>
        <w:rPr>
          <w:i/>
          <w:iCs/>
        </w:rPr>
        <w:t>Leq</w:t>
      </w:r>
      <w:r>
        <w:t>)</w:t>
      </w:r>
      <w:r>
        <w:rPr>
          <w:rFonts w:hint="eastAsia"/>
        </w:rPr>
        <w:t>计算公式：</w:t>
      </w:r>
    </w:p>
    <w:p>
      <w:pPr>
        <w:pStyle w:val="49"/>
        <w:ind w:firstLine="480"/>
        <w:jc w:val="center"/>
      </w:pPr>
      <w:r>
        <w:drawing>
          <wp:inline distT="0" distB="0" distL="0" distR="0">
            <wp:extent cx="2237740" cy="332740"/>
            <wp:effectExtent l="0" t="0" r="0" b="0"/>
            <wp:docPr id="197587716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75877161" name="图片 1"/>
                    <pic:cNvPicPr>
                      <a:picLocks noChangeAspect="true"/>
                    </pic:cNvPicPr>
                  </pic:nvPicPr>
                  <pic:blipFill>
                    <a:blip r:embed="rId40"/>
                    <a:stretch>
                      <a:fillRect/>
                    </a:stretch>
                  </pic:blipFill>
                  <pic:spPr>
                    <a:xfrm>
                      <a:off x="0" y="0"/>
                      <a:ext cx="2238095" cy="333333"/>
                    </a:xfrm>
                    <a:prstGeom prst="rect">
                      <a:avLst/>
                    </a:prstGeom>
                  </pic:spPr>
                </pic:pic>
              </a:graphicData>
            </a:graphic>
          </wp:inline>
        </w:drawing>
      </w:r>
    </w:p>
    <w:p>
      <w:pPr>
        <w:pStyle w:val="49"/>
        <w:ind w:firstLine="480"/>
      </w:pPr>
      <w:r>
        <w:rPr>
          <w:rFonts w:hint="eastAsia"/>
        </w:rPr>
        <w:t>式中：</w:t>
      </w:r>
      <w:r>
        <w:rPr>
          <w:rFonts w:cs="Times New Roman"/>
          <w:i/>
          <w:iCs/>
        </w:rPr>
        <w:t>L</w:t>
      </w:r>
      <w:r>
        <w:rPr>
          <w:rFonts w:cs="Times New Roman"/>
          <w:i/>
          <w:iCs/>
          <w:sz w:val="16"/>
          <w:szCs w:val="16"/>
        </w:rPr>
        <w:t>eqg</w:t>
      </w:r>
      <w:r>
        <w:rPr>
          <w:rFonts w:cs="Times New Roman"/>
        </w:rPr>
        <w:t>—</w:t>
      </w:r>
      <w:r>
        <w:rPr>
          <w:rFonts w:hint="eastAsia"/>
        </w:rPr>
        <w:t>建设项目声源在预测点的等效声级贡献值，</w:t>
      </w:r>
      <w:r>
        <w:rPr>
          <w:rFonts w:cs="Times New Roman"/>
        </w:rPr>
        <w:t>dB(A)</w:t>
      </w:r>
      <w:r>
        <w:rPr>
          <w:rFonts w:hint="eastAsia"/>
        </w:rPr>
        <w:t xml:space="preserve">； </w:t>
      </w:r>
    </w:p>
    <w:p>
      <w:pPr>
        <w:pStyle w:val="49"/>
        <w:ind w:firstLine="1200" w:firstLineChars="500"/>
        <w:rPr>
          <w:rFonts w:hint="eastAsia" w:ascii="宋体" w:hAnsi="宋体"/>
        </w:rPr>
      </w:pPr>
      <w:r>
        <w:rPr>
          <w:rFonts w:cs="Times New Roman"/>
          <w:i/>
          <w:iCs/>
        </w:rPr>
        <w:t>L</w:t>
      </w:r>
      <w:r>
        <w:rPr>
          <w:rFonts w:cs="Times New Roman"/>
          <w:i/>
          <w:iCs/>
          <w:sz w:val="16"/>
          <w:szCs w:val="16"/>
        </w:rPr>
        <w:t>eqb</w:t>
      </w:r>
      <w:r>
        <w:rPr>
          <w:rFonts w:cs="Times New Roman"/>
        </w:rPr>
        <w:t>—</w:t>
      </w:r>
      <w:r>
        <w:rPr>
          <w:rFonts w:hint="eastAsia" w:ascii="宋体" w:hAnsi="宋体"/>
        </w:rPr>
        <w:t>预测点的背景值，</w:t>
      </w:r>
      <w:r>
        <w:rPr>
          <w:rFonts w:cs="Times New Roman"/>
        </w:rPr>
        <w:t>dB(A)</w:t>
      </w:r>
      <w:r>
        <w:rPr>
          <w:rFonts w:hint="eastAsia" w:ascii="宋体" w:hAnsi="宋体"/>
        </w:rPr>
        <w:t>。</w:t>
      </w:r>
    </w:p>
    <w:p>
      <w:pPr>
        <w:pStyle w:val="49"/>
        <w:ind w:firstLine="480"/>
      </w:pPr>
      <w:r>
        <w:rPr>
          <w:rFonts w:hint="eastAsia"/>
        </w:rPr>
        <w:t>2、预测结果</w:t>
      </w:r>
    </w:p>
    <w:p>
      <w:pPr>
        <w:pStyle w:val="49"/>
        <w:ind w:firstLine="1200" w:firstLineChars="500"/>
      </w:pPr>
      <w:r>
        <w:rPr>
          <w:rFonts w:hint="eastAsia"/>
          <w:color w:val="000000"/>
        </w:rPr>
        <w:t xml:space="preserve">通过预测模型计算，项目厂界噪声预测结果与达标分析见表 </w:t>
      </w:r>
      <w:r>
        <w:rPr>
          <w:rFonts w:hint="eastAsia" w:cs="Times New Roman"/>
          <w:color w:val="000000"/>
        </w:rPr>
        <w:t>5.5</w:t>
      </w:r>
      <w:r>
        <w:rPr>
          <w:rFonts w:cs="Times New Roman"/>
          <w:color w:val="000000"/>
        </w:rPr>
        <w:t>-</w:t>
      </w:r>
      <w:r>
        <w:rPr>
          <w:rFonts w:hint="eastAsia" w:cs="Times New Roman"/>
          <w:color w:val="000000"/>
        </w:rPr>
        <w:t>1</w:t>
      </w:r>
      <w:r>
        <w:rPr>
          <w:rFonts w:hint="eastAsia"/>
          <w:color w:val="000000"/>
        </w:rPr>
        <w:t>。</w:t>
      </w:r>
    </w:p>
    <w:p>
      <w:pPr>
        <w:pStyle w:val="53"/>
      </w:pPr>
      <w:r>
        <w:t>表</w:t>
      </w:r>
      <w:r>
        <w:rPr>
          <w:rFonts w:hint="eastAsia"/>
        </w:rPr>
        <w:t>5.5</w:t>
      </w:r>
      <w:r>
        <w:t>-</w:t>
      </w:r>
      <w:r>
        <w:rPr>
          <w:rFonts w:hint="eastAsia"/>
        </w:rPr>
        <w:t>1</w:t>
      </w:r>
      <w:r>
        <w:t xml:space="preserve">  项目厂界噪声预测点预测</w:t>
      </w:r>
      <w:r>
        <w:rPr>
          <w:rFonts w:hint="eastAsia"/>
        </w:rPr>
        <w:t>结果  单位：dB(A)</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748"/>
        <w:gridCol w:w="1228"/>
        <w:gridCol w:w="1229"/>
        <w:gridCol w:w="1229"/>
        <w:gridCol w:w="113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Align w:val="center"/>
          </w:tcPr>
          <w:p>
            <w:pPr>
              <w:pStyle w:val="51"/>
            </w:pPr>
            <w:r>
              <w:rPr>
                <w:rFonts w:hint="eastAsia"/>
              </w:rPr>
              <w:t>预测方位</w:t>
            </w:r>
          </w:p>
        </w:tc>
        <w:tc>
          <w:tcPr>
            <w:tcW w:w="748" w:type="dxa"/>
            <w:vAlign w:val="center"/>
          </w:tcPr>
          <w:p>
            <w:pPr>
              <w:pStyle w:val="51"/>
            </w:pPr>
            <w:r>
              <w:rPr>
                <w:rFonts w:hint="eastAsia"/>
              </w:rPr>
              <w:t>时段</w:t>
            </w:r>
          </w:p>
        </w:tc>
        <w:tc>
          <w:tcPr>
            <w:tcW w:w="1228" w:type="dxa"/>
            <w:vAlign w:val="center"/>
          </w:tcPr>
          <w:p>
            <w:pPr>
              <w:pStyle w:val="51"/>
            </w:pPr>
            <w:r>
              <w:rPr>
                <w:rFonts w:hint="eastAsia"/>
              </w:rPr>
              <w:t>贡献值</w:t>
            </w:r>
          </w:p>
        </w:tc>
        <w:tc>
          <w:tcPr>
            <w:tcW w:w="1229" w:type="dxa"/>
            <w:vAlign w:val="center"/>
          </w:tcPr>
          <w:p>
            <w:pPr>
              <w:pStyle w:val="51"/>
            </w:pPr>
            <w:r>
              <w:rPr>
                <w:rFonts w:hint="eastAsia"/>
              </w:rPr>
              <w:t>背景值</w:t>
            </w:r>
          </w:p>
        </w:tc>
        <w:tc>
          <w:tcPr>
            <w:tcW w:w="1229" w:type="dxa"/>
            <w:vAlign w:val="center"/>
          </w:tcPr>
          <w:p>
            <w:pPr>
              <w:pStyle w:val="51"/>
            </w:pPr>
            <w:r>
              <w:rPr>
                <w:rFonts w:hint="eastAsia"/>
              </w:rPr>
              <w:t>预测值</w:t>
            </w:r>
          </w:p>
        </w:tc>
        <w:tc>
          <w:tcPr>
            <w:tcW w:w="1134" w:type="dxa"/>
            <w:vAlign w:val="center"/>
          </w:tcPr>
          <w:p>
            <w:pPr>
              <w:pStyle w:val="51"/>
            </w:pPr>
            <w:r>
              <w:rPr>
                <w:rFonts w:hint="eastAsia"/>
              </w:rPr>
              <w:t>标准限值</w:t>
            </w:r>
          </w:p>
        </w:tc>
        <w:tc>
          <w:tcPr>
            <w:tcW w:w="1071" w:type="dxa"/>
            <w:vAlign w:val="center"/>
          </w:tcPr>
          <w:p>
            <w:pPr>
              <w:pStyle w:val="51"/>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Merge w:val="restart"/>
            <w:vAlign w:val="center"/>
          </w:tcPr>
          <w:p>
            <w:pPr>
              <w:pStyle w:val="51"/>
            </w:pPr>
            <w:r>
              <w:rPr>
                <w:rFonts w:hint="eastAsia"/>
              </w:rPr>
              <w:t>东厂界</w:t>
            </w:r>
          </w:p>
        </w:tc>
        <w:tc>
          <w:tcPr>
            <w:tcW w:w="748" w:type="dxa"/>
            <w:vAlign w:val="center"/>
          </w:tcPr>
          <w:p>
            <w:pPr>
              <w:pStyle w:val="51"/>
            </w:pPr>
            <w:r>
              <w:rPr>
                <w:rFonts w:hint="eastAsia"/>
              </w:rPr>
              <w:t>昼间</w:t>
            </w:r>
          </w:p>
        </w:tc>
        <w:tc>
          <w:tcPr>
            <w:tcW w:w="1228" w:type="dxa"/>
            <w:vAlign w:val="center"/>
          </w:tcPr>
          <w:p>
            <w:pPr>
              <w:pStyle w:val="51"/>
            </w:pPr>
            <w:r>
              <w:rPr>
                <w:rFonts w:hint="eastAsia"/>
              </w:rPr>
              <w:t>22.7</w:t>
            </w:r>
          </w:p>
        </w:tc>
        <w:tc>
          <w:tcPr>
            <w:tcW w:w="1229" w:type="dxa"/>
            <w:vAlign w:val="center"/>
          </w:tcPr>
          <w:p>
            <w:pPr>
              <w:pStyle w:val="51"/>
            </w:pPr>
            <w:r>
              <w:rPr>
                <w:rFonts w:hint="eastAsia"/>
              </w:rPr>
              <w:t>54</w:t>
            </w:r>
          </w:p>
        </w:tc>
        <w:tc>
          <w:tcPr>
            <w:tcW w:w="1229" w:type="dxa"/>
            <w:vAlign w:val="bottom"/>
          </w:tcPr>
          <w:p>
            <w:pPr>
              <w:pStyle w:val="51"/>
            </w:pPr>
            <w:r>
              <w:rPr>
                <w:rFonts w:hint="eastAsia"/>
              </w:rPr>
              <w:t>54</w:t>
            </w:r>
          </w:p>
        </w:tc>
        <w:tc>
          <w:tcPr>
            <w:tcW w:w="1134" w:type="dxa"/>
            <w:vAlign w:val="center"/>
          </w:tcPr>
          <w:p>
            <w:pPr>
              <w:pStyle w:val="51"/>
            </w:pPr>
            <w:r>
              <w:rPr>
                <w:rFonts w:hint="eastAsia"/>
              </w:rPr>
              <w:t>60</w:t>
            </w:r>
          </w:p>
        </w:tc>
        <w:tc>
          <w:tcPr>
            <w:tcW w:w="1071" w:type="dxa"/>
            <w:vAlign w:val="center"/>
          </w:tcPr>
          <w:p>
            <w:pPr>
              <w:pStyle w:val="51"/>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Merge w:val="continue"/>
            <w:vAlign w:val="center"/>
          </w:tcPr>
          <w:p>
            <w:pPr>
              <w:pStyle w:val="51"/>
            </w:pPr>
          </w:p>
        </w:tc>
        <w:tc>
          <w:tcPr>
            <w:tcW w:w="748" w:type="dxa"/>
            <w:vAlign w:val="center"/>
          </w:tcPr>
          <w:p>
            <w:pPr>
              <w:pStyle w:val="51"/>
            </w:pPr>
            <w:r>
              <w:rPr>
                <w:rFonts w:hint="eastAsia"/>
              </w:rPr>
              <w:t>夜间</w:t>
            </w:r>
          </w:p>
        </w:tc>
        <w:tc>
          <w:tcPr>
            <w:tcW w:w="1228" w:type="dxa"/>
            <w:vAlign w:val="center"/>
          </w:tcPr>
          <w:p>
            <w:pPr>
              <w:pStyle w:val="51"/>
            </w:pPr>
            <w:r>
              <w:rPr>
                <w:rFonts w:hint="eastAsia"/>
              </w:rPr>
              <w:t>22.7</w:t>
            </w:r>
          </w:p>
        </w:tc>
        <w:tc>
          <w:tcPr>
            <w:tcW w:w="1229" w:type="dxa"/>
            <w:vAlign w:val="center"/>
          </w:tcPr>
          <w:p>
            <w:pPr>
              <w:pStyle w:val="51"/>
            </w:pPr>
            <w:r>
              <w:rPr>
                <w:rFonts w:hint="eastAsia"/>
              </w:rPr>
              <w:t>46</w:t>
            </w:r>
          </w:p>
        </w:tc>
        <w:tc>
          <w:tcPr>
            <w:tcW w:w="1229" w:type="dxa"/>
            <w:vAlign w:val="bottom"/>
          </w:tcPr>
          <w:p>
            <w:pPr>
              <w:pStyle w:val="51"/>
            </w:pPr>
            <w:r>
              <w:rPr>
                <w:rFonts w:hint="eastAsia"/>
              </w:rPr>
              <w:t>46</w:t>
            </w:r>
          </w:p>
        </w:tc>
        <w:tc>
          <w:tcPr>
            <w:tcW w:w="1134" w:type="dxa"/>
            <w:vAlign w:val="center"/>
          </w:tcPr>
          <w:p>
            <w:pPr>
              <w:pStyle w:val="51"/>
            </w:pPr>
            <w:r>
              <w:rPr>
                <w:rFonts w:hint="eastAsia"/>
              </w:rPr>
              <w:t>50</w:t>
            </w:r>
          </w:p>
        </w:tc>
        <w:tc>
          <w:tcPr>
            <w:tcW w:w="1071" w:type="dxa"/>
            <w:vAlign w:val="center"/>
          </w:tcPr>
          <w:p>
            <w:pPr>
              <w:pStyle w:val="51"/>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Merge w:val="restart"/>
            <w:vAlign w:val="center"/>
          </w:tcPr>
          <w:p>
            <w:pPr>
              <w:pStyle w:val="51"/>
            </w:pPr>
            <w:r>
              <w:rPr>
                <w:rFonts w:hint="eastAsia"/>
              </w:rPr>
              <w:t>南厂界</w:t>
            </w:r>
          </w:p>
        </w:tc>
        <w:tc>
          <w:tcPr>
            <w:tcW w:w="748" w:type="dxa"/>
            <w:vAlign w:val="center"/>
          </w:tcPr>
          <w:p>
            <w:pPr>
              <w:pStyle w:val="51"/>
            </w:pPr>
            <w:r>
              <w:rPr>
                <w:rFonts w:hint="eastAsia"/>
              </w:rPr>
              <w:t>昼间</w:t>
            </w:r>
          </w:p>
        </w:tc>
        <w:tc>
          <w:tcPr>
            <w:tcW w:w="1228" w:type="dxa"/>
            <w:vAlign w:val="center"/>
          </w:tcPr>
          <w:p>
            <w:pPr>
              <w:pStyle w:val="51"/>
            </w:pPr>
            <w:r>
              <w:rPr>
                <w:rFonts w:hint="eastAsia"/>
              </w:rPr>
              <w:t>31.8</w:t>
            </w:r>
          </w:p>
        </w:tc>
        <w:tc>
          <w:tcPr>
            <w:tcW w:w="1229" w:type="dxa"/>
            <w:vAlign w:val="center"/>
          </w:tcPr>
          <w:p>
            <w:pPr>
              <w:pStyle w:val="51"/>
            </w:pPr>
            <w:r>
              <w:rPr>
                <w:rFonts w:hint="eastAsia"/>
              </w:rPr>
              <w:t>52</w:t>
            </w:r>
          </w:p>
        </w:tc>
        <w:tc>
          <w:tcPr>
            <w:tcW w:w="1229" w:type="dxa"/>
            <w:vAlign w:val="bottom"/>
          </w:tcPr>
          <w:p>
            <w:pPr>
              <w:pStyle w:val="51"/>
            </w:pPr>
            <w:r>
              <w:rPr>
                <w:rFonts w:hint="eastAsia"/>
              </w:rPr>
              <w:t>52</w:t>
            </w:r>
          </w:p>
        </w:tc>
        <w:tc>
          <w:tcPr>
            <w:tcW w:w="1134" w:type="dxa"/>
            <w:vAlign w:val="center"/>
          </w:tcPr>
          <w:p>
            <w:pPr>
              <w:pStyle w:val="51"/>
            </w:pPr>
            <w:r>
              <w:rPr>
                <w:rFonts w:hint="eastAsia"/>
              </w:rPr>
              <w:t>60</w:t>
            </w:r>
          </w:p>
        </w:tc>
        <w:tc>
          <w:tcPr>
            <w:tcW w:w="1071" w:type="dxa"/>
            <w:vAlign w:val="center"/>
          </w:tcPr>
          <w:p>
            <w:pPr>
              <w:pStyle w:val="51"/>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Merge w:val="continue"/>
            <w:vAlign w:val="center"/>
          </w:tcPr>
          <w:p>
            <w:pPr>
              <w:pStyle w:val="51"/>
            </w:pPr>
          </w:p>
        </w:tc>
        <w:tc>
          <w:tcPr>
            <w:tcW w:w="748" w:type="dxa"/>
            <w:vAlign w:val="center"/>
          </w:tcPr>
          <w:p>
            <w:pPr>
              <w:pStyle w:val="51"/>
            </w:pPr>
            <w:r>
              <w:rPr>
                <w:rFonts w:hint="eastAsia"/>
              </w:rPr>
              <w:t>夜间</w:t>
            </w:r>
          </w:p>
        </w:tc>
        <w:tc>
          <w:tcPr>
            <w:tcW w:w="1228" w:type="dxa"/>
            <w:vAlign w:val="center"/>
          </w:tcPr>
          <w:p>
            <w:pPr>
              <w:pStyle w:val="51"/>
            </w:pPr>
            <w:r>
              <w:rPr>
                <w:rFonts w:hint="eastAsia"/>
              </w:rPr>
              <w:t>31.8</w:t>
            </w:r>
          </w:p>
        </w:tc>
        <w:tc>
          <w:tcPr>
            <w:tcW w:w="1229" w:type="dxa"/>
            <w:vAlign w:val="center"/>
          </w:tcPr>
          <w:p>
            <w:pPr>
              <w:pStyle w:val="51"/>
            </w:pPr>
            <w:r>
              <w:rPr>
                <w:rFonts w:hint="eastAsia"/>
              </w:rPr>
              <w:t>46</w:t>
            </w:r>
          </w:p>
        </w:tc>
        <w:tc>
          <w:tcPr>
            <w:tcW w:w="1229" w:type="dxa"/>
            <w:vAlign w:val="bottom"/>
          </w:tcPr>
          <w:p>
            <w:pPr>
              <w:pStyle w:val="51"/>
            </w:pPr>
            <w:r>
              <w:rPr>
                <w:rFonts w:hint="eastAsia"/>
              </w:rPr>
              <w:t>46</w:t>
            </w:r>
          </w:p>
        </w:tc>
        <w:tc>
          <w:tcPr>
            <w:tcW w:w="1134" w:type="dxa"/>
            <w:vAlign w:val="center"/>
          </w:tcPr>
          <w:p>
            <w:pPr>
              <w:pStyle w:val="51"/>
            </w:pPr>
            <w:r>
              <w:rPr>
                <w:rFonts w:hint="eastAsia"/>
              </w:rPr>
              <w:t>50</w:t>
            </w:r>
          </w:p>
        </w:tc>
        <w:tc>
          <w:tcPr>
            <w:tcW w:w="1071" w:type="dxa"/>
            <w:vAlign w:val="center"/>
          </w:tcPr>
          <w:p>
            <w:pPr>
              <w:pStyle w:val="51"/>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Merge w:val="restart"/>
            <w:vAlign w:val="center"/>
          </w:tcPr>
          <w:p>
            <w:pPr>
              <w:pStyle w:val="51"/>
            </w:pPr>
            <w:r>
              <w:rPr>
                <w:rFonts w:hint="eastAsia"/>
              </w:rPr>
              <w:t>西厂界</w:t>
            </w:r>
          </w:p>
        </w:tc>
        <w:tc>
          <w:tcPr>
            <w:tcW w:w="748" w:type="dxa"/>
            <w:vAlign w:val="center"/>
          </w:tcPr>
          <w:p>
            <w:pPr>
              <w:pStyle w:val="51"/>
            </w:pPr>
            <w:r>
              <w:rPr>
                <w:rFonts w:hint="eastAsia"/>
              </w:rPr>
              <w:t>昼间</w:t>
            </w:r>
          </w:p>
        </w:tc>
        <w:tc>
          <w:tcPr>
            <w:tcW w:w="1228" w:type="dxa"/>
            <w:vAlign w:val="center"/>
          </w:tcPr>
          <w:p>
            <w:pPr>
              <w:pStyle w:val="51"/>
            </w:pPr>
            <w:r>
              <w:rPr>
                <w:rFonts w:hint="eastAsia"/>
              </w:rPr>
              <w:t>18.5</w:t>
            </w:r>
          </w:p>
        </w:tc>
        <w:tc>
          <w:tcPr>
            <w:tcW w:w="1229" w:type="dxa"/>
            <w:vAlign w:val="center"/>
          </w:tcPr>
          <w:p>
            <w:pPr>
              <w:pStyle w:val="51"/>
            </w:pPr>
            <w:r>
              <w:rPr>
                <w:rFonts w:hint="eastAsia"/>
              </w:rPr>
              <w:t>50</w:t>
            </w:r>
          </w:p>
        </w:tc>
        <w:tc>
          <w:tcPr>
            <w:tcW w:w="1229" w:type="dxa"/>
            <w:vAlign w:val="bottom"/>
          </w:tcPr>
          <w:p>
            <w:pPr>
              <w:pStyle w:val="51"/>
            </w:pPr>
            <w:r>
              <w:rPr>
                <w:rFonts w:hint="eastAsia"/>
              </w:rPr>
              <w:t>50</w:t>
            </w:r>
          </w:p>
        </w:tc>
        <w:tc>
          <w:tcPr>
            <w:tcW w:w="1134" w:type="dxa"/>
            <w:vAlign w:val="center"/>
          </w:tcPr>
          <w:p>
            <w:pPr>
              <w:pStyle w:val="51"/>
            </w:pPr>
            <w:r>
              <w:rPr>
                <w:rFonts w:hint="eastAsia"/>
              </w:rPr>
              <w:t>60</w:t>
            </w:r>
          </w:p>
        </w:tc>
        <w:tc>
          <w:tcPr>
            <w:tcW w:w="1071" w:type="dxa"/>
            <w:vAlign w:val="center"/>
          </w:tcPr>
          <w:p>
            <w:pPr>
              <w:pStyle w:val="51"/>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Merge w:val="continue"/>
            <w:vAlign w:val="center"/>
          </w:tcPr>
          <w:p>
            <w:pPr>
              <w:pStyle w:val="51"/>
            </w:pPr>
          </w:p>
        </w:tc>
        <w:tc>
          <w:tcPr>
            <w:tcW w:w="748" w:type="dxa"/>
            <w:vAlign w:val="center"/>
          </w:tcPr>
          <w:p>
            <w:pPr>
              <w:pStyle w:val="51"/>
            </w:pPr>
            <w:r>
              <w:rPr>
                <w:rFonts w:hint="eastAsia"/>
              </w:rPr>
              <w:t>夜间</w:t>
            </w:r>
          </w:p>
        </w:tc>
        <w:tc>
          <w:tcPr>
            <w:tcW w:w="1228" w:type="dxa"/>
            <w:vAlign w:val="center"/>
          </w:tcPr>
          <w:p>
            <w:pPr>
              <w:pStyle w:val="51"/>
            </w:pPr>
            <w:r>
              <w:rPr>
                <w:rFonts w:hint="eastAsia"/>
              </w:rPr>
              <w:t>18.5</w:t>
            </w:r>
          </w:p>
        </w:tc>
        <w:tc>
          <w:tcPr>
            <w:tcW w:w="1229" w:type="dxa"/>
            <w:vAlign w:val="center"/>
          </w:tcPr>
          <w:p>
            <w:pPr>
              <w:pStyle w:val="51"/>
            </w:pPr>
            <w:r>
              <w:rPr>
                <w:rFonts w:hint="eastAsia"/>
              </w:rPr>
              <w:t>43</w:t>
            </w:r>
          </w:p>
        </w:tc>
        <w:tc>
          <w:tcPr>
            <w:tcW w:w="1229" w:type="dxa"/>
            <w:vAlign w:val="bottom"/>
          </w:tcPr>
          <w:p>
            <w:pPr>
              <w:pStyle w:val="51"/>
            </w:pPr>
            <w:r>
              <w:rPr>
                <w:rFonts w:hint="eastAsia"/>
              </w:rPr>
              <w:t>43</w:t>
            </w:r>
          </w:p>
        </w:tc>
        <w:tc>
          <w:tcPr>
            <w:tcW w:w="1134" w:type="dxa"/>
            <w:vAlign w:val="center"/>
          </w:tcPr>
          <w:p>
            <w:pPr>
              <w:pStyle w:val="51"/>
            </w:pPr>
            <w:r>
              <w:rPr>
                <w:rFonts w:hint="eastAsia"/>
              </w:rPr>
              <w:t>50</w:t>
            </w:r>
          </w:p>
        </w:tc>
        <w:tc>
          <w:tcPr>
            <w:tcW w:w="1071" w:type="dxa"/>
            <w:vAlign w:val="center"/>
          </w:tcPr>
          <w:p>
            <w:pPr>
              <w:pStyle w:val="51"/>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Merge w:val="restart"/>
            <w:vAlign w:val="center"/>
          </w:tcPr>
          <w:p>
            <w:pPr>
              <w:pStyle w:val="51"/>
            </w:pPr>
            <w:r>
              <w:rPr>
                <w:rFonts w:hint="eastAsia"/>
              </w:rPr>
              <w:t>北厂界</w:t>
            </w:r>
          </w:p>
        </w:tc>
        <w:tc>
          <w:tcPr>
            <w:tcW w:w="748" w:type="dxa"/>
            <w:vAlign w:val="center"/>
          </w:tcPr>
          <w:p>
            <w:pPr>
              <w:pStyle w:val="51"/>
            </w:pPr>
            <w:r>
              <w:rPr>
                <w:rFonts w:hint="eastAsia"/>
              </w:rPr>
              <w:t>昼间</w:t>
            </w:r>
          </w:p>
        </w:tc>
        <w:tc>
          <w:tcPr>
            <w:tcW w:w="1228" w:type="dxa"/>
            <w:vAlign w:val="center"/>
          </w:tcPr>
          <w:p>
            <w:pPr>
              <w:pStyle w:val="51"/>
            </w:pPr>
            <w:r>
              <w:rPr>
                <w:rFonts w:hint="eastAsia"/>
              </w:rPr>
              <w:t>21</w:t>
            </w:r>
          </w:p>
        </w:tc>
        <w:tc>
          <w:tcPr>
            <w:tcW w:w="1229" w:type="dxa"/>
            <w:vAlign w:val="center"/>
          </w:tcPr>
          <w:p>
            <w:pPr>
              <w:pStyle w:val="51"/>
            </w:pPr>
            <w:r>
              <w:rPr>
                <w:rFonts w:hint="eastAsia"/>
              </w:rPr>
              <w:t>55</w:t>
            </w:r>
          </w:p>
        </w:tc>
        <w:tc>
          <w:tcPr>
            <w:tcW w:w="1229" w:type="dxa"/>
            <w:vAlign w:val="bottom"/>
          </w:tcPr>
          <w:p>
            <w:pPr>
              <w:pStyle w:val="51"/>
            </w:pPr>
            <w:r>
              <w:rPr>
                <w:rFonts w:hint="eastAsia"/>
              </w:rPr>
              <w:t>55</w:t>
            </w:r>
          </w:p>
        </w:tc>
        <w:tc>
          <w:tcPr>
            <w:tcW w:w="1134" w:type="dxa"/>
            <w:vAlign w:val="center"/>
          </w:tcPr>
          <w:p>
            <w:pPr>
              <w:pStyle w:val="51"/>
            </w:pPr>
            <w:r>
              <w:rPr>
                <w:rFonts w:hint="eastAsia"/>
              </w:rPr>
              <w:t>60</w:t>
            </w:r>
          </w:p>
        </w:tc>
        <w:tc>
          <w:tcPr>
            <w:tcW w:w="1071" w:type="dxa"/>
            <w:vAlign w:val="center"/>
          </w:tcPr>
          <w:p>
            <w:pPr>
              <w:pStyle w:val="51"/>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57" w:type="dxa"/>
            <w:vMerge w:val="continue"/>
            <w:vAlign w:val="center"/>
          </w:tcPr>
          <w:p>
            <w:pPr>
              <w:pStyle w:val="51"/>
            </w:pPr>
          </w:p>
        </w:tc>
        <w:tc>
          <w:tcPr>
            <w:tcW w:w="748" w:type="dxa"/>
            <w:vAlign w:val="center"/>
          </w:tcPr>
          <w:p>
            <w:pPr>
              <w:pStyle w:val="51"/>
            </w:pPr>
            <w:r>
              <w:rPr>
                <w:rFonts w:hint="eastAsia"/>
              </w:rPr>
              <w:t>夜间</w:t>
            </w:r>
          </w:p>
        </w:tc>
        <w:tc>
          <w:tcPr>
            <w:tcW w:w="1228" w:type="dxa"/>
            <w:vAlign w:val="center"/>
          </w:tcPr>
          <w:p>
            <w:pPr>
              <w:pStyle w:val="51"/>
            </w:pPr>
            <w:r>
              <w:rPr>
                <w:rFonts w:hint="eastAsia"/>
              </w:rPr>
              <w:t>21</w:t>
            </w:r>
          </w:p>
        </w:tc>
        <w:tc>
          <w:tcPr>
            <w:tcW w:w="1229" w:type="dxa"/>
            <w:vAlign w:val="center"/>
          </w:tcPr>
          <w:p>
            <w:pPr>
              <w:pStyle w:val="51"/>
            </w:pPr>
            <w:r>
              <w:rPr>
                <w:rFonts w:hint="eastAsia"/>
              </w:rPr>
              <w:t>47</w:t>
            </w:r>
          </w:p>
        </w:tc>
        <w:tc>
          <w:tcPr>
            <w:tcW w:w="1229" w:type="dxa"/>
            <w:vAlign w:val="bottom"/>
          </w:tcPr>
          <w:p>
            <w:pPr>
              <w:pStyle w:val="51"/>
            </w:pPr>
            <w:r>
              <w:rPr>
                <w:rFonts w:hint="eastAsia"/>
              </w:rPr>
              <w:t>47</w:t>
            </w:r>
          </w:p>
        </w:tc>
        <w:tc>
          <w:tcPr>
            <w:tcW w:w="1134" w:type="dxa"/>
            <w:vAlign w:val="center"/>
          </w:tcPr>
          <w:p>
            <w:pPr>
              <w:pStyle w:val="51"/>
            </w:pPr>
            <w:r>
              <w:rPr>
                <w:rFonts w:hint="eastAsia"/>
              </w:rPr>
              <w:t>50</w:t>
            </w:r>
          </w:p>
        </w:tc>
        <w:tc>
          <w:tcPr>
            <w:tcW w:w="1071" w:type="dxa"/>
            <w:vAlign w:val="center"/>
          </w:tcPr>
          <w:p>
            <w:pPr>
              <w:pStyle w:val="51"/>
            </w:pPr>
            <w:r>
              <w:rPr>
                <w:rFonts w:hint="eastAsia"/>
              </w:rPr>
              <w:t>达标</w:t>
            </w:r>
          </w:p>
        </w:tc>
      </w:tr>
    </w:tbl>
    <w:p>
      <w:pPr>
        <w:pStyle w:val="49"/>
        <w:ind w:firstLine="480"/>
        <w:rPr>
          <w:rFonts w:hint="eastAsia" w:ascii="宋体" w:hAnsi="宋体"/>
        </w:rPr>
      </w:pPr>
      <w:r>
        <w:rPr>
          <w:rFonts w:hint="eastAsia"/>
        </w:rPr>
        <w:t>由以上预测结果可看出，企业运营期各厂界噪声贡献值均可满足《工业企业厂界</w:t>
      </w:r>
      <w:r>
        <w:rPr>
          <w:rFonts w:hint="eastAsia" w:ascii="宋体" w:hAnsi="宋体"/>
        </w:rPr>
        <w:t>环境噪声排放标准》（</w:t>
      </w:r>
      <w:r>
        <w:rPr>
          <w:rFonts w:cs="Times New Roman"/>
        </w:rPr>
        <w:t>GB12348-2008</w:t>
      </w:r>
      <w:r>
        <w:rPr>
          <w:rFonts w:hint="eastAsia" w:ascii="宋体" w:hAnsi="宋体"/>
        </w:rPr>
        <w:t>）</w:t>
      </w:r>
      <w:r>
        <w:rPr>
          <w:rFonts w:hint="eastAsia" w:cs="Times New Roman"/>
        </w:rPr>
        <w:t>2</w:t>
      </w:r>
      <w:r>
        <w:rPr>
          <w:rFonts w:cs="Times New Roman"/>
        </w:rPr>
        <w:t xml:space="preserve"> </w:t>
      </w:r>
      <w:r>
        <w:rPr>
          <w:rFonts w:hint="eastAsia" w:ascii="宋体" w:hAnsi="宋体"/>
        </w:rPr>
        <w:t>类标准。</w:t>
      </w:r>
    </w:p>
    <w:p>
      <w:pPr>
        <w:pStyle w:val="3"/>
      </w:pPr>
      <w:bookmarkStart w:id="219" w:name="_Toc194481201"/>
      <w:r>
        <w:rPr>
          <w:rFonts w:hint="eastAsia"/>
        </w:rPr>
        <w:t>5</w:t>
      </w:r>
      <w:r>
        <w:t>.</w:t>
      </w:r>
      <w:r>
        <w:rPr>
          <w:rFonts w:hint="eastAsia"/>
        </w:rPr>
        <w:t>6 固体废物</w:t>
      </w:r>
      <w:r>
        <w:t>影响分析</w:t>
      </w:r>
      <w:bookmarkEnd w:id="219"/>
    </w:p>
    <w:p>
      <w:pPr>
        <w:pStyle w:val="49"/>
        <w:ind w:firstLine="480"/>
      </w:pPr>
      <w:r>
        <w:rPr>
          <w:rFonts w:hint="eastAsia"/>
        </w:rPr>
        <w:t>本项目营运期产生的固体废物主要包括鸡粪、病死鸡、污泥、废包装材料、医疗垃圾和生活垃圾。</w:t>
      </w:r>
    </w:p>
    <w:p>
      <w:pPr>
        <w:pStyle w:val="49"/>
        <w:ind w:firstLine="480"/>
      </w:pPr>
      <w:r>
        <w:rPr>
          <w:rFonts w:hint="eastAsia"/>
        </w:rPr>
        <w:t>项目鸡粪采用干清粪工艺，日产日清，由鸡舍内清粪带及中央集粪带将鸡粪输送至运输车辆内，再由运输汽车转运至鸡粪风干车间，风干后转运至有湖南恩润生物科技有限公司制造有机肥；污泥收集转运至运至鸡粪风干车间同鸡粪一并风干后转运至有湖南恩润生物科技有限公司制造有机肥；病死鸡在冷冻库暂存后定期交由永州恩泉环保科技有限公司无害化处置；废包装材料收集在一般固废暂存间内暂存，再外售综合利用；医疗垃圾分类收集在危废暂存间内暂存，再定期交有资质单位处置；</w:t>
      </w:r>
      <w:r>
        <w:rPr>
          <w:rFonts w:hint="eastAsia" w:ascii="宋体" w:hAnsi="宋体"/>
        </w:rPr>
        <w:t>生活垃圾交由环卫部门统一清运处理。</w:t>
      </w:r>
    </w:p>
    <w:p>
      <w:pPr>
        <w:pStyle w:val="4"/>
      </w:pPr>
      <w:bookmarkStart w:id="220" w:name="_Toc194481202"/>
      <w:r>
        <w:rPr>
          <w:rFonts w:hint="eastAsia"/>
        </w:rPr>
        <w:t>5.6.1 固体废物影响分析</w:t>
      </w:r>
      <w:bookmarkEnd w:id="220"/>
    </w:p>
    <w:p>
      <w:pPr>
        <w:pStyle w:val="49"/>
        <w:ind w:firstLine="480"/>
      </w:pPr>
      <w:r>
        <w:rPr>
          <w:rFonts w:hint="eastAsia"/>
        </w:rPr>
        <w:t>1、</w:t>
      </w:r>
      <w:r>
        <w:t>对大气环境影响分析</w:t>
      </w:r>
    </w:p>
    <w:p>
      <w:pPr>
        <w:pStyle w:val="82"/>
        <w:ind w:firstLine="480"/>
      </w:pPr>
      <w:r>
        <w:rPr>
          <w:rFonts w:hint="eastAsia"/>
        </w:rPr>
        <w:t>本项目固废暂存间均采用室内库，避免在贮存过程中产生扬尘对环境空气造成影响。</w:t>
      </w:r>
    </w:p>
    <w:p>
      <w:pPr>
        <w:pStyle w:val="82"/>
        <w:ind w:firstLine="480"/>
      </w:pPr>
      <w:r>
        <w:rPr>
          <w:rFonts w:hint="eastAsia"/>
        </w:rPr>
        <w:t>2、对水环境影响分析</w:t>
      </w:r>
    </w:p>
    <w:p>
      <w:pPr>
        <w:pStyle w:val="49"/>
        <w:ind w:firstLine="480"/>
      </w:pPr>
      <w:r>
        <w:t>本项目产生的固体废物均设有专门的固废堆放点进行堆放，危险废物用专门容器盛装，并置于室内专门的暂存间内，定期委托有危险废物处置的资质单位外运处理。</w:t>
      </w:r>
    </w:p>
    <w:p>
      <w:pPr>
        <w:pStyle w:val="49"/>
        <w:ind w:firstLine="480"/>
      </w:pPr>
      <w:r>
        <w:t>为了对固体废物进行更为合理有效控制，避免对水环境的影响，</w:t>
      </w:r>
      <w:r>
        <w:rPr>
          <w:rFonts w:hint="eastAsia"/>
        </w:rPr>
        <w:t>危废</w:t>
      </w:r>
      <w:r>
        <w:t>暂存间为室内储存间，并严格按照《危险废物贮存污染控制标准》（GB18597-2023）建设</w:t>
      </w:r>
      <w:r>
        <w:rPr>
          <w:rFonts w:hint="eastAsia"/>
        </w:rPr>
        <w:t>；</w:t>
      </w:r>
      <w:bookmarkStart w:id="221" w:name="_Hlk193902853"/>
      <w:r>
        <w:rPr>
          <w:rFonts w:hint="eastAsia"/>
        </w:rPr>
        <w:t>一般固废暂存间位于维修房及库房，为室内储存间</w:t>
      </w:r>
      <w:r>
        <w:t>，</w:t>
      </w:r>
      <w:r>
        <w:rPr>
          <w:rFonts w:hint="eastAsia"/>
        </w:rPr>
        <w:t>面积约为5m</w:t>
      </w:r>
      <w:r>
        <w:rPr>
          <w:rFonts w:hint="eastAsia"/>
          <w:vertAlign w:val="superscript"/>
        </w:rPr>
        <w:t>2</w:t>
      </w:r>
      <w:bookmarkEnd w:id="221"/>
      <w:r>
        <w:rPr>
          <w:rFonts w:hint="eastAsia"/>
        </w:rPr>
        <w:t>，</w:t>
      </w:r>
      <w:r>
        <w:t>并严格按照《一般工业固体废物贮存</w:t>
      </w:r>
      <w:r>
        <w:rPr>
          <w:rFonts w:hint="eastAsia"/>
        </w:rPr>
        <w:t>和填埋</w:t>
      </w:r>
      <w:r>
        <w:t>污染控制标准》（GB18599-2020）的要求建造。建设方应严格按照相关要求进行管理，固体废物厂内暂存对水环境影响较小。</w:t>
      </w:r>
    </w:p>
    <w:p>
      <w:pPr>
        <w:pStyle w:val="49"/>
        <w:ind w:firstLine="480"/>
        <w:rPr>
          <w:color w:val="000000"/>
        </w:rPr>
      </w:pPr>
      <w:r>
        <w:rPr>
          <w:rFonts w:hint="eastAsia"/>
        </w:rPr>
        <w:t>3、</w:t>
      </w:r>
      <w:r>
        <w:rPr>
          <w:color w:val="000000"/>
        </w:rPr>
        <w:t>对土壤环境影响分析</w:t>
      </w:r>
    </w:p>
    <w:p>
      <w:pPr>
        <w:pStyle w:val="49"/>
        <w:ind w:firstLine="480"/>
      </w:pPr>
      <w:r>
        <w:t>根据固体废物防治相关规定，危险废物暂存间按照《危险废物贮存污染控制标准》（GB18597-2023）要求进行防渗处理，并设置导流沟液收集池。工程各类危险废物在运输、销售和处理过程中严格执行危险废物转运联单制度。实行以上防治措施后，可以有效防止固体废物污染土壤。</w:t>
      </w:r>
    </w:p>
    <w:p>
      <w:pPr>
        <w:pStyle w:val="4"/>
      </w:pPr>
      <w:bookmarkStart w:id="222" w:name="_Toc194481203"/>
      <w:r>
        <w:rPr>
          <w:rFonts w:hint="eastAsia"/>
        </w:rPr>
        <w:t>5.6.2 危险废物管理措施</w:t>
      </w:r>
      <w:bookmarkEnd w:id="222"/>
    </w:p>
    <w:p>
      <w:pPr>
        <w:pStyle w:val="49"/>
        <w:ind w:firstLine="480"/>
      </w:pPr>
      <w:r>
        <w:rPr>
          <w:rFonts w:hint="eastAsia"/>
        </w:rPr>
        <w:t>1、</w:t>
      </w:r>
      <w:r>
        <w:rPr>
          <w:rFonts w:hint="eastAsia"/>
          <w:color w:val="000000"/>
        </w:rPr>
        <w:t>危险废物收集、贮存</w:t>
      </w:r>
    </w:p>
    <w:p>
      <w:pPr>
        <w:pStyle w:val="49"/>
        <w:ind w:firstLine="480"/>
        <w:rPr>
          <w:rFonts w:hint="eastAsia" w:ascii="宋体" w:hAnsi="宋体"/>
        </w:rPr>
      </w:pPr>
      <w:r>
        <w:rPr>
          <w:rFonts w:hint="eastAsia"/>
        </w:rPr>
        <w:t>危险废物应严格进行单独收集和分类收集，各类危险废物按其性质和所含的主要污染物，分类收集、分类贮存。危废贮存设施，应能遮蔽风雨，面积充足。危废贮存设施的建设和危废贮存的日常管理，应严格按《危险废物贮存污染控制标准》（</w:t>
      </w:r>
      <w:r>
        <w:rPr>
          <w:rFonts w:cs="Times New Roman"/>
        </w:rPr>
        <w:t>GB18597-2023</w:t>
      </w:r>
      <w:r>
        <w:rPr>
          <w:rFonts w:hint="eastAsia"/>
        </w:rPr>
        <w:t>）的要求进行。</w:t>
      </w:r>
    </w:p>
    <w:p>
      <w:pPr>
        <w:pStyle w:val="49"/>
        <w:ind w:firstLine="480"/>
      </w:pPr>
      <w:r>
        <w:rPr>
          <w:rFonts w:hint="eastAsia"/>
        </w:rPr>
        <w:t>2</w:t>
      </w:r>
      <w:r>
        <w:t>、</w:t>
      </w:r>
      <w:r>
        <w:rPr>
          <w:rFonts w:hint="eastAsia"/>
          <w:color w:val="000000"/>
        </w:rPr>
        <w:t>危险废物的管理</w:t>
      </w:r>
    </w:p>
    <w:p>
      <w:pPr>
        <w:pStyle w:val="49"/>
        <w:ind w:firstLine="480"/>
        <w:rPr>
          <w:rFonts w:hint="eastAsia" w:ascii="宋体" w:hAnsi="宋体"/>
        </w:rPr>
      </w:pPr>
      <w:r>
        <w:rPr>
          <w:rFonts w:hint="eastAsia"/>
        </w:rPr>
        <w:t>制定并严格执行危废管理的规章制度。危废暂存间位于办公生活区，面积约为</w:t>
      </w:r>
      <w:r>
        <w:rPr>
          <w:rFonts w:hint="eastAsia" w:cs="Times New Roman"/>
        </w:rPr>
        <w:t>5</w:t>
      </w:r>
      <w:r>
        <w:rPr>
          <w:rFonts w:cs="Times New Roman"/>
        </w:rPr>
        <w:t>m</w:t>
      </w:r>
      <w:r>
        <w:rPr>
          <w:rFonts w:cs="Times New Roman"/>
          <w:vertAlign w:val="superscript"/>
        </w:rPr>
        <w:t>2</w:t>
      </w:r>
      <w:r>
        <w:rPr>
          <w:rFonts w:hint="eastAsia"/>
        </w:rPr>
        <w:t>，应由专人管理，严格废物转移档案管理。危险废物的转移，严格执行国家危险废物转移五联单制度。工厂环境应急预案中，应制定危废应急处理的相关章节和内容，并配备必</w:t>
      </w:r>
      <w:r>
        <w:rPr>
          <w:rFonts w:hint="eastAsia" w:ascii="宋体" w:hAnsi="宋体"/>
        </w:rPr>
        <w:t>要的危废应急设备设施。</w:t>
      </w:r>
    </w:p>
    <w:p>
      <w:pPr>
        <w:pStyle w:val="4"/>
      </w:pPr>
      <w:bookmarkStart w:id="223" w:name="_Toc194481204"/>
      <w:r>
        <w:rPr>
          <w:rFonts w:hint="eastAsia"/>
        </w:rPr>
        <w:t xml:space="preserve">5.6.3 </w:t>
      </w:r>
      <w:r>
        <w:t>固废废物影响分析结论</w:t>
      </w:r>
      <w:bookmarkEnd w:id="223"/>
    </w:p>
    <w:p>
      <w:pPr>
        <w:pStyle w:val="49"/>
        <w:ind w:firstLine="480"/>
      </w:pPr>
      <w:r>
        <w:rPr>
          <w:rFonts w:hint="eastAsia"/>
        </w:rPr>
        <w:t>综上所述，本项目必须加强对固体废物尤其是危险固体废物的管理，确保其得到无害化处理、处置。本项目产生的各项固体废物在按照国家相关法律法规标准规范进行有</w:t>
      </w:r>
      <w:r>
        <w:rPr>
          <w:rFonts w:hint="eastAsia" w:ascii="宋体" w:hAnsi="宋体"/>
        </w:rPr>
        <w:t>效处理处置的情况下，则对区域环境不会造成危害。</w:t>
      </w:r>
    </w:p>
    <w:p>
      <w:pPr>
        <w:pStyle w:val="3"/>
      </w:pPr>
      <w:bookmarkStart w:id="224" w:name="_Toc194481205"/>
      <w:r>
        <w:rPr>
          <w:rFonts w:hint="eastAsia"/>
        </w:rPr>
        <w:t>5</w:t>
      </w:r>
      <w:r>
        <w:t>.</w:t>
      </w:r>
      <w:r>
        <w:rPr>
          <w:rFonts w:hint="eastAsia"/>
        </w:rPr>
        <w:t>7土壤环境</w:t>
      </w:r>
      <w:r>
        <w:t>影响分析</w:t>
      </w:r>
      <w:bookmarkEnd w:id="224"/>
    </w:p>
    <w:p>
      <w:pPr>
        <w:pStyle w:val="4"/>
      </w:pPr>
      <w:bookmarkStart w:id="225" w:name="_Toc194481206"/>
      <w:r>
        <w:rPr>
          <w:rFonts w:hint="eastAsia"/>
        </w:rPr>
        <w:t>5.7.1 土壤评价等级的确定</w:t>
      </w:r>
      <w:bookmarkEnd w:id="225"/>
    </w:p>
    <w:p>
      <w:pPr>
        <w:pStyle w:val="49"/>
        <w:ind w:firstLine="480"/>
        <w:rPr>
          <w:snapToGrid w:val="0"/>
        </w:rPr>
      </w:pPr>
      <w:r>
        <w:rPr>
          <w:snapToGrid w:val="0"/>
        </w:rPr>
        <w:t>本项目属于污染影响型项目，根据《环境影响评价技术导则 土壤环境（试行）》（HJ964-2018），污染影响型评价工作等级划分按照下表</w:t>
      </w:r>
      <w:r>
        <w:rPr>
          <w:rFonts w:hint="eastAsia"/>
          <w:snapToGrid w:val="0"/>
        </w:rPr>
        <w:t>5.7</w:t>
      </w:r>
      <w:r>
        <w:rPr>
          <w:snapToGrid w:val="0"/>
        </w:rPr>
        <w:t>-</w:t>
      </w:r>
      <w:r>
        <w:rPr>
          <w:rFonts w:hint="eastAsia"/>
          <w:snapToGrid w:val="0"/>
        </w:rPr>
        <w:t>1</w:t>
      </w:r>
      <w:r>
        <w:rPr>
          <w:snapToGrid w:val="0"/>
        </w:rPr>
        <w:t>。</w:t>
      </w:r>
    </w:p>
    <w:p>
      <w:pPr>
        <w:pStyle w:val="53"/>
      </w:pPr>
      <w:r>
        <w:t>表</w:t>
      </w:r>
      <w:r>
        <w:rPr>
          <w:rFonts w:hint="eastAsia"/>
        </w:rPr>
        <w:t>5.7</w:t>
      </w:r>
      <w:r>
        <w:t>-</w:t>
      </w:r>
      <w:r>
        <w:rPr>
          <w:rFonts w:hint="eastAsia"/>
        </w:rPr>
        <w:t>1</w:t>
      </w:r>
      <w:r>
        <w:t xml:space="preserve"> 污染影响型评价工作等级划分表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94"/>
        <w:gridCol w:w="761"/>
        <w:gridCol w:w="762"/>
        <w:gridCol w:w="761"/>
        <w:gridCol w:w="762"/>
        <w:gridCol w:w="761"/>
        <w:gridCol w:w="762"/>
        <w:gridCol w:w="761"/>
        <w:gridCol w:w="76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vAlign w:val="center"/>
          </w:tcPr>
          <w:p>
            <w:pPr>
              <w:pStyle w:val="51"/>
            </w:pPr>
            <w:r>
              <w:rPr>
                <w:rFonts w:hint="eastAsia"/>
              </w:rPr>
              <w:t>项目类别</w:t>
            </w:r>
          </w:p>
        </w:tc>
        <w:tc>
          <w:tcPr>
            <w:tcW w:w="2284" w:type="dxa"/>
            <w:gridSpan w:val="3"/>
            <w:vAlign w:val="center"/>
          </w:tcPr>
          <w:p>
            <w:pPr>
              <w:pStyle w:val="51"/>
            </w:pPr>
            <w:r>
              <w:rPr>
                <w:snapToGrid w:val="0"/>
                <w:color w:val="000000"/>
                <w:szCs w:val="21"/>
              </w:rPr>
              <w:t>Ⅰ类</w:t>
            </w:r>
          </w:p>
        </w:tc>
        <w:tc>
          <w:tcPr>
            <w:tcW w:w="2285" w:type="dxa"/>
            <w:gridSpan w:val="3"/>
            <w:vAlign w:val="center"/>
          </w:tcPr>
          <w:p>
            <w:pPr>
              <w:pStyle w:val="51"/>
            </w:pPr>
            <w:r>
              <w:rPr>
                <w:snapToGrid w:val="0"/>
                <w:color w:val="000000"/>
                <w:szCs w:val="21"/>
              </w:rPr>
              <w:t>Ⅱ类</w:t>
            </w:r>
          </w:p>
        </w:tc>
        <w:tc>
          <w:tcPr>
            <w:tcW w:w="2285" w:type="dxa"/>
            <w:gridSpan w:val="3"/>
            <w:vAlign w:val="center"/>
          </w:tcPr>
          <w:p>
            <w:pPr>
              <w:pStyle w:val="51"/>
            </w:pPr>
            <w:r>
              <w:rPr>
                <w:snapToGrid w:val="0"/>
                <w:color w:val="000000"/>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vAlign w:val="center"/>
          </w:tcPr>
          <w:p>
            <w:pPr>
              <w:pStyle w:val="51"/>
            </w:pPr>
            <w:r>
              <w:rPr>
                <w:rFonts w:hint="eastAsia"/>
              </w:rPr>
              <w:t>占地规模</w:t>
            </w:r>
          </w:p>
        </w:tc>
        <w:tc>
          <w:tcPr>
            <w:tcW w:w="761" w:type="dxa"/>
            <w:vAlign w:val="center"/>
          </w:tcPr>
          <w:p>
            <w:pPr>
              <w:pStyle w:val="51"/>
            </w:pPr>
            <w:r>
              <w:rPr>
                <w:snapToGrid w:val="0"/>
                <w:color w:val="000000"/>
                <w:szCs w:val="21"/>
              </w:rPr>
              <w:t>大</w:t>
            </w:r>
          </w:p>
        </w:tc>
        <w:tc>
          <w:tcPr>
            <w:tcW w:w="762" w:type="dxa"/>
            <w:vAlign w:val="center"/>
          </w:tcPr>
          <w:p>
            <w:pPr>
              <w:pStyle w:val="51"/>
            </w:pPr>
            <w:r>
              <w:rPr>
                <w:snapToGrid w:val="0"/>
                <w:color w:val="000000"/>
                <w:szCs w:val="21"/>
              </w:rPr>
              <w:t>中</w:t>
            </w:r>
          </w:p>
        </w:tc>
        <w:tc>
          <w:tcPr>
            <w:tcW w:w="761" w:type="dxa"/>
            <w:vAlign w:val="center"/>
          </w:tcPr>
          <w:p>
            <w:pPr>
              <w:pStyle w:val="51"/>
            </w:pPr>
            <w:r>
              <w:rPr>
                <w:snapToGrid w:val="0"/>
                <w:color w:val="000000"/>
                <w:szCs w:val="21"/>
              </w:rPr>
              <w:t>小</w:t>
            </w:r>
          </w:p>
        </w:tc>
        <w:tc>
          <w:tcPr>
            <w:tcW w:w="762" w:type="dxa"/>
            <w:vAlign w:val="center"/>
          </w:tcPr>
          <w:p>
            <w:pPr>
              <w:pStyle w:val="51"/>
            </w:pPr>
            <w:r>
              <w:rPr>
                <w:snapToGrid w:val="0"/>
                <w:color w:val="000000"/>
                <w:szCs w:val="21"/>
              </w:rPr>
              <w:t>大</w:t>
            </w:r>
          </w:p>
        </w:tc>
        <w:tc>
          <w:tcPr>
            <w:tcW w:w="761" w:type="dxa"/>
            <w:vAlign w:val="center"/>
          </w:tcPr>
          <w:p>
            <w:pPr>
              <w:pStyle w:val="51"/>
            </w:pPr>
            <w:r>
              <w:rPr>
                <w:snapToGrid w:val="0"/>
                <w:color w:val="000000"/>
                <w:szCs w:val="21"/>
              </w:rPr>
              <w:t>中</w:t>
            </w:r>
          </w:p>
        </w:tc>
        <w:tc>
          <w:tcPr>
            <w:tcW w:w="762" w:type="dxa"/>
            <w:vAlign w:val="center"/>
          </w:tcPr>
          <w:p>
            <w:pPr>
              <w:pStyle w:val="51"/>
            </w:pPr>
            <w:r>
              <w:rPr>
                <w:snapToGrid w:val="0"/>
                <w:color w:val="000000"/>
                <w:szCs w:val="21"/>
              </w:rPr>
              <w:t>小</w:t>
            </w:r>
          </w:p>
        </w:tc>
        <w:tc>
          <w:tcPr>
            <w:tcW w:w="761" w:type="dxa"/>
            <w:vAlign w:val="center"/>
          </w:tcPr>
          <w:p>
            <w:pPr>
              <w:pStyle w:val="51"/>
            </w:pPr>
            <w:r>
              <w:rPr>
                <w:snapToGrid w:val="0"/>
                <w:color w:val="000000"/>
                <w:szCs w:val="21"/>
              </w:rPr>
              <w:t>大</w:t>
            </w:r>
          </w:p>
        </w:tc>
        <w:tc>
          <w:tcPr>
            <w:tcW w:w="762" w:type="dxa"/>
            <w:vAlign w:val="center"/>
          </w:tcPr>
          <w:p>
            <w:pPr>
              <w:pStyle w:val="51"/>
            </w:pPr>
            <w:r>
              <w:rPr>
                <w:snapToGrid w:val="0"/>
                <w:color w:val="000000"/>
                <w:szCs w:val="21"/>
              </w:rPr>
              <w:t>中</w:t>
            </w:r>
          </w:p>
        </w:tc>
        <w:tc>
          <w:tcPr>
            <w:tcW w:w="762" w:type="dxa"/>
            <w:vAlign w:val="center"/>
          </w:tcPr>
          <w:p>
            <w:pPr>
              <w:pStyle w:val="51"/>
            </w:pPr>
            <w:r>
              <w:rPr>
                <w:snapToGrid w:val="0"/>
                <w:color w:val="000000"/>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restart"/>
            <w:vAlign w:val="center"/>
          </w:tcPr>
          <w:p>
            <w:pPr>
              <w:pStyle w:val="51"/>
            </w:pPr>
            <w:r>
              <w:rPr>
                <w:rFonts w:hint="eastAsia"/>
              </w:rPr>
              <w:t>敏感程度</w:t>
            </w:r>
          </w:p>
        </w:tc>
        <w:tc>
          <w:tcPr>
            <w:tcW w:w="894" w:type="dxa"/>
            <w:vAlign w:val="center"/>
          </w:tcPr>
          <w:p>
            <w:pPr>
              <w:pStyle w:val="51"/>
            </w:pPr>
            <w:r>
              <w:rPr>
                <w:snapToGrid w:val="0"/>
                <w:color w:val="000000"/>
                <w:szCs w:val="21"/>
              </w:rPr>
              <w:t>敏感</w:t>
            </w:r>
          </w:p>
        </w:tc>
        <w:tc>
          <w:tcPr>
            <w:tcW w:w="761" w:type="dxa"/>
            <w:vAlign w:val="center"/>
          </w:tcPr>
          <w:p>
            <w:pPr>
              <w:pStyle w:val="51"/>
            </w:pPr>
            <w:r>
              <w:rPr>
                <w:snapToGrid w:val="0"/>
                <w:color w:val="000000"/>
                <w:szCs w:val="21"/>
              </w:rPr>
              <w:t>一级</w:t>
            </w:r>
          </w:p>
        </w:tc>
        <w:tc>
          <w:tcPr>
            <w:tcW w:w="762" w:type="dxa"/>
            <w:vAlign w:val="center"/>
          </w:tcPr>
          <w:p>
            <w:pPr>
              <w:pStyle w:val="51"/>
            </w:pPr>
            <w:r>
              <w:rPr>
                <w:snapToGrid w:val="0"/>
                <w:color w:val="000000"/>
                <w:szCs w:val="21"/>
              </w:rPr>
              <w:t>一级</w:t>
            </w:r>
          </w:p>
        </w:tc>
        <w:tc>
          <w:tcPr>
            <w:tcW w:w="761" w:type="dxa"/>
            <w:vAlign w:val="center"/>
          </w:tcPr>
          <w:p>
            <w:pPr>
              <w:pStyle w:val="51"/>
            </w:pPr>
            <w:r>
              <w:rPr>
                <w:snapToGrid w:val="0"/>
                <w:color w:val="000000"/>
                <w:szCs w:val="21"/>
              </w:rPr>
              <w:t>一级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二级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dxa"/>
            <w:vMerge w:val="continue"/>
            <w:vAlign w:val="center"/>
          </w:tcPr>
          <w:p>
            <w:pPr>
              <w:pStyle w:val="51"/>
            </w:pPr>
          </w:p>
        </w:tc>
        <w:tc>
          <w:tcPr>
            <w:tcW w:w="894" w:type="dxa"/>
            <w:vAlign w:val="center"/>
          </w:tcPr>
          <w:p>
            <w:pPr>
              <w:pStyle w:val="51"/>
            </w:pPr>
            <w:r>
              <w:rPr>
                <w:snapToGrid w:val="0"/>
                <w:color w:val="000000"/>
                <w:szCs w:val="21"/>
              </w:rPr>
              <w:t>较敏感</w:t>
            </w:r>
          </w:p>
        </w:tc>
        <w:tc>
          <w:tcPr>
            <w:tcW w:w="761" w:type="dxa"/>
            <w:vAlign w:val="center"/>
          </w:tcPr>
          <w:p>
            <w:pPr>
              <w:pStyle w:val="51"/>
            </w:pPr>
            <w:r>
              <w:rPr>
                <w:snapToGrid w:val="0"/>
                <w:color w:val="000000"/>
                <w:szCs w:val="21"/>
              </w:rPr>
              <w:t>一级</w:t>
            </w:r>
          </w:p>
        </w:tc>
        <w:tc>
          <w:tcPr>
            <w:tcW w:w="762" w:type="dxa"/>
            <w:vAlign w:val="center"/>
          </w:tcPr>
          <w:p>
            <w:pPr>
              <w:pStyle w:val="51"/>
            </w:pPr>
            <w:r>
              <w:rPr>
                <w:snapToGrid w:val="0"/>
                <w:color w:val="000000"/>
                <w:szCs w:val="21"/>
              </w:rPr>
              <w:t>一级</w:t>
            </w:r>
          </w:p>
        </w:tc>
        <w:tc>
          <w:tcPr>
            <w:tcW w:w="761" w:type="dxa"/>
            <w:vAlign w:val="center"/>
          </w:tcPr>
          <w:p>
            <w:pPr>
              <w:pStyle w:val="51"/>
            </w:pPr>
            <w:r>
              <w:rPr>
                <w:snapToGrid w:val="0"/>
                <w:color w:val="000000"/>
                <w:szCs w:val="21"/>
              </w:rPr>
              <w:t>二级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二级</w:t>
            </w:r>
          </w:p>
        </w:tc>
        <w:tc>
          <w:tcPr>
            <w:tcW w:w="762" w:type="dxa"/>
            <w:vAlign w:val="center"/>
          </w:tcPr>
          <w:p>
            <w:pPr>
              <w:pStyle w:val="51"/>
            </w:pPr>
            <w:r>
              <w:rPr>
                <w:snapToGrid w:val="0"/>
                <w:color w:val="000000"/>
                <w:szCs w:val="21"/>
              </w:rPr>
              <w:t>三级</w:t>
            </w:r>
          </w:p>
        </w:tc>
        <w:tc>
          <w:tcPr>
            <w:tcW w:w="761"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vAlign w:val="center"/>
          </w:tcPr>
          <w:p>
            <w:pPr>
              <w:pStyle w:val="51"/>
            </w:pPr>
          </w:p>
        </w:tc>
        <w:tc>
          <w:tcPr>
            <w:tcW w:w="894" w:type="dxa"/>
            <w:vAlign w:val="center"/>
          </w:tcPr>
          <w:p>
            <w:pPr>
              <w:pStyle w:val="51"/>
            </w:pPr>
            <w:r>
              <w:rPr>
                <w:snapToGrid w:val="0"/>
                <w:color w:val="000000"/>
                <w:szCs w:val="21"/>
              </w:rPr>
              <w:t>不敏感</w:t>
            </w:r>
          </w:p>
        </w:tc>
        <w:tc>
          <w:tcPr>
            <w:tcW w:w="761" w:type="dxa"/>
            <w:vAlign w:val="center"/>
          </w:tcPr>
          <w:p>
            <w:pPr>
              <w:pStyle w:val="51"/>
            </w:pPr>
            <w:r>
              <w:rPr>
                <w:snapToGrid w:val="0"/>
                <w:color w:val="000000"/>
                <w:szCs w:val="21"/>
              </w:rPr>
              <w:t>一级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二级</w:t>
            </w:r>
          </w:p>
        </w:tc>
        <w:tc>
          <w:tcPr>
            <w:tcW w:w="762" w:type="dxa"/>
            <w:vAlign w:val="center"/>
          </w:tcPr>
          <w:p>
            <w:pPr>
              <w:pStyle w:val="51"/>
            </w:pPr>
            <w:r>
              <w:rPr>
                <w:snapToGrid w:val="0"/>
                <w:color w:val="000000"/>
                <w:szCs w:val="21"/>
              </w:rPr>
              <w:t>二级</w:t>
            </w:r>
          </w:p>
        </w:tc>
        <w:tc>
          <w:tcPr>
            <w:tcW w:w="761"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三级</w:t>
            </w:r>
          </w:p>
        </w:tc>
        <w:tc>
          <w:tcPr>
            <w:tcW w:w="761" w:type="dxa"/>
            <w:vAlign w:val="center"/>
          </w:tcPr>
          <w:p>
            <w:pPr>
              <w:pStyle w:val="51"/>
            </w:pPr>
            <w:r>
              <w:rPr>
                <w:snapToGrid w:val="0"/>
                <w:color w:val="000000"/>
                <w:szCs w:val="21"/>
              </w:rPr>
              <w:t>三级</w:t>
            </w:r>
          </w:p>
        </w:tc>
        <w:tc>
          <w:tcPr>
            <w:tcW w:w="762" w:type="dxa"/>
            <w:vAlign w:val="center"/>
          </w:tcPr>
          <w:p>
            <w:pPr>
              <w:pStyle w:val="51"/>
            </w:pPr>
            <w:r>
              <w:rPr>
                <w:snapToGrid w:val="0"/>
                <w:color w:val="000000"/>
                <w:szCs w:val="21"/>
              </w:rPr>
              <w:t>-</w:t>
            </w:r>
          </w:p>
        </w:tc>
        <w:tc>
          <w:tcPr>
            <w:tcW w:w="762" w:type="dxa"/>
            <w:vAlign w:val="center"/>
          </w:tcPr>
          <w:p>
            <w:pPr>
              <w:pStyle w:val="51"/>
            </w:pPr>
            <w:r>
              <w:rPr>
                <w:snapToGrid w:val="0"/>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1"/>
            <w:vAlign w:val="center"/>
          </w:tcPr>
          <w:p>
            <w:pPr>
              <w:pStyle w:val="51"/>
              <w:jc w:val="both"/>
            </w:pPr>
            <w:r>
              <w:rPr>
                <w:snapToGrid w:val="0"/>
                <w:color w:val="000000"/>
                <w:szCs w:val="21"/>
              </w:rPr>
              <w:t>注：“-”表示可不开展土壤环境影响评价工作。</w:t>
            </w:r>
          </w:p>
        </w:tc>
      </w:tr>
    </w:tbl>
    <w:p>
      <w:pPr>
        <w:pStyle w:val="49"/>
        <w:ind w:firstLine="480"/>
      </w:pPr>
      <w:r>
        <w:rPr>
          <w:rFonts w:hint="eastAsia"/>
        </w:rPr>
        <w:t>根据《环境影响评价技术导则土壤环境（试行）》（</w:t>
      </w:r>
      <w:r>
        <w:rPr>
          <w:rFonts w:cs="Times New Roman"/>
        </w:rPr>
        <w:t>HJ964-2018</w:t>
      </w:r>
      <w:r>
        <w:rPr>
          <w:rFonts w:hint="eastAsia"/>
        </w:rPr>
        <w:t xml:space="preserve">）中附录 </w:t>
      </w:r>
      <w:r>
        <w:rPr>
          <w:rFonts w:cs="Times New Roman"/>
        </w:rPr>
        <w:t xml:space="preserve">A </w:t>
      </w:r>
      <w:r>
        <w:rPr>
          <w:rFonts w:hint="eastAsia"/>
        </w:rPr>
        <w:t xml:space="preserve">的表 </w:t>
      </w:r>
      <w:r>
        <w:rPr>
          <w:rFonts w:cs="Times New Roman"/>
        </w:rPr>
        <w:t xml:space="preserve">A.1 </w:t>
      </w:r>
      <w:r>
        <w:rPr>
          <w:rFonts w:hint="eastAsia"/>
        </w:rPr>
        <w:t>土壤环境影响评价项目类别，本项目属于“农林牧鱼业-年出栏生猪5000头（其他畜禽种类折合猪的养殖规模）及以上畜禽养殖场或养殖小区”，土壤环境影响评价项目类别为</w:t>
      </w:r>
      <w:r>
        <w:rPr>
          <w:rFonts w:cs="Times New Roman"/>
        </w:rPr>
        <w:t>Ⅲ</w:t>
      </w:r>
      <w:r>
        <w:t>类</w:t>
      </w:r>
      <w:r>
        <w:rPr>
          <w:rFonts w:hint="eastAsia"/>
        </w:rPr>
        <w:t>。本项目占地面</w:t>
      </w:r>
      <w:r>
        <w:t>5hm</w:t>
      </w:r>
      <w:r>
        <w:rPr>
          <w:vertAlign w:val="superscript"/>
        </w:rPr>
        <w:t>2</w:t>
      </w:r>
      <w:r>
        <w:rPr>
          <w:rFonts w:hint="eastAsia" w:ascii="宋体" w:hAnsi="宋体"/>
        </w:rPr>
        <w:t>＜</w:t>
      </w:r>
      <w:r>
        <w:rPr>
          <w:rFonts w:hint="eastAsia" w:cs="Times New Roman"/>
          <w:szCs w:val="28"/>
        </w:rPr>
        <w:t>76953</w:t>
      </w:r>
      <w:r>
        <w:rPr>
          <w:rFonts w:hint="eastAsia"/>
        </w:rPr>
        <w:t>m</w:t>
      </w:r>
      <w:r>
        <w:rPr>
          <w:rFonts w:hint="eastAsia"/>
          <w:vertAlign w:val="superscript"/>
        </w:rPr>
        <w:t>2</w:t>
      </w:r>
      <w:r>
        <w:rPr>
          <w:rFonts w:hint="eastAsia" w:ascii="宋体" w:hAnsi="宋体"/>
        </w:rPr>
        <w:t>＜</w:t>
      </w:r>
      <w:r>
        <w:t>5</w:t>
      </w:r>
      <w:r>
        <w:rPr>
          <w:rFonts w:hint="eastAsia"/>
        </w:rPr>
        <w:t>0</w:t>
      </w:r>
      <w:r>
        <w:t>hm</w:t>
      </w:r>
      <w:r>
        <w:rPr>
          <w:vertAlign w:val="superscript"/>
        </w:rPr>
        <w:t>2</w:t>
      </w:r>
      <w:r>
        <w:rPr>
          <w:rFonts w:hint="eastAsia"/>
        </w:rPr>
        <w:t>，占地规模属于中型，项目0.05km范围内有农田，因此周边土壤环境敏感程度为敏感。</w:t>
      </w:r>
      <w:r>
        <w:rPr>
          <w:snapToGrid w:val="0"/>
        </w:rPr>
        <w:t>因此，对照上表分析可知，本项目的土壤环境评价等级为</w:t>
      </w:r>
      <w:r>
        <w:rPr>
          <w:rFonts w:hint="eastAsia"/>
          <w:snapToGrid w:val="0"/>
        </w:rPr>
        <w:t>三</w:t>
      </w:r>
      <w:r>
        <w:rPr>
          <w:snapToGrid w:val="0"/>
        </w:rPr>
        <w:t>级。</w:t>
      </w:r>
    </w:p>
    <w:p>
      <w:pPr>
        <w:pStyle w:val="4"/>
      </w:pPr>
      <w:bookmarkStart w:id="226" w:name="_Toc194481207"/>
      <w:r>
        <w:rPr>
          <w:rFonts w:hint="eastAsia"/>
        </w:rPr>
        <w:t>5.7.2 土壤环境影响识别</w:t>
      </w:r>
      <w:bookmarkEnd w:id="226"/>
    </w:p>
    <w:p>
      <w:pPr>
        <w:pStyle w:val="49"/>
        <w:ind w:firstLine="480"/>
        <w:rPr>
          <w:rFonts w:hint="eastAsia" w:ascii="宋体" w:hAnsi="宋体"/>
        </w:rPr>
      </w:pPr>
      <w:r>
        <w:rPr>
          <w:rFonts w:hint="eastAsia"/>
        </w:rPr>
        <w:t>本项目是污染影响型项目，在工程分析结果的基础上，结合土壤环境敏感目标情况，根据《环境影响评价技术导则土壤环境（试行）》（</w:t>
      </w:r>
      <w:r>
        <w:rPr>
          <w:rFonts w:cs="Times New Roman"/>
        </w:rPr>
        <w:t>HJ 964-2018</w:t>
      </w:r>
      <w:r>
        <w:rPr>
          <w:rFonts w:hint="eastAsia"/>
        </w:rPr>
        <w:t xml:space="preserve">）附录 </w:t>
      </w:r>
      <w:r>
        <w:rPr>
          <w:rFonts w:cs="Times New Roman"/>
        </w:rPr>
        <w:t xml:space="preserve">B </w:t>
      </w:r>
      <w:r>
        <w:rPr>
          <w:rFonts w:hint="eastAsia"/>
        </w:rPr>
        <w:t>识别土壤环</w:t>
      </w:r>
      <w:r>
        <w:rPr>
          <w:rFonts w:hint="eastAsia" w:ascii="宋体" w:hAnsi="宋体"/>
        </w:rPr>
        <w:t>境影响类型与影响途径，详见表</w:t>
      </w:r>
      <w:r>
        <w:rPr>
          <w:rFonts w:hint="eastAsia" w:cs="Times New Roman"/>
        </w:rPr>
        <w:t>5.7</w:t>
      </w:r>
      <w:r>
        <w:rPr>
          <w:rFonts w:cs="Times New Roman"/>
        </w:rPr>
        <w:t>-</w:t>
      </w:r>
      <w:r>
        <w:rPr>
          <w:rFonts w:hint="eastAsia" w:cs="Times New Roman"/>
        </w:rPr>
        <w:t>2</w:t>
      </w:r>
      <w:r>
        <w:rPr>
          <w:rFonts w:cs="Times New Roman"/>
        </w:rPr>
        <w:t>~</w:t>
      </w:r>
      <w:r>
        <w:rPr>
          <w:rFonts w:hint="eastAsia" w:ascii="宋体" w:hAnsi="宋体"/>
        </w:rPr>
        <w:t>表</w:t>
      </w:r>
      <w:r>
        <w:rPr>
          <w:rFonts w:hint="eastAsia" w:cs="Times New Roman"/>
        </w:rPr>
        <w:t>5.7</w:t>
      </w:r>
      <w:r>
        <w:rPr>
          <w:rFonts w:cs="Times New Roman"/>
        </w:rPr>
        <w:t>-</w:t>
      </w:r>
      <w:r>
        <w:rPr>
          <w:rFonts w:hint="eastAsia" w:cs="Times New Roman"/>
        </w:rPr>
        <w:t>3</w:t>
      </w:r>
      <w:r>
        <w:rPr>
          <w:rFonts w:hint="eastAsia" w:ascii="宋体" w:hAnsi="宋体"/>
        </w:rPr>
        <w:t>。</w:t>
      </w:r>
    </w:p>
    <w:p>
      <w:pPr>
        <w:pStyle w:val="49"/>
        <w:ind w:firstLine="480"/>
      </w:pPr>
      <w:r>
        <w:rPr>
          <w:rFonts w:hint="eastAsia"/>
        </w:rPr>
        <w:t>本项目排放的废气污染物主要是</w:t>
      </w:r>
      <w:r>
        <w:t>NH</w:t>
      </w:r>
      <w:r>
        <w:rPr>
          <w:vertAlign w:val="subscript"/>
        </w:rPr>
        <w:t>3</w:t>
      </w:r>
      <w:r>
        <w:rPr>
          <w:rFonts w:hint="eastAsia"/>
        </w:rPr>
        <w:t>、</w:t>
      </w:r>
      <w:r>
        <w:t>H</w:t>
      </w:r>
      <w:r>
        <w:rPr>
          <w:vertAlign w:val="subscript"/>
        </w:rPr>
        <w:t>2</w:t>
      </w:r>
      <w:r>
        <w:t>S</w:t>
      </w:r>
      <w:r>
        <w:rPr>
          <w:rFonts w:hint="eastAsia"/>
        </w:rPr>
        <w:t>等恶臭污染，</w:t>
      </w:r>
      <w:r>
        <w:t>不属于《土壤环境质量 建设用地土壤污染风险管控标准（试行）》GB36600-2018中的因子，因此</w:t>
      </w:r>
      <w:r>
        <w:rPr>
          <w:rFonts w:hint="eastAsia"/>
        </w:rPr>
        <w:t>可</w:t>
      </w:r>
      <w:r>
        <w:t>不考虑大气沉降</w:t>
      </w:r>
      <w:r>
        <w:rPr>
          <w:rFonts w:hint="eastAsia"/>
        </w:rPr>
        <w:t>，最终确定本项目土壤影响方式为地面漫流和垂直入渗。</w:t>
      </w:r>
    </w:p>
    <w:p>
      <w:pPr>
        <w:pStyle w:val="53"/>
      </w:pPr>
    </w:p>
    <w:p>
      <w:pPr>
        <w:pStyle w:val="53"/>
      </w:pPr>
      <w:r>
        <w:t>表</w:t>
      </w:r>
      <w:r>
        <w:rPr>
          <w:rFonts w:hint="eastAsia"/>
        </w:rPr>
        <w:t>5.7</w:t>
      </w:r>
      <w:r>
        <w:t>-</w:t>
      </w:r>
      <w:r>
        <w:rPr>
          <w:rFonts w:hint="eastAsia"/>
        </w:rPr>
        <w:t>2</w:t>
      </w:r>
      <w:r>
        <w:t xml:space="preserve"> </w:t>
      </w:r>
      <w:r>
        <w:rPr>
          <w:rFonts w:hint="eastAsia"/>
        </w:rPr>
        <w:t xml:space="preserve"> 建设项目土壤环境影响类型与影响途径表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pStyle w:val="51"/>
            </w:pPr>
            <w:r>
              <w:rPr>
                <w:rFonts w:hint="eastAsia"/>
              </w:rPr>
              <w:t>不同时段</w:t>
            </w:r>
          </w:p>
        </w:tc>
        <w:tc>
          <w:tcPr>
            <w:tcW w:w="6818" w:type="dxa"/>
            <w:gridSpan w:val="4"/>
            <w:vAlign w:val="center"/>
          </w:tcPr>
          <w:p>
            <w:pPr>
              <w:pStyle w:val="51"/>
            </w:pPr>
            <w:r>
              <w:rPr>
                <w:rFonts w:hint="eastAsia"/>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pStyle w:val="51"/>
            </w:pPr>
          </w:p>
        </w:tc>
        <w:tc>
          <w:tcPr>
            <w:tcW w:w="1704" w:type="dxa"/>
            <w:vAlign w:val="center"/>
          </w:tcPr>
          <w:p>
            <w:pPr>
              <w:pStyle w:val="51"/>
            </w:pPr>
            <w:r>
              <w:rPr>
                <w:rFonts w:hint="eastAsia"/>
              </w:rPr>
              <w:t>大气沉降</w:t>
            </w:r>
          </w:p>
        </w:tc>
        <w:tc>
          <w:tcPr>
            <w:tcW w:w="1704" w:type="dxa"/>
            <w:vAlign w:val="center"/>
          </w:tcPr>
          <w:p>
            <w:pPr>
              <w:pStyle w:val="51"/>
            </w:pPr>
            <w:r>
              <w:rPr>
                <w:rFonts w:hint="eastAsia"/>
              </w:rPr>
              <w:t>地面漫流</w:t>
            </w:r>
          </w:p>
        </w:tc>
        <w:tc>
          <w:tcPr>
            <w:tcW w:w="1705" w:type="dxa"/>
            <w:vAlign w:val="center"/>
          </w:tcPr>
          <w:p>
            <w:pPr>
              <w:pStyle w:val="51"/>
            </w:pPr>
            <w:r>
              <w:rPr>
                <w:rFonts w:hint="eastAsia"/>
              </w:rPr>
              <w:t>垂直入渗</w:t>
            </w:r>
          </w:p>
        </w:tc>
        <w:tc>
          <w:tcPr>
            <w:tcW w:w="1705" w:type="dxa"/>
            <w:vAlign w:val="center"/>
          </w:tcPr>
          <w:p>
            <w:pPr>
              <w:pStyle w:val="51"/>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pStyle w:val="51"/>
            </w:pPr>
            <w:r>
              <w:rPr>
                <w:rFonts w:hint="eastAsia"/>
              </w:rPr>
              <w:t>建设期</w:t>
            </w:r>
          </w:p>
        </w:tc>
        <w:tc>
          <w:tcPr>
            <w:tcW w:w="1704" w:type="dxa"/>
            <w:vAlign w:val="center"/>
          </w:tcPr>
          <w:p>
            <w:pPr>
              <w:pStyle w:val="51"/>
            </w:pPr>
            <w:r>
              <w:rPr>
                <w:rFonts w:hint="eastAsia"/>
              </w:rPr>
              <w:t>/</w:t>
            </w:r>
          </w:p>
        </w:tc>
        <w:tc>
          <w:tcPr>
            <w:tcW w:w="1704" w:type="dxa"/>
            <w:vAlign w:val="center"/>
          </w:tcPr>
          <w:p>
            <w:pPr>
              <w:pStyle w:val="51"/>
            </w:pPr>
            <w:r>
              <w:rPr>
                <w:rFonts w:hint="eastAsia"/>
              </w:rPr>
              <w:t>/</w:t>
            </w:r>
          </w:p>
        </w:tc>
        <w:tc>
          <w:tcPr>
            <w:tcW w:w="1705" w:type="dxa"/>
            <w:vAlign w:val="center"/>
          </w:tcPr>
          <w:p>
            <w:pPr>
              <w:pStyle w:val="51"/>
            </w:pPr>
            <w:r>
              <w:rPr>
                <w:rFonts w:hint="eastAsia"/>
              </w:rPr>
              <w:t>/</w:t>
            </w:r>
          </w:p>
        </w:tc>
        <w:tc>
          <w:tcPr>
            <w:tcW w:w="1705"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4" w:type="dxa"/>
            <w:vAlign w:val="center"/>
          </w:tcPr>
          <w:p>
            <w:pPr>
              <w:pStyle w:val="51"/>
            </w:pPr>
            <w:r>
              <w:rPr>
                <w:rFonts w:hint="eastAsia"/>
              </w:rPr>
              <w:t>运营期</w:t>
            </w:r>
          </w:p>
        </w:tc>
        <w:tc>
          <w:tcPr>
            <w:tcW w:w="1704" w:type="dxa"/>
            <w:vAlign w:val="center"/>
          </w:tcPr>
          <w:p>
            <w:pPr>
              <w:pStyle w:val="51"/>
            </w:pPr>
            <w:r>
              <w:rPr>
                <w:rFonts w:hint="eastAsia"/>
              </w:rPr>
              <w:t>/</w:t>
            </w:r>
          </w:p>
        </w:tc>
        <w:tc>
          <w:tcPr>
            <w:tcW w:w="1704" w:type="dxa"/>
            <w:vAlign w:val="center"/>
          </w:tcPr>
          <w:p>
            <w:pPr>
              <w:pStyle w:val="51"/>
            </w:pPr>
            <w:r>
              <w:rPr>
                <w:rFonts w:cs="Times New Roman"/>
                <w:color w:val="000000"/>
                <w:szCs w:val="21"/>
              </w:rPr>
              <w:t>√</w:t>
            </w:r>
          </w:p>
        </w:tc>
        <w:tc>
          <w:tcPr>
            <w:tcW w:w="1705" w:type="dxa"/>
            <w:vAlign w:val="center"/>
          </w:tcPr>
          <w:p>
            <w:pPr>
              <w:pStyle w:val="51"/>
            </w:pPr>
            <w:r>
              <w:rPr>
                <w:rFonts w:cs="Times New Roman"/>
                <w:color w:val="000000"/>
                <w:szCs w:val="21"/>
              </w:rPr>
              <w:t>√</w:t>
            </w:r>
          </w:p>
        </w:tc>
        <w:tc>
          <w:tcPr>
            <w:tcW w:w="1705"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pStyle w:val="51"/>
            </w:pPr>
            <w:r>
              <w:rPr>
                <w:rFonts w:hint="eastAsia"/>
              </w:rPr>
              <w:t>服务器满后</w:t>
            </w:r>
          </w:p>
        </w:tc>
        <w:tc>
          <w:tcPr>
            <w:tcW w:w="1704" w:type="dxa"/>
            <w:vAlign w:val="center"/>
          </w:tcPr>
          <w:p>
            <w:pPr>
              <w:pStyle w:val="51"/>
            </w:pPr>
            <w:r>
              <w:rPr>
                <w:rFonts w:hint="eastAsia"/>
              </w:rPr>
              <w:t>/</w:t>
            </w:r>
          </w:p>
        </w:tc>
        <w:tc>
          <w:tcPr>
            <w:tcW w:w="1704" w:type="dxa"/>
            <w:vAlign w:val="center"/>
          </w:tcPr>
          <w:p>
            <w:pPr>
              <w:pStyle w:val="51"/>
            </w:pPr>
            <w:r>
              <w:rPr>
                <w:rFonts w:hint="eastAsia"/>
              </w:rPr>
              <w:t>/</w:t>
            </w:r>
          </w:p>
        </w:tc>
        <w:tc>
          <w:tcPr>
            <w:tcW w:w="1705" w:type="dxa"/>
            <w:vAlign w:val="center"/>
          </w:tcPr>
          <w:p>
            <w:pPr>
              <w:pStyle w:val="51"/>
            </w:pPr>
            <w:r>
              <w:rPr>
                <w:rFonts w:hint="eastAsia"/>
              </w:rPr>
              <w:t>/</w:t>
            </w:r>
          </w:p>
        </w:tc>
        <w:tc>
          <w:tcPr>
            <w:tcW w:w="1705"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pStyle w:val="51"/>
              <w:jc w:val="left"/>
            </w:pPr>
            <w:r>
              <w:rPr>
                <w:rFonts w:hint="eastAsia"/>
                <w:color w:val="000000"/>
                <w:szCs w:val="21"/>
              </w:rPr>
              <w:t>注：在可能产生的土壤环境影响类型处打</w:t>
            </w:r>
            <w:r>
              <w:rPr>
                <w:rFonts w:cs="Times New Roman"/>
                <w:color w:val="000000"/>
                <w:szCs w:val="21"/>
              </w:rPr>
              <w:t>“√”</w:t>
            </w:r>
            <w:r>
              <w:rPr>
                <w:rFonts w:hint="eastAsia"/>
                <w:color w:val="000000"/>
                <w:szCs w:val="21"/>
              </w:rPr>
              <w:t>，列表未涵盖的可自行设计。</w:t>
            </w:r>
          </w:p>
        </w:tc>
      </w:tr>
    </w:tbl>
    <w:p>
      <w:pPr>
        <w:pStyle w:val="53"/>
      </w:pPr>
      <w:r>
        <w:t>表</w:t>
      </w:r>
      <w:r>
        <w:rPr>
          <w:rFonts w:hint="eastAsia"/>
        </w:rPr>
        <w:t>5.7</w:t>
      </w:r>
      <w:r>
        <w:t>-</w:t>
      </w:r>
      <w:r>
        <w:rPr>
          <w:rFonts w:hint="eastAsia"/>
        </w:rPr>
        <w:t>3</w:t>
      </w:r>
      <w:r>
        <w:t xml:space="preserve"> </w:t>
      </w:r>
      <w:r>
        <w:rPr>
          <w:rFonts w:hint="eastAsia"/>
        </w:rPr>
        <w:t xml:space="preserve"> 污染影响型建设项目土壤环境影响源及影响因子识别表</w:t>
      </w:r>
    </w:p>
    <w:tbl>
      <w:tblPr>
        <w:tblStyle w:val="40"/>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559"/>
        <w:gridCol w:w="1276"/>
        <w:gridCol w:w="1705"/>
        <w:gridCol w:w="1276"/>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5" w:type="dxa"/>
            <w:vAlign w:val="center"/>
          </w:tcPr>
          <w:p>
            <w:pPr>
              <w:pStyle w:val="51"/>
            </w:pPr>
            <w:r>
              <w:rPr>
                <w:rFonts w:hint="eastAsia"/>
              </w:rPr>
              <w:t>污染源</w:t>
            </w:r>
          </w:p>
        </w:tc>
        <w:tc>
          <w:tcPr>
            <w:tcW w:w="1559" w:type="dxa"/>
            <w:vAlign w:val="center"/>
          </w:tcPr>
          <w:p>
            <w:pPr>
              <w:pStyle w:val="51"/>
            </w:pPr>
            <w:r>
              <w:rPr>
                <w:rFonts w:hint="eastAsia"/>
              </w:rPr>
              <w:t>工艺流程/节点</w:t>
            </w:r>
          </w:p>
        </w:tc>
        <w:tc>
          <w:tcPr>
            <w:tcW w:w="1276" w:type="dxa"/>
            <w:vAlign w:val="center"/>
          </w:tcPr>
          <w:p>
            <w:pPr>
              <w:pStyle w:val="51"/>
            </w:pPr>
            <w:r>
              <w:rPr>
                <w:rFonts w:hint="eastAsia"/>
              </w:rPr>
              <w:t>污染途径</w:t>
            </w:r>
          </w:p>
        </w:tc>
        <w:tc>
          <w:tcPr>
            <w:tcW w:w="1705" w:type="dxa"/>
            <w:vAlign w:val="center"/>
          </w:tcPr>
          <w:p>
            <w:pPr>
              <w:pStyle w:val="51"/>
            </w:pPr>
            <w:r>
              <w:rPr>
                <w:rFonts w:hint="eastAsia"/>
              </w:rPr>
              <w:t>全部污染物指标</w:t>
            </w:r>
          </w:p>
        </w:tc>
        <w:tc>
          <w:tcPr>
            <w:tcW w:w="1276" w:type="dxa"/>
            <w:vAlign w:val="center"/>
          </w:tcPr>
          <w:p>
            <w:pPr>
              <w:pStyle w:val="51"/>
            </w:pPr>
            <w:r>
              <w:rPr>
                <w:rFonts w:hint="eastAsia"/>
              </w:rPr>
              <w:t>特征因子</w:t>
            </w:r>
          </w:p>
        </w:tc>
        <w:tc>
          <w:tcPr>
            <w:tcW w:w="963" w:type="dxa"/>
            <w:vAlign w:val="center"/>
          </w:tcPr>
          <w:p>
            <w:pPr>
              <w:pStyle w:val="51"/>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5" w:type="dxa"/>
            <w:vAlign w:val="center"/>
          </w:tcPr>
          <w:p>
            <w:pPr>
              <w:pStyle w:val="51"/>
            </w:pPr>
            <w:r>
              <w:rPr>
                <w:rFonts w:hint="eastAsia"/>
              </w:rPr>
              <w:t>鸡舍、鸡粪风干车间</w:t>
            </w:r>
          </w:p>
        </w:tc>
        <w:tc>
          <w:tcPr>
            <w:tcW w:w="1559" w:type="dxa"/>
            <w:vAlign w:val="center"/>
          </w:tcPr>
          <w:p>
            <w:pPr>
              <w:pStyle w:val="51"/>
            </w:pPr>
            <w:r>
              <w:rPr>
                <w:rFonts w:hint="eastAsia"/>
              </w:rPr>
              <w:t>养殖、</w:t>
            </w:r>
          </w:p>
          <w:p>
            <w:pPr>
              <w:pStyle w:val="51"/>
            </w:pPr>
            <w:r>
              <w:rPr>
                <w:rFonts w:hint="eastAsia"/>
              </w:rPr>
              <w:t>鸡粪风干</w:t>
            </w:r>
          </w:p>
        </w:tc>
        <w:tc>
          <w:tcPr>
            <w:tcW w:w="1276" w:type="dxa"/>
            <w:vAlign w:val="center"/>
          </w:tcPr>
          <w:p>
            <w:pPr>
              <w:pStyle w:val="51"/>
            </w:pPr>
            <w:r>
              <w:rPr>
                <w:rFonts w:hint="eastAsia"/>
              </w:rPr>
              <w:t>垂直入渗</w:t>
            </w:r>
          </w:p>
        </w:tc>
        <w:tc>
          <w:tcPr>
            <w:tcW w:w="1705" w:type="dxa"/>
            <w:vAlign w:val="center"/>
          </w:tcPr>
          <w:p>
            <w:pPr>
              <w:pStyle w:val="51"/>
            </w:pPr>
            <w:r>
              <w:rPr>
                <w:rFonts w:hint="eastAsia"/>
              </w:rPr>
              <w:t>粪污</w:t>
            </w:r>
          </w:p>
        </w:tc>
        <w:tc>
          <w:tcPr>
            <w:tcW w:w="1276" w:type="dxa"/>
            <w:vAlign w:val="center"/>
          </w:tcPr>
          <w:p>
            <w:pPr>
              <w:pStyle w:val="51"/>
            </w:pPr>
            <w:r>
              <w:rPr>
                <w:rFonts w:hint="eastAsia"/>
              </w:rPr>
              <w:t>/</w:t>
            </w:r>
          </w:p>
        </w:tc>
        <w:tc>
          <w:tcPr>
            <w:tcW w:w="963" w:type="dxa"/>
            <w:vAlign w:val="center"/>
          </w:tcPr>
          <w:p>
            <w:pPr>
              <w:pStyle w:val="51"/>
            </w:pPr>
            <w:r>
              <w:rPr>
                <w:rFonts w:hint="eastAsia"/>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65" w:type="dxa"/>
            <w:vMerge w:val="restart"/>
            <w:vAlign w:val="center"/>
          </w:tcPr>
          <w:p>
            <w:pPr>
              <w:pStyle w:val="51"/>
            </w:pPr>
            <w:r>
              <w:rPr>
                <w:rFonts w:hint="eastAsia"/>
              </w:rPr>
              <w:t>一体化污水处理设施</w:t>
            </w:r>
          </w:p>
        </w:tc>
        <w:tc>
          <w:tcPr>
            <w:tcW w:w="1559" w:type="dxa"/>
            <w:vMerge w:val="restart"/>
            <w:vAlign w:val="center"/>
          </w:tcPr>
          <w:p>
            <w:pPr>
              <w:pStyle w:val="51"/>
            </w:pPr>
            <w:r>
              <w:rPr>
                <w:rFonts w:hint="eastAsia"/>
              </w:rPr>
              <w:t>废水处理</w:t>
            </w:r>
          </w:p>
        </w:tc>
        <w:tc>
          <w:tcPr>
            <w:tcW w:w="1276" w:type="dxa"/>
            <w:vAlign w:val="center"/>
          </w:tcPr>
          <w:p>
            <w:pPr>
              <w:pStyle w:val="51"/>
            </w:pPr>
            <w:r>
              <w:rPr>
                <w:rFonts w:hint="eastAsia"/>
              </w:rPr>
              <w:t>地面漫流</w:t>
            </w:r>
          </w:p>
        </w:tc>
        <w:tc>
          <w:tcPr>
            <w:tcW w:w="1705" w:type="dxa"/>
            <w:vMerge w:val="restart"/>
            <w:vAlign w:val="center"/>
          </w:tcPr>
          <w:p>
            <w:pPr>
              <w:pStyle w:val="51"/>
            </w:pPr>
            <w:r>
              <w:rPr>
                <w:rFonts w:hint="eastAsia"/>
              </w:rPr>
              <w:t>COD、</w:t>
            </w:r>
            <w:r>
              <w:rPr>
                <w:szCs w:val="21"/>
              </w:rPr>
              <w:t>NH</w:t>
            </w:r>
            <w:r>
              <w:rPr>
                <w:szCs w:val="21"/>
                <w:vertAlign w:val="subscript"/>
              </w:rPr>
              <w:t>3</w:t>
            </w:r>
            <w:r>
              <w:rPr>
                <w:szCs w:val="21"/>
              </w:rPr>
              <w:t>-N</w:t>
            </w:r>
          </w:p>
        </w:tc>
        <w:tc>
          <w:tcPr>
            <w:tcW w:w="1276" w:type="dxa"/>
            <w:vMerge w:val="restart"/>
            <w:vAlign w:val="center"/>
          </w:tcPr>
          <w:p>
            <w:pPr>
              <w:pStyle w:val="51"/>
            </w:pPr>
            <w:r>
              <w:rPr>
                <w:rFonts w:hint="eastAsia"/>
              </w:rPr>
              <w:t>COD、</w:t>
            </w:r>
            <w:r>
              <w:rPr>
                <w:szCs w:val="21"/>
              </w:rPr>
              <w:t>NH</w:t>
            </w:r>
            <w:r>
              <w:rPr>
                <w:szCs w:val="21"/>
                <w:vertAlign w:val="subscript"/>
              </w:rPr>
              <w:t>3</w:t>
            </w:r>
            <w:r>
              <w:rPr>
                <w:szCs w:val="21"/>
              </w:rPr>
              <w:t>-N</w:t>
            </w:r>
          </w:p>
        </w:tc>
        <w:tc>
          <w:tcPr>
            <w:tcW w:w="963" w:type="dxa"/>
            <w:vMerge w:val="restart"/>
            <w:vAlign w:val="center"/>
          </w:tcPr>
          <w:p>
            <w:pPr>
              <w:pStyle w:val="51"/>
            </w:pPr>
            <w:r>
              <w:rPr>
                <w:rFonts w:hint="eastAsia"/>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65" w:type="dxa"/>
            <w:vMerge w:val="continue"/>
            <w:vAlign w:val="center"/>
          </w:tcPr>
          <w:p>
            <w:pPr>
              <w:pStyle w:val="51"/>
            </w:pPr>
          </w:p>
        </w:tc>
        <w:tc>
          <w:tcPr>
            <w:tcW w:w="1559" w:type="dxa"/>
            <w:vMerge w:val="continue"/>
            <w:vAlign w:val="center"/>
          </w:tcPr>
          <w:p>
            <w:pPr>
              <w:pStyle w:val="51"/>
            </w:pPr>
          </w:p>
        </w:tc>
        <w:tc>
          <w:tcPr>
            <w:tcW w:w="1276" w:type="dxa"/>
            <w:vAlign w:val="center"/>
          </w:tcPr>
          <w:p>
            <w:pPr>
              <w:pStyle w:val="51"/>
            </w:pPr>
            <w:r>
              <w:rPr>
                <w:rFonts w:hint="eastAsia"/>
              </w:rPr>
              <w:t>垂直入渗</w:t>
            </w:r>
          </w:p>
        </w:tc>
        <w:tc>
          <w:tcPr>
            <w:tcW w:w="1705" w:type="dxa"/>
            <w:vMerge w:val="continue"/>
            <w:vAlign w:val="center"/>
          </w:tcPr>
          <w:p>
            <w:pPr>
              <w:pStyle w:val="51"/>
            </w:pPr>
          </w:p>
        </w:tc>
        <w:tc>
          <w:tcPr>
            <w:tcW w:w="1276" w:type="dxa"/>
            <w:vMerge w:val="continue"/>
            <w:vAlign w:val="center"/>
          </w:tcPr>
          <w:p>
            <w:pPr>
              <w:pStyle w:val="51"/>
            </w:pPr>
          </w:p>
        </w:tc>
        <w:tc>
          <w:tcPr>
            <w:tcW w:w="963"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565" w:type="dxa"/>
            <w:vAlign w:val="center"/>
          </w:tcPr>
          <w:p>
            <w:pPr>
              <w:pStyle w:val="51"/>
            </w:pPr>
            <w:r>
              <w:rPr>
                <w:rFonts w:hint="eastAsia"/>
              </w:rPr>
              <w:t>配电房柴油储存区</w:t>
            </w:r>
          </w:p>
        </w:tc>
        <w:tc>
          <w:tcPr>
            <w:tcW w:w="1559" w:type="dxa"/>
            <w:vAlign w:val="center"/>
          </w:tcPr>
          <w:p>
            <w:pPr>
              <w:pStyle w:val="51"/>
            </w:pPr>
            <w:r>
              <w:rPr>
                <w:rFonts w:hint="eastAsia"/>
              </w:rPr>
              <w:t>柴油储存</w:t>
            </w:r>
          </w:p>
        </w:tc>
        <w:tc>
          <w:tcPr>
            <w:tcW w:w="1276" w:type="dxa"/>
            <w:vAlign w:val="center"/>
          </w:tcPr>
          <w:p>
            <w:pPr>
              <w:pStyle w:val="51"/>
            </w:pPr>
            <w:r>
              <w:rPr>
                <w:rFonts w:hint="eastAsia"/>
              </w:rPr>
              <w:t>垂直入渗</w:t>
            </w:r>
          </w:p>
        </w:tc>
        <w:tc>
          <w:tcPr>
            <w:tcW w:w="1705" w:type="dxa"/>
            <w:vAlign w:val="center"/>
          </w:tcPr>
          <w:p>
            <w:pPr>
              <w:pStyle w:val="51"/>
            </w:pPr>
            <w:r>
              <w:rPr>
                <w:rFonts w:hint="eastAsia"/>
              </w:rPr>
              <w:t>柴油</w:t>
            </w:r>
          </w:p>
        </w:tc>
        <w:tc>
          <w:tcPr>
            <w:tcW w:w="1276" w:type="dxa"/>
            <w:vAlign w:val="center"/>
          </w:tcPr>
          <w:p>
            <w:pPr>
              <w:pStyle w:val="51"/>
            </w:pPr>
            <w:r>
              <w:rPr>
                <w:rFonts w:hint="eastAsia"/>
              </w:rPr>
              <w:t>石油类</w:t>
            </w:r>
          </w:p>
        </w:tc>
        <w:tc>
          <w:tcPr>
            <w:tcW w:w="963" w:type="dxa"/>
            <w:vAlign w:val="center"/>
          </w:tcPr>
          <w:p>
            <w:pPr>
              <w:pStyle w:val="51"/>
            </w:pPr>
            <w:r>
              <w:rPr>
                <w:rFonts w:hint="eastAsia"/>
              </w:rPr>
              <w:t>事故</w:t>
            </w:r>
          </w:p>
        </w:tc>
      </w:tr>
    </w:tbl>
    <w:p>
      <w:pPr>
        <w:pStyle w:val="4"/>
      </w:pPr>
      <w:bookmarkStart w:id="227" w:name="_Toc194481208"/>
      <w:r>
        <w:rPr>
          <w:rFonts w:hint="eastAsia"/>
        </w:rPr>
        <w:t>5.7.3 土壤环境影响分析与评价</w:t>
      </w:r>
      <w:bookmarkEnd w:id="227"/>
    </w:p>
    <w:p>
      <w:pPr>
        <w:pStyle w:val="49"/>
        <w:ind w:firstLine="480"/>
      </w:pPr>
      <w:bookmarkStart w:id="228" w:name="_Hlk193956889"/>
      <w:r>
        <w:rPr>
          <w:rFonts w:hint="eastAsia"/>
        </w:rPr>
        <w:t>项目土壤环境影响评价工作等级为三级，可采用定性描述或类比法进行预测，本项目采用定性描述进行说明。</w:t>
      </w:r>
    </w:p>
    <w:p>
      <w:pPr>
        <w:pStyle w:val="49"/>
        <w:ind w:firstLine="480"/>
      </w:pPr>
      <w:r>
        <w:rPr>
          <w:rFonts w:hint="eastAsia"/>
        </w:rPr>
        <w:t>1、</w:t>
      </w:r>
      <w:r>
        <w:rPr>
          <w:rFonts w:hint="eastAsia"/>
          <w:color w:val="000000"/>
        </w:rPr>
        <w:t>地面漫流途径土壤环境影响分析</w:t>
      </w:r>
    </w:p>
    <w:p>
      <w:pPr>
        <w:pStyle w:val="49"/>
        <w:ind w:firstLine="480"/>
      </w:pPr>
      <w:r>
        <w:rPr>
          <w:rFonts w:hint="eastAsia"/>
        </w:rPr>
        <w:t>在一体化污水处理设施废水处理池发生破裂的情况下产生的废水会发生地面漫流，进一步污染土壤。企业通过设置废水三级防控，污水处理区按要求做好硬化和防渗，同时设有导流沟和事故应急池，可拦截事故水进入事故应急池；并在事故时结合地势，在雨水明沟排口处设置临时小挡坝等措施，保证可能受污染的雨排水截留在场区内，最终进入场区内事故应急池，全面防控事故废水和可能受污染的雨水发生地面漫流，进入土壤。</w:t>
      </w:r>
      <w:r>
        <w:t>项目场地除非污染区的绿化区外，其他区域均已进行水泥硬化，</w:t>
      </w:r>
      <w:r>
        <w:rPr>
          <w:rFonts w:hint="eastAsia"/>
        </w:rPr>
        <w:t>在全面落实三级防控措施的情况下，</w:t>
      </w:r>
      <w:r>
        <w:rPr>
          <w:rFonts w:hint="eastAsia" w:ascii="宋体" w:hAnsi="宋体"/>
        </w:rPr>
        <w:t>地面漫流对土壤影响较小。</w:t>
      </w:r>
    </w:p>
    <w:bookmarkEnd w:id="228"/>
    <w:p>
      <w:pPr>
        <w:pStyle w:val="49"/>
        <w:ind w:firstLine="480"/>
        <w:rPr>
          <w:color w:val="000000"/>
        </w:rPr>
      </w:pPr>
      <w:r>
        <w:rPr>
          <w:rFonts w:hint="eastAsia"/>
          <w:color w:val="000000"/>
        </w:rPr>
        <w:t>2、垂直入渗途径土壤环境影响分析</w:t>
      </w:r>
    </w:p>
    <w:p>
      <w:pPr>
        <w:pStyle w:val="49"/>
        <w:ind w:firstLine="480"/>
      </w:pPr>
      <w:r>
        <w:rPr>
          <w:rFonts w:hint="eastAsia"/>
        </w:rPr>
        <w:t>在事故情况下，会造成污染物的泄漏，通过垂直入渗进一步污染土壤。本项目参照《环境影响评价技术导则 地下水环境》（HJ610-2016）中要求，根据场地特性和项目特征，制定分区防渗。对于可能发生污染物泄漏的区域采取重点防渗，其渗透系数应小于等于</w:t>
      </w:r>
      <w:r>
        <w:t>1.0×10</w:t>
      </w:r>
      <w:r>
        <w:rPr>
          <w:vertAlign w:val="superscript"/>
        </w:rPr>
        <w:t>-7</w:t>
      </w:r>
      <w:r>
        <w:t>cm/s</w:t>
      </w:r>
      <w:r>
        <w:rPr>
          <w:rFonts w:hint="eastAsia"/>
        </w:rPr>
        <w:t>，在全面落实分区防渗措施的情况下，污染物的垂直入渗对土壤影响较小。</w:t>
      </w:r>
    </w:p>
    <w:p>
      <w:pPr>
        <w:pStyle w:val="4"/>
        <w:keepNext w:val="0"/>
        <w:keepLines w:val="0"/>
        <w:widowControl w:val="0"/>
      </w:pPr>
      <w:bookmarkStart w:id="229" w:name="_Toc194481209"/>
      <w:r>
        <w:rPr>
          <w:rFonts w:hint="eastAsia"/>
        </w:rPr>
        <w:t>5.7.4 土壤环境影响评价结论</w:t>
      </w:r>
      <w:bookmarkEnd w:id="229"/>
    </w:p>
    <w:p>
      <w:pPr>
        <w:pStyle w:val="49"/>
        <w:ind w:firstLine="480"/>
        <w:rPr>
          <w:rFonts w:hint="eastAsia" w:ascii="宋体" w:hAnsi="宋体"/>
          <w:color w:val="000000"/>
          <w14:ligatures w14:val="none"/>
        </w:rPr>
      </w:pPr>
      <w:r>
        <w:rPr>
          <w:rFonts w:hint="eastAsia"/>
        </w:rPr>
        <w:t>本次评价通过定性相分析，从地面漫流和垂直入渗两个影</w:t>
      </w:r>
      <w:r>
        <w:rPr>
          <w:rFonts w:hint="eastAsia" w:ascii="宋体" w:hAnsi="宋体"/>
        </w:rPr>
        <w:t>响途径分析项目运营对土壤环境的影响。</w:t>
      </w:r>
      <w:r>
        <w:rPr>
          <w:rFonts w:hint="eastAsia"/>
          <w:color w:val="000000"/>
          <w14:ligatures w14:val="none"/>
        </w:rPr>
        <w:t>在企业做好三</w:t>
      </w:r>
      <w:r>
        <w:rPr>
          <w:rFonts w:hint="eastAsia" w:ascii="宋体" w:hAnsi="宋体"/>
          <w:color w:val="000000"/>
          <w14:ligatures w14:val="none"/>
        </w:rPr>
        <w:t>级防控和分区防渗措施的情况下，地面漫流和垂直入渗对土壤的影响较小。</w:t>
      </w:r>
      <w:bookmarkStart w:id="230" w:name="_Hlk193957008"/>
      <w:r>
        <w:rPr>
          <w:rFonts w:hint="eastAsia" w:ascii="宋体" w:hAnsi="宋体"/>
          <w:color w:val="000000"/>
          <w14:ligatures w14:val="none"/>
        </w:rPr>
        <w:t>本项目尾水用于周边林地灌溉，</w:t>
      </w:r>
      <w:r>
        <w:rPr>
          <w:rFonts w:hint="eastAsia"/>
        </w:rPr>
        <w:t>做到合理浇灌，</w:t>
      </w:r>
      <w:r>
        <w:rPr>
          <w:rFonts w:hint="eastAsia" w:ascii="宋体" w:hAnsi="宋体"/>
          <w:color w:val="000000"/>
          <w14:ligatures w14:val="none"/>
        </w:rPr>
        <w:t>对土壤影响较小。</w:t>
      </w:r>
    </w:p>
    <w:bookmarkEnd w:id="230"/>
    <w:p>
      <w:pPr>
        <w:pStyle w:val="49"/>
        <w:ind w:firstLine="480"/>
      </w:pPr>
      <w:r>
        <w:rPr>
          <w:rFonts w:hint="eastAsia"/>
        </w:rPr>
        <w:t>综上，项目运营期对土壤的影响较小。</w:t>
      </w:r>
    </w:p>
    <w:p>
      <w:pPr>
        <w:pStyle w:val="3"/>
        <w:keepNext w:val="0"/>
        <w:keepLines w:val="0"/>
        <w:widowControl w:val="0"/>
      </w:pPr>
      <w:bookmarkStart w:id="231" w:name="_Toc194481210"/>
      <w:r>
        <w:rPr>
          <w:rFonts w:hint="eastAsia"/>
        </w:rPr>
        <w:t>5</w:t>
      </w:r>
      <w:r>
        <w:t>.</w:t>
      </w:r>
      <w:r>
        <w:rPr>
          <w:rFonts w:hint="eastAsia"/>
        </w:rPr>
        <w:t>8 生态环境</w:t>
      </w:r>
      <w:r>
        <w:t>影响分析</w:t>
      </w:r>
      <w:bookmarkEnd w:id="231"/>
    </w:p>
    <w:p>
      <w:pPr>
        <w:pStyle w:val="49"/>
        <w:ind w:firstLine="480"/>
      </w:pPr>
      <w:r>
        <w:rPr>
          <w:rFonts w:hint="eastAsia"/>
        </w:rPr>
        <w:t xml:space="preserve">1、工程占地对土地利用的影响 </w:t>
      </w:r>
    </w:p>
    <w:p>
      <w:pPr>
        <w:pStyle w:val="49"/>
        <w:ind w:firstLine="480"/>
      </w:pPr>
      <w:r>
        <w:rPr>
          <w:rFonts w:hint="eastAsia"/>
        </w:rPr>
        <w:t xml:space="preserve">项目占地为设施农业用地，项目建成后不会改变土地利用类型，符合土地使用性质的要求，未改变该处的土地使用性质。 </w:t>
      </w:r>
    </w:p>
    <w:p>
      <w:pPr>
        <w:pStyle w:val="49"/>
        <w:ind w:firstLine="480"/>
      </w:pPr>
      <w:r>
        <w:rPr>
          <w:rFonts w:hint="eastAsia"/>
        </w:rPr>
        <w:t xml:space="preserve">2、对地表植被影响评价 </w:t>
      </w:r>
    </w:p>
    <w:p>
      <w:pPr>
        <w:pStyle w:val="49"/>
        <w:ind w:firstLine="480"/>
      </w:pPr>
      <w:r>
        <w:rPr>
          <w:rFonts w:hint="eastAsia"/>
        </w:rPr>
        <w:t>项目营运后，项目的建设使厂址的土地利用格局没有发生改变，通过人工种植引入大量的乔灌木，生物组分异质性提高，区域生态系统整体抵抗外界干扰能力提高；不利影响是由于新物种的植入，短时间内生物量下降。</w:t>
      </w:r>
    </w:p>
    <w:p>
      <w:pPr>
        <w:pStyle w:val="49"/>
        <w:ind w:firstLine="480"/>
      </w:pPr>
      <w:r>
        <w:rPr>
          <w:rFonts w:hint="eastAsia"/>
        </w:rPr>
        <w:t xml:space="preserve">项目的建设使厂址短时间内生物量减少，但项目可通过加强场区绿化尽量弥补项目建设对生物量的影响，项目建成后将着手加大场区绿化面积。尽量改善厂址生态环境质量。 </w:t>
      </w:r>
    </w:p>
    <w:p>
      <w:pPr>
        <w:pStyle w:val="49"/>
        <w:ind w:firstLine="480"/>
      </w:pPr>
      <w:r>
        <w:rPr>
          <w:rFonts w:hint="eastAsia"/>
        </w:rPr>
        <w:t xml:space="preserve">3、对野生动植物影响分析 </w:t>
      </w:r>
    </w:p>
    <w:p>
      <w:pPr>
        <w:pStyle w:val="49"/>
        <w:ind w:firstLine="480"/>
      </w:pPr>
      <w:r>
        <w:rPr>
          <w:rFonts w:hint="eastAsia"/>
        </w:rPr>
        <w:t xml:space="preserve">评价范围内的动物类型为南方地区常见物种，没有珍稀濒危动物，没有国家和地方性保护野生动物。项目的建设将破坏场区内部分野生动物的栖息环境，由于这些物种适应能力较强，且场区周围存在大面积类似环境条件，因此对该范围的野生动物不会产生很大的影响。 </w:t>
      </w:r>
    </w:p>
    <w:p>
      <w:pPr>
        <w:pStyle w:val="49"/>
        <w:ind w:firstLine="480"/>
      </w:pPr>
      <w:r>
        <w:rPr>
          <w:rFonts w:hint="eastAsia"/>
        </w:rPr>
        <w:t>4、水土流失预测与评价</w:t>
      </w:r>
    </w:p>
    <w:p>
      <w:pPr>
        <w:pStyle w:val="49"/>
        <w:ind w:firstLine="480"/>
      </w:pPr>
      <w:r>
        <w:rPr>
          <w:rFonts w:hint="eastAsia"/>
        </w:rPr>
        <w:t>项目区建设完成后，因施工破坏而影响水土流失的各种因素在各项水土保持措施实施后逐渐消失，并且随着时间的推移各项措施的水土保持功能日益得到发挥，生态环境将逐步得到恢复和改善，水土流失量逐渐减小直至达到新的稳定状态。</w:t>
      </w:r>
    </w:p>
    <w:p>
      <w:pPr>
        <w:pStyle w:val="82"/>
        <w:ind w:firstLine="480"/>
      </w:pPr>
      <w:r>
        <w:rPr>
          <w:rFonts w:hint="eastAsia"/>
        </w:rPr>
        <w:t>项目区由于集中建设基础设施，部分地面硬化、铺装，营运期地表土壤流失量比现状明显下降，降雨入渗量明显减少，降低了地下水的补给量，将造成水资源的浪费。因此，在营运期，也会造成一定的水土流失，但通过合理的水土保持布局及措施，且加强重点防护区的保护，可使水土流失的危害降到最低程度，使项目区及周边地区的生态环境得到有效的改善。</w:t>
      </w:r>
    </w:p>
    <w:p>
      <w:pPr>
        <w:pStyle w:val="49"/>
        <w:ind w:firstLine="480"/>
      </w:pPr>
      <w:r>
        <w:rPr>
          <w:rFonts w:hint="eastAsia"/>
        </w:rPr>
        <w:t>根据项目建设的特点及水土保持目标的要求，做到主体工程建设与水土保持相结合；工程措施和植物措施相结合，重点治理与面上防护相结合，确定营运期不造成新的水土流失。</w:t>
      </w:r>
    </w:p>
    <w:p>
      <w:pPr>
        <w:pStyle w:val="49"/>
        <w:ind w:firstLine="480"/>
      </w:pPr>
      <w:r>
        <w:rPr>
          <w:rFonts w:hint="eastAsia"/>
        </w:rPr>
        <w:t>综上，建设项目建设场地原有生态环境不敏感，项目建设不会对区域生态造成不利影响。</w:t>
      </w:r>
    </w:p>
    <w:p>
      <w:pPr>
        <w:pStyle w:val="49"/>
        <w:ind w:firstLine="480"/>
      </w:pPr>
    </w:p>
    <w:p>
      <w:pPr>
        <w:pStyle w:val="49"/>
        <w:ind w:firstLine="480"/>
      </w:pPr>
    </w:p>
    <w:p>
      <w:pPr>
        <w:pStyle w:val="49"/>
        <w:ind w:firstLine="480"/>
        <w:sectPr>
          <w:pgSz w:w="11906" w:h="16838"/>
          <w:pgMar w:top="1440" w:right="1800" w:bottom="1440" w:left="1800" w:header="851" w:footer="992" w:gutter="0"/>
          <w:cols w:space="425" w:num="1"/>
          <w:docGrid w:type="lines" w:linePitch="312" w:charSpace="0"/>
        </w:sectPr>
      </w:pPr>
    </w:p>
    <w:p>
      <w:pPr>
        <w:pStyle w:val="2"/>
        <w:jc w:val="center"/>
        <w:rPr>
          <w:sz w:val="44"/>
          <w:szCs w:val="56"/>
        </w:rPr>
      </w:pPr>
      <w:bookmarkStart w:id="232" w:name="_Toc194481211"/>
      <w:r>
        <w:rPr>
          <w:rFonts w:hint="eastAsia"/>
          <w:sz w:val="44"/>
          <w:szCs w:val="56"/>
        </w:rPr>
        <w:t xml:space="preserve">第6章 </w:t>
      </w:r>
      <w:r>
        <w:rPr>
          <w:sz w:val="44"/>
          <w:szCs w:val="56"/>
        </w:rPr>
        <w:t>污染防治措施分析</w:t>
      </w:r>
      <w:bookmarkEnd w:id="232"/>
    </w:p>
    <w:p>
      <w:pPr>
        <w:pStyle w:val="3"/>
      </w:pPr>
      <w:bookmarkStart w:id="233" w:name="_Toc194481212"/>
      <w:r>
        <w:rPr>
          <w:rFonts w:hint="eastAsia"/>
        </w:rPr>
        <w:t>6</w:t>
      </w:r>
      <w:r>
        <w:t>.</w:t>
      </w:r>
      <w:r>
        <w:rPr>
          <w:rFonts w:hint="eastAsia"/>
        </w:rPr>
        <w:t>1 施工期污染防治措施</w:t>
      </w:r>
      <w:bookmarkEnd w:id="233"/>
    </w:p>
    <w:p>
      <w:pPr>
        <w:pStyle w:val="4"/>
      </w:pPr>
      <w:bookmarkStart w:id="234" w:name="_Toc194481213"/>
      <w:r>
        <w:rPr>
          <w:rFonts w:hint="eastAsia"/>
        </w:rPr>
        <w:t>6</w:t>
      </w:r>
      <w:r>
        <w:t>.1.1 施工期大气污染防治措施</w:t>
      </w:r>
      <w:bookmarkEnd w:id="234"/>
    </w:p>
    <w:p>
      <w:pPr>
        <w:pStyle w:val="49"/>
        <w:ind w:firstLine="480"/>
      </w:pPr>
      <w:r>
        <w:t>项目废气对周围大气环境的污染，以扬尘污染较为严重。为减轻扬尘的污染程度 和影响范围，根据《永州市城市市容和环境卫生管理条例》，施工单位在施工过程应采取以下防治措施：</w:t>
      </w:r>
    </w:p>
    <w:p>
      <w:pPr>
        <w:pStyle w:val="49"/>
        <w:ind w:firstLine="480"/>
      </w:pPr>
      <w:r>
        <w:rPr>
          <w:rFonts w:hint="eastAsia"/>
        </w:rPr>
        <w:t>1、</w:t>
      </w:r>
      <w:r>
        <w:t>对施工作业面、临时土堆、施工道路勤洒水，使其保持一定的湿度，减少起尘量。根据一般情况下的洒水实验效果，每次洒水4~5 次，可有效控制施工扬尘，可使扬尘减少70%左右，可将TSP的污染距离缩小到20~50m范围内，可见洒水后扬尘对周边敏感目标影响很小。</w:t>
      </w:r>
    </w:p>
    <w:p>
      <w:pPr>
        <w:pStyle w:val="49"/>
        <w:ind w:firstLine="480"/>
      </w:pPr>
      <w:r>
        <w:rPr>
          <w:rFonts w:hint="eastAsia"/>
        </w:rPr>
        <w:t>2、</w:t>
      </w:r>
      <w:r>
        <w:t>对细砂、水泥、临时土堆等易扬尘材料堆场设置在远离居民住宅的位置，并加盖帆布之类围布进行遮蔽，防止扬尘的扩散；对施工场地内的建筑垃圾以及弃土应及时处理、清运以减少占地，防止扬尘污染，改善施工场地的环境。</w:t>
      </w:r>
    </w:p>
    <w:p>
      <w:pPr>
        <w:pStyle w:val="49"/>
        <w:ind w:firstLine="480"/>
      </w:pPr>
      <w:r>
        <w:rPr>
          <w:rFonts w:hint="eastAsia"/>
        </w:rPr>
        <w:t>3、</w:t>
      </w:r>
      <w:r>
        <w:t>施工场地周围设置围挡，减少施工场地扬尘散发距离，减少对周边企业生产的影响。</w:t>
      </w:r>
    </w:p>
    <w:p>
      <w:pPr>
        <w:pStyle w:val="49"/>
        <w:ind w:firstLine="480"/>
      </w:pPr>
      <w:r>
        <w:rPr>
          <w:rFonts w:hint="eastAsia"/>
        </w:rPr>
        <w:t>4、</w:t>
      </w:r>
      <w:r>
        <w:t>施工材料运输车辆运输水泥、砂石等材料，不宜装载过满，同时要采取相应的遮盖、封闭措施，避免土石方和水泥等洒落形成粉尘，对不慎洒落的沙土和建筑材料应及时清理。</w:t>
      </w:r>
    </w:p>
    <w:p>
      <w:pPr>
        <w:pStyle w:val="49"/>
        <w:ind w:firstLine="480"/>
      </w:pPr>
      <w:r>
        <w:rPr>
          <w:rFonts w:hint="eastAsia"/>
        </w:rPr>
        <w:t>5、</w:t>
      </w:r>
      <w:r>
        <w:t>在施工场地出口设置车辆冲洗区，车辆出工地要进行清洗，以免携带泥土至外面道路形成道路扬尘。</w:t>
      </w:r>
    </w:p>
    <w:p>
      <w:pPr>
        <w:pStyle w:val="49"/>
        <w:ind w:firstLine="480"/>
      </w:pPr>
      <w:r>
        <w:rPr>
          <w:rFonts w:hint="eastAsia"/>
        </w:rPr>
        <w:t>6、</w:t>
      </w:r>
      <w:r>
        <w:t>项目建成后及时对场区空地进行绿化处理。</w:t>
      </w:r>
    </w:p>
    <w:p>
      <w:pPr>
        <w:pStyle w:val="49"/>
        <w:ind w:firstLine="480"/>
      </w:pPr>
      <w:r>
        <w:rPr>
          <w:rFonts w:hint="eastAsia"/>
        </w:rPr>
        <w:t>7、</w:t>
      </w:r>
      <w:r>
        <w:t>严格执行《永州市城市市容和环境卫生管理条例》：</w:t>
      </w:r>
      <w:r>
        <w:rPr>
          <w:rFonts w:hint="eastAsia" w:ascii="宋体" w:hAnsi="宋体"/>
        </w:rPr>
        <w:t>①</w:t>
      </w:r>
      <w:r>
        <w:t>实行围挡作业， 按照相关规范设置围挡、防护设施和夜间照明装置。围挡的设置应当减少对行人和交通的影响。墙体围挡应当设置不低于百分之三十的公益广告。</w:t>
      </w:r>
      <w:r>
        <w:rPr>
          <w:rFonts w:hint="eastAsia" w:ascii="宋体" w:hAnsi="宋体"/>
        </w:rPr>
        <w:t>②</w:t>
      </w:r>
      <w:r>
        <w:t>出入口采取硬化处理措施，对出入口和出场车辆进行冲洗保洁。</w:t>
      </w:r>
      <w:r>
        <w:rPr>
          <w:rFonts w:hint="eastAsia" w:ascii="宋体" w:hAnsi="宋体"/>
        </w:rPr>
        <w:t>③</w:t>
      </w:r>
      <w:r>
        <w:t>施工现场采取洒水、覆盖、铺装、绿化等降尘措施。</w:t>
      </w:r>
      <w:r>
        <w:rPr>
          <w:rFonts w:hint="eastAsia" w:ascii="宋体" w:hAnsi="宋体"/>
        </w:rPr>
        <w:t>④</w:t>
      </w:r>
      <w:r>
        <w:t>对易产生扬尘的建筑材料采取密闭运输。</w:t>
      </w:r>
      <w:r>
        <w:rPr>
          <w:rFonts w:hint="eastAsia" w:ascii="宋体" w:hAnsi="宋体"/>
        </w:rPr>
        <w:t>⑤</w:t>
      </w:r>
      <w:r>
        <w:t>工程竣工后，及时清理和平整场地。</w:t>
      </w:r>
      <w:r>
        <w:rPr>
          <w:rFonts w:hint="eastAsia" w:ascii="宋体" w:hAnsi="宋体"/>
        </w:rPr>
        <w:t>⑥</w:t>
      </w:r>
      <w:r>
        <w:t>施工车辆有序通行、规范停放，不得妨碍场外城市道路其他车辆、行人通行。</w:t>
      </w:r>
    </w:p>
    <w:p>
      <w:pPr>
        <w:pStyle w:val="49"/>
        <w:ind w:firstLine="480"/>
      </w:pPr>
      <w:r>
        <w:rPr>
          <w:rFonts w:hint="eastAsia"/>
        </w:rPr>
        <w:t>8、</w:t>
      </w:r>
      <w:r>
        <w:t>施工单位应采用尾气排放符合国家规定标准的车辆和施工机械，确保其在运行时尾气达标排放，减少对环境空气的污染。禁止尾气排放不达标的车辆和施工机械运行作业。运输车辆和施工机械发生故障和损坏，必须及时维修或更新，防止设备带病运行，加大废气对环境空气的污染。</w:t>
      </w:r>
    </w:p>
    <w:p>
      <w:pPr>
        <w:pStyle w:val="49"/>
        <w:ind w:firstLine="480"/>
      </w:pPr>
      <w:r>
        <w:t>此外，建筑施工现场扬尘污染防控措施全面落实到位。全面落实建筑施工工地</w:t>
      </w:r>
      <w:r>
        <w:rPr>
          <w:rFonts w:ascii="宋体" w:hAnsi="宋体"/>
        </w:rPr>
        <w:t>“</w:t>
      </w:r>
      <w:r>
        <w:t>8 个100%</w:t>
      </w:r>
      <w:r>
        <w:rPr>
          <w:rFonts w:ascii="宋体" w:hAnsi="宋体"/>
        </w:rPr>
        <w:t>”</w:t>
      </w:r>
      <w:r>
        <w:t>抑尘措施：施工工地现场围挡和外架防护100%全封闭，围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根据规定，建筑工地围挡高度不得低于1.8 米。施工现场进出口必须设置洗车池、冲洗槽、沉砂井和排水沟等车辆冲洗设施，配置高压水枪。施工单位不得雇佣</w:t>
      </w:r>
      <w:r>
        <w:rPr>
          <w:rFonts w:ascii="宋体" w:hAnsi="宋体"/>
        </w:rPr>
        <w:t>“</w:t>
      </w:r>
      <w:r>
        <w:t>黑头车</w:t>
      </w:r>
      <w:r>
        <w:rPr>
          <w:rFonts w:ascii="宋体" w:hAnsi="宋体"/>
        </w:rPr>
        <w:t>”</w:t>
      </w:r>
      <w:r>
        <w:t>从事建筑材料、建筑垃圾、渣土的运输。</w:t>
      </w:r>
    </w:p>
    <w:p>
      <w:pPr>
        <w:pStyle w:val="49"/>
        <w:ind w:firstLine="480"/>
      </w:pPr>
      <w:r>
        <w:t>采取上述防治措施后，本项目施工期产生的废气对施工人员、周围环境空气和附近居民的影响可得到一定程度的减弱，影响不大。施工期结束后影响也将消失。</w:t>
      </w:r>
    </w:p>
    <w:p>
      <w:pPr>
        <w:pStyle w:val="4"/>
      </w:pPr>
      <w:bookmarkStart w:id="235" w:name="_Toc194481214"/>
      <w:r>
        <w:rPr>
          <w:rFonts w:hint="eastAsia"/>
        </w:rPr>
        <w:t>6</w:t>
      </w:r>
      <w:r>
        <w:t>.1.2 施工期地表水防治措施</w:t>
      </w:r>
      <w:bookmarkEnd w:id="235"/>
    </w:p>
    <w:p>
      <w:pPr>
        <w:pStyle w:val="49"/>
        <w:ind w:firstLine="480"/>
      </w:pPr>
      <w:r>
        <w:t>施工期间，应对地面水的排放进行组织设计，严禁乱排、乱流污染道路、环境。工程施工区设置完善的配套排水系统。</w:t>
      </w:r>
    </w:p>
    <w:p>
      <w:pPr>
        <w:pStyle w:val="49"/>
        <w:ind w:firstLine="480"/>
      </w:pPr>
      <w:r>
        <w:rPr>
          <w:rFonts w:hint="eastAsia"/>
        </w:rPr>
        <w:t>1、</w:t>
      </w:r>
      <w:r>
        <w:t xml:space="preserve"> 施工场地设置沉淀池，施工场地四周建设临时导流沟，施工废水经沉淀处理后回用于场地内洒水抑尘，不外排，严禁施工期</w:t>
      </w:r>
      <w:r>
        <w:rPr>
          <w:rFonts w:hint="eastAsia"/>
        </w:rPr>
        <w:t>（</w:t>
      </w:r>
      <w:r>
        <w:t>包括正常情况和事故情况下</w:t>
      </w:r>
      <w:r>
        <w:rPr>
          <w:rFonts w:hint="eastAsia"/>
        </w:rPr>
        <w:t>）</w:t>
      </w:r>
      <w:r>
        <w:t>将未经处理的施工废水直接排入周围环境。</w:t>
      </w:r>
    </w:p>
    <w:p>
      <w:pPr>
        <w:pStyle w:val="49"/>
        <w:ind w:firstLine="480"/>
      </w:pPr>
      <w:r>
        <w:rPr>
          <w:rFonts w:hint="eastAsia"/>
        </w:rPr>
        <w:t>2、</w:t>
      </w:r>
      <w:r>
        <w:t xml:space="preserve"> 施工过程中建筑材料，需妥善放置，应远离水体堆放，并建临时堆放棚；材料堆放场、挖方、填方四周应挖截留沟，以尽可能减少对周边水体产生影响的风险，截留沟废水汇入简易沉淀池，上清液回用。</w:t>
      </w:r>
    </w:p>
    <w:p>
      <w:pPr>
        <w:pStyle w:val="49"/>
        <w:ind w:firstLine="480"/>
      </w:pPr>
      <w:r>
        <w:rPr>
          <w:rFonts w:hint="eastAsia"/>
        </w:rPr>
        <w:t>3、施工期生活污水依托周边居民现有处理设施，经处理后用于农作物灌溉，不外排。</w:t>
      </w:r>
    </w:p>
    <w:p>
      <w:pPr>
        <w:pStyle w:val="49"/>
        <w:ind w:firstLine="480"/>
      </w:pPr>
      <w:r>
        <w:rPr>
          <w:rFonts w:hint="eastAsia"/>
        </w:rPr>
        <w:t>4、</w:t>
      </w:r>
      <w:r>
        <w:t>施工场地主要出入口应设置洗车槽、隔油沉淀池、排水沟等设施，以收集冲洗车辆、施工机械产生的废水，经隔油沉沙预处理回用于施工场地</w:t>
      </w:r>
      <w:r>
        <w:rPr>
          <w:rFonts w:hint="eastAsia"/>
        </w:rPr>
        <w:t>。</w:t>
      </w:r>
      <w:r>
        <w:t xml:space="preserve"> </w:t>
      </w:r>
    </w:p>
    <w:p>
      <w:pPr>
        <w:pStyle w:val="49"/>
        <w:ind w:firstLine="480"/>
      </w:pPr>
      <w:r>
        <w:t>采取上述治理措施后，可以有效地做好施工废水的污染治理，对施工场地周围水环境影响不大。</w:t>
      </w:r>
    </w:p>
    <w:p>
      <w:pPr>
        <w:pStyle w:val="4"/>
      </w:pPr>
      <w:bookmarkStart w:id="236" w:name="_Toc194481215"/>
      <w:r>
        <w:rPr>
          <w:rFonts w:hint="eastAsia"/>
        </w:rPr>
        <w:t>6</w:t>
      </w:r>
      <w:r>
        <w:t>.1.3 施工期噪声防治措施</w:t>
      </w:r>
      <w:bookmarkEnd w:id="236"/>
    </w:p>
    <w:p>
      <w:pPr>
        <w:pStyle w:val="49"/>
        <w:ind w:firstLine="480"/>
      </w:pPr>
      <w:r>
        <w:t>为最大程度减轻项目施工对周围的噪声影响，环评提出以下噪声防治措施：</w:t>
      </w:r>
    </w:p>
    <w:p>
      <w:pPr>
        <w:pStyle w:val="49"/>
        <w:ind w:firstLine="480"/>
      </w:pPr>
      <w:r>
        <w:rPr>
          <w:rFonts w:hint="eastAsia"/>
        </w:rPr>
        <w:t>1、</w:t>
      </w:r>
      <w:r>
        <w:t>优先选用低噪声的施工设备，对动力机械设备和运输车辆进行定期的维修和养护。</w:t>
      </w:r>
    </w:p>
    <w:p>
      <w:pPr>
        <w:pStyle w:val="49"/>
        <w:ind w:firstLine="480"/>
      </w:pPr>
      <w:r>
        <w:rPr>
          <w:rFonts w:hint="eastAsia"/>
        </w:rPr>
        <w:t>2、</w:t>
      </w:r>
      <w:r>
        <w:t>合理布局，高噪声设备尽量布置在场区中心区域，远离敏感点的一侧。</w:t>
      </w:r>
    </w:p>
    <w:p>
      <w:pPr>
        <w:pStyle w:val="49"/>
        <w:ind w:firstLine="480"/>
      </w:pPr>
      <w:r>
        <w:rPr>
          <w:rFonts w:hint="eastAsia"/>
        </w:rPr>
        <w:t>3、</w:t>
      </w:r>
      <w:r>
        <w:t>合理安排运输路线和运输时间，夜间禁止运输；</w:t>
      </w:r>
    </w:p>
    <w:p>
      <w:pPr>
        <w:pStyle w:val="49"/>
        <w:ind w:firstLine="480"/>
      </w:pPr>
      <w:r>
        <w:rPr>
          <w:rFonts w:hint="eastAsia"/>
        </w:rPr>
        <w:t>4、</w:t>
      </w:r>
      <w:r>
        <w:t>加强施工管理、合理安排时间，高噪声设备错峰作业，避免同时作业。</w:t>
      </w:r>
    </w:p>
    <w:p>
      <w:pPr>
        <w:pStyle w:val="49"/>
        <w:ind w:firstLine="480"/>
      </w:pPr>
      <w:r>
        <w:rPr>
          <w:rFonts w:hint="eastAsia"/>
        </w:rPr>
        <w:t>5、</w:t>
      </w:r>
      <w:r>
        <w:t>施工时间安排在昼间，</w:t>
      </w:r>
      <w:r>
        <w:rPr>
          <w:rFonts w:hint="eastAsia"/>
        </w:rPr>
        <w:t>禁止</w:t>
      </w:r>
      <w:r>
        <w:t>夜间施工量。</w:t>
      </w:r>
    </w:p>
    <w:p>
      <w:pPr>
        <w:pStyle w:val="49"/>
        <w:ind w:firstLine="480"/>
      </w:pPr>
      <w:r>
        <w:rPr>
          <w:rFonts w:hint="eastAsia"/>
        </w:rPr>
        <w:t>6、</w:t>
      </w:r>
      <w:r>
        <w:t>合理布局施工场地，避免在同一地点安装大量动力机械设备，以避免局部声级过高。</w:t>
      </w:r>
    </w:p>
    <w:p>
      <w:pPr>
        <w:pStyle w:val="49"/>
        <w:ind w:firstLine="480"/>
      </w:pPr>
      <w:r>
        <w:t>项目采用以上措施后，噪声增量可得到有效控制，施工期噪声防治措施可行。</w:t>
      </w:r>
    </w:p>
    <w:p>
      <w:pPr>
        <w:pStyle w:val="4"/>
      </w:pPr>
      <w:bookmarkStart w:id="237" w:name="_Toc194481216"/>
      <w:r>
        <w:rPr>
          <w:rFonts w:hint="eastAsia"/>
        </w:rPr>
        <w:t>6</w:t>
      </w:r>
      <w:r>
        <w:t>.1.4 施工期固废防治措施</w:t>
      </w:r>
      <w:bookmarkEnd w:id="237"/>
    </w:p>
    <w:p>
      <w:pPr>
        <w:pStyle w:val="49"/>
        <w:ind w:firstLine="480"/>
      </w:pPr>
      <w:r>
        <w:t>施工期间固体废物主要来自项目建筑新建过程产生的建筑垃圾、施工人员的生活垃圾等。针对不同固体废物在施工现场应采取定点临时堆放，分类收集，分别处理的防治措施。</w:t>
      </w:r>
    </w:p>
    <w:p>
      <w:pPr>
        <w:pStyle w:val="49"/>
        <w:ind w:firstLine="480"/>
      </w:pPr>
      <w:r>
        <w:t>工程建设过程中产生的建筑材料的边角废料、多余土方等，通过回收、平整场地利用和填筑道路等措施，避免固废进入环境，从根本上减少固体废物的处理量和固废运输对环境的影响。</w:t>
      </w:r>
    </w:p>
    <w:p>
      <w:pPr>
        <w:pStyle w:val="49"/>
        <w:ind w:firstLine="480"/>
      </w:pPr>
      <w:r>
        <w:t>施工人员的生活垃圾及时收集到指定的垃圾箱（桶）内，由当地环卫部门统一及时清运处理。</w:t>
      </w:r>
    </w:p>
    <w:p>
      <w:pPr>
        <w:pStyle w:val="49"/>
        <w:ind w:firstLine="480"/>
      </w:pPr>
      <w:r>
        <w:t>车辆运输零散物体和废弃物时，必须密封、覆盖，不得沿途撒漏；本工程范围内基本土石方平衡，无大量土方外运。如有，运载土方的车辆必须在规定的时间内，按指定路段行驶，禁止在处置场地以外倾倒工程渣土，禁止在处置场地将工程渣土与其他城市生活垃圾混合倾倒。</w:t>
      </w:r>
    </w:p>
    <w:p>
      <w:pPr>
        <w:pStyle w:val="49"/>
        <w:ind w:firstLine="480"/>
      </w:pPr>
      <w:r>
        <w:t>施工结束后，及时清理施工现场，废弃的建筑材料送到指定地点处置。</w:t>
      </w:r>
    </w:p>
    <w:p>
      <w:pPr>
        <w:pStyle w:val="49"/>
        <w:ind w:firstLine="480"/>
      </w:pPr>
      <w:r>
        <w:t>采取上述措施后，施工固体废物均可得到有效处理处置，措施可行。</w:t>
      </w:r>
    </w:p>
    <w:p>
      <w:pPr>
        <w:pStyle w:val="4"/>
      </w:pPr>
      <w:bookmarkStart w:id="238" w:name="_Toc194481217"/>
      <w:r>
        <w:rPr>
          <w:rFonts w:hint="eastAsia"/>
        </w:rPr>
        <w:t>6</w:t>
      </w:r>
      <w:r>
        <w:t>.1.5 施工期生态环境保护措施</w:t>
      </w:r>
      <w:bookmarkEnd w:id="238"/>
    </w:p>
    <w:p>
      <w:pPr>
        <w:pStyle w:val="49"/>
        <w:ind w:firstLine="480"/>
      </w:pPr>
      <w:r>
        <w:t>评价建议建设单位做好以下措施：</w:t>
      </w:r>
    </w:p>
    <w:p>
      <w:pPr>
        <w:pStyle w:val="49"/>
        <w:ind w:firstLine="480"/>
      </w:pPr>
      <w:r>
        <w:rPr>
          <w:rFonts w:hint="eastAsia"/>
        </w:rPr>
        <w:t>1、</w:t>
      </w:r>
      <w:r>
        <w:t>合理安排施工进度，减少地面裸露时间。</w:t>
      </w:r>
    </w:p>
    <w:p>
      <w:pPr>
        <w:pStyle w:val="49"/>
        <w:ind w:firstLine="480"/>
      </w:pPr>
      <w:r>
        <w:rPr>
          <w:rFonts w:hint="eastAsia"/>
        </w:rPr>
        <w:t>2、</w:t>
      </w:r>
      <w:r>
        <w:t>施工场地四周建设临时排水沟，收集雨水冲刷裸露地面的雨水，减少水土流失。</w:t>
      </w:r>
    </w:p>
    <w:p>
      <w:pPr>
        <w:pStyle w:val="49"/>
        <w:ind w:firstLine="480"/>
      </w:pPr>
      <w:r>
        <w:rPr>
          <w:rFonts w:hint="eastAsia"/>
        </w:rPr>
        <w:t>3、</w:t>
      </w:r>
      <w:r>
        <w:t>在施工中，要合理安排施工计划、施工程序，协调好各个施工步骤，建筑垃圾合理堆存。在暴雨期，还应采取应急措施，尽量用覆盖物覆盖新开挖的陡坡，防止冲刷和崩塌。</w:t>
      </w:r>
    </w:p>
    <w:p>
      <w:pPr>
        <w:pStyle w:val="49"/>
        <w:ind w:firstLine="480"/>
      </w:pPr>
      <w:r>
        <w:rPr>
          <w:rFonts w:hint="eastAsia"/>
        </w:rPr>
        <w:t>4、</w:t>
      </w:r>
      <w:r>
        <w:t>各个分项目建成以后，及时恢复被扰乱的地域，重新组织未利用的小块土地，种植人工植被，辟为花园或绿地；管理部门应组织人员对区内荒芜的地块栽种人工植被，减少自然的水土流失。</w:t>
      </w:r>
    </w:p>
    <w:p>
      <w:pPr>
        <w:pStyle w:val="49"/>
        <w:ind w:firstLine="480"/>
      </w:pPr>
      <w:r>
        <w:rPr>
          <w:rFonts w:hint="eastAsia"/>
        </w:rPr>
        <w:t>5、</w:t>
      </w:r>
      <w:r>
        <w:t>水土流失防治措施</w:t>
      </w:r>
    </w:p>
    <w:p>
      <w:pPr>
        <w:pStyle w:val="49"/>
        <w:ind w:firstLine="480"/>
      </w:pPr>
      <w:r>
        <w:rPr>
          <w:rFonts w:hint="eastAsia" w:ascii="宋体" w:hAnsi="宋体"/>
        </w:rPr>
        <w:t>①</w:t>
      </w:r>
      <w:r>
        <w:t>合理安排施工季节，尽量避免雨季施工。不能避免时，应做好雨季施工防排水工作，保证施工期间排水通畅，不出现积水浸泡工作面的现象。</w:t>
      </w:r>
    </w:p>
    <w:p>
      <w:pPr>
        <w:pStyle w:val="49"/>
        <w:ind w:firstLine="480"/>
      </w:pPr>
      <w:r>
        <w:rPr>
          <w:rFonts w:hint="eastAsia" w:ascii="宋体" w:hAnsi="宋体"/>
        </w:rPr>
        <w:t>②</w:t>
      </w:r>
      <w:r>
        <w:t>合理安排施工进度，衔接好各施工程序，及时配套完成水土保持措施，做到工序紧凑、有序，以减少施工期土壤流失量。</w:t>
      </w:r>
    </w:p>
    <w:p>
      <w:pPr>
        <w:pStyle w:val="49"/>
        <w:ind w:firstLine="480"/>
      </w:pPr>
      <w:r>
        <w:rPr>
          <w:rFonts w:hint="eastAsia" w:ascii="宋体" w:hAnsi="宋体"/>
        </w:rPr>
        <w:t>③</w:t>
      </w:r>
      <w:r>
        <w:t>建筑垃圾的运输车辆加盖板，以防止洒落。</w:t>
      </w:r>
    </w:p>
    <w:p>
      <w:pPr>
        <w:pStyle w:val="49"/>
        <w:ind w:firstLine="480"/>
      </w:pPr>
      <w:r>
        <w:rPr>
          <w:rFonts w:hint="eastAsia" w:ascii="宋体" w:hAnsi="宋体"/>
        </w:rPr>
        <w:t>④</w:t>
      </w:r>
      <w:r>
        <w:t>对挖方路段有坡面径流汇入施工工作面的应先修建截水沟，使暴雨径流不致冲刷坡面造成水土流失。</w:t>
      </w:r>
    </w:p>
    <w:p>
      <w:pPr>
        <w:pStyle w:val="49"/>
        <w:ind w:firstLine="480"/>
      </w:pPr>
      <w:r>
        <w:rPr>
          <w:rFonts w:hint="eastAsia" w:ascii="宋体" w:hAnsi="宋体"/>
        </w:rPr>
        <w:t>⑤</w:t>
      </w:r>
      <w:r>
        <w:t>施工完成后，要实施植被恢复工程、绿化补缺工程建设，种植当地观赏性好的野生花草灌木和乡土树种，恢复原有生态平衡和自然环境。</w:t>
      </w:r>
    </w:p>
    <w:p>
      <w:pPr>
        <w:pStyle w:val="3"/>
      </w:pPr>
      <w:bookmarkStart w:id="239" w:name="_Toc21529"/>
      <w:bookmarkStart w:id="240" w:name="_Toc31838"/>
      <w:bookmarkStart w:id="241" w:name="_Toc2391"/>
      <w:bookmarkStart w:id="242" w:name="_Toc194481218"/>
      <w:bookmarkStart w:id="243" w:name="_Toc18101"/>
      <w:bookmarkStart w:id="244" w:name="_Toc26627"/>
      <w:r>
        <w:rPr>
          <w:rFonts w:hint="eastAsia"/>
        </w:rPr>
        <w:t>6</w:t>
      </w:r>
      <w:r>
        <w:t>.2 营运期污染防治措施</w:t>
      </w:r>
      <w:bookmarkEnd w:id="239"/>
      <w:bookmarkEnd w:id="240"/>
      <w:bookmarkEnd w:id="241"/>
      <w:bookmarkEnd w:id="242"/>
      <w:bookmarkEnd w:id="243"/>
      <w:bookmarkEnd w:id="244"/>
    </w:p>
    <w:p>
      <w:pPr>
        <w:pStyle w:val="4"/>
      </w:pPr>
      <w:bookmarkStart w:id="245" w:name="_Toc194481219"/>
      <w:r>
        <w:rPr>
          <w:rFonts w:hint="eastAsia"/>
        </w:rPr>
        <w:t>6</w:t>
      </w:r>
      <w:r>
        <w:t>.</w:t>
      </w:r>
      <w:r>
        <w:rPr>
          <w:rFonts w:hint="eastAsia"/>
        </w:rPr>
        <w:t>2</w:t>
      </w:r>
      <w:r>
        <w:t xml:space="preserve">.1 </w:t>
      </w:r>
      <w:r>
        <w:rPr>
          <w:rFonts w:hint="eastAsia"/>
        </w:rPr>
        <w:t>营运期</w:t>
      </w:r>
      <w:r>
        <w:t>大气污染防治措施</w:t>
      </w:r>
      <w:bookmarkEnd w:id="245"/>
    </w:p>
    <w:p>
      <w:pPr>
        <w:pStyle w:val="49"/>
        <w:ind w:firstLine="480"/>
      </w:pPr>
      <w:r>
        <w:rPr>
          <w:rFonts w:hint="eastAsia"/>
        </w:rPr>
        <w:t>本项目营运期产生的废气主要为恶臭气体（鸡舍、鸡粪风干车间）、备用发电机废气、食堂油烟。</w:t>
      </w:r>
    </w:p>
    <w:p>
      <w:pPr>
        <w:pStyle w:val="5"/>
      </w:pPr>
      <w:r>
        <w:rPr>
          <w:rFonts w:hint="eastAsia"/>
        </w:rPr>
        <w:t>6.2.1.</w:t>
      </w:r>
      <w:r>
        <w:t>1</w:t>
      </w:r>
      <w:r>
        <w:rPr>
          <w:rFonts w:hint="eastAsia"/>
        </w:rPr>
        <w:t xml:space="preserve"> 恶臭污染防治措施可行性分析</w:t>
      </w:r>
    </w:p>
    <w:p>
      <w:pPr>
        <w:pStyle w:val="49"/>
        <w:ind w:firstLine="480"/>
      </w:pPr>
      <w:r>
        <w:rPr>
          <w:rFonts w:hint="eastAsia"/>
        </w:rPr>
        <w:t>1、鸡舍恶臭治理措施</w:t>
      </w:r>
    </w:p>
    <w:p>
      <w:pPr>
        <w:pStyle w:val="49"/>
        <w:ind w:firstLine="480"/>
      </w:pPr>
      <w:r>
        <w:rPr>
          <w:rFonts w:hint="eastAsia"/>
        </w:rPr>
        <w:t>本项目鸡舍恶臭，属于无组织面源排放。单靠某一种除臭技术很难取得良好的治理效果，只有采取综合除臭措施，从断绝臭气产生的源头、防止恶臭扩散等多种方法并举，才能有效地防止和减轻其危害，保证人畜健康，促进畜牧业生产的可持续发展。恶臭防治措施主要包括管理方面措施和技术方面的措施。具体防治措施如下：</w:t>
      </w:r>
    </w:p>
    <w:p>
      <w:pPr>
        <w:pStyle w:val="49"/>
        <w:ind w:firstLine="480"/>
      </w:pPr>
      <w:r>
        <w:rPr>
          <w:rFonts w:hint="eastAsia"/>
        </w:rPr>
        <w:t>（</w:t>
      </w:r>
      <w:r>
        <w:t>1</w:t>
      </w:r>
      <w:r>
        <w:rPr>
          <w:rFonts w:hint="eastAsia"/>
        </w:rPr>
        <w:t xml:space="preserve">）科学设计日粮，提高饲料利用率 </w:t>
      </w:r>
    </w:p>
    <w:p>
      <w:pPr>
        <w:pStyle w:val="49"/>
        <w:ind w:firstLine="480"/>
      </w:pPr>
      <w:r>
        <w:rPr>
          <w:rFonts w:hint="eastAsia"/>
        </w:rPr>
        <w:t xml:space="preserve">鸡采食饲料后，饲料在消化道内消化过程中，因微生物腐败分解而产生臭气；同时没有消化吸收部分在体外被微生物降解，因此提高日粮的消化率、减少干物质（特别是蛋白质）排出量，既减少肠道臭气的产生，又可减少粪便排出后的臭气的产生，这是减少恶臭来源的有效措施。 </w:t>
      </w:r>
    </w:p>
    <w:p>
      <w:pPr>
        <w:pStyle w:val="49"/>
        <w:ind w:firstLine="480"/>
      </w:pPr>
      <w:r>
        <w:rPr>
          <w:rFonts w:hint="eastAsia"/>
        </w:rPr>
        <w:t>（</w:t>
      </w:r>
      <w:r>
        <w:t>2</w:t>
      </w:r>
      <w:r>
        <w:rPr>
          <w:rFonts w:hint="eastAsia"/>
        </w:rPr>
        <w:t xml:space="preserve">）及时清理鸡舍 </w:t>
      </w:r>
    </w:p>
    <w:p>
      <w:pPr>
        <w:pStyle w:val="49"/>
        <w:ind w:firstLine="480"/>
      </w:pPr>
      <w:r>
        <w:rPr>
          <w:rFonts w:hint="eastAsia"/>
        </w:rPr>
        <w:t>温度高时恶臭气体浓度高，鸡粪在</w:t>
      </w:r>
      <w:r>
        <w:t>1~2</w:t>
      </w:r>
      <w:r>
        <w:rPr>
          <w:rFonts w:hint="eastAsia"/>
        </w:rPr>
        <w:t xml:space="preserve">周后发酵较快，粪便暴露面积大的发酵率高。 </w:t>
      </w:r>
    </w:p>
    <w:p>
      <w:pPr>
        <w:pStyle w:val="49"/>
        <w:ind w:firstLine="480"/>
      </w:pPr>
      <w:r>
        <w:rPr>
          <w:rFonts w:hint="eastAsia"/>
        </w:rPr>
        <w:t xml:space="preserve">项目采用干清粪工艺，鸡粪日常日清，该工艺可保持畜禽舍内清洁，空气卫生状况较好，有利于蛋鸡和饲养人员的健康，产生的污水量少。 </w:t>
      </w:r>
    </w:p>
    <w:p>
      <w:pPr>
        <w:pStyle w:val="49"/>
        <w:ind w:firstLine="480"/>
      </w:pPr>
      <w:r>
        <w:rPr>
          <w:rFonts w:hint="eastAsia"/>
        </w:rPr>
        <w:t xml:space="preserve">为防止蚊蝇孳生，应根据蚊蝇生活习性，采用人工、机械配合喷药的方法预防蚊蝇孳生。加强鸡舍与饲料堆放地的灭鼠工作，预防疾病的传播。 </w:t>
      </w:r>
    </w:p>
    <w:p>
      <w:pPr>
        <w:pStyle w:val="49"/>
        <w:ind w:firstLine="480"/>
      </w:pPr>
      <w:r>
        <w:rPr>
          <w:rFonts w:hint="eastAsia"/>
        </w:rPr>
        <w:t>（</w:t>
      </w:r>
      <w:r>
        <w:t>3</w:t>
      </w:r>
      <w:r>
        <w:rPr>
          <w:rFonts w:hint="eastAsia"/>
        </w:rPr>
        <w:t xml:space="preserve">）强化鸡舍消毒措施 </w:t>
      </w:r>
    </w:p>
    <w:p>
      <w:pPr>
        <w:pStyle w:val="49"/>
        <w:ind w:firstLine="480"/>
      </w:pPr>
      <w:r>
        <w:rPr>
          <w:rFonts w:hint="eastAsia"/>
        </w:rPr>
        <w:t xml:space="preserve">全部鸡舍必须配备地面消毒设备；车库、车棚内应设有车辆清洗消毒设施；病鸡隔离间必须设车轮、鞋靴消毒池。 </w:t>
      </w:r>
    </w:p>
    <w:p>
      <w:pPr>
        <w:pStyle w:val="49"/>
        <w:ind w:firstLine="480"/>
      </w:pPr>
      <w:r>
        <w:rPr>
          <w:rFonts w:hint="eastAsia"/>
        </w:rPr>
        <w:t xml:space="preserve">根据现代养鸡技术，鸡舍消毒采取鸡舍内喷洒模式以及饮水消毒方式，饮水消毒的具体做法是：在饮水中按比例加入消毒剂，每周进行一次。鸡舍内部采用消毒剂和水按一定比例配置好的消毒液通过鸡舍内的消毒喷雾装置自动喷洒，消毒完毕后进行通风，喷洒的消毒液全部自然蒸发。 </w:t>
      </w:r>
    </w:p>
    <w:p>
      <w:pPr>
        <w:pStyle w:val="49"/>
        <w:ind w:firstLine="480"/>
      </w:pPr>
      <w:r>
        <w:rPr>
          <w:rFonts w:hint="eastAsia"/>
        </w:rPr>
        <w:t xml:space="preserve">鸡舍在一个养殖周期结束后进行清扫干净，用高压水枪冲洗鸡床，并进行喷雾消毒。 </w:t>
      </w:r>
    </w:p>
    <w:p>
      <w:pPr>
        <w:pStyle w:val="49"/>
        <w:ind w:firstLine="480"/>
      </w:pPr>
      <w:r>
        <w:rPr>
          <w:rFonts w:hint="eastAsia"/>
        </w:rPr>
        <w:t>（</w:t>
      </w:r>
      <w:r>
        <w:t>4</w:t>
      </w:r>
      <w:r>
        <w:rPr>
          <w:rFonts w:hint="eastAsia"/>
        </w:rPr>
        <w:t xml:space="preserve">）除臭剂的使用 </w:t>
      </w:r>
    </w:p>
    <w:p>
      <w:pPr>
        <w:pStyle w:val="49"/>
        <w:ind w:firstLine="480"/>
      </w:pPr>
      <w:r>
        <w:rPr>
          <w:rFonts w:hint="eastAsia"/>
        </w:rPr>
        <w:t xml:space="preserve">向养殖场鸡舍内及周边定时（每天喷洒一次）喷洒生物除臭剂，消除或减少臭气的产生。 </w:t>
      </w:r>
    </w:p>
    <w:p>
      <w:pPr>
        <w:pStyle w:val="49"/>
        <w:ind w:firstLine="480"/>
      </w:pPr>
      <w:r>
        <w:rPr>
          <w:rFonts w:hint="eastAsia"/>
        </w:rPr>
        <w:t>（</w:t>
      </w:r>
      <w:r>
        <w:t>5</w:t>
      </w:r>
      <w:r>
        <w:rPr>
          <w:rFonts w:hint="eastAsia"/>
        </w:rPr>
        <w:t xml:space="preserve">）加强鸡舍的管理，鸡舍地面硬化处理，并定期对鸡舍进行消毒和喷洒除臭液。 </w:t>
      </w:r>
    </w:p>
    <w:p>
      <w:pPr>
        <w:pStyle w:val="49"/>
        <w:ind w:firstLine="480"/>
      </w:pPr>
      <w:r>
        <w:rPr>
          <w:rFonts w:hint="eastAsia"/>
        </w:rPr>
        <w:t>（</w:t>
      </w:r>
      <w:r>
        <w:t>6</w:t>
      </w:r>
      <w:r>
        <w:rPr>
          <w:rFonts w:hint="eastAsia"/>
        </w:rPr>
        <w:t xml:space="preserve">）采取合理的饲养工艺，提高饲料的利用率，在鸡饲料中添加 </w:t>
      </w:r>
      <w:r>
        <w:t xml:space="preserve">EM </w:t>
      </w:r>
      <w:r>
        <w:rPr>
          <w:rFonts w:hint="eastAsia"/>
        </w:rPr>
        <w:t xml:space="preserve">原露复合微生物菌剂，使用 </w:t>
      </w:r>
      <w:r>
        <w:t xml:space="preserve">EM </w:t>
      </w:r>
      <w:r>
        <w:rPr>
          <w:rFonts w:hint="eastAsia"/>
        </w:rPr>
        <w:t>能显著提高动物对饲料的吸收利用率，使粪便臭味大大降低。</w:t>
      </w:r>
    </w:p>
    <w:p>
      <w:pPr>
        <w:pStyle w:val="49"/>
        <w:ind w:firstLine="480"/>
      </w:pPr>
      <w:r>
        <w:rPr>
          <w:rFonts w:hint="eastAsia"/>
        </w:rPr>
        <w:t>（</w:t>
      </w:r>
      <w:r>
        <w:t>7</w:t>
      </w:r>
      <w:r>
        <w:rPr>
          <w:rFonts w:hint="eastAsia"/>
        </w:rPr>
        <w:t xml:space="preserve">）加强绿化 </w:t>
      </w:r>
    </w:p>
    <w:p>
      <w:pPr>
        <w:pStyle w:val="49"/>
        <w:ind w:firstLine="480"/>
      </w:pPr>
      <w:r>
        <w:rPr>
          <w:rFonts w:hint="eastAsia"/>
        </w:rPr>
        <w:t xml:space="preserve">在场界四周设置高 </w:t>
      </w:r>
      <w:r>
        <w:t xml:space="preserve">4~5m </w:t>
      </w:r>
      <w:r>
        <w:rPr>
          <w:rFonts w:hint="eastAsia"/>
        </w:rPr>
        <w:t xml:space="preserve">的绿色隔离带，并加高场区围墙，并种植芳香的木本植物。 </w:t>
      </w:r>
    </w:p>
    <w:p>
      <w:pPr>
        <w:pStyle w:val="49"/>
        <w:ind w:firstLine="480"/>
      </w:pPr>
      <w:r>
        <w:rPr>
          <w:rFonts w:hint="eastAsia"/>
        </w:rPr>
        <w:t xml:space="preserve">鉴于养殖行业的特殊性，在品种选择上，不仅要考虑美化效果，还必须考虑在除臭、防火、吸尘、杀菌等方面的作用。有害气体流经绿化带后，至少有 </w:t>
      </w:r>
      <w:r>
        <w:t>25%</w:t>
      </w:r>
      <w:r>
        <w:rPr>
          <w:rFonts w:hint="eastAsia"/>
        </w:rPr>
        <w:t xml:space="preserve">被阻流净化。绿化可使养殖场空气中的臭气减少 </w:t>
      </w:r>
      <w:r>
        <w:t>50%</w:t>
      </w:r>
      <w:r>
        <w:rPr>
          <w:rFonts w:hint="eastAsia"/>
        </w:rPr>
        <w:t xml:space="preserve">，细菌数减少 </w:t>
      </w:r>
      <w:r>
        <w:t>22.79%</w:t>
      </w:r>
      <w:r>
        <w:rPr>
          <w:rFonts w:hint="eastAsia"/>
        </w:rPr>
        <w:t>。</w:t>
      </w:r>
    </w:p>
    <w:p>
      <w:pPr>
        <w:pStyle w:val="49"/>
        <w:ind w:firstLine="480"/>
      </w:pPr>
      <w:r>
        <w:rPr>
          <w:rFonts w:hint="eastAsia"/>
        </w:rPr>
        <w:t>2、鸡粪风干车间恶臭</w:t>
      </w:r>
    </w:p>
    <w:p>
      <w:pPr>
        <w:pStyle w:val="49"/>
        <w:ind w:firstLine="480"/>
      </w:pPr>
      <w:r>
        <w:rPr>
          <w:rFonts w:hint="eastAsia"/>
        </w:rPr>
        <w:t>本项目在鸡粪风干车间风道出口设置高压水帘装置，并使用微生物除臭剂溶液作为循环水，用于处理鸡粪风干车间恶臭气体。同时定期对鸡粪风干车间喷洒除臭剂，并在鸡粪风干车间周边设置绿化带，可以减轻空气污染，净化场区空气。</w:t>
      </w:r>
    </w:p>
    <w:p>
      <w:pPr>
        <w:pStyle w:val="49"/>
        <w:ind w:firstLine="480"/>
      </w:pPr>
      <w:bookmarkStart w:id="246" w:name="_Hlk193957263"/>
      <w:r>
        <w:rPr>
          <w:rFonts w:hint="eastAsia"/>
        </w:rPr>
        <w:t>3、一体化污水处理设施厌氧设施恶臭</w:t>
      </w:r>
    </w:p>
    <w:p>
      <w:pPr>
        <w:pStyle w:val="49"/>
        <w:ind w:firstLine="480"/>
      </w:pPr>
      <w:r>
        <w:rPr>
          <w:rFonts w:hint="eastAsia"/>
        </w:rPr>
        <w:t>本项目采取厌氧段污水处理设施均密闭和加强绿化减少恶臭的排放量，并在一体化污水处理设施周边设置绿化带，可以减轻空气污染，净化场区空气。</w:t>
      </w:r>
    </w:p>
    <w:p>
      <w:pPr>
        <w:pStyle w:val="49"/>
        <w:ind w:firstLine="480"/>
      </w:pPr>
      <w:r>
        <w:rPr>
          <w:rFonts w:hint="eastAsia"/>
        </w:rPr>
        <w:t>综上所述恶臭污染物污染治理措施可行。</w:t>
      </w:r>
    </w:p>
    <w:bookmarkEnd w:id="246"/>
    <w:p>
      <w:pPr>
        <w:pStyle w:val="5"/>
      </w:pPr>
      <w:r>
        <w:rPr>
          <w:rFonts w:hint="eastAsia"/>
        </w:rPr>
        <w:t>6.2.1.2 鸡舍粉尘污染防治措施可行性分析</w:t>
      </w:r>
    </w:p>
    <w:p>
      <w:pPr>
        <w:pStyle w:val="49"/>
        <w:ind w:firstLine="480"/>
      </w:pPr>
      <w:r>
        <w:rPr>
          <w:rFonts w:hint="eastAsia" w:cs="Times New Roman"/>
          <w:bCs/>
          <w:kern w:val="2"/>
        </w:rPr>
        <w:t>本项目在鸡舍排风尾端设置防尘间</w:t>
      </w:r>
      <w:r>
        <w:rPr>
          <w:rFonts w:cs="Times New Roman"/>
          <w:bCs/>
          <w:kern w:val="2"/>
        </w:rPr>
        <w:t>封闭，并在排放口上部布置防尘网</w:t>
      </w:r>
      <w:r>
        <w:rPr>
          <w:rFonts w:hint="eastAsia" w:cs="Times New Roman"/>
          <w:bCs/>
          <w:kern w:val="2"/>
        </w:rPr>
        <w:t>，设置水雾喷淋系统，利用雾化水将粘附粉尘，形成比重更大的颗粒物而加速沉降，排放的粉尘量极少。</w:t>
      </w:r>
    </w:p>
    <w:p>
      <w:pPr>
        <w:pStyle w:val="5"/>
      </w:pPr>
      <w:r>
        <w:rPr>
          <w:rFonts w:hint="eastAsia"/>
        </w:rPr>
        <w:t>6.2.1.3 备用柴油发电机废气污染防治措施可行性分析</w:t>
      </w:r>
    </w:p>
    <w:p>
      <w:pPr>
        <w:pStyle w:val="49"/>
        <w:ind w:firstLine="480"/>
      </w:pPr>
      <w:r>
        <w:rPr>
          <w:rFonts w:hint="eastAsia"/>
        </w:rPr>
        <w:t xml:space="preserve">项目所配备的备用柴油发电机设置在专用发电机房内。备用柴油发电机工作时燃油产生的废气主要为 </w:t>
      </w:r>
      <w:r>
        <w:t>SO</w:t>
      </w:r>
      <w:r>
        <w:rPr>
          <w:vertAlign w:val="subscript"/>
        </w:rPr>
        <w:t>2</w:t>
      </w:r>
      <w:r>
        <w:rPr>
          <w:rFonts w:hint="eastAsia"/>
        </w:rPr>
        <w:t>、</w:t>
      </w:r>
      <w:r>
        <w:t>PM</w:t>
      </w:r>
      <w:r>
        <w:rPr>
          <w:vertAlign w:val="subscript"/>
        </w:rPr>
        <w:t>10</w:t>
      </w:r>
      <w:r>
        <w:rPr>
          <w:rFonts w:hint="eastAsia"/>
        </w:rPr>
        <w:t>、</w:t>
      </w:r>
      <w:r>
        <w:t>CO</w:t>
      </w:r>
      <w:r>
        <w:rPr>
          <w:rFonts w:hint="eastAsia"/>
        </w:rPr>
        <w:t>、</w:t>
      </w:r>
      <w:r>
        <w:t>NOx</w:t>
      </w:r>
      <w:r>
        <w:rPr>
          <w:rFonts w:hint="eastAsia"/>
        </w:rPr>
        <w:t xml:space="preserve">。备用柴油发电机在供电正常时不使用，只有在停电的应急情况下才会使用。项目所在区域目前供电较为正常，发电机全年工作时间较少，废气排放量较少，且备用发电机采用燃油为使用含硫量小于 </w:t>
      </w:r>
      <w:r>
        <w:t>0.001%</w:t>
      </w:r>
      <w:r>
        <w:rPr>
          <w:rFonts w:hint="eastAsia"/>
        </w:rPr>
        <w:t xml:space="preserve">的优质 </w:t>
      </w:r>
      <w:r>
        <w:t>0#</w:t>
      </w:r>
      <w:r>
        <w:rPr>
          <w:rFonts w:hint="eastAsia"/>
        </w:rPr>
        <w:t>柴油，柴油发电机尾气各污染物排放可达到《大气污染物综合排放标准》（</w:t>
      </w:r>
      <w:r>
        <w:t>GB16297-1996</w:t>
      </w:r>
      <w:r>
        <w:rPr>
          <w:rFonts w:hint="eastAsia"/>
        </w:rPr>
        <w:t>）的要求。项目场地周边较为空旷，有助于污染物扩散。因此，项目备用发电机产生的尾气对周围环境空气质量影响不大。</w:t>
      </w:r>
    </w:p>
    <w:p>
      <w:pPr>
        <w:pStyle w:val="5"/>
      </w:pPr>
      <w:r>
        <w:rPr>
          <w:rFonts w:hint="eastAsia"/>
        </w:rPr>
        <w:t>6.2.1.4 食堂油烟污染防治措施可行性分析</w:t>
      </w:r>
    </w:p>
    <w:p>
      <w:pPr>
        <w:pStyle w:val="49"/>
        <w:ind w:firstLine="480"/>
      </w:pPr>
      <w:r>
        <w:rPr>
          <w:rFonts w:hint="eastAsia"/>
        </w:rPr>
        <w:t xml:space="preserve">项目食堂配套油烟净化器，油烟净化器净化效率为 </w:t>
      </w:r>
      <w:r>
        <w:t>60%</w:t>
      </w:r>
      <w:r>
        <w:rPr>
          <w:rFonts w:hint="eastAsia"/>
        </w:rPr>
        <w:t>，油烟经处理后通过专用烟道引至屋顶排放，油烟排放浓度符合《饮食业油烟排放标准（试行）》（</w:t>
      </w:r>
      <w:r>
        <w:t>GB18483-2001</w:t>
      </w:r>
      <w:r>
        <w:rPr>
          <w:rFonts w:hint="eastAsia"/>
        </w:rPr>
        <w:t xml:space="preserve">）要求（油烟最高允许排放浓度为 </w:t>
      </w:r>
      <w:r>
        <w:t>2.0mg/m</w:t>
      </w:r>
      <w:r>
        <w:rPr>
          <w:vertAlign w:val="superscript"/>
        </w:rPr>
        <w:t>3</w:t>
      </w:r>
      <w:r>
        <w:rPr>
          <w:rFonts w:hint="eastAsia"/>
        </w:rPr>
        <w:t>），对周边大气环境的影响较小。</w:t>
      </w:r>
    </w:p>
    <w:p>
      <w:pPr>
        <w:pStyle w:val="4"/>
      </w:pPr>
      <w:bookmarkStart w:id="247" w:name="_Toc194481220"/>
      <w:r>
        <w:rPr>
          <w:rFonts w:hint="eastAsia"/>
        </w:rPr>
        <w:t>6</w:t>
      </w:r>
      <w:r>
        <w:t>.</w:t>
      </w:r>
      <w:r>
        <w:rPr>
          <w:rFonts w:hint="eastAsia"/>
        </w:rPr>
        <w:t>2</w:t>
      </w:r>
      <w:r>
        <w:t>.</w:t>
      </w:r>
      <w:r>
        <w:rPr>
          <w:rFonts w:hint="eastAsia"/>
        </w:rPr>
        <w:t>2</w:t>
      </w:r>
      <w:r>
        <w:t xml:space="preserve"> </w:t>
      </w:r>
      <w:r>
        <w:rPr>
          <w:rFonts w:hint="eastAsia"/>
        </w:rPr>
        <w:t>营运期地表水</w:t>
      </w:r>
      <w:r>
        <w:t>污染防治措施</w:t>
      </w:r>
      <w:bookmarkEnd w:id="247"/>
    </w:p>
    <w:p>
      <w:pPr>
        <w:pStyle w:val="5"/>
      </w:pPr>
      <w:bookmarkStart w:id="248" w:name="_Hlk193957302"/>
      <w:r>
        <w:rPr>
          <w:rFonts w:hint="eastAsia"/>
        </w:rPr>
        <w:t>6.2.2.</w:t>
      </w:r>
      <w:r>
        <w:t>1</w:t>
      </w:r>
      <w:r>
        <w:rPr>
          <w:rFonts w:hint="eastAsia"/>
        </w:rPr>
        <w:t xml:space="preserve"> 废水处理工艺可行性分析</w:t>
      </w:r>
    </w:p>
    <w:bookmarkEnd w:id="248"/>
    <w:p>
      <w:pPr>
        <w:pStyle w:val="82"/>
        <w:ind w:firstLine="480"/>
        <w:rPr>
          <w:lang w:bidi="en-US"/>
        </w:rPr>
      </w:pPr>
      <w:bookmarkStart w:id="249" w:name="_Hlk193957339"/>
      <w:r>
        <w:rPr>
          <w:rFonts w:hint="eastAsia"/>
          <w:lang w:bidi="en-US"/>
        </w:rPr>
        <w:t>1、可行技术分析</w:t>
      </w:r>
    </w:p>
    <w:bookmarkEnd w:id="249"/>
    <w:p>
      <w:pPr>
        <w:pStyle w:val="82"/>
        <w:ind w:firstLine="480"/>
        <w:rPr>
          <w:lang w:bidi="en-US"/>
        </w:rPr>
      </w:pPr>
      <w:r>
        <w:rPr>
          <w:lang w:bidi="en-US"/>
        </w:rPr>
        <w:t>根据《畜禽养殖业污染治理工程技术规范》（HJ497-2009）相关技术要求：选用粪污处理工艺时，应根据养殖场的养殖种类、养殖规模、粪污收集方式、当地的自然地理环境条件以及排水去向等因素确定工艺路线及处理目标，并充分考虑畜禽养殖废水的特殊性，在实现综合利用或达标排放的情况下，优先选择低运行成本的处理工艺；应慎重选用物化处理工艺。</w:t>
      </w:r>
    </w:p>
    <w:p>
      <w:pPr>
        <w:pStyle w:val="82"/>
        <w:ind w:firstLine="480"/>
        <w:rPr>
          <w:lang w:bidi="en-US"/>
        </w:rPr>
      </w:pPr>
      <w:r>
        <w:rPr>
          <w:lang w:bidi="en-US"/>
        </w:rPr>
        <w:t>根据《畜禽养殖业污染治理工程技术规范》（HJ497-2009）中</w:t>
      </w:r>
      <w:r>
        <w:rPr>
          <w:rFonts w:ascii="宋体" w:hAnsi="宋体"/>
          <w:lang w:bidi="en-US"/>
        </w:rPr>
        <w:t>“</w:t>
      </w:r>
      <w:r>
        <w:rPr>
          <w:lang w:bidi="en-US"/>
        </w:rPr>
        <w:t>6.2.1.2 养殖规模在存栏（以猪计）2000 头及以下的应尽可能采用6.2.2 模式I 或6.2.3 模式II 处理工艺；存栏（以猪计）10000 头及以上的，宜采用6.2.4 模式III 处理工艺</w:t>
      </w:r>
      <w:r>
        <w:rPr>
          <w:rFonts w:ascii="宋体" w:hAnsi="宋体"/>
          <w:lang w:bidi="en-US"/>
        </w:rPr>
        <w:t>”</w:t>
      </w:r>
      <w:r>
        <w:rPr>
          <w:lang w:bidi="en-US"/>
        </w:rPr>
        <w:t>。</w:t>
      </w:r>
    </w:p>
    <w:p>
      <w:pPr>
        <w:pStyle w:val="82"/>
        <w:ind w:firstLine="480"/>
      </w:pPr>
      <w:r>
        <w:t>本项目存栏蛋鸡</w:t>
      </w:r>
      <w:r>
        <w:rPr>
          <w:rFonts w:hint="eastAsia"/>
        </w:rPr>
        <w:t>120</w:t>
      </w:r>
      <w:r>
        <w:t>万羽，根据《畜禽养殖业污染物排放标准》（GB18596-2001），30 只蛋鸡折算成1 头猪，则本项目相当于存栏</w:t>
      </w:r>
      <w:r>
        <w:rPr>
          <w:rFonts w:hint="eastAsia"/>
        </w:rPr>
        <w:t>4</w:t>
      </w:r>
      <w:r>
        <w:t>万头生猪</w:t>
      </w:r>
      <w:r>
        <w:rPr>
          <w:rFonts w:hint="eastAsia"/>
        </w:rPr>
        <w:t>，因此本项目粪污处理宜采用</w:t>
      </w:r>
      <w:r>
        <w:t xml:space="preserve">《畜禽养殖业污染治理工程技术规范》（HJ497-2009）模式III 处理工艺。 </w:t>
      </w:r>
    </w:p>
    <w:p>
      <w:pPr>
        <w:pStyle w:val="82"/>
        <w:ind w:firstLine="480"/>
        <w:rPr>
          <w:lang w:bidi="en-US"/>
        </w:rPr>
      </w:pPr>
      <w:r>
        <w:t>模式III工艺基本流程见下图</w:t>
      </w:r>
      <w:r>
        <w:rPr>
          <w:rFonts w:hint="eastAsia"/>
        </w:rPr>
        <w:t>6.2-1。</w:t>
      </w:r>
    </w:p>
    <w:p>
      <w:pPr>
        <w:pStyle w:val="82"/>
        <w:ind w:firstLine="0" w:firstLineChars="0"/>
        <w:rPr>
          <w:snapToGrid w:val="0"/>
        </w:rPr>
      </w:pPr>
      <w:r>
        <w:drawing>
          <wp:inline distT="0" distB="0" distL="0" distR="0">
            <wp:extent cx="5274310" cy="1875790"/>
            <wp:effectExtent l="0" t="0" r="2540" b="0"/>
            <wp:docPr id="37898284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8982849" name="图片 5"/>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5274310" cy="1875790"/>
                    </a:xfrm>
                    <a:prstGeom prst="rect">
                      <a:avLst/>
                    </a:prstGeom>
                    <a:noFill/>
                    <a:ln>
                      <a:noFill/>
                    </a:ln>
                  </pic:spPr>
                </pic:pic>
              </a:graphicData>
            </a:graphic>
          </wp:inline>
        </w:drawing>
      </w:r>
    </w:p>
    <w:p>
      <w:pPr>
        <w:pStyle w:val="82"/>
        <w:ind w:firstLine="0" w:firstLineChars="0"/>
        <w:jc w:val="center"/>
        <w:rPr>
          <w:b/>
          <w:bCs/>
        </w:rPr>
      </w:pPr>
      <w:r>
        <w:rPr>
          <w:b/>
          <w:bCs/>
        </w:rPr>
        <w:t>图</w:t>
      </w:r>
      <w:r>
        <w:rPr>
          <w:rFonts w:hint="eastAsia"/>
          <w:b/>
          <w:bCs/>
        </w:rPr>
        <w:t>6.2</w:t>
      </w:r>
      <w:r>
        <w:rPr>
          <w:b/>
          <w:bCs/>
        </w:rPr>
        <w:t xml:space="preserve">-1 </w:t>
      </w:r>
      <w:r>
        <w:rPr>
          <w:rFonts w:hint="eastAsia"/>
          <w:b/>
          <w:bCs/>
        </w:rPr>
        <w:t xml:space="preserve"> </w:t>
      </w:r>
      <w:r>
        <w:rPr>
          <w:b/>
          <w:bCs/>
        </w:rPr>
        <w:t>模式III 工艺基本流程图</w:t>
      </w:r>
    </w:p>
    <w:p>
      <w:pPr>
        <w:pStyle w:val="82"/>
        <w:ind w:firstLine="480"/>
      </w:pPr>
      <w:r>
        <w:t>参考同类型养殖项目，</w:t>
      </w:r>
      <w:r>
        <w:rPr>
          <w:rFonts w:hint="eastAsia"/>
        </w:rPr>
        <w:t>本项目鸡粪采用干清粪工艺，日产日清，由鸡舍内清粪带及中央集粪带将鸡粪输送至运输车辆内，再由运输汽车转运至鸡粪风干车间，风干后转运至有湖南恩润生物科技有限公司制造有机肥。本项目废水采用一体化污水处理设施，</w:t>
      </w:r>
      <w:r>
        <w:rPr>
          <w:rFonts w:hint="eastAsia"/>
          <w:szCs w:val="21"/>
        </w:rPr>
        <w:t>处理工艺为</w:t>
      </w:r>
      <w:r>
        <w:rPr>
          <w:rFonts w:ascii="宋体" w:hAnsi="宋体"/>
          <w:szCs w:val="21"/>
        </w:rPr>
        <w:t>“</w:t>
      </w:r>
      <w:r>
        <w:rPr>
          <w:rFonts w:hint="eastAsia"/>
          <w:szCs w:val="21"/>
        </w:rPr>
        <w:t>格栅池+调节池+水解酸化池+A/O池+沉淀池+消毒池</w:t>
      </w:r>
      <w:r>
        <w:rPr>
          <w:rFonts w:ascii="宋体" w:hAnsi="宋体"/>
          <w:szCs w:val="21"/>
        </w:rPr>
        <w:t>”</w:t>
      </w:r>
      <w:r>
        <w:rPr>
          <w:rFonts w:hint="eastAsia" w:ascii="宋体" w:hAnsi="宋体"/>
          <w:szCs w:val="21"/>
        </w:rPr>
        <w:t>，与模式</w:t>
      </w:r>
      <w:r>
        <w:t>III</w:t>
      </w:r>
      <w:r>
        <w:rPr>
          <w:rFonts w:hint="eastAsia"/>
        </w:rPr>
        <w:t>处理工艺进行对比，符合</w:t>
      </w:r>
      <w:r>
        <w:t>《畜禽养殖业污染治理工程技术规范》（HJ497-2009）</w:t>
      </w:r>
      <w:r>
        <w:rPr>
          <w:rFonts w:hint="eastAsia"/>
        </w:rPr>
        <w:t>粪污处理要求。</w:t>
      </w:r>
    </w:p>
    <w:p>
      <w:pPr>
        <w:pStyle w:val="82"/>
        <w:ind w:firstLine="480"/>
        <w:rPr>
          <w:szCs w:val="21"/>
        </w:rPr>
      </w:pPr>
      <w:r>
        <w:rPr>
          <w:rFonts w:hint="eastAsia"/>
          <w:snapToGrid w:val="0"/>
        </w:rPr>
        <w:t>本项目废水经一体化污水处理设施处理达标后，用于周边林地灌溉，废水全部综合利用，属于间接排放。</w:t>
      </w:r>
      <w:r>
        <w:rPr>
          <w:rStyle w:val="83"/>
          <w:rFonts w:hint="eastAsia"/>
        </w:rPr>
        <w:t>项目相当于存栏4万头猪，属于</w:t>
      </w:r>
      <w:r>
        <w:rPr>
          <w:rStyle w:val="83"/>
        </w:rPr>
        <w:t>大型养殖规模（存栏大于等于1000 头生猪），根据《排污许可证申请与核发技术规范畜禽养殖行业》（HJ1029-2019）中表6 畜禽养殖行业排污单位废水污染防治可行技术参考表，</w:t>
      </w:r>
      <w:r>
        <w:rPr>
          <w:rStyle w:val="83"/>
          <w:rFonts w:hint="eastAsia"/>
        </w:rPr>
        <w:t>项目一体化污水处理设施采用</w:t>
      </w:r>
      <w:r>
        <w:rPr>
          <w:rFonts w:ascii="宋体" w:hAnsi="宋体"/>
          <w:szCs w:val="21"/>
        </w:rPr>
        <w:t>“</w:t>
      </w:r>
      <w:r>
        <w:rPr>
          <w:rStyle w:val="83"/>
          <w:rFonts w:hint="eastAsia"/>
        </w:rPr>
        <w:t>格栅池+调节池+水解酸化池+A/O池+沉淀池+消毒池</w:t>
      </w:r>
      <w:r>
        <w:rPr>
          <w:rFonts w:ascii="宋体" w:hAnsi="宋体"/>
          <w:szCs w:val="21"/>
        </w:rPr>
        <w:t>”</w:t>
      </w:r>
      <w:r>
        <w:rPr>
          <w:rFonts w:hint="eastAsia" w:ascii="宋体" w:hAnsi="宋体"/>
          <w:szCs w:val="21"/>
        </w:rPr>
        <w:t>处理</w:t>
      </w:r>
      <w:r>
        <w:rPr>
          <w:rFonts w:hint="eastAsia"/>
          <w:szCs w:val="21"/>
        </w:rPr>
        <w:t>工艺，是可行技术。</w:t>
      </w:r>
    </w:p>
    <w:p>
      <w:pPr>
        <w:spacing w:line="360" w:lineRule="auto"/>
        <w:ind w:firstLine="480" w:firstLineChars="200"/>
        <w:jc w:val="both"/>
        <w:rPr>
          <w:rFonts w:ascii="Times New Roman" w:hAnsi="Times New Roman" w:cs="Times New Roman"/>
          <w:szCs w:val="20"/>
          <w14:ligatures w14:val="none"/>
        </w:rPr>
      </w:pPr>
      <w:r>
        <w:rPr>
          <w:rStyle w:val="83"/>
        </w:rPr>
        <w:t>项目污水处置符合《畜禽养殖业污染防治技术规范》（HJ/T81-2001）中</w:t>
      </w:r>
      <w:r>
        <w:rPr>
          <w:rStyle w:val="83"/>
          <w:rFonts w:ascii="宋体" w:hAnsi="宋体"/>
        </w:rPr>
        <w:t>“</w:t>
      </w:r>
      <w:r>
        <w:rPr>
          <w:rStyle w:val="83"/>
        </w:rPr>
        <w:t>畜禽养殖过程中产生的污水应坚持种养结合的原则，经无害化处理后尽量充分还田，实现无水资源化利用</w:t>
      </w:r>
      <w:r>
        <w:rPr>
          <w:rStyle w:val="83"/>
          <w:rFonts w:ascii="宋体" w:hAnsi="宋体"/>
        </w:rPr>
        <w:t>”</w:t>
      </w:r>
      <w:r>
        <w:rPr>
          <w:rStyle w:val="83"/>
        </w:rPr>
        <w:t>的要求。</w:t>
      </w:r>
    </w:p>
    <w:p>
      <w:pPr>
        <w:pStyle w:val="82"/>
        <w:ind w:firstLine="480"/>
      </w:pPr>
      <w:bookmarkStart w:id="250" w:name="_Hlk193957367"/>
      <w:r>
        <w:rPr>
          <w:rFonts w:hint="eastAsia"/>
        </w:rPr>
        <w:t>2、废水达标性分析</w:t>
      </w:r>
    </w:p>
    <w:p>
      <w:pPr>
        <w:pStyle w:val="82"/>
        <w:ind w:firstLine="480"/>
      </w:pPr>
      <w:r>
        <w:t>项目污水处理工艺流程见下图</w:t>
      </w:r>
      <w:r>
        <w:rPr>
          <w:rFonts w:hint="eastAsia"/>
        </w:rPr>
        <w:t>6.2</w:t>
      </w:r>
      <w:r>
        <w:t>-2。</w:t>
      </w:r>
    </w:p>
    <w:bookmarkEnd w:id="250"/>
    <w:p>
      <w:pPr>
        <w:pStyle w:val="82"/>
        <w:ind w:firstLine="2400" w:firstLineChars="1000"/>
        <w:rPr>
          <w:snapToGrid w:val="0"/>
        </w:rPr>
      </w:pPr>
      <w:bookmarkStart w:id="251" w:name="_Hlk193957387"/>
      <w:r>
        <w:rPr>
          <w:snapToGrid w:val="0"/>
        </w:rPr>
        <w:object>
          <v:shape id="_x0000_i1030" o:spt="75" type="#_x0000_t75" style="height:294pt;width:214.5pt;" o:ole="t" filled="f" o:preferrelative="t" stroked="f" coordsize="21600,21600">
            <v:path/>
            <v:fill on="f" focussize="0,0"/>
            <v:stroke on="f" joinstyle="miter"/>
            <v:imagedata r:id="rId42" o:title=""/>
            <o:lock v:ext="edit" aspectratio="t"/>
            <w10:wrap type="none"/>
            <w10:anchorlock/>
          </v:shape>
          <o:OLEObject Type="Embed" ProgID="Visio.Drawing.15" ShapeID="_x0000_i1030" DrawAspect="Content" ObjectID="_1468075730" r:id="rId41">
            <o:LockedField>false</o:LockedField>
          </o:OLEObject>
        </w:object>
      </w:r>
      <w:bookmarkEnd w:id="251"/>
    </w:p>
    <w:p>
      <w:pPr>
        <w:pStyle w:val="82"/>
        <w:ind w:firstLine="0" w:firstLineChars="0"/>
        <w:jc w:val="center"/>
        <w:rPr>
          <w:b/>
          <w:bCs/>
        </w:rPr>
      </w:pPr>
      <w:r>
        <w:rPr>
          <w:b/>
          <w:bCs/>
        </w:rPr>
        <w:t>图</w:t>
      </w:r>
      <w:r>
        <w:rPr>
          <w:rFonts w:hint="eastAsia"/>
          <w:b/>
          <w:bCs/>
        </w:rPr>
        <w:t>6.2</w:t>
      </w:r>
      <w:r>
        <w:rPr>
          <w:b/>
          <w:bCs/>
        </w:rPr>
        <w:t>-</w:t>
      </w:r>
      <w:r>
        <w:rPr>
          <w:rFonts w:hint="eastAsia"/>
          <w:b/>
          <w:bCs/>
        </w:rPr>
        <w:t>2</w:t>
      </w:r>
      <w:r>
        <w:rPr>
          <w:b/>
          <w:bCs/>
        </w:rPr>
        <w:t xml:space="preserve"> </w:t>
      </w:r>
      <w:r>
        <w:rPr>
          <w:rFonts w:hint="eastAsia"/>
          <w:b/>
          <w:bCs/>
        </w:rPr>
        <w:t xml:space="preserve"> 废水处理工艺流程图</w:t>
      </w:r>
    </w:p>
    <w:p>
      <w:pPr>
        <w:pStyle w:val="49"/>
        <w:ind w:firstLine="480"/>
      </w:pPr>
      <w:bookmarkStart w:id="252" w:name="_Hlk193957457"/>
      <w:r>
        <w:rPr>
          <w:rFonts w:hint="eastAsia"/>
        </w:rPr>
        <w:t>工艺流程说明：</w:t>
      </w:r>
    </w:p>
    <w:p>
      <w:pPr>
        <w:pStyle w:val="49"/>
        <w:ind w:firstLine="480"/>
      </w:pPr>
      <w:r>
        <w:rPr>
          <w:rFonts w:hint="eastAsia"/>
        </w:rPr>
        <w:t>格栅：拦截水中的漂浮物和杂质，以免堵塞管道，影响后续处理单元的正常运行。</w:t>
      </w:r>
    </w:p>
    <w:p>
      <w:pPr>
        <w:pStyle w:val="82"/>
        <w:ind w:firstLine="480"/>
      </w:pPr>
      <w:r>
        <w:rPr>
          <w:rFonts w:hint="eastAsia"/>
        </w:rPr>
        <w:t>调节池：因为综合废水的水量、水质不均匀，设置废水调节池以调节水量，均匀水质。</w:t>
      </w:r>
    </w:p>
    <w:p>
      <w:pPr>
        <w:pStyle w:val="82"/>
        <w:ind w:firstLine="480"/>
      </w:pPr>
      <w:r>
        <w:rPr>
          <w:rFonts w:hint="eastAsia"/>
        </w:rPr>
        <w:t>水解酸化池：水解酸化是在</w:t>
      </w:r>
      <w:r>
        <w:fldChar w:fldCharType="begin"/>
      </w:r>
      <w:r>
        <w:instrText xml:space="preserve"> HYPERLINK "https://link.zhihu.com/?target=https%3A//huanbao.bjx.com.cn/topics/yanyangshengwufanying/" \t "_blank" </w:instrText>
      </w:r>
      <w:r>
        <w:fldChar w:fldCharType="separate"/>
      </w:r>
      <w:r>
        <w:rPr>
          <w:rFonts w:hint="eastAsia"/>
        </w:rPr>
        <w:t>厌氧生物反应</w:t>
      </w:r>
      <w:r>
        <w:rPr>
          <w:rFonts w:hint="eastAsia"/>
        </w:rPr>
        <w:fldChar w:fldCharType="end"/>
      </w:r>
      <w:r>
        <w:rPr>
          <w:rFonts w:hint="eastAsia"/>
        </w:rPr>
        <w:t>的四个阶段（水解，酸化，产乙酸，甲烷化），将反应控制在水解和酸化两个阶段的反应过程，可以将悬浮性有机物和大分子物质（碳水化合物、脂肪和脂类等）通过微生物胞外酶水解成小分子，小分子有机物在酸化菌作用下转化成挥发性脂肪酸的过程。在这一过程中同时可以将悬浮性固体水解为溶解性有机物、将难生物降解的大分子物质转化为易生物降解的小分子物质。</w:t>
      </w:r>
    </w:p>
    <w:p>
      <w:pPr>
        <w:pStyle w:val="82"/>
        <w:ind w:firstLine="480"/>
      </w:pPr>
      <w:r>
        <w:rPr>
          <w:rFonts w:hint="eastAsia"/>
        </w:rPr>
        <w:t>A/O池：缺氧池和接触氧化池串联在一起，形成A/O工艺，池中设有填料，供微生物栖息，增加生物相浓度。在缺氧池异养菌将废水中的淀粉、纤维、碳水化合物等悬浮污染物和可溶性有机物水解为有机酸，使大分子有机物分解为小分子有机物，不溶性的有机物转化为可溶性的有机物，当这些经缺氧水解的产物进入好氧池进行好氧处理时，提高污水的可生化性，提高氧的效率；在缺氧段异养菌将蛋白质、脂肪等污染物进行氨化（有机链上的 N 或氨基酸中的氨基）游离出的氨（NH</w:t>
      </w:r>
      <w:r>
        <w:rPr>
          <w:rFonts w:hint="eastAsia"/>
          <w:vertAlign w:val="subscript"/>
        </w:rPr>
        <w:t>3</w:t>
      </w:r>
      <w:r>
        <w:rPr>
          <w:rFonts w:hint="eastAsia"/>
        </w:rPr>
        <w:t>、NH</w:t>
      </w:r>
      <w:r>
        <w:rPr>
          <w:rFonts w:hint="eastAsia"/>
          <w:vertAlign w:val="superscript"/>
        </w:rPr>
        <w:t>4+</w:t>
      </w:r>
      <w:r>
        <w:rPr>
          <w:rFonts w:hint="eastAsia"/>
        </w:rPr>
        <w:t>），在充足供氧条件下，自氧菌的硝化作用将 NH</w:t>
      </w:r>
      <w:r>
        <w:rPr>
          <w:rFonts w:hint="eastAsia"/>
          <w:vertAlign w:val="subscript"/>
        </w:rPr>
        <w:t>3</w:t>
      </w:r>
      <w:r>
        <w:rPr>
          <w:rFonts w:hint="eastAsia"/>
        </w:rPr>
        <w:t>、NH</w:t>
      </w:r>
      <w:r>
        <w:rPr>
          <w:rFonts w:hint="eastAsia"/>
          <w:vertAlign w:val="superscript"/>
        </w:rPr>
        <w:t>4+</w:t>
      </w:r>
      <w:r>
        <w:rPr>
          <w:rFonts w:hint="eastAsia"/>
        </w:rPr>
        <w:t>氧化为 NH</w:t>
      </w:r>
      <w:r>
        <w:rPr>
          <w:rFonts w:hint="eastAsia"/>
          <w:vertAlign w:val="superscript"/>
        </w:rPr>
        <w:t>3-</w:t>
      </w:r>
      <w:r>
        <w:rPr>
          <w:rFonts w:hint="eastAsia"/>
        </w:rPr>
        <w:t>，通过回流控制返回至 A 池，在缺氧的条件下，异养菌的反硝化作用将NO</w:t>
      </w:r>
      <w:r>
        <w:rPr>
          <w:rFonts w:hint="eastAsia"/>
          <w:vertAlign w:val="superscript"/>
        </w:rPr>
        <w:t>3－</w:t>
      </w:r>
      <w:r>
        <w:rPr>
          <w:rFonts w:hint="eastAsia"/>
        </w:rPr>
        <w:t>还原为分子态氮（N</w:t>
      </w:r>
      <w:r>
        <w:rPr>
          <w:rFonts w:hint="eastAsia"/>
          <w:vertAlign w:val="subscript"/>
        </w:rPr>
        <w:t>2</w:t>
      </w:r>
      <w:r>
        <w:rPr>
          <w:rFonts w:hint="eastAsia"/>
        </w:rPr>
        <w:t>）完成 C、N、O 在生态中的循环，实现无害化处理。</w:t>
      </w:r>
    </w:p>
    <w:p>
      <w:pPr>
        <w:pStyle w:val="82"/>
        <w:ind w:firstLine="480"/>
      </w:pPr>
      <w:r>
        <w:rPr>
          <w:rFonts w:hint="eastAsia"/>
        </w:rPr>
        <w:t xml:space="preserve">沉淀池：沉淀污泥，降低固体悬浮物 </w:t>
      </w:r>
      <w:r>
        <w:t>SS</w:t>
      </w:r>
      <w:r>
        <w:rPr>
          <w:rFonts w:hint="eastAsia"/>
        </w:rPr>
        <w:t>。</w:t>
      </w:r>
    </w:p>
    <w:p>
      <w:pPr>
        <w:pStyle w:val="82"/>
        <w:ind w:firstLine="480"/>
      </w:pPr>
      <w:r>
        <w:rPr>
          <w:rFonts w:hint="eastAsia"/>
        </w:rPr>
        <w:t>消毒池：进一步对污水进行消毒处理。</w:t>
      </w:r>
    </w:p>
    <w:p>
      <w:pPr>
        <w:pStyle w:val="49"/>
        <w:ind w:firstLine="480"/>
      </w:pPr>
      <w:r>
        <w:rPr>
          <w:rFonts w:hint="eastAsia"/>
        </w:rPr>
        <w:t>本项目废水处理效率见表6.2-1。</w:t>
      </w:r>
    </w:p>
    <w:bookmarkEnd w:id="252"/>
    <w:p>
      <w:pPr>
        <w:pStyle w:val="53"/>
      </w:pPr>
      <w:bookmarkStart w:id="253" w:name="_Hlk193957489"/>
      <w:r>
        <w:rPr>
          <w:rFonts w:hint="eastAsia"/>
        </w:rPr>
        <w:t>表6.2-1  本项目污水处理站处理效率</w:t>
      </w:r>
    </w:p>
    <w:bookmarkEnd w:id="253"/>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958"/>
        <w:gridCol w:w="958"/>
        <w:gridCol w:w="958"/>
        <w:gridCol w:w="958"/>
        <w:gridCol w:w="958"/>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71" w:type="dxa"/>
            <w:vAlign w:val="center"/>
          </w:tcPr>
          <w:p>
            <w:pPr>
              <w:pStyle w:val="51"/>
            </w:pPr>
            <w:bookmarkStart w:id="254" w:name="_Hlk193957493"/>
            <w:r>
              <w:rPr>
                <w:rFonts w:hint="eastAsia"/>
              </w:rPr>
              <w:t>处理系统</w:t>
            </w:r>
          </w:p>
        </w:tc>
        <w:tc>
          <w:tcPr>
            <w:tcW w:w="1276" w:type="dxa"/>
            <w:vAlign w:val="center"/>
          </w:tcPr>
          <w:p>
            <w:pPr>
              <w:pStyle w:val="51"/>
            </w:pPr>
            <w:r>
              <w:rPr>
                <w:rFonts w:hint="eastAsia"/>
              </w:rPr>
              <w:t>类别</w:t>
            </w:r>
          </w:p>
        </w:tc>
        <w:tc>
          <w:tcPr>
            <w:tcW w:w="958" w:type="dxa"/>
            <w:vAlign w:val="center"/>
          </w:tcPr>
          <w:p>
            <w:pPr>
              <w:pStyle w:val="51"/>
            </w:pPr>
            <w:r>
              <w:rPr>
                <w:rFonts w:hint="eastAsia"/>
              </w:rPr>
              <w:t>COD</w:t>
            </w:r>
          </w:p>
        </w:tc>
        <w:tc>
          <w:tcPr>
            <w:tcW w:w="958" w:type="dxa"/>
            <w:vAlign w:val="center"/>
          </w:tcPr>
          <w:p>
            <w:pPr>
              <w:pStyle w:val="51"/>
            </w:pPr>
            <w:r>
              <w:rPr>
                <w:rFonts w:hint="eastAsia"/>
              </w:rPr>
              <w:t>BOD</w:t>
            </w:r>
            <w:r>
              <w:rPr>
                <w:rFonts w:hint="eastAsia"/>
                <w:vertAlign w:val="subscript"/>
              </w:rPr>
              <w:t>5</w:t>
            </w:r>
          </w:p>
        </w:tc>
        <w:tc>
          <w:tcPr>
            <w:tcW w:w="958" w:type="dxa"/>
            <w:vAlign w:val="center"/>
          </w:tcPr>
          <w:p>
            <w:pPr>
              <w:pStyle w:val="51"/>
            </w:pPr>
            <w:r>
              <w:rPr>
                <w:rFonts w:hint="eastAsia"/>
              </w:rPr>
              <w:t>氨氮</w:t>
            </w:r>
          </w:p>
        </w:tc>
        <w:tc>
          <w:tcPr>
            <w:tcW w:w="958" w:type="dxa"/>
            <w:vAlign w:val="center"/>
          </w:tcPr>
          <w:p>
            <w:pPr>
              <w:pStyle w:val="51"/>
            </w:pPr>
            <w:r>
              <w:rPr>
                <w:rFonts w:hint="eastAsia"/>
              </w:rPr>
              <w:t>SS</w:t>
            </w:r>
          </w:p>
        </w:tc>
        <w:tc>
          <w:tcPr>
            <w:tcW w:w="958" w:type="dxa"/>
            <w:vAlign w:val="center"/>
          </w:tcPr>
          <w:p>
            <w:pPr>
              <w:pStyle w:val="51"/>
            </w:pPr>
            <w:r>
              <w:rPr>
                <w:rFonts w:hint="eastAsia"/>
              </w:rPr>
              <w:t>总氮</w:t>
            </w:r>
          </w:p>
        </w:tc>
        <w:tc>
          <w:tcPr>
            <w:tcW w:w="959" w:type="dxa"/>
            <w:vAlign w:val="center"/>
          </w:tcPr>
          <w:p>
            <w:pPr>
              <w:pStyle w:val="51"/>
            </w:pPr>
            <w:r>
              <w:rPr>
                <w:rFonts w:hint="eastAsia"/>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51"/>
            </w:pPr>
            <w:r>
              <w:rPr>
                <w:rFonts w:hint="eastAsia"/>
              </w:rPr>
              <w:t>格栅+调节池</w:t>
            </w:r>
          </w:p>
        </w:tc>
        <w:tc>
          <w:tcPr>
            <w:tcW w:w="1276" w:type="dxa"/>
            <w:vAlign w:val="center"/>
          </w:tcPr>
          <w:p>
            <w:pPr>
              <w:pStyle w:val="51"/>
            </w:pPr>
            <w:r>
              <w:rPr>
                <w:rFonts w:hint="eastAsia"/>
              </w:rPr>
              <w:t>原水(mg/L)</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330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187</w:t>
            </w:r>
          </w:p>
        </w:tc>
        <w:tc>
          <w:tcPr>
            <w:tcW w:w="958" w:type="dxa"/>
            <w:vAlign w:val="center"/>
          </w:tcPr>
          <w:p>
            <w:pPr>
              <w:pStyle w:val="51"/>
              <w:rPr>
                <w:rFonts w:eastAsia="等线" w:cs="Times New Roman"/>
                <w:color w:val="000000"/>
                <w:szCs w:val="21"/>
              </w:rPr>
            </w:pPr>
            <w:r>
              <w:rPr>
                <w:rFonts w:eastAsia="等线" w:cs="Times New Roman"/>
                <w:color w:val="000000"/>
                <w:szCs w:val="21"/>
              </w:rPr>
              <w:t>23</w:t>
            </w:r>
          </w:p>
        </w:tc>
        <w:tc>
          <w:tcPr>
            <w:tcW w:w="958" w:type="dxa"/>
            <w:vAlign w:val="center"/>
          </w:tcPr>
          <w:p>
            <w:pPr>
              <w:pStyle w:val="51"/>
              <w:rPr>
                <w:rFonts w:eastAsia="等线" w:cs="Times New Roman"/>
                <w:color w:val="000000"/>
                <w:szCs w:val="21"/>
              </w:rPr>
            </w:pPr>
            <w:r>
              <w:rPr>
                <w:rFonts w:eastAsia="等线" w:cs="Times New Roman"/>
                <w:color w:val="000000"/>
                <w:szCs w:val="21"/>
              </w:rPr>
              <w:t>187</w:t>
            </w:r>
          </w:p>
        </w:tc>
        <w:tc>
          <w:tcPr>
            <w:tcW w:w="958" w:type="dxa"/>
            <w:vAlign w:val="center"/>
          </w:tcPr>
          <w:p>
            <w:pPr>
              <w:pStyle w:val="51"/>
              <w:rPr>
                <w:rFonts w:eastAsia="等线" w:cs="Times New Roman"/>
                <w:color w:val="000000"/>
                <w:szCs w:val="21"/>
              </w:rPr>
            </w:pPr>
            <w:r>
              <w:rPr>
                <w:rFonts w:eastAsia="等线" w:cs="Times New Roman"/>
                <w:color w:val="000000"/>
                <w:szCs w:val="21"/>
              </w:rPr>
              <w:t>5.2</w:t>
            </w:r>
          </w:p>
        </w:tc>
        <w:tc>
          <w:tcPr>
            <w:tcW w:w="959" w:type="dxa"/>
            <w:vAlign w:val="center"/>
          </w:tcPr>
          <w:p>
            <w:pPr>
              <w:pStyle w:val="51"/>
              <w:rPr>
                <w:rFonts w:eastAsia="等线" w:cs="Times New Roman"/>
                <w:color w:val="000000"/>
                <w:szCs w:val="21"/>
              </w:rPr>
            </w:pPr>
            <w:r>
              <w:rPr>
                <w:rFonts w:eastAsia="等线" w:cs="Times New Roman"/>
                <w:color w:val="00000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51"/>
            </w:pPr>
          </w:p>
        </w:tc>
        <w:tc>
          <w:tcPr>
            <w:tcW w:w="1276" w:type="dxa"/>
            <w:vAlign w:val="center"/>
          </w:tcPr>
          <w:p>
            <w:pPr>
              <w:pStyle w:val="51"/>
            </w:pPr>
            <w:r>
              <w:rPr>
                <w:rFonts w:hint="eastAsia"/>
              </w:rPr>
              <w:t>去除率</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15%</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15%</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5%</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70%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5%</w:t>
            </w:r>
          </w:p>
        </w:tc>
        <w:tc>
          <w:tcPr>
            <w:tcW w:w="959" w:type="dxa"/>
            <w:vAlign w:val="center"/>
          </w:tcPr>
          <w:p>
            <w:pPr>
              <w:pStyle w:val="51"/>
              <w:rPr>
                <w:rFonts w:eastAsia="等线" w:cs="Times New Roman"/>
                <w:color w:val="000000"/>
                <w:szCs w:val="21"/>
              </w:rPr>
            </w:pPr>
            <w:r>
              <w:rPr>
                <w:rFonts w:hint="eastAsia" w:eastAsia="等线"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51"/>
            </w:pPr>
          </w:p>
        </w:tc>
        <w:tc>
          <w:tcPr>
            <w:tcW w:w="1276" w:type="dxa"/>
            <w:vAlign w:val="center"/>
          </w:tcPr>
          <w:p>
            <w:pPr>
              <w:pStyle w:val="51"/>
            </w:pPr>
            <w:r>
              <w:rPr>
                <w:rFonts w:hint="eastAsia"/>
              </w:rPr>
              <w:t>出水(mg/L)</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281</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159</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22</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56</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5</w:t>
            </w:r>
          </w:p>
        </w:tc>
        <w:tc>
          <w:tcPr>
            <w:tcW w:w="959" w:type="dxa"/>
            <w:vAlign w:val="bottom"/>
          </w:tcPr>
          <w:p>
            <w:pPr>
              <w:pStyle w:val="51"/>
              <w:rPr>
                <w:rFonts w:eastAsia="等线" w:cs="Times New Roman"/>
                <w:color w:val="000000"/>
                <w:szCs w:val="21"/>
              </w:rPr>
            </w:pPr>
            <w:r>
              <w:rPr>
                <w:rFonts w:hint="eastAsia" w:eastAsia="等线"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51"/>
            </w:pPr>
            <w:r>
              <w:rPr>
                <w:rFonts w:hint="eastAsia"/>
              </w:rPr>
              <w:t>水解酸化池</w:t>
            </w:r>
          </w:p>
        </w:tc>
        <w:tc>
          <w:tcPr>
            <w:tcW w:w="1276" w:type="dxa"/>
            <w:vAlign w:val="center"/>
          </w:tcPr>
          <w:p>
            <w:pPr>
              <w:pStyle w:val="51"/>
            </w:pPr>
            <w:r>
              <w:rPr>
                <w:rFonts w:hint="eastAsia"/>
              </w:rPr>
              <w:t>进水(mg/L)</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281</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159</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22</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56</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5</w:t>
            </w:r>
          </w:p>
        </w:tc>
        <w:tc>
          <w:tcPr>
            <w:tcW w:w="959" w:type="dxa"/>
            <w:vAlign w:val="bottom"/>
          </w:tcPr>
          <w:p>
            <w:pPr>
              <w:pStyle w:val="51"/>
              <w:rPr>
                <w:rFonts w:eastAsia="等线" w:cs="Times New Roman"/>
                <w:color w:val="000000"/>
                <w:szCs w:val="21"/>
              </w:rPr>
            </w:pPr>
            <w:r>
              <w:rPr>
                <w:rFonts w:hint="eastAsia" w:eastAsia="等线"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51"/>
            </w:pPr>
          </w:p>
        </w:tc>
        <w:tc>
          <w:tcPr>
            <w:tcW w:w="1276" w:type="dxa"/>
            <w:vAlign w:val="center"/>
          </w:tcPr>
          <w:p>
            <w:pPr>
              <w:pStyle w:val="51"/>
            </w:pPr>
            <w:r>
              <w:rPr>
                <w:rFonts w:hint="eastAsia"/>
              </w:rPr>
              <w:t>去除率</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40%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40%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25%</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50%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30%</w:t>
            </w:r>
          </w:p>
        </w:tc>
        <w:tc>
          <w:tcPr>
            <w:tcW w:w="959" w:type="dxa"/>
            <w:vAlign w:val="center"/>
          </w:tcPr>
          <w:p>
            <w:pPr>
              <w:pStyle w:val="51"/>
              <w:rPr>
                <w:rFonts w:eastAsia="等线" w:cs="Times New Roman"/>
                <w:color w:val="000000"/>
                <w:szCs w:val="21"/>
              </w:rPr>
            </w:pPr>
            <w:r>
              <w:rPr>
                <w:rFonts w:hint="eastAsia" w:eastAsia="等线" w:cs="Times New Roman"/>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51"/>
            </w:pPr>
          </w:p>
        </w:tc>
        <w:tc>
          <w:tcPr>
            <w:tcW w:w="1276" w:type="dxa"/>
            <w:vAlign w:val="center"/>
          </w:tcPr>
          <w:p>
            <w:pPr>
              <w:pStyle w:val="51"/>
            </w:pPr>
            <w:r>
              <w:rPr>
                <w:rFonts w:hint="eastAsia"/>
              </w:rPr>
              <w:t>出水(mg/L)</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169</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95</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17</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28</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4</w:t>
            </w:r>
          </w:p>
        </w:tc>
        <w:tc>
          <w:tcPr>
            <w:tcW w:w="959" w:type="dxa"/>
            <w:vAlign w:val="bottom"/>
          </w:tcPr>
          <w:p>
            <w:pPr>
              <w:pStyle w:val="51"/>
              <w:rPr>
                <w:rFonts w:eastAsia="等线" w:cs="Times New Roman"/>
                <w:color w:val="000000"/>
                <w:szCs w:val="21"/>
              </w:rPr>
            </w:pPr>
            <w:r>
              <w:rPr>
                <w:rFonts w:hint="eastAsia" w:eastAsia="等线" w:cs="Times New Roman"/>
                <w:color w:val="000000"/>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51"/>
            </w:pPr>
            <w:r>
              <w:rPr>
                <w:rFonts w:hint="eastAsia"/>
              </w:rPr>
              <w:t>A/O池</w:t>
            </w:r>
          </w:p>
        </w:tc>
        <w:tc>
          <w:tcPr>
            <w:tcW w:w="1276" w:type="dxa"/>
            <w:vAlign w:val="center"/>
          </w:tcPr>
          <w:p>
            <w:pPr>
              <w:pStyle w:val="51"/>
            </w:pPr>
            <w:r>
              <w:rPr>
                <w:rFonts w:hint="eastAsia"/>
              </w:rPr>
              <w:t>进水(mg/L)</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169</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95</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17</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28</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4</w:t>
            </w:r>
          </w:p>
        </w:tc>
        <w:tc>
          <w:tcPr>
            <w:tcW w:w="959" w:type="dxa"/>
            <w:vAlign w:val="bottom"/>
          </w:tcPr>
          <w:p>
            <w:pPr>
              <w:pStyle w:val="51"/>
              <w:rPr>
                <w:rFonts w:eastAsia="等线" w:cs="Times New Roman"/>
                <w:color w:val="000000"/>
                <w:szCs w:val="21"/>
              </w:rPr>
            </w:pPr>
            <w:r>
              <w:rPr>
                <w:rFonts w:hint="eastAsia" w:eastAsia="等线" w:cs="Times New Roman"/>
                <w:color w:val="000000"/>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51"/>
            </w:pPr>
          </w:p>
        </w:tc>
        <w:tc>
          <w:tcPr>
            <w:tcW w:w="1276" w:type="dxa"/>
            <w:vAlign w:val="center"/>
          </w:tcPr>
          <w:p>
            <w:pPr>
              <w:pStyle w:val="51"/>
            </w:pPr>
            <w:r>
              <w:rPr>
                <w:rFonts w:hint="eastAsia"/>
              </w:rPr>
              <w:t>去除率</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85%</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85%</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80%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15%</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85%</w:t>
            </w:r>
          </w:p>
        </w:tc>
        <w:tc>
          <w:tcPr>
            <w:tcW w:w="959" w:type="dxa"/>
            <w:vAlign w:val="center"/>
          </w:tcPr>
          <w:p>
            <w:pPr>
              <w:pStyle w:val="51"/>
              <w:rPr>
                <w:rFonts w:eastAsia="等线" w:cs="Times New Roman"/>
                <w:color w:val="000000"/>
                <w:szCs w:val="21"/>
              </w:rPr>
            </w:pPr>
            <w:r>
              <w:rPr>
                <w:rFonts w:hint="eastAsia" w:eastAsia="等线" w:cs="Times New Roman"/>
                <w:color w:val="000000"/>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51"/>
            </w:pPr>
          </w:p>
        </w:tc>
        <w:tc>
          <w:tcPr>
            <w:tcW w:w="1276" w:type="dxa"/>
            <w:vAlign w:val="center"/>
          </w:tcPr>
          <w:p>
            <w:pPr>
              <w:pStyle w:val="51"/>
            </w:pPr>
            <w:r>
              <w:rPr>
                <w:rFonts w:hint="eastAsia"/>
              </w:rPr>
              <w:t>出水(mg/L)</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25</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14</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3</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24</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w:t>
            </w:r>
          </w:p>
        </w:tc>
        <w:tc>
          <w:tcPr>
            <w:tcW w:w="959" w:type="dxa"/>
            <w:vAlign w:val="bottom"/>
          </w:tcPr>
          <w:p>
            <w:pPr>
              <w:pStyle w:val="51"/>
              <w:rPr>
                <w:rFonts w:eastAsia="等线" w:cs="Times New Roman"/>
                <w:color w:val="000000"/>
                <w:szCs w:val="21"/>
              </w:rPr>
            </w:pPr>
            <w:r>
              <w:rPr>
                <w:rFonts w:hint="eastAsia" w:eastAsia="等线" w:cs="Times New Roman"/>
                <w:color w:val="00000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pStyle w:val="51"/>
            </w:pPr>
            <w:r>
              <w:rPr>
                <w:rFonts w:hint="eastAsia"/>
              </w:rPr>
              <w:t>沉淀池</w:t>
            </w:r>
          </w:p>
        </w:tc>
        <w:tc>
          <w:tcPr>
            <w:tcW w:w="1276" w:type="dxa"/>
            <w:vAlign w:val="center"/>
          </w:tcPr>
          <w:p>
            <w:pPr>
              <w:pStyle w:val="51"/>
            </w:pPr>
            <w:r>
              <w:rPr>
                <w:rFonts w:hint="eastAsia"/>
              </w:rPr>
              <w:t>进水(mg/L)</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25</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14</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3</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24</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w:t>
            </w:r>
          </w:p>
        </w:tc>
        <w:tc>
          <w:tcPr>
            <w:tcW w:w="959" w:type="dxa"/>
            <w:vAlign w:val="bottom"/>
          </w:tcPr>
          <w:p>
            <w:pPr>
              <w:pStyle w:val="51"/>
              <w:rPr>
                <w:rFonts w:eastAsia="等线" w:cs="Times New Roman"/>
                <w:color w:val="000000"/>
                <w:szCs w:val="21"/>
              </w:rPr>
            </w:pPr>
            <w:r>
              <w:rPr>
                <w:rFonts w:hint="eastAsia" w:eastAsia="等线" w:cs="Times New Roman"/>
                <w:color w:val="00000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51"/>
            </w:pPr>
          </w:p>
        </w:tc>
        <w:tc>
          <w:tcPr>
            <w:tcW w:w="1276" w:type="dxa"/>
            <w:vAlign w:val="center"/>
          </w:tcPr>
          <w:p>
            <w:pPr>
              <w:pStyle w:val="51"/>
            </w:pPr>
            <w:r>
              <w:rPr>
                <w:rFonts w:hint="eastAsia"/>
              </w:rPr>
              <w:t>去除率</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10%</w:t>
            </w:r>
          </w:p>
        </w:tc>
        <w:tc>
          <w:tcPr>
            <w:tcW w:w="958" w:type="dxa"/>
            <w:vAlign w:val="center"/>
          </w:tcPr>
          <w:p>
            <w:pPr>
              <w:pStyle w:val="51"/>
              <w:rPr>
                <w:rFonts w:eastAsia="等线" w:cs="Times New Roman"/>
                <w:color w:val="000000"/>
                <w:szCs w:val="21"/>
              </w:rPr>
            </w:pPr>
            <w:r>
              <w:rPr>
                <w:rFonts w:hint="eastAsia" w:eastAsia="等线" w:cs="Times New Roman"/>
                <w:color w:val="000000"/>
                <w:szCs w:val="21"/>
              </w:rPr>
              <w:t>0%</w:t>
            </w:r>
          </w:p>
        </w:tc>
        <w:tc>
          <w:tcPr>
            <w:tcW w:w="959" w:type="dxa"/>
            <w:vAlign w:val="center"/>
          </w:tcPr>
          <w:p>
            <w:pPr>
              <w:pStyle w:val="51"/>
              <w:rPr>
                <w:rFonts w:eastAsia="等线" w:cs="Times New Roman"/>
                <w:color w:val="000000"/>
                <w:szCs w:val="21"/>
              </w:rPr>
            </w:pPr>
            <w:r>
              <w:rPr>
                <w:rFonts w:hint="eastAsia" w:eastAsia="等线"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pStyle w:val="51"/>
            </w:pPr>
          </w:p>
        </w:tc>
        <w:tc>
          <w:tcPr>
            <w:tcW w:w="1276" w:type="dxa"/>
            <w:vAlign w:val="center"/>
          </w:tcPr>
          <w:p>
            <w:pPr>
              <w:pStyle w:val="51"/>
            </w:pPr>
            <w:r>
              <w:rPr>
                <w:rFonts w:hint="eastAsia"/>
              </w:rPr>
              <w:t>出水(mg/L)</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25</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14</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3</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22</w:t>
            </w:r>
          </w:p>
        </w:tc>
        <w:tc>
          <w:tcPr>
            <w:tcW w:w="958" w:type="dxa"/>
            <w:vAlign w:val="bottom"/>
          </w:tcPr>
          <w:p>
            <w:pPr>
              <w:pStyle w:val="51"/>
              <w:rPr>
                <w:rFonts w:eastAsia="等线" w:cs="Times New Roman"/>
                <w:color w:val="000000"/>
                <w:szCs w:val="21"/>
              </w:rPr>
            </w:pPr>
            <w:r>
              <w:rPr>
                <w:rFonts w:hint="eastAsia" w:eastAsia="等线" w:cs="Times New Roman"/>
                <w:color w:val="000000"/>
                <w:szCs w:val="21"/>
              </w:rPr>
              <w:t>1</w:t>
            </w:r>
          </w:p>
        </w:tc>
        <w:tc>
          <w:tcPr>
            <w:tcW w:w="959" w:type="dxa"/>
            <w:vAlign w:val="bottom"/>
          </w:tcPr>
          <w:p>
            <w:pPr>
              <w:pStyle w:val="51"/>
              <w:rPr>
                <w:rFonts w:eastAsia="等线" w:cs="Times New Roman"/>
                <w:color w:val="000000"/>
                <w:szCs w:val="21"/>
              </w:rPr>
            </w:pPr>
            <w:r>
              <w:rPr>
                <w:rFonts w:hint="eastAsia" w:eastAsia="等线" w:cs="Times New Roman"/>
                <w:color w:val="000000"/>
                <w:szCs w:val="21"/>
              </w:rPr>
              <w:t>0.1</w:t>
            </w:r>
          </w:p>
        </w:tc>
      </w:tr>
      <w:bookmarkEnd w:id="254"/>
    </w:tbl>
    <w:p>
      <w:pPr>
        <w:pStyle w:val="49"/>
        <w:ind w:firstLine="480"/>
      </w:pPr>
      <w:bookmarkStart w:id="255" w:name="_Hlk193957597"/>
      <w:r>
        <w:rPr>
          <w:rFonts w:hint="eastAsia"/>
        </w:rPr>
        <w:t>由上表可知，本项目综合废水经一体化污水处理设施处理后能够达到</w:t>
      </w:r>
      <w:r>
        <w:rPr>
          <w:rStyle w:val="83"/>
          <w:rFonts w:hint="eastAsia"/>
        </w:rPr>
        <w:t>《污水综合排放标准》（GB8978-1996）表4中一级标准</w:t>
      </w:r>
      <w:r>
        <w:rPr>
          <w:rFonts w:hint="eastAsia"/>
          <w:szCs w:val="21"/>
        </w:rPr>
        <w:t>。</w:t>
      </w:r>
    </w:p>
    <w:bookmarkEnd w:id="255"/>
    <w:p>
      <w:pPr>
        <w:pStyle w:val="49"/>
        <w:ind w:firstLine="480"/>
      </w:pPr>
      <w:bookmarkStart w:id="256" w:name="_Hlk193957602"/>
      <w:r>
        <w:rPr>
          <w:rFonts w:hint="eastAsia"/>
        </w:rPr>
        <w:t>3、一体化污水处理设施处理规模可行性分析</w:t>
      </w:r>
    </w:p>
    <w:bookmarkEnd w:id="256"/>
    <w:p>
      <w:pPr>
        <w:pStyle w:val="49"/>
        <w:ind w:firstLine="480"/>
      </w:pPr>
      <w:bookmarkStart w:id="257" w:name="_Hlk193957636"/>
      <w:r>
        <w:rPr>
          <w:rFonts w:hint="eastAsia"/>
        </w:rPr>
        <w:t>本项目综合废水量为1376.294m</w:t>
      </w:r>
      <w:r>
        <w:rPr>
          <w:rFonts w:hint="eastAsia"/>
          <w:vertAlign w:val="superscript"/>
        </w:rPr>
        <w:t>3</w:t>
      </w:r>
      <w:r>
        <w:rPr>
          <w:rFonts w:hint="eastAsia"/>
        </w:rPr>
        <w:t>/a（3.771m</w:t>
      </w:r>
      <w:r>
        <w:rPr>
          <w:rFonts w:hint="eastAsia"/>
          <w:vertAlign w:val="superscript"/>
        </w:rPr>
        <w:t>3</w:t>
      </w:r>
      <w:r>
        <w:rPr>
          <w:rFonts w:hint="eastAsia"/>
        </w:rPr>
        <w:t>/d），项目一体化污水处理设施处理规模为5m</w:t>
      </w:r>
      <w:r>
        <w:rPr>
          <w:rFonts w:hint="eastAsia"/>
          <w:vertAlign w:val="superscript"/>
        </w:rPr>
        <w:t>3</w:t>
      </w:r>
      <w:r>
        <w:rPr>
          <w:rFonts w:hint="eastAsia"/>
        </w:rPr>
        <w:t>/d，可以满足项目废水处理的需求。同时根据养鸡场实际生产情况，鸡舍在饲养期间不对鸡舍进行冲洗，每次更换批次时才需要对鸡舍进行清洗，项目一年内对蛋鸡舍冲洗一次，鸡舍冲洗废水产生量为62.294m</w:t>
      </w:r>
      <w:r>
        <w:rPr>
          <w:rFonts w:hint="eastAsia"/>
          <w:vertAlign w:val="superscript"/>
        </w:rPr>
        <w:t>3</w:t>
      </w:r>
      <w:r>
        <w:rPr>
          <w:rFonts w:hint="eastAsia"/>
        </w:rPr>
        <w:t>/次，且废水中污染物浓度较高，设置1个70m</w:t>
      </w:r>
      <w:r>
        <w:rPr>
          <w:rFonts w:hint="eastAsia"/>
          <w:vertAlign w:val="superscript"/>
        </w:rPr>
        <w:t>3</w:t>
      </w:r>
      <w:r>
        <w:rPr>
          <w:rFonts w:hint="eastAsia"/>
        </w:rPr>
        <w:t>的调节池均衡水量、调节水量，降低对一体化污水处理设施的冲击。因此，一体化污水处理设施的处理规模是可行的。</w:t>
      </w:r>
    </w:p>
    <w:p>
      <w:pPr>
        <w:pStyle w:val="5"/>
      </w:pPr>
      <w:r>
        <w:rPr>
          <w:rFonts w:hint="eastAsia"/>
        </w:rPr>
        <w:t xml:space="preserve">6.2.2.2 </w:t>
      </w:r>
      <w:r>
        <w:rPr>
          <w:rFonts w:hint="eastAsia"/>
          <w:snapToGrid w:val="0"/>
        </w:rPr>
        <w:t>废水消纳可行性分析</w:t>
      </w:r>
    </w:p>
    <w:p>
      <w:pPr>
        <w:pStyle w:val="49"/>
        <w:ind w:firstLine="480"/>
        <w:rPr>
          <w:snapToGrid w:val="0"/>
        </w:rPr>
      </w:pPr>
      <w:r>
        <w:rPr>
          <w:rFonts w:hint="eastAsia"/>
          <w:snapToGrid w:val="0"/>
        </w:rPr>
        <w:t>1、废水水量消纳可行性分析</w:t>
      </w:r>
    </w:p>
    <w:bookmarkEnd w:id="257"/>
    <w:p>
      <w:pPr>
        <w:pStyle w:val="49"/>
        <w:ind w:firstLine="480"/>
        <w:rPr>
          <w:snapToGrid w:val="0"/>
        </w:rPr>
      </w:pPr>
      <w:r>
        <w:rPr>
          <w:rFonts w:hint="eastAsia"/>
          <w:snapToGrid w:val="0"/>
        </w:rPr>
        <w:t>根据《湖南省用水定额》（</w:t>
      </w:r>
      <w:r>
        <w:rPr>
          <w:snapToGrid w:val="0"/>
        </w:rPr>
        <w:t>DB43/T388-2020</w:t>
      </w:r>
      <w:r>
        <w:rPr>
          <w:rFonts w:hint="eastAsia"/>
          <w:snapToGrid w:val="0"/>
        </w:rPr>
        <w:t xml:space="preserve">）中附录 </w:t>
      </w:r>
      <w:r>
        <w:rPr>
          <w:snapToGrid w:val="0"/>
        </w:rPr>
        <w:t xml:space="preserve">A </w:t>
      </w:r>
      <w:r>
        <w:rPr>
          <w:rFonts w:hint="eastAsia"/>
          <w:snapToGrid w:val="0"/>
        </w:rPr>
        <w:t>农业用水定额灌溉分区，本项目位于冷水滩区，属于</w:t>
      </w:r>
      <w:r>
        <w:rPr>
          <w:rFonts w:hint="eastAsia"/>
        </w:rPr>
        <w:t>湘中山丘区</w:t>
      </w:r>
      <w:r>
        <w:rPr>
          <w:rFonts w:hint="eastAsia"/>
          <w:snapToGrid w:val="0"/>
        </w:rPr>
        <w:t>，为</w:t>
      </w:r>
      <w:r>
        <w:rPr>
          <w:rFonts w:cs="Times New Roman"/>
        </w:rPr>
        <w:t>Ⅳ</w:t>
      </w:r>
      <w:r>
        <w:rPr>
          <w:rFonts w:hint="eastAsia"/>
        </w:rPr>
        <w:t>区</w:t>
      </w:r>
      <w:r>
        <w:rPr>
          <w:rFonts w:hint="eastAsia"/>
          <w:snapToGrid w:val="0"/>
        </w:rPr>
        <w:t>。项目采用滴灌方式，用水定额参照《湖南省用水定额》（</w:t>
      </w:r>
      <w:r>
        <w:rPr>
          <w:snapToGrid w:val="0"/>
        </w:rPr>
        <w:t>DB43/T 388-2020</w:t>
      </w:r>
      <w:r>
        <w:rPr>
          <w:rFonts w:hint="eastAsia"/>
          <w:snapToGrid w:val="0"/>
        </w:rPr>
        <w:t>）中表 2</w:t>
      </w:r>
      <w:r>
        <w:rPr>
          <w:snapToGrid w:val="0"/>
        </w:rPr>
        <w:t xml:space="preserve"> </w:t>
      </w:r>
      <w:r>
        <w:rPr>
          <w:rFonts w:hint="eastAsia"/>
          <w:snapToGrid w:val="0"/>
        </w:rPr>
        <w:t>规定位置灌溉用水定额中苗木数据（灌溉保证率取75%），用水定额按99</w:t>
      </w:r>
      <w:r>
        <w:rPr>
          <w:snapToGrid w:val="0"/>
        </w:rPr>
        <w:t>m</w:t>
      </w:r>
      <w:r>
        <w:rPr>
          <w:snapToGrid w:val="0"/>
          <w:vertAlign w:val="superscript"/>
        </w:rPr>
        <w:t>3</w:t>
      </w:r>
      <w:r>
        <w:rPr>
          <w:snapToGrid w:val="0"/>
        </w:rPr>
        <w:t xml:space="preserve"> /667m</w:t>
      </w:r>
      <w:r>
        <w:rPr>
          <w:snapToGrid w:val="0"/>
          <w:vertAlign w:val="superscript"/>
        </w:rPr>
        <w:t>2</w:t>
      </w:r>
      <w:r>
        <w:rPr>
          <w:snapToGrid w:val="0"/>
        </w:rPr>
        <w:t>·a</w:t>
      </w:r>
      <w:r>
        <w:rPr>
          <w:rFonts w:hint="eastAsia"/>
          <w:snapToGrid w:val="0"/>
        </w:rPr>
        <w:t>计算，根据建设单位与飞跃村村委会签订的消纳协议，预计使用20亩的林地进行灌溉，林地灌溉用水量约为1980</w:t>
      </w:r>
      <w:r>
        <w:rPr>
          <w:snapToGrid w:val="0"/>
        </w:rPr>
        <w:t>m</w:t>
      </w:r>
      <w:r>
        <w:rPr>
          <w:snapToGrid w:val="0"/>
          <w:vertAlign w:val="superscript"/>
        </w:rPr>
        <w:t>3</w:t>
      </w:r>
      <w:r>
        <w:rPr>
          <w:snapToGrid w:val="0"/>
        </w:rPr>
        <w:t>/a</w:t>
      </w:r>
      <w:r>
        <w:rPr>
          <w:rFonts w:hint="eastAsia"/>
          <w:snapToGrid w:val="0"/>
        </w:rPr>
        <w:t>，本项目综合废水产生量为</w:t>
      </w:r>
      <w:r>
        <w:rPr>
          <w:rFonts w:hint="eastAsia"/>
        </w:rPr>
        <w:t>1376.294</w:t>
      </w:r>
      <w:r>
        <w:rPr>
          <w:snapToGrid w:val="0"/>
        </w:rPr>
        <w:t>m</w:t>
      </w:r>
      <w:r>
        <w:rPr>
          <w:snapToGrid w:val="0"/>
          <w:vertAlign w:val="superscript"/>
        </w:rPr>
        <w:t>3</w:t>
      </w:r>
      <w:r>
        <w:rPr>
          <w:snapToGrid w:val="0"/>
        </w:rPr>
        <w:t>/a</w:t>
      </w:r>
      <w:r>
        <w:rPr>
          <w:rFonts w:hint="eastAsia"/>
          <w:snapToGrid w:val="0"/>
        </w:rPr>
        <w:t>，因此飞跃村村委会提供的20亩林地足够消纳项目经处理后的废水。</w:t>
      </w:r>
    </w:p>
    <w:p>
      <w:pPr>
        <w:pStyle w:val="49"/>
        <w:ind w:firstLine="480"/>
      </w:pPr>
      <w:r>
        <w:rPr>
          <w:rFonts w:hint="eastAsia"/>
        </w:rPr>
        <w:t>2、废水灌溉方式可行性</w:t>
      </w:r>
    </w:p>
    <w:p>
      <w:pPr>
        <w:pStyle w:val="49"/>
        <w:ind w:firstLine="480"/>
        <w:rPr>
          <w:snapToGrid w:val="0"/>
        </w:rPr>
      </w:pPr>
      <w:r>
        <w:rPr>
          <w:rFonts w:hint="eastAsia"/>
          <w:snapToGrid w:val="0"/>
        </w:rPr>
        <w:t>根据《畜禽养殖业污染治理工程技术规范》（</w:t>
      </w:r>
      <w:r>
        <w:rPr>
          <w:snapToGrid w:val="0"/>
        </w:rPr>
        <w:t>HJ497-2009</w:t>
      </w:r>
      <w:r>
        <w:rPr>
          <w:rFonts w:hint="eastAsia"/>
          <w:snapToGrid w:val="0"/>
        </w:rPr>
        <w:t xml:space="preserve">）第 </w:t>
      </w:r>
      <w:r>
        <w:rPr>
          <w:snapToGrid w:val="0"/>
        </w:rPr>
        <w:t xml:space="preserve">6.1.2.3 </w:t>
      </w:r>
      <w:r>
        <w:rPr>
          <w:rFonts w:hint="eastAsia"/>
          <w:snapToGrid w:val="0"/>
        </w:rPr>
        <w:t>条提出</w:t>
      </w:r>
      <w:r>
        <w:rPr>
          <w:rFonts w:ascii="宋体" w:hAnsi="宋体"/>
          <w:snapToGrid w:val="0"/>
        </w:rPr>
        <w:t>“</w:t>
      </w:r>
      <w:r>
        <w:rPr>
          <w:rFonts w:hint="eastAsia"/>
          <w:snapToGrid w:val="0"/>
        </w:rPr>
        <w:t xml:space="preserve">种养结合的养殖场，贮存池的贮存期不得低于当地农作物生产用肥的最大间隔时间和冬季封冻期或雨季最长降雨期，一般不得小于 </w:t>
      </w:r>
      <w:r>
        <w:rPr>
          <w:snapToGrid w:val="0"/>
        </w:rPr>
        <w:t xml:space="preserve">30d </w:t>
      </w:r>
      <w:r>
        <w:rPr>
          <w:rFonts w:hint="eastAsia"/>
          <w:snapToGrid w:val="0"/>
        </w:rPr>
        <w:t>的排放总量。</w:t>
      </w:r>
      <w:r>
        <w:rPr>
          <w:rFonts w:ascii="宋体" w:hAnsi="宋体"/>
          <w:snapToGrid w:val="0"/>
        </w:rPr>
        <w:t>”</w:t>
      </w:r>
      <w:r>
        <w:rPr>
          <w:rFonts w:hint="eastAsia"/>
          <w:snapToGrid w:val="0"/>
        </w:rPr>
        <w:t xml:space="preserve">，拟建项目按雨季 </w:t>
      </w:r>
      <w:r>
        <w:rPr>
          <w:snapToGrid w:val="0"/>
        </w:rPr>
        <w:t xml:space="preserve">30d </w:t>
      </w:r>
      <w:r>
        <w:rPr>
          <w:rFonts w:hint="eastAsia"/>
          <w:snapToGrid w:val="0"/>
        </w:rPr>
        <w:t>考虑，</w:t>
      </w:r>
      <w:r>
        <w:rPr>
          <w:rStyle w:val="83"/>
        </w:rPr>
        <w:t>废水排放量=</w:t>
      </w:r>
      <w:r>
        <w:rPr>
          <w:rStyle w:val="83"/>
          <w:rFonts w:hint="eastAsia"/>
        </w:rPr>
        <w:t>3</w:t>
      </w:r>
      <w:r>
        <w:rPr>
          <w:rStyle w:val="83"/>
        </w:rPr>
        <w:t>0×</w:t>
      </w:r>
      <w:r>
        <w:rPr>
          <w:rStyle w:val="83"/>
          <w:rFonts w:hint="eastAsia"/>
        </w:rPr>
        <w:t>3.77</w:t>
      </w:r>
      <w:r>
        <w:rPr>
          <w:rStyle w:val="83"/>
        </w:rPr>
        <w:t>m</w:t>
      </w:r>
      <w:r>
        <w:rPr>
          <w:rStyle w:val="83"/>
          <w:vertAlign w:val="superscript"/>
        </w:rPr>
        <w:t>3</w:t>
      </w:r>
      <w:r>
        <w:rPr>
          <w:rStyle w:val="83"/>
        </w:rPr>
        <w:t>/d（全年平均每天）=</w:t>
      </w:r>
      <w:r>
        <w:rPr>
          <w:rStyle w:val="83"/>
          <w:rFonts w:hint="eastAsia"/>
        </w:rPr>
        <w:t>113.1</w:t>
      </w:r>
      <w:r>
        <w:rPr>
          <w:rStyle w:val="83"/>
        </w:rPr>
        <w:t>m</w:t>
      </w:r>
      <w:r>
        <w:rPr>
          <w:rStyle w:val="83"/>
          <w:vertAlign w:val="superscript"/>
        </w:rPr>
        <w:t>3</w:t>
      </w:r>
      <w:r>
        <w:rPr>
          <w:rStyle w:val="83"/>
          <w:rFonts w:hint="eastAsia"/>
        </w:rPr>
        <w:t>。</w:t>
      </w:r>
      <w:r>
        <w:rPr>
          <w:rFonts w:hint="eastAsia"/>
          <w:snapToGrid w:val="0"/>
        </w:rPr>
        <w:t>项目拟设置1个容积为120m</w:t>
      </w:r>
      <w:r>
        <w:rPr>
          <w:rFonts w:hint="eastAsia"/>
          <w:snapToGrid w:val="0"/>
          <w:vertAlign w:val="superscript"/>
        </w:rPr>
        <w:t>3</w:t>
      </w:r>
      <w:r>
        <w:rPr>
          <w:rFonts w:hint="eastAsia"/>
          <w:snapToGrid w:val="0"/>
        </w:rPr>
        <w:t>的尾水贮存池，贮存池在梅雨、暴雨等降雨量较大或集中时段、非灌溉期，</w:t>
      </w:r>
      <w:r>
        <w:t>可贮存</w:t>
      </w:r>
      <w:r>
        <w:rPr>
          <w:rFonts w:hint="eastAsia"/>
        </w:rPr>
        <w:t>3</w:t>
      </w:r>
      <w:r>
        <w:t>0d 的污水量，能够确保处理达标的废水在雨天不外排，满足《畜禽养殖业污染防治技术规范》（HJ/T81-2001）的要求。</w:t>
      </w:r>
    </w:p>
    <w:p>
      <w:pPr>
        <w:spacing w:line="360" w:lineRule="auto"/>
        <w:ind w:firstLine="480" w:firstLineChars="200"/>
        <w:rPr>
          <w:rFonts w:hint="eastAsia"/>
          <w:u w:val="single"/>
        </w:rPr>
      </w:pPr>
      <w:r>
        <w:t>本项目拟采用</w:t>
      </w:r>
      <w:r>
        <w:rPr>
          <w:rFonts w:hint="eastAsia"/>
        </w:rPr>
        <w:t>滴灌</w:t>
      </w:r>
      <w:r>
        <w:t>的方式进行</w:t>
      </w:r>
      <w:r>
        <w:rPr>
          <w:rFonts w:hint="eastAsia"/>
        </w:rPr>
        <w:t>灌溉</w:t>
      </w:r>
      <w:r>
        <w:t>。灌溉系统由专人负责，严格控制灌溉水量，严禁漫灌及雨天灌溉，避免引发</w:t>
      </w:r>
      <w:r>
        <w:rPr>
          <w:rFonts w:hint="eastAsia"/>
        </w:rPr>
        <w:t>废水</w:t>
      </w:r>
      <w:r>
        <w:t>漫溢，降低因地表径流引起的周边水环境污染的概率。</w:t>
      </w:r>
      <w:r>
        <w:rPr>
          <w:rStyle w:val="83"/>
        </w:rPr>
        <w:t>项目采取灌溉系统具有良好的节水、省水效果，灌溉方式可行。</w:t>
      </w:r>
    </w:p>
    <w:p>
      <w:pPr>
        <w:pStyle w:val="4"/>
      </w:pPr>
      <w:bookmarkStart w:id="258" w:name="_Toc194481221"/>
      <w:r>
        <w:rPr>
          <w:rFonts w:hint="eastAsia"/>
        </w:rPr>
        <w:t>6</w:t>
      </w:r>
      <w:r>
        <w:t>.</w:t>
      </w:r>
      <w:r>
        <w:rPr>
          <w:rFonts w:hint="eastAsia"/>
        </w:rPr>
        <w:t>2</w:t>
      </w:r>
      <w:r>
        <w:t>.</w:t>
      </w:r>
      <w:r>
        <w:rPr>
          <w:rFonts w:hint="eastAsia"/>
        </w:rPr>
        <w:t>3</w:t>
      </w:r>
      <w:r>
        <w:t xml:space="preserve"> </w:t>
      </w:r>
      <w:r>
        <w:rPr>
          <w:rFonts w:hint="eastAsia"/>
        </w:rPr>
        <w:t>营运期地下水</w:t>
      </w:r>
      <w:r>
        <w:t>污染防治措施</w:t>
      </w:r>
      <w:bookmarkEnd w:id="258"/>
    </w:p>
    <w:p>
      <w:pPr>
        <w:pStyle w:val="49"/>
        <w:ind w:firstLine="480"/>
      </w:pPr>
      <w:r>
        <w:rPr>
          <w:rFonts w:hint="eastAsia"/>
        </w:rPr>
        <w:t xml:space="preserve">针对项目可能发生的地下水污染，地下水污染防治措施按照“源头控制、末端防治、污染监控、应急响应”相结合的原则，从污染物的产生。入渗、扩 </w:t>
      </w:r>
      <w:r>
        <w:rPr>
          <w:rFonts w:hint="eastAsia" w:ascii="宋体" w:hAnsi="宋体"/>
        </w:rPr>
        <w:t>散、应急响应全阶段进行控制。</w:t>
      </w:r>
    </w:p>
    <w:p>
      <w:pPr>
        <w:pStyle w:val="5"/>
      </w:pPr>
      <w:r>
        <w:rPr>
          <w:rFonts w:hint="eastAsia"/>
        </w:rPr>
        <w:t>6.2.3.</w:t>
      </w:r>
      <w:r>
        <w:t>1</w:t>
      </w:r>
      <w:r>
        <w:rPr>
          <w:rFonts w:hint="eastAsia"/>
        </w:rPr>
        <w:t xml:space="preserve"> 源头控制措施</w:t>
      </w:r>
    </w:p>
    <w:p>
      <w:pPr>
        <w:pStyle w:val="49"/>
        <w:ind w:firstLine="480"/>
      </w:pPr>
      <w:r>
        <w:rPr>
          <w:rFonts w:hint="eastAsia"/>
        </w:rPr>
        <w:t xml:space="preserve">1、选择先进养殖工艺，提高资源、能源和废物的利用率及废水的回收利用率，减少三废排放。采取清污分流，全部输水管道采取防渗处理，防止泄漏和下渗。 </w:t>
      </w:r>
    </w:p>
    <w:p>
      <w:pPr>
        <w:pStyle w:val="49"/>
        <w:ind w:firstLine="480"/>
      </w:pPr>
      <w:r>
        <w:rPr>
          <w:rFonts w:hint="eastAsia"/>
        </w:rPr>
        <w:t>2、</w:t>
      </w:r>
      <w:bookmarkStart w:id="259" w:name="_Hlk193957856"/>
      <w:r>
        <w:rPr>
          <w:rFonts w:hint="eastAsia"/>
        </w:rPr>
        <w:t>一体化污水处理设施、管道、阀门、废水收集管网防渗漏措施，一体化污水处理设施采用专业废水处理设备生产厂家产品，废水处理池均按要求进行了防渗处理。阀门采用知名厂家优质产品，对于地上管道、阀门派专人负责随时观察，如出现渗漏问题及时解决。地下管道、阀门设专用防渗管沟，管沟上设活动观察顶盖，以便出现渗漏问题及时观察、解决，管沟与污水集水井相连，并设计合理的排水坡度，便于废水排至事故应急池，然后由一体化污水处理设施统一处理。在防渗漏区内废水收集管网是设计的关键内容，设计合理的排水坡度，使水在事故应急池汇集。</w:t>
      </w:r>
      <w:bookmarkEnd w:id="259"/>
      <w:r>
        <w:rPr>
          <w:rFonts w:hint="eastAsia"/>
        </w:rPr>
        <w:t xml:space="preserve"> </w:t>
      </w:r>
    </w:p>
    <w:p>
      <w:pPr>
        <w:pStyle w:val="49"/>
        <w:ind w:firstLine="480"/>
      </w:pPr>
      <w:r>
        <w:rPr>
          <w:rFonts w:hint="eastAsia"/>
        </w:rPr>
        <w:t>3、根据可能泄漏至地面区域污染物的性质和生产单元的构筑方式划分为：重点污染防治区、一般污染防治区和非污染防治区。</w:t>
      </w:r>
    </w:p>
    <w:p>
      <w:pPr>
        <w:pStyle w:val="5"/>
      </w:pPr>
      <w:r>
        <w:rPr>
          <w:rFonts w:hint="eastAsia"/>
        </w:rPr>
        <w:t>6.2.3.2 分区防渗措施</w:t>
      </w:r>
    </w:p>
    <w:p>
      <w:pPr>
        <w:pStyle w:val="49"/>
        <w:ind w:firstLine="480"/>
      </w:pPr>
      <w:r>
        <w:rPr>
          <w:rFonts w:hint="eastAsia"/>
        </w:rPr>
        <w:t>对本项目各建设工程单元可能泄漏污染物的地面进行防渗处理，可有效防治污染物渗入地下，并及时地将渗漏的污染物收集并进行集中处理。本项目将结合场区各生产功能单元是否可能对地下水造成污染及其风险程度，采取分区防渗措施。参照《环境影响评价技术导则地下水环境》（</w:t>
      </w:r>
      <w:r>
        <w:t>HJ610-2016</w:t>
      </w:r>
      <w:r>
        <w:rPr>
          <w:rFonts w:hint="eastAsia"/>
        </w:rPr>
        <w:t>），将工程各功能单元可能产生污染的地区，划分为重点防渗区、一般防渗区及简单防渗区。</w:t>
      </w:r>
    </w:p>
    <w:p>
      <w:pPr>
        <w:pStyle w:val="49"/>
        <w:ind w:firstLine="480"/>
      </w:pPr>
      <w:r>
        <w:rPr>
          <w:rFonts w:hint="eastAsia"/>
        </w:rPr>
        <w:t>1、重点防渗区</w:t>
      </w:r>
    </w:p>
    <w:p>
      <w:pPr>
        <w:pStyle w:val="49"/>
        <w:ind w:firstLine="480"/>
      </w:pPr>
      <w:r>
        <w:rPr>
          <w:rFonts w:hint="eastAsia"/>
        </w:rPr>
        <w:t>污水处理区、事故应急池、配电房柴油储存区、危废暂存间等为重点防渗区。</w:t>
      </w:r>
    </w:p>
    <w:p>
      <w:pPr>
        <w:pStyle w:val="49"/>
        <w:ind w:firstLine="480"/>
      </w:pPr>
      <w:bookmarkStart w:id="260" w:name="_Hlk193957892"/>
      <w:r>
        <w:rPr>
          <w:rFonts w:hint="eastAsia"/>
        </w:rPr>
        <w:t>污水处理区、事故应急池、配电房柴油储存区、危废暂存间防渗措施：</w:t>
      </w:r>
      <w:r>
        <w:t>采用钢筋混凝土加防渗剂的防渗地坪+人工材料(HDPE) 防渗层，确保等效黏土防渗层Mb≥6.0m</w:t>
      </w:r>
      <w:r>
        <w:rPr>
          <w:rFonts w:hint="eastAsia"/>
        </w:rPr>
        <w:t>，</w:t>
      </w:r>
      <w:r>
        <w:t xml:space="preserve"> K≤1×10</w:t>
      </w:r>
      <w:r>
        <w:rPr>
          <w:rFonts w:hint="eastAsia"/>
          <w:vertAlign w:val="superscript"/>
        </w:rPr>
        <w:t>-</w:t>
      </w:r>
      <w:r>
        <w:rPr>
          <w:vertAlign w:val="superscript"/>
        </w:rPr>
        <w:t>7</w:t>
      </w:r>
      <w:r>
        <w:t>cm/s。</w:t>
      </w:r>
    </w:p>
    <w:bookmarkEnd w:id="260"/>
    <w:p>
      <w:pPr>
        <w:pStyle w:val="49"/>
        <w:ind w:firstLine="480"/>
      </w:pPr>
      <w:bookmarkStart w:id="261" w:name="_Hlk193957906"/>
      <w:r>
        <w:rPr>
          <w:rFonts w:hint="eastAsia"/>
        </w:rPr>
        <w:t>2、一般防渗区</w:t>
      </w:r>
    </w:p>
    <w:p>
      <w:pPr>
        <w:pStyle w:val="49"/>
        <w:ind w:firstLine="480"/>
      </w:pPr>
      <w:r>
        <w:rPr>
          <w:rFonts w:hint="eastAsia"/>
        </w:rPr>
        <w:t>鸡舍、蛋库、鸡粪风干车间、冰冻库、一般固废暂存间等为一般防渗区。</w:t>
      </w:r>
    </w:p>
    <w:p>
      <w:pPr>
        <w:pStyle w:val="49"/>
        <w:ind w:firstLine="480"/>
      </w:pPr>
      <w:r>
        <w:rPr>
          <w:rFonts w:hint="eastAsia"/>
        </w:rPr>
        <w:t>鸡舍、蛋库、鸡粪风干车间、冰冻库、一般固废暂存间等防渗措施：取粘土铺底，再在上层铺10~15cm的水泥进行硬化，确保等效黏土防渗层Mb</w:t>
      </w:r>
      <w:r>
        <w:t>≥</w:t>
      </w:r>
      <w:r>
        <w:rPr>
          <w:rFonts w:hint="eastAsia"/>
        </w:rPr>
        <w:t>1.5m，K</w:t>
      </w:r>
      <w:r>
        <w:t>≤</w:t>
      </w:r>
      <w:r>
        <w:rPr>
          <w:rFonts w:hint="eastAsia"/>
        </w:rPr>
        <w:t>1</w:t>
      </w:r>
      <w:r>
        <w:t>×</w:t>
      </w:r>
      <w:r>
        <w:rPr>
          <w:rFonts w:hint="eastAsia"/>
        </w:rPr>
        <w:t>10</w:t>
      </w:r>
      <w:r>
        <w:rPr>
          <w:rFonts w:hint="eastAsia"/>
          <w:vertAlign w:val="superscript"/>
        </w:rPr>
        <w:t>-7</w:t>
      </w:r>
      <w:r>
        <w:rPr>
          <w:rFonts w:hint="eastAsia"/>
        </w:rPr>
        <w:t>cm/s。</w:t>
      </w:r>
    </w:p>
    <w:bookmarkEnd w:id="261"/>
    <w:p>
      <w:pPr>
        <w:pStyle w:val="49"/>
        <w:ind w:firstLine="480"/>
      </w:pPr>
      <w:bookmarkStart w:id="262" w:name="_Hlk193957921"/>
      <w:r>
        <w:rPr>
          <w:rFonts w:hint="eastAsia"/>
        </w:rPr>
        <w:t>3、简单防渗区</w:t>
      </w:r>
    </w:p>
    <w:p>
      <w:pPr>
        <w:pStyle w:val="49"/>
        <w:ind w:firstLine="480"/>
      </w:pPr>
      <w:r>
        <w:rPr>
          <w:rFonts w:hint="eastAsia"/>
        </w:rPr>
        <w:t>办公生活区、多媒体教室、宿舍、门卫室、维修房及库房、配电房、场区道路等为简单防渗区。</w:t>
      </w:r>
    </w:p>
    <w:bookmarkEnd w:id="262"/>
    <w:p>
      <w:pPr>
        <w:pStyle w:val="49"/>
        <w:ind w:firstLine="480"/>
      </w:pPr>
      <w:r>
        <w:rPr>
          <w:rFonts w:hint="eastAsia"/>
        </w:rPr>
        <w:t>办公生活区、多媒体教室、宿舍、门卫室、维修房及库房、配电房、场区道路等防渗措施：</w:t>
      </w:r>
      <w:bookmarkStart w:id="263" w:name="_Hlk193958115"/>
      <w:r>
        <w:rPr>
          <w:rFonts w:hint="eastAsia"/>
        </w:rPr>
        <w:t>一般地面硬化处理。</w:t>
      </w:r>
      <w:bookmarkEnd w:id="263"/>
    </w:p>
    <w:p>
      <w:pPr>
        <w:pStyle w:val="53"/>
        <w:ind w:firstLine="480" w:firstLineChars="200"/>
        <w:jc w:val="left"/>
        <w:rPr>
          <w:rFonts w:hint="eastAsia" w:ascii="宋体" w:hAnsi="宋体"/>
          <w:b w:val="0"/>
          <w:sz w:val="24"/>
        </w:rPr>
      </w:pPr>
      <w:r>
        <w:rPr>
          <w:rFonts w:hint="eastAsia" w:ascii="宋体" w:hAnsi="宋体"/>
          <w:b w:val="0"/>
          <w:sz w:val="24"/>
        </w:rPr>
        <w:t>本项目各功能区地下水污染防治措施具体见下表：</w:t>
      </w:r>
    </w:p>
    <w:p>
      <w:pPr>
        <w:pStyle w:val="53"/>
      </w:pPr>
      <w:r>
        <w:rPr>
          <w:rFonts w:hint="eastAsia"/>
        </w:rPr>
        <w:t xml:space="preserve">表 </w:t>
      </w:r>
      <w:r>
        <w:rPr>
          <w:rFonts w:cs="Times New Roman"/>
        </w:rPr>
        <w:t>6.</w:t>
      </w:r>
      <w:r>
        <w:rPr>
          <w:rFonts w:hint="eastAsia" w:cs="Times New Roman"/>
        </w:rPr>
        <w:t>2</w:t>
      </w:r>
      <w:r>
        <w:rPr>
          <w:rFonts w:cs="Times New Roman"/>
        </w:rPr>
        <w:t>-</w:t>
      </w:r>
      <w:r>
        <w:rPr>
          <w:rFonts w:hint="eastAsia" w:cs="Times New Roman"/>
        </w:rPr>
        <w:t>2</w:t>
      </w:r>
      <w:r>
        <w:rPr>
          <w:rFonts w:cs="Times New Roman"/>
        </w:rPr>
        <w:t xml:space="preserve"> </w:t>
      </w:r>
      <w:r>
        <w:rPr>
          <w:rFonts w:hint="eastAsia"/>
        </w:rPr>
        <w:t>项目场区分区污染防治措施一览表</w:t>
      </w:r>
    </w:p>
    <w:tbl>
      <w:tblPr>
        <w:tblStyle w:val="40"/>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552"/>
        <w:gridCol w:w="2551"/>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9" w:type="dxa"/>
            <w:vAlign w:val="center"/>
          </w:tcPr>
          <w:p>
            <w:pPr>
              <w:pStyle w:val="201"/>
            </w:pPr>
            <w:bookmarkStart w:id="264" w:name="_Hlk193958238"/>
            <w:r>
              <w:rPr>
                <w:rFonts w:hint="eastAsia"/>
              </w:rPr>
              <w:t>防渗分区</w:t>
            </w:r>
          </w:p>
        </w:tc>
        <w:tc>
          <w:tcPr>
            <w:tcW w:w="2552" w:type="dxa"/>
            <w:vAlign w:val="center"/>
          </w:tcPr>
          <w:p>
            <w:pPr>
              <w:pStyle w:val="201"/>
            </w:pPr>
            <w:r>
              <w:rPr>
                <w:rFonts w:hint="eastAsia"/>
              </w:rPr>
              <w:t>污染单元</w:t>
            </w:r>
          </w:p>
        </w:tc>
        <w:tc>
          <w:tcPr>
            <w:tcW w:w="2551" w:type="dxa"/>
            <w:vAlign w:val="center"/>
          </w:tcPr>
          <w:p>
            <w:pPr>
              <w:pStyle w:val="201"/>
            </w:pPr>
            <w:r>
              <w:rPr>
                <w:rFonts w:hint="eastAsia"/>
              </w:rPr>
              <w:t>防渗措施</w:t>
            </w:r>
          </w:p>
        </w:tc>
        <w:tc>
          <w:tcPr>
            <w:tcW w:w="2602" w:type="dxa"/>
            <w:vAlign w:val="center"/>
          </w:tcPr>
          <w:p>
            <w:pPr>
              <w:pStyle w:val="201"/>
            </w:pPr>
            <w:r>
              <w:rPr>
                <w:rFonts w:hint="eastAsia"/>
              </w:rPr>
              <w:t>达到效果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129" w:type="dxa"/>
            <w:vMerge w:val="restart"/>
            <w:vAlign w:val="center"/>
          </w:tcPr>
          <w:p>
            <w:pPr>
              <w:pStyle w:val="51"/>
            </w:pPr>
            <w:r>
              <w:rPr>
                <w:rFonts w:hint="eastAsia"/>
              </w:rPr>
              <w:t>重点</w:t>
            </w:r>
          </w:p>
          <w:p>
            <w:pPr>
              <w:pStyle w:val="201"/>
            </w:pPr>
            <w:r>
              <w:rPr>
                <w:rFonts w:hint="eastAsia"/>
              </w:rPr>
              <w:t>防渗区</w:t>
            </w:r>
          </w:p>
        </w:tc>
        <w:tc>
          <w:tcPr>
            <w:tcW w:w="2552" w:type="dxa"/>
            <w:vAlign w:val="center"/>
          </w:tcPr>
          <w:p>
            <w:pPr>
              <w:pStyle w:val="201"/>
            </w:pPr>
            <w:r>
              <w:rPr>
                <w:rFonts w:hint="eastAsia"/>
              </w:rPr>
              <w:t>污水处理区、事故应急池</w:t>
            </w:r>
          </w:p>
        </w:tc>
        <w:tc>
          <w:tcPr>
            <w:tcW w:w="2551" w:type="dxa"/>
            <w:vMerge w:val="restart"/>
            <w:vAlign w:val="center"/>
          </w:tcPr>
          <w:p>
            <w:pPr>
              <w:pStyle w:val="201"/>
            </w:pPr>
            <w:r>
              <w:t>钢筋混凝土加防渗剂的防渗地坪+人工材料(HDPE) 防渗层</w:t>
            </w:r>
          </w:p>
        </w:tc>
        <w:tc>
          <w:tcPr>
            <w:tcW w:w="2602" w:type="dxa"/>
            <w:vMerge w:val="restart"/>
            <w:vAlign w:val="center"/>
          </w:tcPr>
          <w:p>
            <w:pPr>
              <w:pStyle w:val="201"/>
            </w:pPr>
            <w:r>
              <w:rPr>
                <w:rFonts w:hint="eastAsia"/>
              </w:rPr>
              <w:t>等效黏土防渗层Mb</w:t>
            </w:r>
            <w:r>
              <w:t>≥</w:t>
            </w:r>
            <w:r>
              <w:rPr>
                <w:rFonts w:hint="eastAsia"/>
              </w:rPr>
              <w:t>1.5m，K</w:t>
            </w:r>
            <w:r>
              <w:t>≤</w:t>
            </w:r>
            <w:r>
              <w:rPr>
                <w:rFonts w:hint="eastAsia"/>
              </w:rPr>
              <w:t>1</w:t>
            </w:r>
            <w:r>
              <w:t>×</w:t>
            </w:r>
            <w:r>
              <w:rPr>
                <w:rFonts w:hint="eastAsia"/>
              </w:rPr>
              <w:t>10</w:t>
            </w:r>
            <w:r>
              <w:rPr>
                <w:rFonts w:hint="eastAsia"/>
                <w:vertAlign w:val="superscript"/>
              </w:rPr>
              <w:t>-7</w:t>
            </w:r>
            <w:r>
              <w:rPr>
                <w:rFonts w:hint="eastAsia"/>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129" w:type="dxa"/>
            <w:vMerge w:val="continue"/>
            <w:vAlign w:val="center"/>
          </w:tcPr>
          <w:p>
            <w:pPr>
              <w:pStyle w:val="201"/>
            </w:pPr>
          </w:p>
        </w:tc>
        <w:tc>
          <w:tcPr>
            <w:tcW w:w="2552" w:type="dxa"/>
            <w:vAlign w:val="center"/>
          </w:tcPr>
          <w:p>
            <w:pPr>
              <w:pStyle w:val="201"/>
            </w:pPr>
            <w:r>
              <w:rPr>
                <w:rFonts w:hint="eastAsia"/>
              </w:rPr>
              <w:t>危废暂存间</w:t>
            </w:r>
          </w:p>
        </w:tc>
        <w:tc>
          <w:tcPr>
            <w:tcW w:w="2551" w:type="dxa"/>
            <w:vMerge w:val="continue"/>
            <w:vAlign w:val="center"/>
          </w:tcPr>
          <w:p>
            <w:pPr>
              <w:pStyle w:val="201"/>
            </w:pPr>
          </w:p>
        </w:tc>
        <w:tc>
          <w:tcPr>
            <w:tcW w:w="2602" w:type="dxa"/>
            <w:vMerge w:val="continue"/>
            <w:vAlign w:val="center"/>
          </w:tcPr>
          <w:p>
            <w:pPr>
              <w:pStyle w:val="20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129" w:type="dxa"/>
            <w:vMerge w:val="continue"/>
            <w:vAlign w:val="center"/>
          </w:tcPr>
          <w:p>
            <w:pPr>
              <w:pStyle w:val="201"/>
            </w:pPr>
          </w:p>
        </w:tc>
        <w:tc>
          <w:tcPr>
            <w:tcW w:w="2552" w:type="dxa"/>
            <w:vAlign w:val="center"/>
          </w:tcPr>
          <w:p>
            <w:pPr>
              <w:pStyle w:val="201"/>
            </w:pPr>
            <w:r>
              <w:rPr>
                <w:rFonts w:hint="eastAsia"/>
              </w:rPr>
              <w:t>柴油储存区</w:t>
            </w:r>
          </w:p>
        </w:tc>
        <w:tc>
          <w:tcPr>
            <w:tcW w:w="2551" w:type="dxa"/>
            <w:vMerge w:val="continue"/>
            <w:vAlign w:val="center"/>
          </w:tcPr>
          <w:p>
            <w:pPr>
              <w:pStyle w:val="201"/>
            </w:pPr>
          </w:p>
        </w:tc>
        <w:tc>
          <w:tcPr>
            <w:tcW w:w="2602" w:type="dxa"/>
            <w:vMerge w:val="continue"/>
            <w:vAlign w:val="center"/>
          </w:tcPr>
          <w:p>
            <w:pPr>
              <w:pStyle w:val="20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129" w:type="dxa"/>
            <w:vAlign w:val="center"/>
          </w:tcPr>
          <w:p>
            <w:pPr>
              <w:pStyle w:val="201"/>
            </w:pPr>
            <w:r>
              <w:rPr>
                <w:rFonts w:hint="eastAsia"/>
              </w:rPr>
              <w:t>一般</w:t>
            </w:r>
          </w:p>
          <w:p>
            <w:pPr>
              <w:pStyle w:val="201"/>
            </w:pPr>
            <w:r>
              <w:rPr>
                <w:rFonts w:hint="eastAsia"/>
              </w:rPr>
              <w:t>防渗区</w:t>
            </w:r>
          </w:p>
        </w:tc>
        <w:tc>
          <w:tcPr>
            <w:tcW w:w="2552" w:type="dxa"/>
            <w:vAlign w:val="center"/>
          </w:tcPr>
          <w:p>
            <w:pPr>
              <w:pStyle w:val="201"/>
            </w:pPr>
            <w:r>
              <w:rPr>
                <w:rFonts w:hint="eastAsia"/>
              </w:rPr>
              <w:t>鸡舍、蛋库、鸡粪风干车间、冰冻库</w:t>
            </w:r>
          </w:p>
        </w:tc>
        <w:tc>
          <w:tcPr>
            <w:tcW w:w="2551" w:type="dxa"/>
            <w:vAlign w:val="center"/>
          </w:tcPr>
          <w:p>
            <w:pPr>
              <w:pStyle w:val="201"/>
            </w:pPr>
            <w:r>
              <w:rPr>
                <w:rFonts w:hint="eastAsia"/>
              </w:rPr>
              <w:t>取粘土铺底，再在上层铺10～15cm的水泥进行硬化</w:t>
            </w:r>
          </w:p>
        </w:tc>
        <w:tc>
          <w:tcPr>
            <w:tcW w:w="2602" w:type="dxa"/>
            <w:vAlign w:val="center"/>
          </w:tcPr>
          <w:p>
            <w:pPr>
              <w:pStyle w:val="201"/>
            </w:pPr>
            <w:r>
              <w:rPr>
                <w:rFonts w:hint="eastAsia"/>
              </w:rPr>
              <w:t>等效黏土防渗层Mb</w:t>
            </w:r>
            <w:r>
              <w:t>≥</w:t>
            </w:r>
            <w:r>
              <w:rPr>
                <w:rFonts w:hint="eastAsia"/>
              </w:rPr>
              <w:t>1.5m，K</w:t>
            </w:r>
            <w:r>
              <w:t>≤</w:t>
            </w:r>
            <w:r>
              <w:rPr>
                <w:rFonts w:hint="eastAsia"/>
              </w:rPr>
              <w:t>1</w:t>
            </w:r>
            <w:r>
              <w:t>×</w:t>
            </w:r>
            <w:r>
              <w:rPr>
                <w:rFonts w:hint="eastAsia"/>
              </w:rPr>
              <w:t>10</w:t>
            </w:r>
            <w:r>
              <w:rPr>
                <w:rFonts w:hint="eastAsia"/>
                <w:vertAlign w:val="superscript"/>
              </w:rPr>
              <w:t>-7</w:t>
            </w:r>
            <w:r>
              <w:rPr>
                <w:rFonts w:hint="eastAsia"/>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129" w:type="dxa"/>
            <w:vAlign w:val="center"/>
          </w:tcPr>
          <w:p>
            <w:pPr>
              <w:pStyle w:val="201"/>
            </w:pPr>
            <w:r>
              <w:rPr>
                <w:rFonts w:hint="eastAsia"/>
              </w:rPr>
              <w:t>简单</w:t>
            </w:r>
          </w:p>
          <w:p>
            <w:pPr>
              <w:pStyle w:val="201"/>
            </w:pPr>
            <w:r>
              <w:rPr>
                <w:rFonts w:hint="eastAsia"/>
              </w:rPr>
              <w:t>防渗区</w:t>
            </w:r>
          </w:p>
        </w:tc>
        <w:tc>
          <w:tcPr>
            <w:tcW w:w="2552" w:type="dxa"/>
            <w:vAlign w:val="center"/>
          </w:tcPr>
          <w:p>
            <w:pPr>
              <w:pStyle w:val="201"/>
            </w:pPr>
            <w:r>
              <w:rPr>
                <w:rFonts w:hint="eastAsia"/>
              </w:rPr>
              <w:t>办公生活区、多媒体教室、宿舍、门卫室、维修房及库房、配电房、</w:t>
            </w:r>
          </w:p>
          <w:p>
            <w:pPr>
              <w:pStyle w:val="201"/>
            </w:pPr>
            <w:r>
              <w:rPr>
                <w:rFonts w:hint="eastAsia"/>
              </w:rPr>
              <w:t>场区道路</w:t>
            </w:r>
          </w:p>
        </w:tc>
        <w:tc>
          <w:tcPr>
            <w:tcW w:w="2551" w:type="dxa"/>
            <w:vAlign w:val="center"/>
          </w:tcPr>
          <w:p>
            <w:pPr>
              <w:pStyle w:val="201"/>
            </w:pPr>
            <w:r>
              <w:rPr>
                <w:rFonts w:hint="eastAsia"/>
              </w:rPr>
              <w:t>一般地面硬化</w:t>
            </w:r>
          </w:p>
        </w:tc>
        <w:tc>
          <w:tcPr>
            <w:tcW w:w="2602" w:type="dxa"/>
            <w:vAlign w:val="center"/>
          </w:tcPr>
          <w:p>
            <w:pPr>
              <w:pStyle w:val="201"/>
            </w:pPr>
            <w:r>
              <w:rPr>
                <w:rFonts w:hint="eastAsia"/>
              </w:rPr>
              <w:t>一般地面硬化</w:t>
            </w:r>
          </w:p>
        </w:tc>
      </w:tr>
      <w:bookmarkEnd w:id="264"/>
    </w:tbl>
    <w:p>
      <w:pPr>
        <w:pStyle w:val="5"/>
      </w:pPr>
      <w:r>
        <w:rPr>
          <w:rFonts w:hint="eastAsia"/>
        </w:rPr>
        <w:t>6.2.3.3 末端控制措施</w:t>
      </w:r>
    </w:p>
    <w:p>
      <w:pPr>
        <w:pStyle w:val="49"/>
        <w:ind w:firstLine="480"/>
        <w:rPr>
          <w:color w:val="000000"/>
        </w:rPr>
      </w:pPr>
      <w:r>
        <w:rPr>
          <w:rFonts w:hint="eastAsia"/>
        </w:rPr>
        <w:t>主要包括厂内污染区地面的防渗措施和泄漏、渗漏污染物收集措施，即在污染区地面进行防渗处理，防止洒落地面的污染物渗入地下，并把滞留在地面的污染物收集起来，</w:t>
      </w:r>
      <w:r>
        <w:rPr>
          <w:rFonts w:hint="eastAsia"/>
          <w:color w:val="000000"/>
        </w:rPr>
        <w:t>再做进一步的处理。</w:t>
      </w:r>
    </w:p>
    <w:p>
      <w:pPr>
        <w:pStyle w:val="5"/>
      </w:pPr>
      <w:r>
        <w:rPr>
          <w:rFonts w:hint="eastAsia"/>
        </w:rPr>
        <w:t>6.2.3.4 应急响应措施</w:t>
      </w:r>
    </w:p>
    <w:p>
      <w:pPr>
        <w:pStyle w:val="49"/>
        <w:ind w:firstLine="480"/>
      </w:pPr>
      <w:r>
        <w:rPr>
          <w:rFonts w:hint="eastAsia"/>
        </w:rPr>
        <w:t xml:space="preserve">一旦发现地下水发生异常情况，必须按照应急预案马上采取紧急措施： </w:t>
      </w:r>
    </w:p>
    <w:p>
      <w:pPr>
        <w:pStyle w:val="49"/>
        <w:ind w:firstLine="480"/>
      </w:pPr>
      <w:r>
        <w:rPr>
          <w:rFonts w:hint="eastAsia"/>
        </w:rPr>
        <w:t>1</w:t>
      </w:r>
      <w:r>
        <w:t>、</w:t>
      </w:r>
      <w:r>
        <w:rPr>
          <w:rFonts w:hint="eastAsia"/>
        </w:rPr>
        <w:t xml:space="preserve">当确定发生地下水异常情况时，按照制订的地下水应急预案，在第一时间内尽快上报公司主管领导，通知附近地下水用户，密切关注地下水水质变化情况。 </w:t>
      </w:r>
    </w:p>
    <w:p>
      <w:pPr>
        <w:pStyle w:val="49"/>
        <w:ind w:firstLine="480"/>
      </w:pPr>
      <w:r>
        <w:rPr>
          <w:rFonts w:hint="eastAsia"/>
        </w:rPr>
        <w:t>2</w:t>
      </w:r>
      <w:r>
        <w:t>、</w:t>
      </w:r>
      <w:r>
        <w:rPr>
          <w:rFonts w:hint="eastAsia"/>
        </w:rPr>
        <w:t xml:space="preserve">组织专业队伍对事故现场进行调查、监测，查找环境事故发生点、分析事故原因，尽量将紧急事件局部化，如可能应予以消除，采取切断生产装置或设施等措施，防止事故的扩散、蔓延及连锁反应，尽量缩小地下水污染事故对人员和财产的影响。 </w:t>
      </w:r>
    </w:p>
    <w:p>
      <w:pPr>
        <w:pStyle w:val="49"/>
        <w:ind w:firstLine="480"/>
      </w:pPr>
      <w:r>
        <w:rPr>
          <w:rFonts w:hint="eastAsia"/>
        </w:rPr>
        <w:t>3</w:t>
      </w:r>
      <w:r>
        <w:t>、</w:t>
      </w:r>
      <w:r>
        <w:rPr>
          <w:rFonts w:hint="eastAsia"/>
        </w:rPr>
        <w:t xml:space="preserve">当通过监测发现对周围地下水造成污染时，根据观测井的反馈信息，对污染区地下水进行人工抽采形成地下水降落漏斗，控制污染区地下水流场，防止污染物扩散，并抽取已污染的地下水送事故池，待外送处置。 </w:t>
      </w:r>
    </w:p>
    <w:p>
      <w:pPr>
        <w:pStyle w:val="49"/>
        <w:ind w:firstLine="480"/>
      </w:pPr>
      <w:r>
        <w:rPr>
          <w:rFonts w:hint="eastAsia"/>
        </w:rPr>
        <w:t>4</w:t>
      </w:r>
      <w:r>
        <w:t>、</w:t>
      </w:r>
      <w:r>
        <w:rPr>
          <w:rFonts w:hint="eastAsia"/>
        </w:rPr>
        <w:t xml:space="preserve">对事故后果进行评估，并制定防止类似事件发生的措施。 </w:t>
      </w:r>
    </w:p>
    <w:p>
      <w:pPr>
        <w:pStyle w:val="49"/>
        <w:ind w:firstLine="480"/>
      </w:pPr>
      <w:r>
        <w:rPr>
          <w:rFonts w:hint="eastAsia"/>
        </w:rPr>
        <w:t>5</w:t>
      </w:r>
      <w:r>
        <w:t>、</w:t>
      </w:r>
      <w:r>
        <w:rPr>
          <w:rFonts w:hint="eastAsia"/>
        </w:rPr>
        <w:t xml:space="preserve">必要时应请求社会应急力量协助处理。 </w:t>
      </w:r>
    </w:p>
    <w:p>
      <w:pPr>
        <w:pStyle w:val="5"/>
      </w:pPr>
      <w:r>
        <w:rPr>
          <w:rFonts w:hint="eastAsia"/>
        </w:rPr>
        <w:t>6.2.3.5 地下水水质监控要求</w:t>
      </w:r>
    </w:p>
    <w:p>
      <w:pPr>
        <w:pStyle w:val="49"/>
        <w:ind w:firstLine="480"/>
      </w:pPr>
      <w:r>
        <w:rPr>
          <w:rFonts w:hint="eastAsia"/>
        </w:rPr>
        <w:t>1、地下水监控</w:t>
      </w:r>
    </w:p>
    <w:p>
      <w:pPr>
        <w:pStyle w:val="49"/>
        <w:ind w:firstLine="480"/>
      </w:pPr>
      <w:r>
        <w:rPr>
          <w:rFonts w:hint="eastAsia"/>
        </w:rPr>
        <w:t>为了及时准确地掌握厂址及下游地区地下水环境质量状况和地下水体中污染物的动态变化，本项目应建立地下水长期监控系统，包括科学、合理地设置地下水污染监控井，建立完善的监测制度，配备先进的检测仪器和设备，以便及时发现，及时控制。</w:t>
      </w:r>
    </w:p>
    <w:p>
      <w:pPr>
        <w:pStyle w:val="49"/>
        <w:ind w:firstLine="480"/>
      </w:pPr>
      <w:r>
        <w:rPr>
          <w:rFonts w:hint="eastAsia"/>
        </w:rPr>
        <w:t>2、监测井布置</w:t>
      </w:r>
    </w:p>
    <w:p>
      <w:pPr>
        <w:pStyle w:val="49"/>
        <w:ind w:firstLine="480"/>
      </w:pPr>
      <w:r>
        <w:rPr>
          <w:rFonts w:hint="eastAsia"/>
        </w:rPr>
        <w:t>根据《环境影响评价技术导则</w:t>
      </w:r>
      <w:r>
        <w:t>—</w:t>
      </w:r>
      <w:r>
        <w:rPr>
          <w:rFonts w:hint="eastAsia"/>
        </w:rPr>
        <w:t>地下水环境》</w:t>
      </w:r>
      <w:r>
        <w:t xml:space="preserve">HJ610-2016 </w:t>
      </w:r>
      <w:r>
        <w:rPr>
          <w:rFonts w:hint="eastAsia"/>
        </w:rPr>
        <w:t>中跟踪监测点位设置要求：</w:t>
      </w:r>
      <w:r>
        <w:rPr>
          <w:rFonts w:ascii="宋体" w:hAnsi="宋体"/>
        </w:rPr>
        <w:t>“</w:t>
      </w:r>
      <w:r>
        <w:rPr>
          <w:rFonts w:hint="eastAsia"/>
        </w:rPr>
        <w:t xml:space="preserve">三级评价的建设项目，一般不少于 </w:t>
      </w:r>
      <w:r>
        <w:t xml:space="preserve">1 </w:t>
      </w:r>
      <w:r>
        <w:rPr>
          <w:rFonts w:hint="eastAsia"/>
        </w:rPr>
        <w:t xml:space="preserve">个，应至少在建设项目场地下游布置 </w:t>
      </w:r>
      <w:r>
        <w:t xml:space="preserve">1 </w:t>
      </w:r>
      <w:r>
        <w:rPr>
          <w:rFonts w:hint="eastAsia"/>
        </w:rPr>
        <w:t>个</w:t>
      </w:r>
      <w:r>
        <w:rPr>
          <w:rFonts w:ascii="宋体" w:hAnsi="宋体"/>
        </w:rPr>
        <w:t>”</w:t>
      </w:r>
      <w:r>
        <w:rPr>
          <w:rFonts w:hint="eastAsia"/>
        </w:rPr>
        <w:t>。</w:t>
      </w:r>
    </w:p>
    <w:p>
      <w:pPr>
        <w:pStyle w:val="49"/>
        <w:ind w:firstLine="480"/>
      </w:pPr>
      <w:r>
        <w:rPr>
          <w:rFonts w:hint="eastAsia"/>
        </w:rPr>
        <w:t>本项目地下水评价等级为三级，依据地下水监测原则结合项目情况，参照《地 下水环境监测技术规范》</w:t>
      </w:r>
      <w:r>
        <w:t>(HJ/T164-2004</w:t>
      </w:r>
      <w:r>
        <w:rPr>
          <w:rFonts w:hint="eastAsia"/>
        </w:rPr>
        <w:t xml:space="preserve">）的要求，应在本项目场区设地下水监测井 </w:t>
      </w:r>
      <w:r>
        <w:t xml:space="preserve">1 </w:t>
      </w:r>
      <w:r>
        <w:rPr>
          <w:rFonts w:hint="eastAsia"/>
        </w:rPr>
        <w:t>口，本项目设有1口深水井，可作为场区内地下水监测井。在场区外下游选取一户居民水井作为场外监测井。</w:t>
      </w:r>
    </w:p>
    <w:p>
      <w:pPr>
        <w:pStyle w:val="49"/>
        <w:ind w:firstLine="480"/>
      </w:pPr>
      <w:r>
        <w:rPr>
          <w:rFonts w:hint="eastAsia"/>
        </w:rPr>
        <w:t>3、监测项目及频率</w:t>
      </w:r>
    </w:p>
    <w:p>
      <w:pPr>
        <w:pStyle w:val="49"/>
        <w:ind w:firstLine="480"/>
      </w:pPr>
      <w:r>
        <w:rPr>
          <w:rFonts w:hint="eastAsia"/>
        </w:rPr>
        <w:t>监测项目应包括</w:t>
      </w:r>
      <w:r>
        <w:rPr>
          <w:rFonts w:cs="Times New Roman"/>
        </w:rPr>
        <w:t>pH</w:t>
      </w:r>
      <w:r>
        <w:rPr>
          <w:rFonts w:hint="eastAsia"/>
        </w:rPr>
        <w:t>、</w:t>
      </w:r>
      <w:r>
        <w:rPr>
          <w:szCs w:val="21"/>
        </w:rPr>
        <w:t>K</w:t>
      </w:r>
      <w:r>
        <w:rPr>
          <w:szCs w:val="21"/>
          <w:vertAlign w:val="superscript"/>
        </w:rPr>
        <w:t>+</w:t>
      </w:r>
      <w:r>
        <w:rPr>
          <w:rFonts w:hint="eastAsia"/>
          <w:szCs w:val="21"/>
        </w:rPr>
        <w:t>、</w:t>
      </w:r>
      <w:r>
        <w:rPr>
          <w:szCs w:val="21"/>
        </w:rPr>
        <w:t>Na</w:t>
      </w:r>
      <w:r>
        <w:rPr>
          <w:szCs w:val="21"/>
          <w:vertAlign w:val="superscript"/>
        </w:rPr>
        <w:t>+</w:t>
      </w:r>
      <w:r>
        <w:rPr>
          <w:rFonts w:hint="eastAsia"/>
          <w:szCs w:val="21"/>
        </w:rPr>
        <w:t>、</w:t>
      </w:r>
      <w:r>
        <w:rPr>
          <w:szCs w:val="21"/>
        </w:rPr>
        <w:t>Ca</w:t>
      </w:r>
      <w:r>
        <w:rPr>
          <w:szCs w:val="21"/>
          <w:vertAlign w:val="superscript"/>
        </w:rPr>
        <w:t>2+</w:t>
      </w:r>
      <w:r>
        <w:rPr>
          <w:rFonts w:hint="eastAsia"/>
          <w:szCs w:val="21"/>
        </w:rPr>
        <w:t>、</w:t>
      </w:r>
      <w:r>
        <w:rPr>
          <w:szCs w:val="21"/>
        </w:rPr>
        <w:t>Mg</w:t>
      </w:r>
      <w:r>
        <w:rPr>
          <w:szCs w:val="21"/>
          <w:vertAlign w:val="superscript"/>
        </w:rPr>
        <w:t>2+</w:t>
      </w:r>
      <w:r>
        <w:rPr>
          <w:rFonts w:hint="eastAsia"/>
          <w:szCs w:val="21"/>
        </w:rPr>
        <w:t>、</w:t>
      </w:r>
      <w:r>
        <w:rPr>
          <w:szCs w:val="21"/>
        </w:rPr>
        <w:t>CO</w:t>
      </w:r>
      <w:r>
        <w:rPr>
          <w:szCs w:val="21"/>
          <w:vertAlign w:val="subscript"/>
        </w:rPr>
        <w:t>3</w:t>
      </w:r>
      <w:r>
        <w:rPr>
          <w:szCs w:val="21"/>
          <w:vertAlign w:val="superscript"/>
        </w:rPr>
        <w:t>2-</w:t>
      </w:r>
      <w:r>
        <w:rPr>
          <w:rFonts w:hint="eastAsia"/>
          <w:szCs w:val="21"/>
        </w:rPr>
        <w:t>、</w:t>
      </w:r>
      <w:r>
        <w:rPr>
          <w:szCs w:val="21"/>
        </w:rPr>
        <w:t>HCO</w:t>
      </w:r>
      <w:r>
        <w:rPr>
          <w:szCs w:val="21"/>
          <w:vertAlign w:val="superscript"/>
        </w:rPr>
        <w:t>-</w:t>
      </w:r>
      <w:r>
        <w:rPr>
          <w:rFonts w:hint="eastAsia"/>
          <w:szCs w:val="21"/>
        </w:rPr>
        <w:t>、Cl</w:t>
      </w:r>
      <w:r>
        <w:rPr>
          <w:szCs w:val="21"/>
          <w:vertAlign w:val="superscript"/>
        </w:rPr>
        <w:t>-</w:t>
      </w:r>
      <w:r>
        <w:rPr>
          <w:rFonts w:hint="eastAsia"/>
          <w:szCs w:val="21"/>
        </w:rPr>
        <w:t>、SO</w:t>
      </w:r>
      <w:r>
        <w:rPr>
          <w:rFonts w:hint="eastAsia"/>
          <w:szCs w:val="21"/>
          <w:vertAlign w:val="subscript"/>
        </w:rPr>
        <w:t>4</w:t>
      </w:r>
      <w:r>
        <w:rPr>
          <w:rFonts w:hint="eastAsia"/>
          <w:szCs w:val="21"/>
          <w:vertAlign w:val="superscript"/>
        </w:rPr>
        <w:t>2-</w:t>
      </w:r>
      <w:r>
        <w:rPr>
          <w:rFonts w:hint="eastAsia"/>
          <w:szCs w:val="21"/>
        </w:rPr>
        <w:t>、</w:t>
      </w:r>
      <w:r>
        <w:rPr>
          <w:rFonts w:hint="eastAsia"/>
        </w:rPr>
        <w:t xml:space="preserve">氨氮、砷、硝酸盐、亚硝酸盐、挥发性酚类、氰化物、汞、总大肠菌群、菌落总数等。监测频次为 </w:t>
      </w:r>
      <w:r>
        <w:t xml:space="preserve">1 </w:t>
      </w:r>
      <w:r>
        <w:rPr>
          <w:rFonts w:hint="eastAsia"/>
        </w:rPr>
        <w:t>次</w:t>
      </w:r>
      <w:r>
        <w:t>/</w:t>
      </w:r>
      <w:r>
        <w:rPr>
          <w:rFonts w:hint="eastAsia"/>
        </w:rPr>
        <w:t>年。</w:t>
      </w:r>
    </w:p>
    <w:p>
      <w:pPr>
        <w:pStyle w:val="49"/>
        <w:ind w:firstLine="480"/>
      </w:pPr>
      <w:r>
        <w:rPr>
          <w:rFonts w:hint="eastAsia"/>
        </w:rPr>
        <w:t>4、监测机构、人员</w:t>
      </w:r>
    </w:p>
    <w:p>
      <w:pPr>
        <w:pStyle w:val="49"/>
        <w:ind w:firstLine="480"/>
      </w:pPr>
      <w:r>
        <w:rPr>
          <w:rFonts w:hint="eastAsia"/>
        </w:rPr>
        <w:t>项目设立地下水动态监测小组，专人负责联系第三方具有资质的检测机构，委托其对地下水进行跟踪监测。</w:t>
      </w:r>
    </w:p>
    <w:p>
      <w:pPr>
        <w:pStyle w:val="49"/>
        <w:ind w:firstLine="480"/>
      </w:pPr>
      <w:r>
        <w:rPr>
          <w:rFonts w:hint="eastAsia"/>
        </w:rPr>
        <w:t>5、监测数据管理</w:t>
      </w:r>
    </w:p>
    <w:p>
      <w:pPr>
        <w:pStyle w:val="49"/>
        <w:ind w:firstLine="480"/>
      </w:pPr>
      <w:r>
        <w:rPr>
          <w:rFonts w:hint="eastAsia"/>
        </w:rPr>
        <w:t>监测结果应按项目有关规定及时建立档案，并定期向厂长汇报，对于常规监测数据应该进行公开，特别是对本项目所在区域的居民进行公开，满足法律中关于知情权的要求。如发现异常或发生事故，加密监测频次，改为每天监测一次并分析污染原因，确定泄漏污染源，及时采取应急措施。</w:t>
      </w:r>
    </w:p>
    <w:p>
      <w:pPr>
        <w:pStyle w:val="4"/>
      </w:pPr>
      <w:bookmarkStart w:id="265" w:name="_Toc194481222"/>
      <w:r>
        <w:rPr>
          <w:rFonts w:hint="eastAsia"/>
        </w:rPr>
        <w:t>6</w:t>
      </w:r>
      <w:r>
        <w:t>.</w:t>
      </w:r>
      <w:r>
        <w:rPr>
          <w:rFonts w:hint="eastAsia"/>
        </w:rPr>
        <w:t>2</w:t>
      </w:r>
      <w:r>
        <w:t>.</w:t>
      </w:r>
      <w:r>
        <w:rPr>
          <w:rFonts w:hint="eastAsia"/>
        </w:rPr>
        <w:t>3</w:t>
      </w:r>
      <w:r>
        <w:t xml:space="preserve"> </w:t>
      </w:r>
      <w:r>
        <w:rPr>
          <w:rFonts w:hint="eastAsia"/>
        </w:rPr>
        <w:t>营运期噪声</w:t>
      </w:r>
      <w:r>
        <w:t>污染防治措施</w:t>
      </w:r>
      <w:bookmarkEnd w:id="265"/>
    </w:p>
    <w:p>
      <w:pPr>
        <w:pStyle w:val="49"/>
        <w:ind w:firstLine="480"/>
      </w:pPr>
      <w:r>
        <w:rPr>
          <w:rFonts w:hint="eastAsia"/>
        </w:rPr>
        <w:t>本项目噪声主要源于鸡叫声、鸡舍通风降温系统、水泵、风机等产生的机械噪声以及运输车辆产生的交通噪声，项目应做好噪声污染防治措施。</w:t>
      </w:r>
    </w:p>
    <w:p>
      <w:pPr>
        <w:pStyle w:val="49"/>
        <w:ind w:firstLine="480"/>
      </w:pPr>
      <w:r>
        <w:t>1</w:t>
      </w:r>
      <w:r>
        <w:rPr>
          <w:rFonts w:hint="eastAsia"/>
        </w:rPr>
        <w:t xml:space="preserve">、鸡叫声降噪措施 </w:t>
      </w:r>
    </w:p>
    <w:p>
      <w:pPr>
        <w:pStyle w:val="49"/>
        <w:ind w:firstLine="480"/>
      </w:pPr>
      <w:r>
        <w:rPr>
          <w:rFonts w:hint="eastAsia"/>
        </w:rPr>
        <w:t>（</w:t>
      </w:r>
      <w:r>
        <w:t>1</w:t>
      </w:r>
      <w:r>
        <w:rPr>
          <w:rFonts w:hint="eastAsia"/>
        </w:rPr>
        <w:t xml:space="preserve">）尽可能满足鸡只饮食需要，避免因饥饿或口渴而发出叫声； </w:t>
      </w:r>
    </w:p>
    <w:p>
      <w:pPr>
        <w:pStyle w:val="49"/>
        <w:overflowPunct w:val="0"/>
        <w:ind w:firstLine="480"/>
      </w:pPr>
      <w:r>
        <w:rPr>
          <w:rFonts w:hint="eastAsia"/>
        </w:rPr>
        <w:t>（</w:t>
      </w:r>
      <w:r>
        <w:t>2</w:t>
      </w:r>
      <w:r>
        <w:rPr>
          <w:rFonts w:hint="eastAsia"/>
        </w:rPr>
        <w:t>）合理布局鸡舍，养殖场边界设围墙，在场区总平面设计中，充分考虑地形、 声源方向性及鸡舍噪声强弱，利用建筑物、绿化植被等对噪声的屏蔽、吸纳作用，进行合理布局，从而起到降低噪声影响的作用。</w:t>
      </w:r>
    </w:p>
    <w:p>
      <w:pPr>
        <w:pStyle w:val="49"/>
        <w:ind w:firstLine="480"/>
      </w:pPr>
      <w:r>
        <w:t>2</w:t>
      </w:r>
      <w:r>
        <w:rPr>
          <w:rFonts w:hint="eastAsia"/>
        </w:rPr>
        <w:t xml:space="preserve">、设备降噪措施 </w:t>
      </w:r>
    </w:p>
    <w:p>
      <w:pPr>
        <w:pStyle w:val="49"/>
        <w:ind w:firstLine="480"/>
      </w:pPr>
      <w:r>
        <w:rPr>
          <w:rFonts w:hint="eastAsia"/>
        </w:rPr>
        <w:t>（</w:t>
      </w:r>
      <w:r>
        <w:t>1</w:t>
      </w:r>
      <w:r>
        <w:rPr>
          <w:rFonts w:hint="eastAsia"/>
        </w:rPr>
        <w:t xml:space="preserve">）设备选型：从设备选型入手，设备定货时向设备制造厂提出噪声限值，选 择低噪、低转速风机，风机的产噪级别在 </w:t>
      </w:r>
      <w:r>
        <w:t>85dB(A)</w:t>
      </w:r>
      <w:r>
        <w:rPr>
          <w:rFonts w:hint="eastAsia"/>
        </w:rPr>
        <w:t xml:space="preserve">以下。 </w:t>
      </w:r>
    </w:p>
    <w:p>
      <w:pPr>
        <w:pStyle w:val="49"/>
        <w:ind w:firstLine="480"/>
      </w:pPr>
      <w:r>
        <w:rPr>
          <w:rFonts w:hint="eastAsia"/>
        </w:rPr>
        <w:t>（</w:t>
      </w:r>
      <w:r>
        <w:t>2</w:t>
      </w:r>
      <w:r>
        <w:rPr>
          <w:rFonts w:hint="eastAsia"/>
        </w:rPr>
        <w:t>）隔声、消声：各类通风机、泵类、污水处理站设备等产噪设备均设置于室 内，可降低噪声的影响；在气动性噪声设备上安装相应的消声装置，如引风机应安 装消声器。在平面布置上采取</w:t>
      </w:r>
      <w:r>
        <w:rPr>
          <w:rFonts w:ascii="宋体" w:hAnsi="宋体"/>
        </w:rPr>
        <w:t>“</w:t>
      </w:r>
      <w:r>
        <w:rPr>
          <w:rFonts w:hint="eastAsia"/>
        </w:rPr>
        <w:t>闹静分开</w:t>
      </w:r>
      <w:r>
        <w:rPr>
          <w:rFonts w:ascii="宋体" w:hAnsi="宋体"/>
        </w:rPr>
        <w:t>”</w:t>
      </w:r>
      <w:r>
        <w:rPr>
          <w:rFonts w:hint="eastAsia"/>
        </w:rPr>
        <w:t>和</w:t>
      </w:r>
      <w:r>
        <w:rPr>
          <w:rFonts w:ascii="宋体" w:hAnsi="宋体"/>
        </w:rPr>
        <w:t>“</w:t>
      </w:r>
      <w:r>
        <w:rPr>
          <w:rFonts w:hint="eastAsia"/>
        </w:rPr>
        <w:t>合理布局</w:t>
      </w:r>
      <w:r>
        <w:rPr>
          <w:rFonts w:ascii="宋体" w:hAnsi="宋体"/>
        </w:rPr>
        <w:t>”</w:t>
      </w:r>
      <w:r>
        <w:rPr>
          <w:rFonts w:hint="eastAsia"/>
        </w:rPr>
        <w:t xml:space="preserve">的设计原则，尽量将噪声大的噪声源远离养殖场边界和敏感点，通过距离衰减降噪。把车间的噪声影响限制在场区范围内，降低噪声对外界的影响。 </w:t>
      </w:r>
    </w:p>
    <w:p>
      <w:pPr>
        <w:pStyle w:val="49"/>
        <w:ind w:firstLine="480"/>
      </w:pPr>
      <w:r>
        <w:rPr>
          <w:rFonts w:hint="eastAsia"/>
        </w:rPr>
        <w:t>（</w:t>
      </w:r>
      <w:r>
        <w:t>3</w:t>
      </w:r>
      <w:r>
        <w:rPr>
          <w:rFonts w:hint="eastAsia"/>
        </w:rPr>
        <w:t xml:space="preserve">）减振与隔振：机械设备产生的噪声不仅能以空气为媒介向外传播，还有直 接激发固体构件振动以弹性波的形式在基础、地板、墙壁、管道中传播，并在传播 过程中向外辐射噪声，为了防止振动产生的噪声污染，各类设备采取基础减振措施。 </w:t>
      </w:r>
    </w:p>
    <w:p>
      <w:pPr>
        <w:pStyle w:val="49"/>
        <w:ind w:firstLine="480"/>
      </w:pPr>
      <w:r>
        <w:rPr>
          <w:rFonts w:hint="eastAsia"/>
        </w:rPr>
        <w:t>（</w:t>
      </w:r>
      <w:r>
        <w:t>4</w:t>
      </w:r>
      <w:r>
        <w:rPr>
          <w:rFonts w:hint="eastAsia"/>
        </w:rPr>
        <w:t xml:space="preserve">）发电机噪声：备用柴油发电机设置在配电房内，采取如下措施可以保证边 界噪声达到排放标准：发电机组的基础采取减震设计，以减少发电机发电时振动向 外传递；机房全封闭处理，墙壁为 </w:t>
      </w:r>
      <w:r>
        <w:t xml:space="preserve">240mm </w:t>
      </w:r>
      <w:r>
        <w:rPr>
          <w:rFonts w:hint="eastAsia"/>
        </w:rPr>
        <w:t xml:space="preserve">砖墙，设置隔声门、窗，机房四壁顶棚挂 贴吸声材料，护面为镀锌微孔板，以减少发电机房的混响声；柴油发电机房门采用 标准隔声门，隔声量不小于 </w:t>
      </w:r>
      <w:r>
        <w:t>40dB(A)</w:t>
      </w:r>
      <w:r>
        <w:rPr>
          <w:rFonts w:hint="eastAsia"/>
        </w:rPr>
        <w:t>；为解决发电机组尾气排放的气动性噪声，发电机配两级消声器，消声器为复合式，具有良好的消频率特征；室内强制通风，采用低噪声型风机，进出风口安装弯头消声，以免噪声通过通风口传播。</w:t>
      </w:r>
    </w:p>
    <w:p>
      <w:pPr>
        <w:pStyle w:val="49"/>
        <w:ind w:firstLine="480"/>
      </w:pPr>
      <w:r>
        <w:t>3</w:t>
      </w:r>
      <w:r>
        <w:rPr>
          <w:rFonts w:hint="eastAsia"/>
        </w:rPr>
        <w:t>、加强绿化</w:t>
      </w:r>
    </w:p>
    <w:p>
      <w:pPr>
        <w:pStyle w:val="49"/>
        <w:ind w:firstLine="480"/>
      </w:pPr>
      <w:r>
        <w:rPr>
          <w:rFonts w:hint="eastAsia"/>
        </w:rPr>
        <w:t xml:space="preserve">在噪声源与声环境敏感点之间多种植吸声效果好的树木，减小声环境敏感点受 </w:t>
      </w:r>
    </w:p>
    <w:p>
      <w:pPr>
        <w:pStyle w:val="49"/>
        <w:ind w:firstLine="0" w:firstLineChars="0"/>
      </w:pPr>
      <w:r>
        <w:rPr>
          <w:rFonts w:hint="eastAsia"/>
        </w:rPr>
        <w:t>场内噪声源的影响。</w:t>
      </w:r>
    </w:p>
    <w:p>
      <w:pPr>
        <w:pStyle w:val="49"/>
        <w:ind w:firstLine="480"/>
      </w:pPr>
      <w:r>
        <w:t>4</w:t>
      </w:r>
      <w:r>
        <w:rPr>
          <w:rFonts w:hint="eastAsia"/>
        </w:rPr>
        <w:t xml:space="preserve">、车辆运输降噪措施 </w:t>
      </w:r>
    </w:p>
    <w:p>
      <w:pPr>
        <w:pStyle w:val="49"/>
        <w:ind w:firstLine="480"/>
      </w:pPr>
      <w:r>
        <w:rPr>
          <w:rFonts w:hint="eastAsia"/>
        </w:rPr>
        <w:t xml:space="preserve">项目运输采取沿线居民人数较小，运输距离较短的路线，在项目运输过程中采 取限速、禁止鸣笛、运输车辆沿途按照规范操作进行驾驶可有效减少项目车辆运输 对周边环境的影响。 </w:t>
      </w:r>
    </w:p>
    <w:p>
      <w:pPr>
        <w:pStyle w:val="49"/>
        <w:ind w:firstLine="480"/>
      </w:pPr>
      <w:r>
        <w:rPr>
          <w:rFonts w:hint="eastAsia"/>
        </w:rPr>
        <w:t>综上所述，在采取以上措施后，项目厂界东、南、西、北面的噪声值能满足《工业企业厂界环境噪声排放标准》（</w:t>
      </w:r>
      <w:r>
        <w:t>GB12348-2008</w:t>
      </w:r>
      <w:r>
        <w:rPr>
          <w:rFonts w:hint="eastAsia"/>
        </w:rPr>
        <w:t>）</w:t>
      </w:r>
      <w:r>
        <w:t xml:space="preserve">2 </w:t>
      </w:r>
      <w:r>
        <w:rPr>
          <w:rFonts w:hint="eastAsia"/>
        </w:rPr>
        <w:t>类标准的要求。车辆运输产生的噪声对运输沿线的居民影响较小。由同类型企业的运行经验可知，本项目所采用的各种噪声治理措施，均是成熟可靠的措施，只要严格管理，勤于维护，均可达到预期的治理效果，因此，本工程的噪声治理是可行的。</w:t>
      </w:r>
    </w:p>
    <w:p>
      <w:pPr>
        <w:pStyle w:val="4"/>
      </w:pPr>
      <w:bookmarkStart w:id="266" w:name="_Toc194481223"/>
      <w:r>
        <w:rPr>
          <w:rFonts w:hint="eastAsia"/>
        </w:rPr>
        <w:t>6</w:t>
      </w:r>
      <w:r>
        <w:t>.</w:t>
      </w:r>
      <w:r>
        <w:rPr>
          <w:rFonts w:hint="eastAsia"/>
        </w:rPr>
        <w:t>2</w:t>
      </w:r>
      <w:r>
        <w:t>.</w:t>
      </w:r>
      <w:r>
        <w:rPr>
          <w:rFonts w:hint="eastAsia"/>
        </w:rPr>
        <w:t>4</w:t>
      </w:r>
      <w:r>
        <w:t xml:space="preserve"> </w:t>
      </w:r>
      <w:r>
        <w:rPr>
          <w:rFonts w:hint="eastAsia"/>
        </w:rPr>
        <w:t>营运期固体废物</w:t>
      </w:r>
      <w:r>
        <w:t>污染防治措施</w:t>
      </w:r>
      <w:bookmarkEnd w:id="266"/>
    </w:p>
    <w:p>
      <w:pPr>
        <w:pStyle w:val="49"/>
        <w:ind w:firstLine="480"/>
      </w:pPr>
      <w:r>
        <w:rPr>
          <w:rFonts w:hint="eastAsia"/>
        </w:rPr>
        <w:t>本项目营运期产生的固体废物主要包括鸡粪、病死鸡、污泥、废包装材料、医疗垃圾和生活垃圾。</w:t>
      </w:r>
    </w:p>
    <w:p>
      <w:pPr>
        <w:pStyle w:val="49"/>
        <w:ind w:firstLine="480"/>
      </w:pPr>
      <w:r>
        <w:rPr>
          <w:rFonts w:hint="eastAsia"/>
        </w:rPr>
        <w:t>1、鸡粪</w:t>
      </w:r>
    </w:p>
    <w:p>
      <w:pPr>
        <w:pStyle w:val="49"/>
        <w:ind w:firstLine="480"/>
      </w:pPr>
      <w:r>
        <w:rPr>
          <w:rFonts w:hint="eastAsia"/>
        </w:rPr>
        <w:t>本项目鸡粪采用干清粪工艺，日产日清，由鸡舍内清粪带及中央集粪带将鸡粪输送至运输车辆内，再由运输汽车转运至鸡粪风干车间，风干后转运至有湖南恩润生物科技有限公司制造有机肥。</w:t>
      </w:r>
    </w:p>
    <w:p>
      <w:pPr>
        <w:pStyle w:val="49"/>
        <w:ind w:firstLine="480"/>
      </w:pPr>
      <w:r>
        <w:rPr>
          <w:rFonts w:hint="eastAsia"/>
        </w:rPr>
        <w:t>2、病死鸡</w:t>
      </w:r>
    </w:p>
    <w:p>
      <w:pPr>
        <w:pStyle w:val="49"/>
        <w:ind w:firstLine="480"/>
      </w:pPr>
      <w:r>
        <w:rPr>
          <w:rFonts w:hint="eastAsia"/>
        </w:rPr>
        <w:t>病死鸡在冷冻库暂存后定期交由永州恩泉环保科技有限公司无害化处置。</w:t>
      </w:r>
    </w:p>
    <w:p>
      <w:pPr>
        <w:pStyle w:val="49"/>
        <w:ind w:firstLine="480"/>
      </w:pPr>
      <w:r>
        <w:rPr>
          <w:rFonts w:hint="eastAsia"/>
        </w:rPr>
        <w:t xml:space="preserve">要求建设单位结合本项目按照《病死动物无害化处理技术规范》有关规定对病死鸡进行管理、暂存和运输，具体要求如下： </w:t>
      </w:r>
    </w:p>
    <w:p>
      <w:pPr>
        <w:pStyle w:val="49"/>
        <w:ind w:firstLine="480"/>
      </w:pPr>
      <w:r>
        <w:rPr>
          <w:rFonts w:hint="eastAsia"/>
        </w:rPr>
        <w:t xml:space="preserve">①定期对暂存病死鸡的冰冻库进行清洗消毒； </w:t>
      </w:r>
    </w:p>
    <w:p>
      <w:pPr>
        <w:pStyle w:val="49"/>
        <w:ind w:firstLine="480"/>
      </w:pPr>
      <w:r>
        <w:rPr>
          <w:rFonts w:hint="eastAsia"/>
        </w:rPr>
        <w:t>②病死动物的收集、暂存、装运、无害化处理等环节应建有台帐和记录。</w:t>
      </w:r>
    </w:p>
    <w:p>
      <w:pPr>
        <w:pStyle w:val="49"/>
        <w:ind w:firstLine="480"/>
      </w:pPr>
      <w:r>
        <w:rPr>
          <w:rFonts w:hint="eastAsia"/>
        </w:rPr>
        <w:t>3、污泥</w:t>
      </w:r>
    </w:p>
    <w:p>
      <w:pPr>
        <w:pStyle w:val="49"/>
        <w:ind w:firstLine="480"/>
      </w:pPr>
      <w:r>
        <w:rPr>
          <w:rFonts w:hint="eastAsia"/>
        </w:rPr>
        <w:t>污泥收集转运至鸡粪风干车间同鸡粪一并风干后，再转运给湖南恩润生物科技有限公司制造有机肥</w:t>
      </w:r>
    </w:p>
    <w:p>
      <w:pPr>
        <w:pStyle w:val="49"/>
        <w:ind w:firstLine="480"/>
      </w:pPr>
      <w:r>
        <w:rPr>
          <w:rFonts w:hint="eastAsia"/>
        </w:rPr>
        <w:t>4、废包装材料</w:t>
      </w:r>
    </w:p>
    <w:p>
      <w:pPr>
        <w:pStyle w:val="49"/>
        <w:ind w:firstLine="480"/>
      </w:pPr>
      <w:r>
        <w:rPr>
          <w:rFonts w:hint="eastAsia"/>
        </w:rPr>
        <w:t>废包装材料收集在一般固废暂存间内暂存，再外售综合利用。</w:t>
      </w:r>
    </w:p>
    <w:p>
      <w:pPr>
        <w:pStyle w:val="49"/>
        <w:ind w:firstLine="480"/>
      </w:pPr>
      <w:r>
        <w:rPr>
          <w:rFonts w:hint="eastAsia"/>
        </w:rPr>
        <w:t>5、医疗垃圾</w:t>
      </w:r>
    </w:p>
    <w:p>
      <w:pPr>
        <w:pStyle w:val="49"/>
        <w:ind w:firstLine="480"/>
      </w:pPr>
      <w:r>
        <w:rPr>
          <w:rFonts w:hint="eastAsia"/>
        </w:rPr>
        <w:t>医疗垃圾分类收集在危废暂存间内暂存，再定期交有资质单位处置。</w:t>
      </w:r>
    </w:p>
    <w:p>
      <w:pPr>
        <w:pStyle w:val="49"/>
        <w:ind w:firstLine="480"/>
      </w:pPr>
      <w:r>
        <w:rPr>
          <w:rFonts w:hint="eastAsia"/>
        </w:rPr>
        <w:t>本项目设置1个危废暂存间，建筑面积约5m</w:t>
      </w:r>
      <w:r>
        <w:rPr>
          <w:rFonts w:hint="eastAsia"/>
          <w:vertAlign w:val="superscript"/>
        </w:rPr>
        <w:t>2</w:t>
      </w:r>
      <w:r>
        <w:rPr>
          <w:rFonts w:hint="eastAsia"/>
        </w:rPr>
        <w:t>，用来暂存项目产生的医疗垃圾。</w:t>
      </w:r>
    </w:p>
    <w:p>
      <w:pPr>
        <w:pStyle w:val="53"/>
      </w:pPr>
    </w:p>
    <w:p>
      <w:pPr>
        <w:pStyle w:val="53"/>
      </w:pPr>
      <w:r>
        <w:rPr>
          <w:rFonts w:hint="eastAsia"/>
        </w:rPr>
        <w:t xml:space="preserve">表 </w:t>
      </w:r>
      <w:r>
        <w:t>6.2-</w:t>
      </w:r>
      <w:r>
        <w:rPr>
          <w:rFonts w:hint="eastAsia"/>
        </w:rPr>
        <w:t xml:space="preserve">3 </w:t>
      </w:r>
      <w:r>
        <w:t xml:space="preserve"> </w:t>
      </w:r>
      <w:r>
        <w:rPr>
          <w:rFonts w:hint="eastAsia"/>
        </w:rPr>
        <w:t>建设项目危险废物贮存场所（设施）基本情况表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851"/>
        <w:gridCol w:w="1559"/>
        <w:gridCol w:w="850"/>
        <w:gridCol w:w="709"/>
        <w:gridCol w:w="992"/>
        <w:gridCol w:w="709"/>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51"/>
            </w:pPr>
            <w:r>
              <w:rPr>
                <w:rFonts w:hint="eastAsia"/>
              </w:rPr>
              <w:t>贮存场所（设施）</w:t>
            </w:r>
          </w:p>
        </w:tc>
        <w:tc>
          <w:tcPr>
            <w:tcW w:w="1134" w:type="dxa"/>
            <w:vAlign w:val="center"/>
          </w:tcPr>
          <w:p>
            <w:pPr>
              <w:pStyle w:val="51"/>
            </w:pPr>
            <w:r>
              <w:rPr>
                <w:rFonts w:hint="eastAsia"/>
              </w:rPr>
              <w:t xml:space="preserve">危险废 </w:t>
            </w:r>
          </w:p>
          <w:p>
            <w:pPr>
              <w:pStyle w:val="51"/>
            </w:pPr>
            <w:r>
              <w:rPr>
                <w:rFonts w:hint="eastAsia"/>
              </w:rPr>
              <w:t>物名称</w:t>
            </w:r>
          </w:p>
        </w:tc>
        <w:tc>
          <w:tcPr>
            <w:tcW w:w="851" w:type="dxa"/>
            <w:vAlign w:val="center"/>
          </w:tcPr>
          <w:p>
            <w:pPr>
              <w:pStyle w:val="51"/>
            </w:pPr>
            <w:r>
              <w:rPr>
                <w:rFonts w:hint="eastAsia"/>
              </w:rPr>
              <w:t xml:space="preserve">危险废 </w:t>
            </w:r>
          </w:p>
          <w:p>
            <w:pPr>
              <w:pStyle w:val="51"/>
            </w:pPr>
            <w:r>
              <w:rPr>
                <w:rFonts w:hint="eastAsia"/>
              </w:rPr>
              <w:t>物类别</w:t>
            </w:r>
          </w:p>
        </w:tc>
        <w:tc>
          <w:tcPr>
            <w:tcW w:w="1559" w:type="dxa"/>
            <w:vAlign w:val="center"/>
          </w:tcPr>
          <w:p>
            <w:pPr>
              <w:pStyle w:val="51"/>
            </w:pPr>
            <w:r>
              <w:rPr>
                <w:rFonts w:hint="eastAsia"/>
              </w:rPr>
              <w:t>危险废物代码</w:t>
            </w:r>
          </w:p>
        </w:tc>
        <w:tc>
          <w:tcPr>
            <w:tcW w:w="850" w:type="dxa"/>
            <w:vAlign w:val="center"/>
          </w:tcPr>
          <w:p>
            <w:pPr>
              <w:pStyle w:val="51"/>
            </w:pPr>
            <w:r>
              <w:rPr>
                <w:rFonts w:hint="eastAsia"/>
              </w:rPr>
              <w:t>位置</w:t>
            </w:r>
          </w:p>
        </w:tc>
        <w:tc>
          <w:tcPr>
            <w:tcW w:w="709" w:type="dxa"/>
            <w:vAlign w:val="center"/>
          </w:tcPr>
          <w:p>
            <w:pPr>
              <w:pStyle w:val="51"/>
            </w:pPr>
            <w:r>
              <w:rPr>
                <w:rFonts w:hint="eastAsia"/>
              </w:rPr>
              <w:t>面积</w:t>
            </w:r>
          </w:p>
        </w:tc>
        <w:tc>
          <w:tcPr>
            <w:tcW w:w="992" w:type="dxa"/>
            <w:vAlign w:val="center"/>
          </w:tcPr>
          <w:p>
            <w:pPr>
              <w:pStyle w:val="51"/>
            </w:pPr>
            <w:r>
              <w:rPr>
                <w:rFonts w:hint="eastAsia"/>
              </w:rPr>
              <w:t>贮存</w:t>
            </w:r>
          </w:p>
          <w:p>
            <w:pPr>
              <w:pStyle w:val="51"/>
            </w:pPr>
            <w:r>
              <w:rPr>
                <w:rFonts w:hint="eastAsia"/>
              </w:rPr>
              <w:t>方式</w:t>
            </w:r>
          </w:p>
        </w:tc>
        <w:tc>
          <w:tcPr>
            <w:tcW w:w="709" w:type="dxa"/>
            <w:vAlign w:val="center"/>
          </w:tcPr>
          <w:p>
            <w:pPr>
              <w:pStyle w:val="51"/>
            </w:pPr>
            <w:r>
              <w:rPr>
                <w:rFonts w:hint="eastAsia"/>
              </w:rPr>
              <w:t>贮存</w:t>
            </w:r>
          </w:p>
          <w:p>
            <w:pPr>
              <w:pStyle w:val="51"/>
            </w:pPr>
            <w:r>
              <w:rPr>
                <w:rFonts w:hint="eastAsia"/>
              </w:rPr>
              <w:t>能力</w:t>
            </w:r>
          </w:p>
        </w:tc>
        <w:tc>
          <w:tcPr>
            <w:tcW w:w="703" w:type="dxa"/>
            <w:vAlign w:val="center"/>
          </w:tcPr>
          <w:p>
            <w:pPr>
              <w:pStyle w:val="51"/>
            </w:pPr>
            <w:r>
              <w:rPr>
                <w:rFonts w:hint="eastAsia"/>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51"/>
            </w:pPr>
            <w:r>
              <w:rPr>
                <w:rFonts w:hint="eastAsia"/>
              </w:rPr>
              <w:t>危废暂存间</w:t>
            </w:r>
          </w:p>
        </w:tc>
        <w:tc>
          <w:tcPr>
            <w:tcW w:w="1134" w:type="dxa"/>
            <w:vAlign w:val="center"/>
          </w:tcPr>
          <w:p>
            <w:pPr>
              <w:pStyle w:val="51"/>
            </w:pPr>
            <w:r>
              <w:rPr>
                <w:rFonts w:hint="eastAsia"/>
              </w:rPr>
              <w:t>医疗垃圾</w:t>
            </w:r>
          </w:p>
        </w:tc>
        <w:tc>
          <w:tcPr>
            <w:tcW w:w="851" w:type="dxa"/>
            <w:vAlign w:val="center"/>
          </w:tcPr>
          <w:p>
            <w:pPr>
              <w:pStyle w:val="51"/>
            </w:pPr>
            <w:r>
              <w:rPr>
                <w:rFonts w:hint="eastAsia"/>
              </w:rPr>
              <w:t>HW01</w:t>
            </w:r>
          </w:p>
        </w:tc>
        <w:tc>
          <w:tcPr>
            <w:tcW w:w="1559" w:type="dxa"/>
            <w:vAlign w:val="center"/>
          </w:tcPr>
          <w:p>
            <w:pPr>
              <w:pStyle w:val="51"/>
            </w:pPr>
            <w:r>
              <w:rPr>
                <w:rFonts w:hint="eastAsia"/>
              </w:rPr>
              <w:t>841-001-01、841-005-01</w:t>
            </w:r>
          </w:p>
        </w:tc>
        <w:tc>
          <w:tcPr>
            <w:tcW w:w="850" w:type="dxa"/>
            <w:vAlign w:val="center"/>
          </w:tcPr>
          <w:p>
            <w:pPr>
              <w:pStyle w:val="51"/>
            </w:pPr>
            <w:r>
              <w:rPr>
                <w:rFonts w:hint="eastAsia"/>
              </w:rPr>
              <w:t>办公生活区</w:t>
            </w:r>
          </w:p>
        </w:tc>
        <w:tc>
          <w:tcPr>
            <w:tcW w:w="709" w:type="dxa"/>
            <w:vAlign w:val="center"/>
          </w:tcPr>
          <w:p>
            <w:pPr>
              <w:pStyle w:val="51"/>
            </w:pPr>
            <w:r>
              <w:rPr>
                <w:rFonts w:hint="eastAsia"/>
              </w:rPr>
              <w:t>5m</w:t>
            </w:r>
            <w:r>
              <w:rPr>
                <w:rFonts w:hint="eastAsia"/>
                <w:vertAlign w:val="superscript"/>
              </w:rPr>
              <w:t>2</w:t>
            </w:r>
          </w:p>
        </w:tc>
        <w:tc>
          <w:tcPr>
            <w:tcW w:w="992" w:type="dxa"/>
            <w:vAlign w:val="center"/>
          </w:tcPr>
          <w:p>
            <w:pPr>
              <w:pStyle w:val="51"/>
            </w:pPr>
            <w:r>
              <w:rPr>
                <w:rFonts w:hint="eastAsia"/>
              </w:rPr>
              <w:t xml:space="preserve">胶桶密 </w:t>
            </w:r>
          </w:p>
          <w:p>
            <w:pPr>
              <w:pStyle w:val="51"/>
            </w:pPr>
            <w:r>
              <w:rPr>
                <w:rFonts w:hint="eastAsia"/>
              </w:rPr>
              <w:t>封贮存</w:t>
            </w:r>
          </w:p>
        </w:tc>
        <w:tc>
          <w:tcPr>
            <w:tcW w:w="709" w:type="dxa"/>
            <w:vAlign w:val="center"/>
          </w:tcPr>
          <w:p>
            <w:pPr>
              <w:pStyle w:val="51"/>
            </w:pPr>
            <w:r>
              <w:rPr>
                <w:rFonts w:hint="eastAsia"/>
              </w:rPr>
              <w:t>5t</w:t>
            </w:r>
          </w:p>
        </w:tc>
        <w:tc>
          <w:tcPr>
            <w:tcW w:w="703" w:type="dxa"/>
            <w:vAlign w:val="center"/>
          </w:tcPr>
          <w:p>
            <w:pPr>
              <w:pStyle w:val="51"/>
            </w:pPr>
            <w:r>
              <w:rPr>
                <w:rFonts w:hint="eastAsia"/>
              </w:rPr>
              <w:t>1年</w:t>
            </w:r>
          </w:p>
        </w:tc>
      </w:tr>
    </w:tbl>
    <w:p>
      <w:pPr>
        <w:pStyle w:val="49"/>
        <w:ind w:firstLine="480"/>
      </w:pPr>
      <w:r>
        <w:rPr>
          <w:rFonts w:hint="eastAsia"/>
        </w:rPr>
        <w:t>危险废物暂存间应严格按照《危险废物贮存污染控制标准》</w:t>
      </w:r>
      <w:r>
        <w:t>(GB18597-2023</w:t>
      </w:r>
      <w:r>
        <w:rPr>
          <w:rFonts w:hint="eastAsia"/>
        </w:rPr>
        <w:t>） 规定进行。本环评将与本项目相关的规定列举如下：</w:t>
      </w:r>
    </w:p>
    <w:p>
      <w:pPr>
        <w:pStyle w:val="49"/>
        <w:ind w:firstLine="480"/>
      </w:pPr>
      <w:r>
        <w:rPr>
          <w:rFonts w:hint="eastAsia"/>
        </w:rPr>
        <w:t>（</w:t>
      </w:r>
      <w:r>
        <w:t>1</w:t>
      </w:r>
      <w:r>
        <w:rPr>
          <w:rFonts w:hint="eastAsia"/>
        </w:rPr>
        <w:t>）危险废物的堆放要求</w:t>
      </w:r>
    </w:p>
    <w:p>
      <w:pPr>
        <w:pStyle w:val="49"/>
        <w:ind w:firstLine="480"/>
      </w:pPr>
      <w:r>
        <w:rPr>
          <w:rFonts w:hint="eastAsia"/>
        </w:rPr>
        <w:t xml:space="preserve">①贮存设施或贮存分区内地面、墙面裙脚、堵截泄漏的围堰、接触危险废物的隔板和墙体等应采用坚固的材料建造，表面无裂缝。 </w:t>
      </w:r>
    </w:p>
    <w:p>
      <w:pPr>
        <w:pStyle w:val="49"/>
        <w:ind w:firstLine="480"/>
      </w:pPr>
      <w:r>
        <w:rPr>
          <w:rFonts w:hint="eastAsia"/>
        </w:rPr>
        <w:t>②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t xml:space="preserve">1m </w:t>
      </w:r>
      <w:r>
        <w:rPr>
          <w:rFonts w:hint="eastAsia"/>
        </w:rPr>
        <w:t>厚黏土层（渗透系数不大于</w:t>
      </w:r>
      <w:r>
        <w:t>10</w:t>
      </w:r>
      <w:r>
        <w:rPr>
          <w:vertAlign w:val="superscript"/>
        </w:rPr>
        <w:t>-7</w:t>
      </w:r>
      <w:r>
        <w:t>cm/s</w:t>
      </w:r>
      <w:r>
        <w:rPr>
          <w:rFonts w:hint="eastAsia"/>
        </w:rPr>
        <w:t>），或至少</w:t>
      </w:r>
      <w:r>
        <w:t xml:space="preserve">2mm </w:t>
      </w:r>
      <w:r>
        <w:rPr>
          <w:rFonts w:hint="eastAsia"/>
        </w:rPr>
        <w:t xml:space="preserve">厚高密度聚乙烯膜等人工防渗材料（渗透系数不大于 </w:t>
      </w:r>
      <w:r>
        <w:t>10</w:t>
      </w:r>
      <w:r>
        <w:rPr>
          <w:vertAlign w:val="superscript"/>
        </w:rPr>
        <w:t>-10</w:t>
      </w:r>
      <w:r>
        <w:t>cm/s</w:t>
      </w:r>
      <w:r>
        <w:rPr>
          <w:rFonts w:hint="eastAsia"/>
        </w:rPr>
        <w:t>），或其他防渗性能等效的材料。</w:t>
      </w:r>
    </w:p>
    <w:p>
      <w:pPr>
        <w:pStyle w:val="49"/>
        <w:ind w:firstLine="480"/>
      </w:pPr>
      <w:r>
        <w:rPr>
          <w:rFonts w:hint="eastAsia"/>
        </w:rPr>
        <w:t>③贮存易产生粉尘、</w:t>
      </w:r>
      <w:r>
        <w:t>VOCs</w:t>
      </w:r>
      <w:r>
        <w:rPr>
          <w:rFonts w:hint="eastAsia"/>
        </w:rPr>
        <w:t xml:space="preserve">、酸雾、有毒有害大气污染物和刺激性气味气体的危险废物贮存库，应设置气体收集装置和气体净化设施；气体净化设施的排气筒高度应符合 </w:t>
      </w:r>
      <w:r>
        <w:t xml:space="preserve">GB 16297 </w:t>
      </w:r>
      <w:r>
        <w:rPr>
          <w:rFonts w:hint="eastAsia"/>
        </w:rPr>
        <w:t xml:space="preserve">要求。 </w:t>
      </w:r>
    </w:p>
    <w:p>
      <w:pPr>
        <w:pStyle w:val="49"/>
        <w:ind w:firstLine="480"/>
      </w:pPr>
      <w:r>
        <w:rPr>
          <w:rFonts w:hint="eastAsia"/>
        </w:rPr>
        <w:t xml:space="preserve">④贮存场应设置径流疏导系统，保证能防止当地重现期不小于 </w:t>
      </w:r>
      <w:r>
        <w:t xml:space="preserve">25 </w:t>
      </w:r>
      <w:r>
        <w:rPr>
          <w:rFonts w:hint="eastAsia"/>
        </w:rPr>
        <w:t xml:space="preserve">年的暴雨流入贮存区域，并采取措施防止雨水冲淋危险废物，避免增加渗滤液量。 </w:t>
      </w:r>
    </w:p>
    <w:p>
      <w:pPr>
        <w:pStyle w:val="49"/>
        <w:ind w:firstLine="480"/>
      </w:pPr>
      <w:r>
        <w:rPr>
          <w:rFonts w:hint="eastAsia"/>
        </w:rPr>
        <w:t xml:space="preserve">⑤贮存场可整体或分区设计液体导流和收集设施，收集设施容积应保证在最不利条件下可以容纳对应贮存区域产生的渗滤液、废水等液态物质。 </w:t>
      </w:r>
    </w:p>
    <w:p>
      <w:pPr>
        <w:pStyle w:val="49"/>
        <w:ind w:firstLine="480"/>
      </w:pPr>
      <w:r>
        <w:rPr>
          <w:rFonts w:hint="eastAsia"/>
        </w:rPr>
        <w:t>（</w:t>
      </w:r>
      <w:r>
        <w:t>2</w:t>
      </w:r>
      <w:r>
        <w:rPr>
          <w:rFonts w:hint="eastAsia"/>
        </w:rPr>
        <w:t xml:space="preserve">）危险废物贮存设施的运行与管理 </w:t>
      </w:r>
    </w:p>
    <w:p>
      <w:pPr>
        <w:pStyle w:val="49"/>
        <w:ind w:firstLine="480"/>
      </w:pPr>
      <w:r>
        <w:rPr>
          <w:rFonts w:hint="eastAsia"/>
        </w:rPr>
        <w:t xml:space="preserve">①危险废物存入贮存设施前应对危险废物类别和特性与危险废物标签等危险废物识别标志的一致性进行核验，不一致的或类别、特性不明的不应存入。 </w:t>
      </w:r>
    </w:p>
    <w:p>
      <w:pPr>
        <w:pStyle w:val="49"/>
        <w:ind w:firstLine="480"/>
      </w:pPr>
      <w:r>
        <w:rPr>
          <w:rFonts w:hint="eastAsia"/>
        </w:rPr>
        <w:t xml:space="preserve">②应定期检查危险废物的贮存状况，及时清理贮存设施地面，更换破损泄漏的危险废物贮存容器和包装物，保证堆存危险废物的防雨、防风、防扬尘等设施功能完好。 </w:t>
      </w:r>
    </w:p>
    <w:p>
      <w:pPr>
        <w:pStyle w:val="49"/>
        <w:ind w:firstLine="480"/>
      </w:pPr>
      <w:r>
        <w:rPr>
          <w:rFonts w:hint="eastAsia"/>
        </w:rPr>
        <w:t xml:space="preserve">③作业设备及车辆等结束作业离开贮存设施时，应对其残留的危险废物进行清理，清理的废物或清洗废水应收集处理。 </w:t>
      </w:r>
    </w:p>
    <w:p>
      <w:pPr>
        <w:pStyle w:val="49"/>
        <w:ind w:firstLine="480"/>
      </w:pPr>
      <w:r>
        <w:rPr>
          <w:rFonts w:hint="eastAsia"/>
        </w:rPr>
        <w:t xml:space="preserve">④贮存设施运行期间，应按国家有关标准和规定建立危险废物管理台账并保存。 </w:t>
      </w:r>
    </w:p>
    <w:p>
      <w:pPr>
        <w:pStyle w:val="49"/>
        <w:ind w:firstLine="480"/>
      </w:pPr>
      <w:r>
        <w:rPr>
          <w:rFonts w:hint="eastAsia"/>
        </w:rPr>
        <w:t xml:space="preserve">⑤贮存设施所有者或运营者应建立贮存设施环境管理制度、管理人员岗位职责制度、设施运行操作制度、人员岗位培训制度等。 </w:t>
      </w:r>
    </w:p>
    <w:p>
      <w:pPr>
        <w:pStyle w:val="49"/>
        <w:ind w:firstLine="480"/>
      </w:pPr>
      <w:r>
        <w:rPr>
          <w:rFonts w:hint="eastAsia"/>
        </w:rPr>
        <w:t xml:space="preserve">⑥贮存设施所有者或运营者应依据国家土壤和地下水污染防治的有关规定，结合贮存设施特点建立土壤和地下水污染隐患排查制度，并定期开展隐患排查；发现隐患应及时采取措施消除隐患，并建立档案。 </w:t>
      </w:r>
    </w:p>
    <w:p>
      <w:pPr>
        <w:pStyle w:val="49"/>
        <w:ind w:firstLine="480"/>
      </w:pPr>
      <w:r>
        <w:rPr>
          <w:rFonts w:hint="eastAsia"/>
        </w:rPr>
        <w:t>⑦贮存设施所有者或运营者应建立贮存设施全部档案，包括设计、施工、验收、运行、监测和环境应急等，应按国家有关档案管理的法律法规进行整理和归档。</w:t>
      </w:r>
    </w:p>
    <w:p>
      <w:pPr>
        <w:pStyle w:val="49"/>
        <w:ind w:firstLine="480"/>
      </w:pPr>
      <w:r>
        <w:rPr>
          <w:rFonts w:hint="eastAsia"/>
        </w:rPr>
        <w:t>6、生活垃圾</w:t>
      </w:r>
    </w:p>
    <w:p>
      <w:pPr>
        <w:pStyle w:val="49"/>
        <w:ind w:firstLine="480"/>
      </w:pPr>
      <w:r>
        <w:rPr>
          <w:rFonts w:hint="eastAsia"/>
        </w:rPr>
        <w:t>生活垃圾交由环卫部门统一清运处置。</w:t>
      </w:r>
    </w:p>
    <w:p>
      <w:pPr>
        <w:pStyle w:val="49"/>
        <w:ind w:firstLine="480"/>
      </w:pPr>
      <w:r>
        <w:rPr>
          <w:rFonts w:hint="eastAsia"/>
        </w:rPr>
        <w:t>综上分析，本项目产生的各固体废物均有相应的处置方式，不直接排放至外界环境，项目认真落实各固废的处置措施后对外界环境影响不明显，措施可行。</w:t>
      </w:r>
    </w:p>
    <w:p>
      <w:pPr>
        <w:pStyle w:val="4"/>
      </w:pPr>
      <w:bookmarkStart w:id="267" w:name="_Toc194481224"/>
      <w:r>
        <w:rPr>
          <w:rFonts w:hint="eastAsia"/>
        </w:rPr>
        <w:t>6</w:t>
      </w:r>
      <w:r>
        <w:t>.</w:t>
      </w:r>
      <w:r>
        <w:rPr>
          <w:rFonts w:hint="eastAsia"/>
        </w:rPr>
        <w:t>2</w:t>
      </w:r>
      <w:r>
        <w:t>.</w:t>
      </w:r>
      <w:r>
        <w:rPr>
          <w:rFonts w:hint="eastAsia"/>
        </w:rPr>
        <w:t>5</w:t>
      </w:r>
      <w:r>
        <w:t xml:space="preserve"> </w:t>
      </w:r>
      <w:r>
        <w:rPr>
          <w:rFonts w:hint="eastAsia"/>
        </w:rPr>
        <w:t>营运期土壤</w:t>
      </w:r>
      <w:r>
        <w:t>污染防治措施</w:t>
      </w:r>
      <w:bookmarkEnd w:id="267"/>
    </w:p>
    <w:p>
      <w:pPr>
        <w:pStyle w:val="49"/>
        <w:ind w:firstLine="480"/>
      </w:pPr>
      <w:r>
        <w:t>营运期土壤防治措施要求与地下水环境防控措施基本类似，主体按照</w:t>
      </w:r>
      <w:r>
        <w:rPr>
          <w:rFonts w:ascii="宋体" w:hAnsi="宋体"/>
        </w:rPr>
        <w:t>“</w:t>
      </w:r>
      <w:r>
        <w:t>源头控制、分区防治、污染监控、应急响应</w:t>
      </w:r>
      <w:r>
        <w:rPr>
          <w:rFonts w:ascii="宋体" w:hAnsi="宋体"/>
        </w:rPr>
        <w:t>”</w:t>
      </w:r>
      <w:r>
        <w:t>相结合的原则。</w:t>
      </w:r>
    </w:p>
    <w:p>
      <w:pPr>
        <w:pStyle w:val="5"/>
      </w:pPr>
      <w:r>
        <w:rPr>
          <w:rFonts w:hint="eastAsia"/>
        </w:rPr>
        <w:t>6.2.5.</w:t>
      </w:r>
      <w:r>
        <w:t>1</w:t>
      </w:r>
      <w:r>
        <w:rPr>
          <w:rFonts w:hint="eastAsia"/>
        </w:rPr>
        <w:t xml:space="preserve"> 源头控制措施</w:t>
      </w:r>
    </w:p>
    <w:p>
      <w:pPr>
        <w:pStyle w:val="49"/>
        <w:ind w:firstLine="480"/>
      </w:pPr>
      <w:r>
        <w:rPr>
          <w:rFonts w:hint="eastAsia"/>
        </w:rPr>
        <w:t xml:space="preserve">1、项目采用干清粪工艺，控制冲洗废水用量，减少废水量。 </w:t>
      </w:r>
    </w:p>
    <w:p>
      <w:pPr>
        <w:pStyle w:val="49"/>
        <w:ind w:firstLine="480"/>
      </w:pPr>
      <w:r>
        <w:rPr>
          <w:rFonts w:hint="eastAsia"/>
        </w:rPr>
        <w:t>2、对建构筑物、管道、设备、粪污储存及处理设施采取防渗漏、防溢流等相应的措施，以防止和降低污染物的跑、冒、滴、漏，将污染物泄漏的环境风险降到最低程度。</w:t>
      </w:r>
    </w:p>
    <w:p>
      <w:pPr>
        <w:pStyle w:val="5"/>
        <w:keepNext w:val="0"/>
        <w:widowControl w:val="0"/>
      </w:pPr>
      <w:r>
        <w:rPr>
          <w:rFonts w:hint="eastAsia"/>
        </w:rPr>
        <w:t xml:space="preserve">6.2.5.2 </w:t>
      </w:r>
      <w:r>
        <w:t>过程防控措施</w:t>
      </w:r>
    </w:p>
    <w:p>
      <w:pPr>
        <w:pStyle w:val="49"/>
        <w:ind w:firstLine="480"/>
      </w:pPr>
      <w:r>
        <w:rPr>
          <w:rFonts w:hint="eastAsia"/>
        </w:rPr>
        <w:t>项目采取相应的分区防渗措施（详见表6.2-3），以防止土壤环境污染。通过以上措施，项目对土壤环境影响不大，因此项目土壤污染防治措施可行。</w:t>
      </w:r>
    </w:p>
    <w:p>
      <w:pPr>
        <w:pStyle w:val="5"/>
      </w:pPr>
      <w:r>
        <w:rPr>
          <w:rFonts w:hint="eastAsia"/>
        </w:rPr>
        <w:t>6.2.5.3 应急相应措施</w:t>
      </w:r>
    </w:p>
    <w:p>
      <w:pPr>
        <w:pStyle w:val="49"/>
        <w:ind w:firstLine="480"/>
      </w:pPr>
      <w:r>
        <w:rPr>
          <w:rFonts w:hint="eastAsia"/>
        </w:rPr>
        <w:t>1</w:t>
      </w:r>
      <w:r>
        <w:t>、当发生异常情况时，按照装置制定的环境事故应急预案。在第一时间内尽快上报主管领导，启动周围社会风险预案，密切关注土壤质量变化情况。</w:t>
      </w:r>
    </w:p>
    <w:p>
      <w:pPr>
        <w:pStyle w:val="49"/>
        <w:ind w:firstLine="480"/>
      </w:pPr>
      <w:r>
        <w:rPr>
          <w:rFonts w:hint="eastAsia"/>
        </w:rPr>
        <w:t>2</w:t>
      </w:r>
      <w:r>
        <w:t>、组织专业队伍负责查找环境事故发生地点，分析事故原因，尽量紧急时间局部化，如可能应予以消除，尽量缩小环境事故对人和财产的影响。若存在污染物泄漏情况，应及时采取有效措施阻断确认的污染源，对重污染区域采取有效修复措施，防止污染物继续渗漏到地下，导致土壤和土壤污染范围扩大。</w:t>
      </w:r>
    </w:p>
    <w:p>
      <w:pPr>
        <w:pStyle w:val="49"/>
        <w:ind w:firstLine="480"/>
      </w:pPr>
      <w:r>
        <w:rPr>
          <w:rFonts w:hint="eastAsia"/>
        </w:rPr>
        <w:t>3</w:t>
      </w:r>
      <w:r>
        <w:t>、对事故现场进行调查，监测，处理。对事故后果进行评估，采取紧急措施</w:t>
      </w:r>
      <w:r>
        <w:rPr>
          <w:rFonts w:hint="eastAsia"/>
        </w:rPr>
        <w:t>制止事故的扩散，并制定防止类似时间发生的措施。</w:t>
      </w:r>
    </w:p>
    <w:p>
      <w:pPr>
        <w:pStyle w:val="4"/>
      </w:pPr>
      <w:bookmarkStart w:id="268" w:name="_Toc194481225"/>
      <w:r>
        <w:rPr>
          <w:rFonts w:hint="eastAsia"/>
        </w:rPr>
        <w:t>6</w:t>
      </w:r>
      <w:r>
        <w:t>.</w:t>
      </w:r>
      <w:r>
        <w:rPr>
          <w:rFonts w:hint="eastAsia"/>
        </w:rPr>
        <w:t>2</w:t>
      </w:r>
      <w:r>
        <w:t>.</w:t>
      </w:r>
      <w:r>
        <w:rPr>
          <w:rFonts w:hint="eastAsia"/>
        </w:rPr>
        <w:t>6 营运期生态保护措施</w:t>
      </w:r>
      <w:bookmarkEnd w:id="268"/>
    </w:p>
    <w:p>
      <w:pPr>
        <w:pStyle w:val="49"/>
        <w:ind w:firstLine="480"/>
      </w:pPr>
      <w:r>
        <w:rPr>
          <w:rFonts w:hint="eastAsia"/>
        </w:rPr>
        <w:t>1</w:t>
      </w:r>
      <w:r>
        <w:t>、</w:t>
      </w:r>
      <w:r>
        <w:rPr>
          <w:rFonts w:hint="eastAsia"/>
        </w:rPr>
        <w:t xml:space="preserve">合理布局场区绿化 </w:t>
      </w:r>
    </w:p>
    <w:p>
      <w:pPr>
        <w:pStyle w:val="49"/>
        <w:ind w:firstLine="480"/>
      </w:pPr>
      <w:r>
        <w:rPr>
          <w:rFonts w:hint="eastAsia"/>
        </w:rPr>
        <w:t>项目运营后，应采取多种绿化形式，保持该地区的覆绿面积，将项目对生态的破坏降至最低。搞好绿化工作不仅是</w:t>
      </w:r>
      <w:r>
        <w:rPr>
          <w:rFonts w:ascii="宋体" w:hAnsi="宋体"/>
        </w:rPr>
        <w:t>“</w:t>
      </w:r>
      <w:r>
        <w:rPr>
          <w:rFonts w:hint="eastAsia"/>
        </w:rPr>
        <w:t>绿色生态养殖</w:t>
      </w:r>
      <w:r>
        <w:rPr>
          <w:rFonts w:ascii="宋体" w:hAnsi="宋体"/>
        </w:rPr>
        <w:t>”</w:t>
      </w:r>
      <w:r>
        <w:rPr>
          <w:rFonts w:hint="eastAsia"/>
        </w:rPr>
        <w:t xml:space="preserve">的重要标志，而且绿化还具有阻挡臭味气体、降低噪声、调节养殖场温度及湿度、吸附尘粒的作用，对局部的环境污染具有方面的长期和综合效果。因此项目应结合养殖项目布局，合理规划，优化树种，认真搞好绿化工程： </w:t>
      </w:r>
    </w:p>
    <w:p>
      <w:pPr>
        <w:pStyle w:val="49"/>
        <w:ind w:firstLine="480"/>
      </w:pPr>
      <w:r>
        <w:rPr>
          <w:rFonts w:hint="eastAsia"/>
        </w:rPr>
        <w:t xml:space="preserve">①绿化植物的选择既要考虑当地土壤及气候条件，又要结合工程的实际排污情况，同时要考虑近期和远期的绿化效果，可种植一些如桂花等发香的木本植物，将速生树和慢生树相搭配，植物、种草、栽培、盆景结合起来，形居高、中、低错落的主体绿化和垂直绿化，增加绿化效果和环境效果。 </w:t>
      </w:r>
    </w:p>
    <w:p>
      <w:pPr>
        <w:pStyle w:val="49"/>
        <w:ind w:firstLine="480"/>
      </w:pPr>
      <w:r>
        <w:rPr>
          <w:rFonts w:hint="eastAsia"/>
        </w:rPr>
        <w:t xml:space="preserve">②加强对区域内现有植被的保护，禁止滥砍乱伐树木，对必须砍伐的树木，采取移栽措施保护，加强植被病虫害的防治，强化对现有林地的管理。 </w:t>
      </w:r>
    </w:p>
    <w:p>
      <w:pPr>
        <w:pStyle w:val="49"/>
        <w:ind w:firstLine="480"/>
      </w:pPr>
      <w:r>
        <w:rPr>
          <w:rFonts w:hint="eastAsia"/>
        </w:rPr>
        <w:t>2</w:t>
      </w:r>
      <w:r>
        <w:t>、</w:t>
      </w:r>
      <w:r>
        <w:rPr>
          <w:rFonts w:hint="eastAsia"/>
        </w:rPr>
        <w:t xml:space="preserve">运营期加强环境管理，确保三废达标排放。 </w:t>
      </w:r>
    </w:p>
    <w:p>
      <w:pPr>
        <w:pStyle w:val="49"/>
        <w:ind w:firstLine="480"/>
      </w:pPr>
      <w:r>
        <w:rPr>
          <w:rFonts w:hint="eastAsia"/>
        </w:rPr>
        <w:t>在严格执行本环评提出的大气、地表水、地下水、噪声、固体废物污染防护措施后，本项目产生的污染物均得到妥善处置及达标排放，对周边生态环境影响不大。</w:t>
      </w:r>
    </w:p>
    <w:p>
      <w:pPr>
        <w:pStyle w:val="4"/>
      </w:pPr>
      <w:bookmarkStart w:id="269" w:name="_Toc194481226"/>
      <w:r>
        <w:rPr>
          <w:rFonts w:hint="eastAsia"/>
        </w:rPr>
        <w:t>6</w:t>
      </w:r>
      <w:r>
        <w:t>.</w:t>
      </w:r>
      <w:r>
        <w:rPr>
          <w:rFonts w:hint="eastAsia"/>
        </w:rPr>
        <w:t>2</w:t>
      </w:r>
      <w:r>
        <w:t>.</w:t>
      </w:r>
      <w:r>
        <w:rPr>
          <w:rFonts w:hint="eastAsia"/>
        </w:rPr>
        <w:t>7 营运期交通运输污染防治措施</w:t>
      </w:r>
      <w:bookmarkEnd w:id="269"/>
    </w:p>
    <w:p>
      <w:pPr>
        <w:pStyle w:val="49"/>
        <w:ind w:firstLine="480"/>
      </w:pPr>
      <w:r>
        <w:rPr>
          <w:rFonts w:hint="eastAsia"/>
        </w:rPr>
        <w:t xml:space="preserve">1、交通运输噪声防治措施 </w:t>
      </w:r>
    </w:p>
    <w:p>
      <w:pPr>
        <w:pStyle w:val="49"/>
        <w:ind w:firstLine="480"/>
      </w:pPr>
      <w:r>
        <w:rPr>
          <w:rFonts w:hint="eastAsia"/>
        </w:rPr>
        <w:t>为了减轻因车辆的增加而引起交通噪声，加强以下措施进行防范：</w:t>
      </w:r>
    </w:p>
    <w:p>
      <w:pPr>
        <w:pStyle w:val="49"/>
        <w:ind w:firstLine="480"/>
      </w:pPr>
      <w:r>
        <w:rPr>
          <w:rFonts w:hint="eastAsia"/>
        </w:rPr>
        <w:t xml:space="preserve">①根据生产实际情况，合理调度汽车运输。汽车运输尽量选择白天进行，在夜间 </w:t>
      </w:r>
      <w:r>
        <w:t xml:space="preserve">22 </w:t>
      </w:r>
      <w:r>
        <w:rPr>
          <w:rFonts w:hint="eastAsia"/>
        </w:rPr>
        <w:t xml:space="preserve">点以后就必须停止运输活动，这样避免因夜间运输出现的声环境超标现象。 </w:t>
      </w:r>
    </w:p>
    <w:p>
      <w:pPr>
        <w:pStyle w:val="49"/>
        <w:ind w:firstLine="480"/>
      </w:pPr>
      <w:r>
        <w:rPr>
          <w:rFonts w:hint="eastAsia"/>
        </w:rPr>
        <w:t xml:space="preserve">②运输车辆经过敏感区时禁鸣、限速。尽量降低运输车辆噪声对周边敏感区影响。 </w:t>
      </w:r>
    </w:p>
    <w:p>
      <w:pPr>
        <w:pStyle w:val="49"/>
        <w:ind w:firstLine="480"/>
      </w:pPr>
      <w:r>
        <w:rPr>
          <w:rFonts w:hint="eastAsia"/>
        </w:rPr>
        <w:t>2</w:t>
      </w:r>
      <w:r>
        <w:t>、</w:t>
      </w:r>
      <w:r>
        <w:rPr>
          <w:rFonts w:hint="eastAsia"/>
        </w:rPr>
        <w:t xml:space="preserve">运输沿线恶臭防治措施 </w:t>
      </w:r>
    </w:p>
    <w:p>
      <w:pPr>
        <w:pStyle w:val="49"/>
        <w:ind w:firstLine="480"/>
      </w:pPr>
      <w:r>
        <w:rPr>
          <w:rFonts w:hint="eastAsia"/>
        </w:rPr>
        <w:t xml:space="preserve">①运输车辆注意消毒，保持清洁。 </w:t>
      </w:r>
    </w:p>
    <w:p>
      <w:pPr>
        <w:pStyle w:val="49"/>
        <w:ind w:firstLine="480"/>
      </w:pPr>
      <w:r>
        <w:rPr>
          <w:rFonts w:hint="eastAsia"/>
        </w:rPr>
        <w:t xml:space="preserve">②尽量选择半封闭式的运输车辆，粪便运输途中避免发生抛、冒、滴、漏现象，最大可能地防止恶臭对城区运输路线两边居民的影响。 </w:t>
      </w:r>
    </w:p>
    <w:p>
      <w:pPr>
        <w:pStyle w:val="49"/>
        <w:ind w:firstLine="480"/>
      </w:pPr>
      <w:r>
        <w:rPr>
          <w:rFonts w:hint="eastAsia"/>
        </w:rPr>
        <w:t xml:space="preserve">③运输车辆按定额载重量运输，严禁超载行驶。 </w:t>
      </w:r>
    </w:p>
    <w:p>
      <w:pPr>
        <w:pStyle w:val="49"/>
        <w:ind w:firstLine="480"/>
      </w:pPr>
      <w:r>
        <w:rPr>
          <w:rFonts w:hint="eastAsia"/>
        </w:rPr>
        <w:t xml:space="preserve">④根据预定路线行驶，中途不得随意更改路线。必要情况下，把运输时间、频次告知沿途住户，并取得沿途群众谅解。 </w:t>
      </w:r>
    </w:p>
    <w:p>
      <w:pPr>
        <w:pStyle w:val="49"/>
        <w:ind w:firstLine="480"/>
        <w:sectPr>
          <w:headerReference r:id="rId11" w:type="default"/>
          <w:footerReference r:id="rId12" w:type="default"/>
          <w:pgSz w:w="11906" w:h="16838"/>
          <w:pgMar w:top="1417" w:right="1417" w:bottom="1417" w:left="1701" w:header="851" w:footer="992" w:gutter="0"/>
          <w:cols w:space="720" w:num="1"/>
          <w:docGrid w:type="lines" w:linePitch="326" w:charSpace="0"/>
        </w:sectPr>
      </w:pPr>
      <w:r>
        <w:rPr>
          <w:rFonts w:hint="eastAsia"/>
        </w:rPr>
        <w:t>经落实上述汽车调度、优化运输路线、加强运输车辆消毒清洁等措施后，可减轻因运输车辆引起的交通噪声及臭气污染等。</w:t>
      </w:r>
    </w:p>
    <w:p>
      <w:pPr>
        <w:pStyle w:val="2"/>
        <w:jc w:val="center"/>
        <w:rPr>
          <w:sz w:val="44"/>
          <w:szCs w:val="56"/>
        </w:rPr>
      </w:pPr>
      <w:bookmarkStart w:id="270" w:name="_Toc194481227"/>
      <w:r>
        <w:rPr>
          <w:rFonts w:hint="eastAsia"/>
          <w:sz w:val="44"/>
          <w:szCs w:val="56"/>
        </w:rPr>
        <w:t>第7章 环境风险评价</w:t>
      </w:r>
      <w:bookmarkEnd w:id="270"/>
    </w:p>
    <w:p>
      <w:pPr>
        <w:pStyle w:val="3"/>
      </w:pPr>
      <w:bookmarkStart w:id="271" w:name="_Toc194481228"/>
      <w:r>
        <w:rPr>
          <w:rFonts w:hint="eastAsia"/>
        </w:rPr>
        <w:t>7</w:t>
      </w:r>
      <w:r>
        <w:t>.</w:t>
      </w:r>
      <w:r>
        <w:rPr>
          <w:rFonts w:hint="eastAsia"/>
        </w:rPr>
        <w:t>1 环境风险评价原则</w:t>
      </w:r>
      <w:bookmarkEnd w:id="271"/>
    </w:p>
    <w:p>
      <w:pPr>
        <w:pStyle w:val="49"/>
        <w:ind w:firstLine="480"/>
        <w:rPr>
          <w:rFonts w:hint="eastAsia" w:ascii="宋体" w:hAnsi="宋体"/>
        </w:rPr>
      </w:pPr>
      <w:r>
        <w:rPr>
          <w:rFonts w:hint="eastAsia"/>
        </w:rPr>
        <w:t>按照《建设项目环境风险评价技术导则》（</w:t>
      </w:r>
      <w:r>
        <w:rPr>
          <w:rFonts w:cs="Times New Roman"/>
        </w:rPr>
        <w:t>HJ169-2018</w:t>
      </w:r>
      <w:r>
        <w:rPr>
          <w:rFonts w:hint="eastAsia"/>
        </w:rPr>
        <w:t>）的要求，环境风 险评价应以突发性事故导致的危险物质环境急性损害防控为目标，对建设项目 的环境风险进行分析、预测和评估，提出环境风险预防、控制、减缓措施，明</w:t>
      </w:r>
      <w:r>
        <w:rPr>
          <w:rFonts w:hint="eastAsia" w:ascii="宋体" w:hAnsi="宋体"/>
        </w:rPr>
        <w:t>确环境风险监控及应急要求，为建设项目环境风险防控提供科学依据。</w:t>
      </w:r>
    </w:p>
    <w:p>
      <w:pPr>
        <w:pStyle w:val="3"/>
      </w:pPr>
      <w:bookmarkStart w:id="272" w:name="_Toc194481229"/>
      <w:r>
        <w:rPr>
          <w:rFonts w:hint="eastAsia"/>
        </w:rPr>
        <w:t>7</w:t>
      </w:r>
      <w:r>
        <w:t>.</w:t>
      </w:r>
      <w:r>
        <w:rPr>
          <w:rFonts w:hint="eastAsia"/>
        </w:rPr>
        <w:t>2 评价工作程序</w:t>
      </w:r>
      <w:bookmarkEnd w:id="272"/>
    </w:p>
    <w:p>
      <w:pPr>
        <w:pStyle w:val="49"/>
        <w:ind w:firstLine="480"/>
      </w:pPr>
      <w:r>
        <w:rPr>
          <w:rFonts w:hint="eastAsia"/>
        </w:rPr>
        <w:t>评价工作程序见下图。</w:t>
      </w:r>
    </w:p>
    <w:p>
      <w:pPr>
        <w:pStyle w:val="49"/>
        <w:ind w:firstLine="0" w:firstLineChars="0"/>
        <w:rPr>
          <w:color w:val="000000"/>
        </w:rPr>
      </w:pPr>
      <w:r>
        <w:drawing>
          <wp:inline distT="0" distB="0" distL="0" distR="0">
            <wp:extent cx="5552440" cy="5486400"/>
            <wp:effectExtent l="0" t="0" r="0" b="0"/>
            <wp:docPr id="50531136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5311368" name="图片 1"/>
                    <pic:cNvPicPr>
                      <a:picLocks noChangeAspect="true"/>
                    </pic:cNvPicPr>
                  </pic:nvPicPr>
                  <pic:blipFill>
                    <a:blip r:embed="rId43"/>
                    <a:stretch>
                      <a:fillRect/>
                    </a:stretch>
                  </pic:blipFill>
                  <pic:spPr>
                    <a:xfrm>
                      <a:off x="0" y="0"/>
                      <a:ext cx="5558172" cy="5491924"/>
                    </a:xfrm>
                    <a:prstGeom prst="rect">
                      <a:avLst/>
                    </a:prstGeom>
                  </pic:spPr>
                </pic:pic>
              </a:graphicData>
            </a:graphic>
          </wp:inline>
        </w:drawing>
      </w:r>
    </w:p>
    <w:p>
      <w:pPr>
        <w:pStyle w:val="49"/>
        <w:ind w:firstLine="0" w:firstLineChars="0"/>
        <w:jc w:val="center"/>
        <w:rPr>
          <w:b/>
          <w:bCs/>
        </w:rPr>
      </w:pPr>
      <w:r>
        <w:rPr>
          <w:rFonts w:hint="eastAsia"/>
          <w:b/>
          <w:bCs/>
        </w:rPr>
        <w:t>图7.2-1 项目风险评价工作程序</w:t>
      </w:r>
    </w:p>
    <w:p>
      <w:pPr>
        <w:pStyle w:val="3"/>
        <w:keepNext w:val="0"/>
        <w:keepLines w:val="0"/>
        <w:widowControl w:val="0"/>
        <w:jc w:val="both"/>
      </w:pPr>
      <w:bookmarkStart w:id="273" w:name="_Toc194481230"/>
      <w:r>
        <w:rPr>
          <w:rFonts w:hint="eastAsia"/>
        </w:rPr>
        <w:t>7</w:t>
      </w:r>
      <w:r>
        <w:t>.</w:t>
      </w:r>
      <w:r>
        <w:rPr>
          <w:rFonts w:hint="eastAsia"/>
        </w:rPr>
        <w:t>3 风险调查</w:t>
      </w:r>
      <w:bookmarkEnd w:id="273"/>
    </w:p>
    <w:p>
      <w:pPr>
        <w:pStyle w:val="4"/>
      </w:pPr>
      <w:bookmarkStart w:id="274" w:name="_Toc194481231"/>
      <w:r>
        <w:t xml:space="preserve">7.3.1 </w:t>
      </w:r>
      <w:r>
        <w:rPr>
          <w:rFonts w:hint="eastAsia"/>
        </w:rPr>
        <w:t>建设项目环境风险源调查</w:t>
      </w:r>
      <w:bookmarkEnd w:id="274"/>
    </w:p>
    <w:p>
      <w:pPr>
        <w:pStyle w:val="49"/>
        <w:overflowPunct w:val="0"/>
        <w:ind w:firstLine="480"/>
      </w:pPr>
      <w:r>
        <w:rPr>
          <w:rFonts w:hint="eastAsia"/>
        </w:rPr>
        <w:t>根据《建设项目环境风险评价技术导则》（</w:t>
      </w:r>
      <w:r>
        <w:t>HJ169-2018</w:t>
      </w:r>
      <w:r>
        <w:rPr>
          <w:rFonts w:hint="eastAsia"/>
        </w:rPr>
        <w:t xml:space="preserve">）附录 </w:t>
      </w:r>
      <w:r>
        <w:t xml:space="preserve">B </w:t>
      </w:r>
      <w:r>
        <w:rPr>
          <w:rFonts w:hint="eastAsia"/>
        </w:rPr>
        <w:t>合附录作为判断依据，本项目为畜禽养殖项目，本项目采用的工艺系统不具有危险性，项目养殖过程中涉及到的风险物质主要为</w:t>
      </w:r>
      <w:bookmarkStart w:id="275" w:name="_Hlk193958409"/>
      <w:r>
        <w:rPr>
          <w:rFonts w:hint="eastAsia"/>
        </w:rPr>
        <w:t>备用柴油发电机使用的柴油、尾水消毒涉及的次氯酸钠。</w:t>
      </w:r>
    </w:p>
    <w:bookmarkEnd w:id="275"/>
    <w:p>
      <w:pPr>
        <w:pStyle w:val="4"/>
      </w:pPr>
      <w:bookmarkStart w:id="276" w:name="_Toc194481232"/>
      <w:r>
        <w:t xml:space="preserve">7.3.2 </w:t>
      </w:r>
      <w:r>
        <w:rPr>
          <w:rFonts w:hint="eastAsia"/>
        </w:rPr>
        <w:t>环境敏感目标调查</w:t>
      </w:r>
      <w:bookmarkEnd w:id="276"/>
    </w:p>
    <w:p>
      <w:pPr>
        <w:pStyle w:val="49"/>
        <w:ind w:firstLine="480"/>
      </w:pPr>
      <w:r>
        <w:rPr>
          <w:rFonts w:hint="eastAsia"/>
        </w:rPr>
        <w:t>本项目周边主要环境敏感目标见表 2</w:t>
      </w:r>
      <w:r>
        <w:t>.</w:t>
      </w:r>
      <w:r>
        <w:rPr>
          <w:rFonts w:hint="eastAsia"/>
        </w:rPr>
        <w:t>7</w:t>
      </w:r>
      <w:r>
        <w:t>-1</w:t>
      </w:r>
      <w:r>
        <w:rPr>
          <w:rFonts w:hint="eastAsia"/>
        </w:rPr>
        <w:t>。</w:t>
      </w:r>
    </w:p>
    <w:p>
      <w:pPr>
        <w:pStyle w:val="3"/>
        <w:keepNext w:val="0"/>
        <w:keepLines w:val="0"/>
        <w:widowControl w:val="0"/>
        <w:jc w:val="both"/>
      </w:pPr>
      <w:bookmarkStart w:id="277" w:name="_Toc194481233"/>
      <w:r>
        <w:rPr>
          <w:rFonts w:hint="eastAsia"/>
        </w:rPr>
        <w:t>7</w:t>
      </w:r>
      <w:r>
        <w:t>.</w:t>
      </w:r>
      <w:r>
        <w:rPr>
          <w:rFonts w:hint="eastAsia"/>
        </w:rPr>
        <w:t>4 环境风险潜势初判及评价等级判定</w:t>
      </w:r>
      <w:bookmarkEnd w:id="277"/>
    </w:p>
    <w:p>
      <w:pPr>
        <w:pStyle w:val="4"/>
      </w:pPr>
      <w:bookmarkStart w:id="278" w:name="_Toc194481234"/>
      <w:r>
        <w:t>7.</w:t>
      </w:r>
      <w:r>
        <w:rPr>
          <w:rFonts w:hint="eastAsia"/>
        </w:rPr>
        <w:t>4</w:t>
      </w:r>
      <w:r>
        <w:t xml:space="preserve">.1 </w:t>
      </w:r>
      <w:r>
        <w:rPr>
          <w:rFonts w:hint="eastAsia" w:cs="Times New Roman"/>
          <w:color w:val="000000"/>
          <w:szCs w:val="28"/>
        </w:rPr>
        <w:t>风险潜势初判</w:t>
      </w:r>
      <w:bookmarkEnd w:id="278"/>
    </w:p>
    <w:p>
      <w:pPr>
        <w:pStyle w:val="49"/>
        <w:ind w:firstLine="480"/>
      </w:pPr>
      <w:r>
        <w:rPr>
          <w:rFonts w:hint="eastAsia"/>
        </w:rPr>
        <w:t>根据《建设项目环境风险评价导则》（</w:t>
      </w:r>
      <w:r>
        <w:t>HJ/T169-2018</w:t>
      </w:r>
      <w:r>
        <w:rPr>
          <w:rFonts w:hint="eastAsia"/>
        </w:rPr>
        <w:t xml:space="preserve">）附录 </w:t>
      </w:r>
      <w:r>
        <w:t>C</w:t>
      </w:r>
      <w:r>
        <w:rPr>
          <w:rFonts w:hint="eastAsia"/>
        </w:rPr>
        <w:t>，计算所涉及的每种危险物质在厂界内的最大存在总量与其在《建设项目环境风险评价技术导则》（</w:t>
      </w:r>
      <w:r>
        <w:rPr>
          <w:rFonts w:cs="Times New Roman"/>
        </w:rPr>
        <w:t>HJ169-2018</w:t>
      </w:r>
      <w:r>
        <w:rPr>
          <w:rFonts w:hint="eastAsia"/>
        </w:rPr>
        <w:t>）（以下称</w:t>
      </w:r>
      <w:r>
        <w:rPr>
          <w:rFonts w:ascii="宋体" w:hAnsi="宋体" w:cs="Times New Roman"/>
        </w:rPr>
        <w:t>“</w:t>
      </w:r>
      <w:r>
        <w:rPr>
          <w:rFonts w:hint="eastAsia"/>
        </w:rPr>
        <w:t>风险导则</w:t>
      </w:r>
      <w:r>
        <w:rPr>
          <w:rFonts w:ascii="宋体" w:hAnsi="宋体" w:cs="Times New Roman"/>
        </w:rPr>
        <w:t>”</w:t>
      </w:r>
      <w:r>
        <w:rPr>
          <w:rFonts w:hint="eastAsia"/>
        </w:rPr>
        <w:t>）附录</w:t>
      </w:r>
      <w:r>
        <w:rPr>
          <w:rFonts w:cs="Times New Roman"/>
        </w:rPr>
        <w:t>B</w:t>
      </w:r>
      <w:r>
        <w:rPr>
          <w:rFonts w:hint="eastAsia"/>
        </w:rPr>
        <w:t>中对应临界量的比值</w:t>
      </w:r>
      <w:r>
        <w:rPr>
          <w:rFonts w:cs="Times New Roman"/>
          <w:i/>
          <w:iCs/>
        </w:rPr>
        <w:t>Q</w:t>
      </w:r>
      <w:r>
        <w:rPr>
          <w:rFonts w:hint="eastAsia"/>
        </w:rPr>
        <w:t xml:space="preserve">。在不同场区的同一种物质，按其在厂界内的最大存在总量计算。 </w:t>
      </w:r>
    </w:p>
    <w:p>
      <w:pPr>
        <w:pStyle w:val="49"/>
        <w:ind w:firstLine="480"/>
      </w:pPr>
      <w:r>
        <w:rPr>
          <w:rFonts w:hint="eastAsia" w:ascii="宋体" w:hAnsi="宋体"/>
        </w:rPr>
        <w:t>①</w:t>
      </w:r>
      <w:r>
        <w:rPr>
          <w:rFonts w:hint="eastAsia"/>
        </w:rPr>
        <w:t>当至涉及一种危险物质时，计算该物质的总量与其临界量比值，即为</w:t>
      </w:r>
      <w:r>
        <w:rPr>
          <w:rFonts w:cs="Times New Roman"/>
          <w:i/>
          <w:iCs/>
        </w:rPr>
        <w:t>Q</w:t>
      </w:r>
      <w:r>
        <w:rPr>
          <w:rFonts w:hint="eastAsia"/>
        </w:rPr>
        <w:t xml:space="preserve">； </w:t>
      </w:r>
    </w:p>
    <w:p>
      <w:pPr>
        <w:pStyle w:val="49"/>
        <w:ind w:firstLine="480"/>
      </w:pPr>
      <w:r>
        <w:rPr>
          <w:rFonts w:hint="eastAsia" w:ascii="宋体" w:hAnsi="宋体"/>
        </w:rPr>
        <w:t>②</w:t>
      </w:r>
      <w:r>
        <w:rPr>
          <w:rFonts w:hint="eastAsia"/>
        </w:rPr>
        <w:t xml:space="preserve">但存在多种危险物质时，按下式计算： </w:t>
      </w:r>
    </w:p>
    <w:p>
      <w:pPr>
        <w:pStyle w:val="49"/>
        <w:ind w:firstLine="0" w:firstLineChars="0"/>
        <w:jc w:val="center"/>
        <w:rPr>
          <w:rFonts w:cs="Times New Roman"/>
        </w:rPr>
      </w:pPr>
      <w:r>
        <w:rPr>
          <w:rFonts w:cs="Times New Roman"/>
        </w:rPr>
        <w:drawing>
          <wp:anchor distT="0" distB="0" distL="114300" distR="114300" simplePos="0" relativeHeight="251656192" behindDoc="0" locked="0" layoutInCell="1" allowOverlap="1">
            <wp:simplePos x="0" y="0"/>
            <wp:positionH relativeFrom="column">
              <wp:posOffset>1872615</wp:posOffset>
            </wp:positionH>
            <wp:positionV relativeFrom="paragraph">
              <wp:posOffset>64135</wp:posOffset>
            </wp:positionV>
            <wp:extent cx="1270000" cy="406400"/>
            <wp:effectExtent l="0" t="0" r="0" b="0"/>
            <wp:wrapNone/>
            <wp:docPr id="35496406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4964064" name="图片 1"/>
                    <pic:cNvPicPr>
                      <a:picLocks noChangeAspect="true" noChangeArrowheads="true"/>
                    </pic:cNvPicPr>
                  </pic:nvPicPr>
                  <pic:blipFill>
                    <a:blip r:embed="rId44" cstate="print">
                      <a:extLst>
                        <a:ext uri="{28A0092B-C50C-407E-A947-70E740481C1C}">
                          <a14:useLocalDpi xmlns:a14="http://schemas.microsoft.com/office/drawing/2010/main" val="false"/>
                        </a:ext>
                      </a:extLst>
                    </a:blip>
                    <a:srcRect/>
                    <a:stretch>
                      <a:fillRect/>
                    </a:stretch>
                  </pic:blipFill>
                  <pic:spPr>
                    <a:xfrm>
                      <a:off x="0" y="0"/>
                      <a:ext cx="1270000" cy="406400"/>
                    </a:xfrm>
                    <a:prstGeom prst="rect">
                      <a:avLst/>
                    </a:prstGeom>
                    <a:noFill/>
                    <a:ln>
                      <a:noFill/>
                    </a:ln>
                    <a:effectLst/>
                  </pic:spPr>
                </pic:pic>
              </a:graphicData>
            </a:graphic>
          </wp:anchor>
        </w:drawing>
      </w:r>
    </w:p>
    <w:p>
      <w:pPr>
        <w:pStyle w:val="49"/>
        <w:ind w:firstLine="0" w:firstLineChars="0"/>
        <w:jc w:val="center"/>
        <w:rPr>
          <w:rFonts w:cs="Times New Roman"/>
        </w:rPr>
      </w:pPr>
    </w:p>
    <w:p>
      <w:pPr>
        <w:pStyle w:val="49"/>
        <w:ind w:firstLine="480"/>
      </w:pPr>
      <w:r>
        <w:rPr>
          <w:rFonts w:hint="eastAsia"/>
        </w:rPr>
        <w:t>式中：</w:t>
      </w:r>
      <w:r>
        <w:rPr>
          <w:rFonts w:cs="Times New Roman"/>
          <w:i/>
          <w:iCs/>
        </w:rPr>
        <w:t>q</w:t>
      </w:r>
      <w:r>
        <w:rPr>
          <w:rFonts w:cs="Times New Roman"/>
        </w:rPr>
        <w:t>1</w:t>
      </w:r>
      <w:r>
        <w:rPr>
          <w:rFonts w:hint="eastAsia" w:cs="Times New Roman"/>
        </w:rPr>
        <w:t>，</w:t>
      </w:r>
      <w:r>
        <w:rPr>
          <w:rFonts w:cs="Times New Roman"/>
          <w:i/>
          <w:iCs/>
        </w:rPr>
        <w:t>q</w:t>
      </w:r>
      <w:r>
        <w:rPr>
          <w:rFonts w:cs="Times New Roman"/>
        </w:rPr>
        <w:t>2</w:t>
      </w:r>
      <w:r>
        <w:rPr>
          <w:rFonts w:hint="eastAsia" w:cs="Times New Roman"/>
        </w:rPr>
        <w:t>，</w:t>
      </w:r>
      <w:r>
        <w:rPr>
          <w:rFonts w:cs="Times New Roman"/>
        </w:rPr>
        <w:t>…</w:t>
      </w:r>
      <w:r>
        <w:rPr>
          <w:rFonts w:hint="eastAsia" w:cs="Times New Roman"/>
        </w:rPr>
        <w:t>，</w:t>
      </w:r>
      <w:r>
        <w:rPr>
          <w:rFonts w:cs="Times New Roman"/>
          <w:i/>
          <w:iCs/>
        </w:rPr>
        <w:t>q</w:t>
      </w:r>
      <w:r>
        <w:rPr>
          <w:rFonts w:cs="Times New Roman"/>
        </w:rPr>
        <w:t>n—</w:t>
      </w:r>
      <w:r>
        <w:rPr>
          <w:rFonts w:hint="eastAsia"/>
        </w:rPr>
        <w:t>每种危险物质最大存在量</w:t>
      </w:r>
      <w:r>
        <w:rPr>
          <w:rFonts w:cs="Times New Roman"/>
        </w:rPr>
        <w:t>(t)</w:t>
      </w:r>
      <w:r>
        <w:rPr>
          <w:rFonts w:hint="eastAsia"/>
        </w:rPr>
        <w:t xml:space="preserve">； </w:t>
      </w:r>
    </w:p>
    <w:p>
      <w:pPr>
        <w:pStyle w:val="49"/>
        <w:ind w:firstLine="1200" w:firstLineChars="500"/>
      </w:pPr>
      <w:r>
        <w:rPr>
          <w:rFonts w:cs="Times New Roman"/>
          <w:i/>
          <w:iCs/>
        </w:rPr>
        <w:t>Q</w:t>
      </w:r>
      <w:r>
        <w:rPr>
          <w:rFonts w:cs="Times New Roman"/>
        </w:rPr>
        <w:t>1</w:t>
      </w:r>
      <w:r>
        <w:rPr>
          <w:rFonts w:ascii="宋体" w:hAnsi="宋体" w:cs="Times New Roman"/>
        </w:rPr>
        <w:t>,</w:t>
      </w:r>
      <w:r>
        <w:rPr>
          <w:rFonts w:cs="Times New Roman"/>
          <w:i/>
          <w:iCs/>
        </w:rPr>
        <w:t>Q</w:t>
      </w:r>
      <w:r>
        <w:rPr>
          <w:rFonts w:cs="Times New Roman"/>
        </w:rPr>
        <w:t>2</w:t>
      </w:r>
      <w:r>
        <w:rPr>
          <w:rFonts w:hint="eastAsia" w:cs="Times New Roman"/>
        </w:rPr>
        <w:t>，</w:t>
      </w:r>
      <w:r>
        <w:rPr>
          <w:rFonts w:cs="Times New Roman"/>
        </w:rPr>
        <w:t>…</w:t>
      </w:r>
      <w:r>
        <w:rPr>
          <w:rFonts w:hint="eastAsia" w:cs="Times New Roman"/>
        </w:rPr>
        <w:t>，</w:t>
      </w:r>
      <w:r>
        <w:rPr>
          <w:rFonts w:cs="Times New Roman"/>
          <w:i/>
          <w:iCs/>
        </w:rPr>
        <w:t>Q</w:t>
      </w:r>
      <w:r>
        <w:rPr>
          <w:rFonts w:cs="Times New Roman"/>
        </w:rPr>
        <w:t>n—</w:t>
      </w:r>
      <w:r>
        <w:rPr>
          <w:rFonts w:hint="eastAsia"/>
        </w:rPr>
        <w:t>每种危险物质的临界量</w:t>
      </w:r>
      <w:r>
        <w:rPr>
          <w:rFonts w:cs="Times New Roman"/>
        </w:rPr>
        <w:t>(t)</w:t>
      </w:r>
      <w:r>
        <w:rPr>
          <w:rFonts w:hint="eastAsia"/>
        </w:rPr>
        <w:t xml:space="preserve">。 </w:t>
      </w:r>
    </w:p>
    <w:p>
      <w:pPr>
        <w:pStyle w:val="49"/>
        <w:ind w:firstLine="480"/>
      </w:pPr>
      <w:r>
        <w:rPr>
          <w:rFonts w:hint="eastAsia"/>
        </w:rPr>
        <w:t xml:space="preserve">按数值大小，将 </w:t>
      </w:r>
      <w:r>
        <w:rPr>
          <w:rFonts w:cs="Times New Roman"/>
        </w:rPr>
        <w:t xml:space="preserve">Q </w:t>
      </w:r>
      <w:r>
        <w:rPr>
          <w:rFonts w:hint="eastAsia"/>
        </w:rPr>
        <w:t xml:space="preserve">划分为 </w:t>
      </w:r>
      <w:r>
        <w:rPr>
          <w:rFonts w:cs="Times New Roman"/>
        </w:rPr>
        <w:t xml:space="preserve">4 </w:t>
      </w:r>
      <w:r>
        <w:rPr>
          <w:rFonts w:hint="eastAsia"/>
        </w:rPr>
        <w:t xml:space="preserve">个水平： </w:t>
      </w:r>
    </w:p>
    <w:p>
      <w:pPr>
        <w:pStyle w:val="49"/>
        <w:ind w:firstLine="480"/>
      </w:pPr>
      <w:r>
        <w:rPr>
          <w:rFonts w:hint="eastAsia"/>
        </w:rPr>
        <w:t xml:space="preserve">当 </w:t>
      </w:r>
      <w:r>
        <w:rPr>
          <w:rFonts w:cs="Times New Roman"/>
          <w:i/>
          <w:iCs/>
        </w:rPr>
        <w:t>Q</w:t>
      </w:r>
      <w:r>
        <w:t>＜</w:t>
      </w:r>
      <w:r>
        <w:rPr>
          <w:rFonts w:cs="Times New Roman"/>
        </w:rPr>
        <w:t>1</w:t>
      </w:r>
      <w:r>
        <w:rPr>
          <w:rFonts w:hint="eastAsia"/>
        </w:rPr>
        <w:t>时，该项目环境风险潜势为</w:t>
      </w:r>
      <w:r>
        <w:rPr>
          <w:rFonts w:cs="Times New Roman"/>
        </w:rPr>
        <w:t>Ⅰ</w:t>
      </w:r>
      <w:r>
        <w:rPr>
          <w:rFonts w:hint="eastAsia"/>
        </w:rPr>
        <w:t xml:space="preserve">。 </w:t>
      </w:r>
    </w:p>
    <w:p>
      <w:pPr>
        <w:pStyle w:val="49"/>
        <w:ind w:firstLine="480"/>
      </w:pPr>
      <w:r>
        <w:rPr>
          <w:rFonts w:cs="Times New Roman"/>
          <w:color w:val="000000"/>
        </w:rPr>
        <w:t>当</w:t>
      </w:r>
      <w:r>
        <w:rPr>
          <w:rFonts w:cs="Times New Roman"/>
          <w:i/>
          <w:iCs/>
          <w:color w:val="000000"/>
        </w:rPr>
        <w:t>Q</w:t>
      </w:r>
      <w:r>
        <w:rPr>
          <w:rFonts w:ascii="宋体" w:hAnsi="宋体" w:cs="Times New Roman"/>
          <w:color w:val="000000"/>
        </w:rPr>
        <w:t>≥</w:t>
      </w:r>
      <w:r>
        <w:rPr>
          <w:rFonts w:cs="Times New Roman"/>
          <w:color w:val="000000"/>
        </w:rPr>
        <w:t>1时，将</w:t>
      </w:r>
      <w:r>
        <w:rPr>
          <w:rFonts w:cs="Times New Roman"/>
          <w:i/>
          <w:iCs/>
          <w:color w:val="000000"/>
        </w:rPr>
        <w:t>Q</w:t>
      </w:r>
      <w:r>
        <w:rPr>
          <w:rFonts w:cs="Times New Roman"/>
          <w:color w:val="000000"/>
        </w:rPr>
        <w:t>值划分为：</w:t>
      </w:r>
      <w:r>
        <w:rPr>
          <w:rFonts w:hint="eastAsia" w:cs="Times New Roman"/>
          <w:color w:val="000000"/>
        </w:rPr>
        <w:t>（1）</w:t>
      </w:r>
      <w:r>
        <w:rPr>
          <w:rFonts w:cs="Times New Roman"/>
          <w:color w:val="000000"/>
        </w:rPr>
        <w:t>1</w:t>
      </w:r>
      <w:r>
        <w:rPr>
          <w:rFonts w:ascii="宋体" w:hAnsi="宋体"/>
        </w:rPr>
        <w:t>≤</w:t>
      </w:r>
      <w:r>
        <w:rPr>
          <w:rFonts w:cs="Times New Roman"/>
          <w:color w:val="000000"/>
        </w:rPr>
        <w:t>Q</w:t>
      </w:r>
      <w:r>
        <w:t>＜</w:t>
      </w:r>
      <w:r>
        <w:rPr>
          <w:rFonts w:cs="Times New Roman"/>
          <w:color w:val="000000"/>
        </w:rPr>
        <w:t>10；</w:t>
      </w:r>
      <w:r>
        <w:rPr>
          <w:rFonts w:hint="eastAsia" w:cs="Times New Roman"/>
          <w:color w:val="000000"/>
        </w:rPr>
        <w:t>（2）</w:t>
      </w:r>
      <w:r>
        <w:rPr>
          <w:rFonts w:cs="Times New Roman"/>
          <w:color w:val="000000"/>
        </w:rPr>
        <w:t>10</w:t>
      </w:r>
      <w:r>
        <w:rPr>
          <w:rFonts w:ascii="宋体" w:hAnsi="宋体" w:cs="Times New Roman"/>
        </w:rPr>
        <w:t>≤</w:t>
      </w:r>
      <w:r>
        <w:rPr>
          <w:rFonts w:cs="Times New Roman"/>
          <w:color w:val="000000"/>
        </w:rPr>
        <w:t>Q＜100；</w:t>
      </w:r>
      <w:r>
        <w:rPr>
          <w:rFonts w:hint="eastAsia" w:cs="Times New Roman"/>
          <w:color w:val="000000"/>
        </w:rPr>
        <w:t>（3）</w:t>
      </w:r>
      <w:r>
        <w:rPr>
          <w:rFonts w:cs="Times New Roman"/>
          <w:color w:val="000000"/>
        </w:rPr>
        <w:t>Q</w:t>
      </w:r>
      <w:r>
        <w:rPr>
          <w:rFonts w:ascii="宋体" w:hAnsi="宋体" w:cs="Times New Roman"/>
          <w:color w:val="000000"/>
        </w:rPr>
        <w:t>≥</w:t>
      </w:r>
      <w:r>
        <w:rPr>
          <w:rFonts w:cs="Times New Roman"/>
          <w:color w:val="000000"/>
        </w:rPr>
        <w:t>100。</w:t>
      </w:r>
    </w:p>
    <w:p>
      <w:pPr>
        <w:pStyle w:val="53"/>
        <w:rPr>
          <w:rFonts w:cs="Times New Roman"/>
        </w:rPr>
      </w:pPr>
      <w:r>
        <w:rPr>
          <w:rFonts w:hint="eastAsia"/>
        </w:rPr>
        <w:t xml:space="preserve">表 </w:t>
      </w:r>
      <w:r>
        <w:rPr>
          <w:rFonts w:cs="Times New Roman"/>
        </w:rPr>
        <w:t>7.</w:t>
      </w:r>
      <w:r>
        <w:rPr>
          <w:rFonts w:hint="eastAsia" w:cs="Times New Roman"/>
        </w:rPr>
        <w:t>4</w:t>
      </w:r>
      <w:r>
        <w:rPr>
          <w:rFonts w:cs="Times New Roman"/>
        </w:rPr>
        <w:t>-</w:t>
      </w:r>
      <w:r>
        <w:rPr>
          <w:rFonts w:hint="eastAsia" w:cs="Times New Roman"/>
        </w:rPr>
        <w:t xml:space="preserve">1 </w:t>
      </w:r>
      <w:r>
        <w:rPr>
          <w:rFonts w:hint="eastAsia"/>
        </w:rPr>
        <w:t>危险物质数量与临界量比值（</w:t>
      </w:r>
      <w:r>
        <w:t>Q</w:t>
      </w:r>
      <w:r>
        <w:rPr>
          <w:rFonts w:hint="eastAsia"/>
        </w:rPr>
        <w:t>）</w:t>
      </w:r>
      <w:r>
        <w:rPr>
          <w:rFonts w:cs="Times New Roman"/>
        </w:rPr>
        <w:t xml:space="preserve">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839"/>
        <w:gridCol w:w="1991"/>
        <w:gridCol w:w="2043"/>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5" w:type="dxa"/>
            <w:vAlign w:val="center"/>
          </w:tcPr>
          <w:p>
            <w:pPr>
              <w:pStyle w:val="51"/>
            </w:pPr>
            <w:bookmarkStart w:id="279" w:name="_Hlk193958433"/>
            <w:r>
              <w:rPr>
                <w:rFonts w:hint="eastAsia"/>
              </w:rPr>
              <w:t>序号</w:t>
            </w:r>
          </w:p>
        </w:tc>
        <w:tc>
          <w:tcPr>
            <w:tcW w:w="1839" w:type="dxa"/>
            <w:vAlign w:val="center"/>
          </w:tcPr>
          <w:p>
            <w:pPr>
              <w:pStyle w:val="51"/>
            </w:pPr>
            <w:r>
              <w:rPr>
                <w:rFonts w:hint="eastAsia"/>
              </w:rPr>
              <w:t>危险物质名称</w:t>
            </w:r>
          </w:p>
        </w:tc>
        <w:tc>
          <w:tcPr>
            <w:tcW w:w="1991" w:type="dxa"/>
            <w:vAlign w:val="center"/>
          </w:tcPr>
          <w:p>
            <w:pPr>
              <w:pStyle w:val="51"/>
            </w:pPr>
            <w:r>
              <w:rPr>
                <w:rFonts w:hint="eastAsia"/>
              </w:rPr>
              <w:t>最大存在量</w:t>
            </w:r>
            <w:r>
              <w:rPr>
                <w:rFonts w:hint="eastAsia"/>
                <w:i/>
                <w:iCs/>
              </w:rPr>
              <w:t>q</w:t>
            </w:r>
            <w:r>
              <w:rPr>
                <w:rFonts w:hint="eastAsia"/>
              </w:rPr>
              <w:t>n/t</w:t>
            </w:r>
          </w:p>
        </w:tc>
        <w:tc>
          <w:tcPr>
            <w:tcW w:w="2043" w:type="dxa"/>
            <w:vAlign w:val="center"/>
          </w:tcPr>
          <w:p>
            <w:pPr>
              <w:pStyle w:val="51"/>
            </w:pPr>
            <w:r>
              <w:rPr>
                <w:rFonts w:hint="eastAsia"/>
              </w:rPr>
              <w:t>临界量</w:t>
            </w:r>
            <w:r>
              <w:rPr>
                <w:rFonts w:hint="eastAsia"/>
                <w:i/>
                <w:iCs/>
              </w:rPr>
              <w:t>Q</w:t>
            </w:r>
            <w:r>
              <w:rPr>
                <w:rFonts w:hint="eastAsia"/>
              </w:rPr>
              <w:t>n/t</w:t>
            </w:r>
          </w:p>
        </w:tc>
        <w:tc>
          <w:tcPr>
            <w:tcW w:w="1538" w:type="dxa"/>
            <w:vAlign w:val="center"/>
          </w:tcPr>
          <w:p>
            <w:pPr>
              <w:pStyle w:val="51"/>
            </w:pPr>
            <w:r>
              <w:rPr>
                <w:rFonts w:hint="eastAsia"/>
                <w:i/>
                <w:iCs/>
              </w:rPr>
              <w:t>q</w:t>
            </w:r>
            <w:r>
              <w:rPr>
                <w:rFonts w:hint="eastAsia"/>
              </w:rPr>
              <w:t>n/</w:t>
            </w:r>
            <w:r>
              <w:rPr>
                <w:rFonts w:hint="eastAsia"/>
                <w:i/>
                <w:iCs/>
              </w:rPr>
              <w:t>Q</w:t>
            </w:r>
            <w:r>
              <w:rPr>
                <w:rFonts w:hint="eastAsi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5" w:type="dxa"/>
            <w:vAlign w:val="center"/>
          </w:tcPr>
          <w:p>
            <w:pPr>
              <w:pStyle w:val="51"/>
            </w:pPr>
            <w:r>
              <w:rPr>
                <w:rFonts w:hint="eastAsia"/>
              </w:rPr>
              <w:t>1</w:t>
            </w:r>
          </w:p>
        </w:tc>
        <w:tc>
          <w:tcPr>
            <w:tcW w:w="1839" w:type="dxa"/>
            <w:vAlign w:val="center"/>
          </w:tcPr>
          <w:p>
            <w:pPr>
              <w:pStyle w:val="51"/>
            </w:pPr>
            <w:r>
              <w:rPr>
                <w:rFonts w:hint="eastAsia"/>
              </w:rPr>
              <w:t>柴油</w:t>
            </w:r>
          </w:p>
        </w:tc>
        <w:tc>
          <w:tcPr>
            <w:tcW w:w="1991" w:type="dxa"/>
            <w:vAlign w:val="center"/>
          </w:tcPr>
          <w:p>
            <w:pPr>
              <w:pStyle w:val="51"/>
            </w:pPr>
            <w:r>
              <w:rPr>
                <w:rFonts w:hint="eastAsia"/>
              </w:rPr>
              <w:t>0.174</w:t>
            </w:r>
          </w:p>
        </w:tc>
        <w:tc>
          <w:tcPr>
            <w:tcW w:w="2043" w:type="dxa"/>
            <w:vAlign w:val="center"/>
          </w:tcPr>
          <w:p>
            <w:pPr>
              <w:pStyle w:val="51"/>
            </w:pPr>
            <w:r>
              <w:rPr>
                <w:rFonts w:hint="eastAsia"/>
              </w:rPr>
              <w:t>2500</w:t>
            </w:r>
          </w:p>
        </w:tc>
        <w:tc>
          <w:tcPr>
            <w:tcW w:w="1538" w:type="dxa"/>
            <w:vAlign w:val="bottom"/>
          </w:tcPr>
          <w:p>
            <w:pPr>
              <w:pStyle w:val="51"/>
            </w:pPr>
            <w:r>
              <w:rPr>
                <w:rFonts w:hint="eastAsia"/>
              </w:rPr>
              <w:t>0.00007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85" w:type="dxa"/>
            <w:vAlign w:val="center"/>
          </w:tcPr>
          <w:p>
            <w:pPr>
              <w:pStyle w:val="51"/>
            </w:pPr>
            <w:r>
              <w:rPr>
                <w:rFonts w:hint="eastAsia"/>
              </w:rPr>
              <w:t>2</w:t>
            </w:r>
          </w:p>
        </w:tc>
        <w:tc>
          <w:tcPr>
            <w:tcW w:w="1839" w:type="dxa"/>
            <w:vAlign w:val="center"/>
          </w:tcPr>
          <w:p>
            <w:pPr>
              <w:pStyle w:val="51"/>
            </w:pPr>
            <w:r>
              <w:rPr>
                <w:rFonts w:hint="eastAsia"/>
              </w:rPr>
              <w:t>次氯酸钠</w:t>
            </w:r>
          </w:p>
        </w:tc>
        <w:tc>
          <w:tcPr>
            <w:tcW w:w="1991" w:type="dxa"/>
            <w:vAlign w:val="center"/>
          </w:tcPr>
          <w:p>
            <w:pPr>
              <w:pStyle w:val="51"/>
            </w:pPr>
            <w:r>
              <w:rPr>
                <w:rFonts w:hint="eastAsia"/>
              </w:rPr>
              <w:t>0.05</w:t>
            </w:r>
          </w:p>
        </w:tc>
        <w:tc>
          <w:tcPr>
            <w:tcW w:w="2043" w:type="dxa"/>
            <w:vAlign w:val="center"/>
          </w:tcPr>
          <w:p>
            <w:pPr>
              <w:pStyle w:val="51"/>
            </w:pPr>
            <w:r>
              <w:rPr>
                <w:lang w:bidi="en-US"/>
              </w:rPr>
              <w:t>200</w:t>
            </w:r>
          </w:p>
        </w:tc>
        <w:tc>
          <w:tcPr>
            <w:tcW w:w="1538" w:type="dxa"/>
            <w:vAlign w:val="bottom"/>
          </w:tcPr>
          <w:p>
            <w:pPr>
              <w:pStyle w:val="51"/>
            </w:pPr>
            <w:r>
              <w:rPr>
                <w:rFonts w:hint="eastAsia"/>
              </w:rPr>
              <w:t>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758" w:type="dxa"/>
            <w:gridSpan w:val="4"/>
            <w:vAlign w:val="center"/>
          </w:tcPr>
          <w:p>
            <w:pPr>
              <w:pStyle w:val="51"/>
            </w:pPr>
            <w:r>
              <w:rPr>
                <w:rFonts w:hint="eastAsia"/>
              </w:rPr>
              <w:t>合计</w:t>
            </w:r>
          </w:p>
        </w:tc>
        <w:tc>
          <w:tcPr>
            <w:tcW w:w="1538" w:type="dxa"/>
            <w:vAlign w:val="bottom"/>
          </w:tcPr>
          <w:p>
            <w:pPr>
              <w:pStyle w:val="51"/>
              <w:rPr>
                <w:rFonts w:hint="eastAsia" w:ascii="等线" w:hAnsi="等线" w:eastAsia="等线"/>
                <w:color w:val="000000"/>
                <w:sz w:val="22"/>
                <w:szCs w:val="22"/>
              </w:rPr>
            </w:pPr>
            <w:r>
              <w:rPr>
                <w:rFonts w:hint="eastAsia"/>
              </w:rPr>
              <w:t>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296" w:type="dxa"/>
            <w:gridSpan w:val="5"/>
            <w:vAlign w:val="center"/>
          </w:tcPr>
          <w:p>
            <w:pPr>
              <w:pStyle w:val="51"/>
              <w:jc w:val="left"/>
            </w:pPr>
            <w:r>
              <w:rPr>
                <w:rFonts w:hint="eastAsia"/>
              </w:rPr>
              <w:t>注：备用柴油发电机最大储存柴油量200L，折纯后0.174t</w:t>
            </w:r>
          </w:p>
        </w:tc>
      </w:tr>
      <w:bookmarkEnd w:id="279"/>
    </w:tbl>
    <w:p>
      <w:pPr>
        <w:pStyle w:val="49"/>
        <w:ind w:firstLine="480"/>
      </w:pPr>
      <w:r>
        <w:rPr>
          <w:rFonts w:hint="eastAsia"/>
        </w:rPr>
        <w:t xml:space="preserve">根据以上计算结果可知，危险物质数量与临界量比值 </w:t>
      </w:r>
      <w:r>
        <w:rPr>
          <w:rFonts w:cs="Times New Roman"/>
          <w:i/>
          <w:iCs/>
        </w:rPr>
        <w:t>Q</w:t>
      </w:r>
      <w:r>
        <w:rPr>
          <w:rFonts w:hint="eastAsia" w:cs="Times New Roman"/>
        </w:rPr>
        <w:t>=</w:t>
      </w:r>
      <w:r>
        <w:rPr>
          <w:rFonts w:hint="eastAsia"/>
          <w:szCs w:val="32"/>
        </w:rPr>
        <w:t>0.00032</w:t>
      </w:r>
      <w:r>
        <w:rPr>
          <w:rFonts w:hint="eastAsia"/>
        </w:rPr>
        <w:t>＜</w:t>
      </w:r>
      <w:r>
        <w:rPr>
          <w:rFonts w:hint="eastAsia" w:cs="Times New Roman"/>
        </w:rPr>
        <w:t>1</w:t>
      </w:r>
      <w:r>
        <w:rPr>
          <w:rFonts w:hint="eastAsia"/>
        </w:rPr>
        <w:t>。</w:t>
      </w:r>
    </w:p>
    <w:p>
      <w:pPr>
        <w:pStyle w:val="4"/>
        <w:rPr>
          <w:rFonts w:cs="Times New Roman"/>
          <w:color w:val="000000"/>
          <w:szCs w:val="28"/>
        </w:rPr>
      </w:pPr>
      <w:bookmarkStart w:id="280" w:name="_Toc194481235"/>
      <w:r>
        <w:t>7.</w:t>
      </w:r>
      <w:r>
        <w:rPr>
          <w:rFonts w:hint="eastAsia"/>
        </w:rPr>
        <w:t>4</w:t>
      </w:r>
      <w:r>
        <w:t>.</w:t>
      </w:r>
      <w:r>
        <w:rPr>
          <w:rFonts w:hint="eastAsia"/>
        </w:rPr>
        <w:t>4</w:t>
      </w:r>
      <w:r>
        <w:t xml:space="preserve"> </w:t>
      </w:r>
      <w:r>
        <w:rPr>
          <w:rFonts w:hint="eastAsia"/>
        </w:rPr>
        <w:t>评价等级确定</w:t>
      </w:r>
      <w:bookmarkEnd w:id="280"/>
    </w:p>
    <w:p>
      <w:pPr>
        <w:pStyle w:val="49"/>
        <w:ind w:firstLine="480"/>
        <w:rPr>
          <w:color w:val="000000"/>
        </w:rPr>
      </w:pPr>
      <w:r>
        <w:rPr>
          <w:rFonts w:hint="eastAsia"/>
          <w:color w:val="000000"/>
        </w:rPr>
        <w:t xml:space="preserve">本项目危险物质数量与临界量的比值 </w:t>
      </w:r>
      <w:r>
        <w:rPr>
          <w:rFonts w:cs="Times New Roman"/>
          <w:i/>
          <w:iCs/>
        </w:rPr>
        <w:t>Q</w:t>
      </w:r>
      <w:r>
        <w:rPr>
          <w:color w:val="000000"/>
        </w:rPr>
        <w:t>=</w:t>
      </w:r>
      <w:r>
        <w:rPr>
          <w:rFonts w:hint="eastAsia" w:cs="Times New Roman"/>
        </w:rPr>
        <w:t>0.00032</w:t>
      </w:r>
      <w:r>
        <w:rPr>
          <w:rFonts w:hint="eastAsia"/>
        </w:rPr>
        <w:t>＜</w:t>
      </w:r>
      <w:r>
        <w:rPr>
          <w:rFonts w:hint="eastAsia" w:cs="Times New Roman"/>
        </w:rPr>
        <w:t>1</w:t>
      </w:r>
      <w:r>
        <w:rPr>
          <w:rFonts w:hint="eastAsia"/>
          <w:color w:val="000000"/>
        </w:rPr>
        <w:t>，根据《建设项目环境风险评价技术导则》（</w:t>
      </w:r>
      <w:r>
        <w:rPr>
          <w:color w:val="000000"/>
        </w:rPr>
        <w:t>HJ169-2018</w:t>
      </w:r>
      <w:r>
        <w:rPr>
          <w:rFonts w:hint="eastAsia"/>
          <w:color w:val="000000"/>
        </w:rPr>
        <w:t xml:space="preserve">）附录 </w:t>
      </w:r>
      <w:r>
        <w:rPr>
          <w:color w:val="000000"/>
        </w:rPr>
        <w:t xml:space="preserve">C </w:t>
      </w:r>
      <w:r>
        <w:rPr>
          <w:rFonts w:hint="eastAsia"/>
          <w:color w:val="000000"/>
        </w:rPr>
        <w:t xml:space="preserve">的要求及评价工作等级划分表，当 </w:t>
      </w:r>
      <w:r>
        <w:rPr>
          <w:color w:val="000000"/>
        </w:rPr>
        <w:t>Q</w:t>
      </w:r>
      <w:r>
        <w:rPr>
          <w:rFonts w:hint="eastAsia"/>
          <w:color w:val="000000"/>
        </w:rPr>
        <w:t>＜</w:t>
      </w:r>
      <w:r>
        <w:rPr>
          <w:color w:val="000000"/>
        </w:rPr>
        <w:t>1</w:t>
      </w:r>
      <w:r>
        <w:rPr>
          <w:rFonts w:hint="eastAsia"/>
          <w:color w:val="000000"/>
        </w:rPr>
        <w:t>时，项目环境风险潜势为</w:t>
      </w:r>
      <w:r>
        <w:rPr>
          <w:rFonts w:cs="Times New Roman"/>
          <w:color w:val="000000"/>
          <w:szCs w:val="21"/>
        </w:rPr>
        <w:t>Ⅰ</w:t>
      </w:r>
      <w:r>
        <w:rPr>
          <w:rFonts w:hint="eastAsia"/>
          <w:color w:val="000000"/>
        </w:rPr>
        <w:t>。</w:t>
      </w:r>
    </w:p>
    <w:p>
      <w:pPr>
        <w:pStyle w:val="53"/>
      </w:pPr>
      <w:r>
        <w:rPr>
          <w:rFonts w:hint="eastAsia"/>
        </w:rPr>
        <w:t>表 7</w:t>
      </w:r>
      <w:r>
        <w:t>.</w:t>
      </w:r>
      <w:r>
        <w:rPr>
          <w:rFonts w:hint="eastAsia"/>
        </w:rPr>
        <w:t>4</w:t>
      </w:r>
      <w:r>
        <w:t>-</w:t>
      </w:r>
      <w:r>
        <w:rPr>
          <w:rFonts w:hint="eastAsia"/>
        </w:rPr>
        <w:t xml:space="preserve">1 </w:t>
      </w:r>
      <w:r>
        <w:t xml:space="preserve"> </w:t>
      </w:r>
      <w:r>
        <w:rPr>
          <w:rFonts w:hint="eastAsia"/>
        </w:rPr>
        <w:t>评价工作等级划分表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666"/>
        <w:gridCol w:w="1658"/>
        <w:gridCol w:w="165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vAlign w:val="center"/>
          </w:tcPr>
          <w:p>
            <w:pPr>
              <w:pStyle w:val="51"/>
            </w:pPr>
            <w:r>
              <w:rPr>
                <w:rFonts w:hint="eastAsia"/>
                <w:b/>
                <w:bCs/>
                <w:color w:val="000000"/>
                <w:szCs w:val="21"/>
              </w:rPr>
              <w:t>环境风险潜势</w:t>
            </w:r>
          </w:p>
        </w:tc>
        <w:tc>
          <w:tcPr>
            <w:tcW w:w="1666" w:type="dxa"/>
            <w:vAlign w:val="center"/>
          </w:tcPr>
          <w:p>
            <w:pPr>
              <w:pStyle w:val="51"/>
            </w:pPr>
            <w:r>
              <w:rPr>
                <w:rFonts w:cs="Times New Roman"/>
                <w:b/>
                <w:bCs/>
                <w:color w:val="000000"/>
                <w:szCs w:val="21"/>
              </w:rPr>
              <w:t>Ⅳ</w:t>
            </w:r>
            <w:r>
              <w:rPr>
                <w:rFonts w:hint="eastAsia"/>
                <w:b/>
                <w:bCs/>
                <w:color w:val="000000"/>
                <w:szCs w:val="21"/>
              </w:rPr>
              <w:t>、</w:t>
            </w:r>
            <w:r>
              <w:rPr>
                <w:rFonts w:cs="Times New Roman"/>
                <w:b/>
                <w:bCs/>
                <w:color w:val="000000"/>
                <w:szCs w:val="21"/>
              </w:rPr>
              <w:t>Ⅳ+</w:t>
            </w:r>
          </w:p>
        </w:tc>
        <w:tc>
          <w:tcPr>
            <w:tcW w:w="1658" w:type="dxa"/>
            <w:vAlign w:val="center"/>
          </w:tcPr>
          <w:p>
            <w:pPr>
              <w:pStyle w:val="51"/>
            </w:pPr>
            <w:r>
              <w:rPr>
                <w:rFonts w:cs="Times New Roman"/>
                <w:b/>
                <w:bCs/>
                <w:color w:val="000000"/>
                <w:szCs w:val="21"/>
              </w:rPr>
              <w:t>Ⅲ</w:t>
            </w:r>
          </w:p>
        </w:tc>
        <w:tc>
          <w:tcPr>
            <w:tcW w:w="1658" w:type="dxa"/>
            <w:vAlign w:val="center"/>
          </w:tcPr>
          <w:p>
            <w:pPr>
              <w:pStyle w:val="51"/>
            </w:pPr>
            <w:r>
              <w:rPr>
                <w:rFonts w:cs="Times New Roman"/>
                <w:b/>
                <w:bCs/>
                <w:color w:val="000000"/>
                <w:szCs w:val="21"/>
              </w:rPr>
              <w:t>Ⅱ</w:t>
            </w:r>
          </w:p>
        </w:tc>
        <w:tc>
          <w:tcPr>
            <w:tcW w:w="1658" w:type="dxa"/>
            <w:vAlign w:val="center"/>
          </w:tcPr>
          <w:p>
            <w:pPr>
              <w:pStyle w:val="51"/>
            </w:pPr>
            <w:r>
              <w:rPr>
                <w:rFonts w:cs="Times New Roman"/>
                <w:b/>
                <w:bCs/>
                <w:color w:val="00000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vAlign w:val="center"/>
          </w:tcPr>
          <w:p>
            <w:pPr>
              <w:pStyle w:val="51"/>
            </w:pPr>
            <w:r>
              <w:rPr>
                <w:rFonts w:hint="eastAsia"/>
              </w:rPr>
              <w:t>评价工作等级</w:t>
            </w:r>
          </w:p>
        </w:tc>
        <w:tc>
          <w:tcPr>
            <w:tcW w:w="1666" w:type="dxa"/>
            <w:vAlign w:val="center"/>
          </w:tcPr>
          <w:p>
            <w:pPr>
              <w:pStyle w:val="51"/>
            </w:pPr>
            <w:r>
              <w:rPr>
                <w:rFonts w:hint="eastAsia"/>
              </w:rPr>
              <w:t>一</w:t>
            </w:r>
          </w:p>
        </w:tc>
        <w:tc>
          <w:tcPr>
            <w:tcW w:w="1658" w:type="dxa"/>
            <w:vAlign w:val="center"/>
          </w:tcPr>
          <w:p>
            <w:pPr>
              <w:pStyle w:val="51"/>
            </w:pPr>
            <w:r>
              <w:rPr>
                <w:rFonts w:hint="eastAsia"/>
              </w:rPr>
              <w:t>二</w:t>
            </w:r>
          </w:p>
        </w:tc>
        <w:tc>
          <w:tcPr>
            <w:tcW w:w="1658" w:type="dxa"/>
            <w:vAlign w:val="center"/>
          </w:tcPr>
          <w:p>
            <w:pPr>
              <w:pStyle w:val="51"/>
            </w:pPr>
            <w:r>
              <w:rPr>
                <w:rFonts w:hint="eastAsia"/>
              </w:rPr>
              <w:t>三</w:t>
            </w:r>
          </w:p>
        </w:tc>
        <w:tc>
          <w:tcPr>
            <w:tcW w:w="1658" w:type="dxa"/>
            <w:vAlign w:val="center"/>
          </w:tcPr>
          <w:p>
            <w:pPr>
              <w:pStyle w:val="51"/>
            </w:pPr>
            <w:r>
              <w:rPr>
                <w:rFonts w:hint="eastAsia"/>
              </w:rPr>
              <w:t>简单分析</w:t>
            </w:r>
            <w:r>
              <w:rPr>
                <w:rFonts w:hint="eastAsia"/>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5"/>
            <w:vAlign w:val="center"/>
          </w:tcPr>
          <w:p>
            <w:pPr>
              <w:pStyle w:val="51"/>
              <w:jc w:val="both"/>
            </w:pPr>
            <w:r>
              <w:rPr>
                <w:rFonts w:hint="eastAsia"/>
              </w:rPr>
              <w:t>a：相对于详细评价工作内容而言，在描述危险物质、环境影响途径、环境危害后果、风险防范措施</w:t>
            </w:r>
            <w:r>
              <w:rPr>
                <w:rFonts w:hint="eastAsia" w:ascii="宋体" w:hAnsi="宋体"/>
              </w:rPr>
              <w:t xml:space="preserve">等方面给出定性说明，项目导则附录 </w:t>
            </w:r>
            <w:r>
              <w:rPr>
                <w:rFonts w:cs="Times New Roman"/>
              </w:rPr>
              <w:t>A</w:t>
            </w:r>
            <w:r>
              <w:rPr>
                <w:rFonts w:hint="eastAsia" w:ascii="宋体" w:hAnsi="宋体"/>
              </w:rPr>
              <w:t>。</w:t>
            </w:r>
          </w:p>
        </w:tc>
      </w:tr>
    </w:tbl>
    <w:p>
      <w:pPr>
        <w:pStyle w:val="49"/>
        <w:ind w:firstLine="480"/>
      </w:pPr>
      <w:r>
        <w:rPr>
          <w:rFonts w:hint="eastAsia"/>
        </w:rPr>
        <w:t>根据上表，本项目仅需对环境风险进行简单分析。</w:t>
      </w:r>
    </w:p>
    <w:p>
      <w:pPr>
        <w:pStyle w:val="3"/>
        <w:keepNext w:val="0"/>
        <w:keepLines w:val="0"/>
        <w:widowControl w:val="0"/>
        <w:jc w:val="both"/>
      </w:pPr>
      <w:bookmarkStart w:id="281" w:name="_Toc194481236"/>
      <w:r>
        <w:rPr>
          <w:rFonts w:hint="eastAsia"/>
        </w:rPr>
        <w:t>7</w:t>
      </w:r>
      <w:r>
        <w:t>.</w:t>
      </w:r>
      <w:r>
        <w:rPr>
          <w:rFonts w:hint="eastAsia"/>
        </w:rPr>
        <w:t>5 风险识别</w:t>
      </w:r>
      <w:bookmarkEnd w:id="281"/>
    </w:p>
    <w:p>
      <w:pPr>
        <w:pStyle w:val="49"/>
        <w:ind w:firstLine="480"/>
      </w:pPr>
      <w:r>
        <w:rPr>
          <w:rFonts w:hint="eastAsia"/>
        </w:rPr>
        <w:t xml:space="preserve">风险识别范围包括生产过程所涉及的物质风险识别和生产设施风险识别。 </w:t>
      </w:r>
    </w:p>
    <w:p>
      <w:pPr>
        <w:pStyle w:val="49"/>
        <w:ind w:firstLine="480"/>
      </w:pPr>
      <w:r>
        <w:rPr>
          <w:rFonts w:hint="eastAsia"/>
        </w:rPr>
        <w:t xml:space="preserve">物质风险识别范围：主要原材料及辅助材料、燃料、中间产品、最终产品 以及生产过程排放的“三废”污染物等。 </w:t>
      </w:r>
    </w:p>
    <w:p>
      <w:pPr>
        <w:pStyle w:val="49"/>
        <w:ind w:firstLine="480"/>
      </w:pPr>
      <w:r>
        <w:rPr>
          <w:rFonts w:hint="eastAsia"/>
        </w:rPr>
        <w:t>生产设施风险识别范围：主要生产装置等贮运系统、公用工程系统、工程 环保设施及辅助生产设施等。</w:t>
      </w:r>
    </w:p>
    <w:p>
      <w:pPr>
        <w:pStyle w:val="4"/>
      </w:pPr>
      <w:bookmarkStart w:id="282" w:name="_Toc194481237"/>
      <w:r>
        <w:t>7.</w:t>
      </w:r>
      <w:r>
        <w:rPr>
          <w:rFonts w:hint="eastAsia"/>
        </w:rPr>
        <w:t>5</w:t>
      </w:r>
      <w:r>
        <w:t xml:space="preserve">.1 </w:t>
      </w:r>
      <w:r>
        <w:rPr>
          <w:rFonts w:hint="eastAsia" w:cs="Times New Roman"/>
          <w:color w:val="000000"/>
          <w:szCs w:val="28"/>
        </w:rPr>
        <w:t>物质危险性识别</w:t>
      </w:r>
      <w:bookmarkEnd w:id="282"/>
    </w:p>
    <w:p>
      <w:pPr>
        <w:pStyle w:val="49"/>
        <w:ind w:firstLine="480"/>
      </w:pPr>
      <w:r>
        <w:rPr>
          <w:rFonts w:hint="eastAsia"/>
        </w:rPr>
        <w:t>项目养殖过程中涉及到的风险物质主要为柴油、次氯酸钠。项目涉及的危险物质理化性质见下表。</w:t>
      </w:r>
    </w:p>
    <w:p>
      <w:pPr>
        <w:pStyle w:val="53"/>
      </w:pPr>
      <w:r>
        <w:rPr>
          <w:rFonts w:hint="eastAsia"/>
        </w:rPr>
        <w:t>表7.5-1 柴油理化性质及危害一览表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17"/>
        <w:gridCol w:w="1885"/>
        <w:gridCol w:w="1801"/>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gridSpan w:val="2"/>
            <w:vAlign w:val="center"/>
          </w:tcPr>
          <w:p>
            <w:pPr>
              <w:pStyle w:val="51"/>
            </w:pPr>
            <w:r>
              <w:rPr>
                <w:rFonts w:hint="eastAsia"/>
              </w:rPr>
              <w:t>中文名：柴油</w:t>
            </w:r>
          </w:p>
        </w:tc>
        <w:tc>
          <w:tcPr>
            <w:tcW w:w="3686" w:type="dxa"/>
            <w:gridSpan w:val="2"/>
            <w:vAlign w:val="center"/>
          </w:tcPr>
          <w:p>
            <w:pPr>
              <w:pStyle w:val="51"/>
            </w:pPr>
            <w:r>
              <w:t xml:space="preserve">UN </w:t>
            </w:r>
            <w:r>
              <w:rPr>
                <w:rFonts w:hint="eastAsia"/>
              </w:rPr>
              <w:t>编号：</w:t>
            </w:r>
            <w:r>
              <w:t>2924</w:t>
            </w:r>
          </w:p>
        </w:tc>
        <w:tc>
          <w:tcPr>
            <w:tcW w:w="2347" w:type="dxa"/>
            <w:vAlign w:val="center"/>
          </w:tcPr>
          <w:p>
            <w:pPr>
              <w:pStyle w:val="51"/>
            </w:pPr>
            <w:r>
              <w:rPr>
                <w:rFonts w:hint="eastAsia"/>
              </w:rPr>
              <w:t>危险货物编号：</w:t>
            </w:r>
            <w:r>
              <w:t>31001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5"/>
            <w:vAlign w:val="center"/>
          </w:tcPr>
          <w:p>
            <w:pPr>
              <w:pStyle w:val="51"/>
            </w:pPr>
            <w:r>
              <w:rPr>
                <w:rFonts w:hint="eastAsia"/>
              </w:rPr>
              <w:t>危险品类别：低闪点易燃液体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3"/>
            <w:vAlign w:val="center"/>
          </w:tcPr>
          <w:p>
            <w:pPr>
              <w:pStyle w:val="51"/>
            </w:pPr>
            <w:r>
              <w:rPr>
                <w:rFonts w:hint="eastAsia"/>
              </w:rPr>
              <w:t>主要成分：</w:t>
            </w:r>
            <w:r>
              <w:t>C15</w:t>
            </w:r>
            <w:r>
              <w:rPr>
                <w:rFonts w:hint="eastAsia"/>
              </w:rPr>
              <w:t>~</w:t>
            </w:r>
            <w:r>
              <w:t xml:space="preserve">C23 </w:t>
            </w:r>
            <w:r>
              <w:rPr>
                <w:rFonts w:hint="eastAsia"/>
              </w:rPr>
              <w:t>脂肪烃和环烷烃</w:t>
            </w:r>
          </w:p>
        </w:tc>
        <w:tc>
          <w:tcPr>
            <w:tcW w:w="4148" w:type="dxa"/>
            <w:gridSpan w:val="2"/>
            <w:vAlign w:val="center"/>
          </w:tcPr>
          <w:p>
            <w:pPr>
              <w:pStyle w:val="51"/>
            </w:pPr>
            <w:r>
              <w:rPr>
                <w:rFonts w:hint="eastAsia"/>
              </w:rPr>
              <w:t>性状：无色或淡黄色易挥发液体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63" w:type="dxa"/>
            <w:gridSpan w:val="2"/>
            <w:vAlign w:val="center"/>
          </w:tcPr>
          <w:p>
            <w:pPr>
              <w:pStyle w:val="51"/>
            </w:pPr>
            <w:r>
              <w:rPr>
                <w:rFonts w:hint="eastAsia"/>
              </w:rPr>
              <w:t>熔点（</w:t>
            </w:r>
            <w:r>
              <w:t>℃</w:t>
            </w:r>
            <w:r>
              <w:rPr>
                <w:rFonts w:hint="eastAsia"/>
              </w:rPr>
              <w:t>）：＜</w:t>
            </w:r>
            <w:r>
              <w:t>-50</w:t>
            </w:r>
          </w:p>
        </w:tc>
        <w:tc>
          <w:tcPr>
            <w:tcW w:w="3686" w:type="dxa"/>
            <w:gridSpan w:val="2"/>
            <w:vAlign w:val="center"/>
          </w:tcPr>
          <w:p>
            <w:pPr>
              <w:pStyle w:val="51"/>
            </w:pPr>
            <w:r>
              <w:rPr>
                <w:rFonts w:hint="eastAsia"/>
              </w:rPr>
              <w:t>相对密度（水</w:t>
            </w:r>
            <w:r>
              <w:t>=1</w:t>
            </w:r>
            <w:r>
              <w:rPr>
                <w:rFonts w:hint="eastAsia"/>
              </w:rPr>
              <w:t>）：</w:t>
            </w:r>
            <w:r>
              <w:t>0.81</w:t>
            </w:r>
            <w:r>
              <w:rPr>
                <w:rFonts w:hint="eastAsia"/>
              </w:rPr>
              <w:t>~</w:t>
            </w:r>
            <w:r>
              <w:t>0.85</w:t>
            </w:r>
          </w:p>
        </w:tc>
        <w:tc>
          <w:tcPr>
            <w:tcW w:w="2347" w:type="dxa"/>
            <w:vAlign w:val="center"/>
          </w:tcPr>
          <w:p>
            <w:pPr>
              <w:pStyle w:val="51"/>
            </w:pPr>
            <w:r>
              <w:rPr>
                <w:rFonts w:hint="eastAsia"/>
              </w:rPr>
              <w:t>沸点（</w:t>
            </w:r>
            <w:r>
              <w:t>℃</w:t>
            </w:r>
            <w:r>
              <w:rPr>
                <w:rFonts w:hint="eastAsia"/>
              </w:rPr>
              <w:t>）：</w:t>
            </w:r>
            <w:r>
              <w:t>200</w:t>
            </w:r>
            <w:r>
              <w:rPr>
                <w:rFonts w:hint="eastAsia"/>
              </w:rPr>
              <w:t>~</w:t>
            </w:r>
            <w: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5"/>
            <w:vAlign w:val="center"/>
          </w:tcPr>
          <w:p>
            <w:pPr>
              <w:pStyle w:val="51"/>
            </w:pPr>
            <w:r>
              <w:rPr>
                <w:rFonts w:hint="eastAsia"/>
              </w:rPr>
              <w:t>溶解性：不溶于水，易溶于有机溶剂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3"/>
            <w:vAlign w:val="center"/>
          </w:tcPr>
          <w:p>
            <w:pPr>
              <w:pStyle w:val="51"/>
            </w:pPr>
            <w:r>
              <w:rPr>
                <w:rFonts w:hint="eastAsia"/>
              </w:rPr>
              <w:t>燃烧性：极易燃</w:t>
            </w:r>
          </w:p>
        </w:tc>
        <w:tc>
          <w:tcPr>
            <w:tcW w:w="4148" w:type="dxa"/>
            <w:gridSpan w:val="2"/>
            <w:vAlign w:val="center"/>
          </w:tcPr>
          <w:p>
            <w:pPr>
              <w:pStyle w:val="51"/>
            </w:pPr>
            <w:r>
              <w:rPr>
                <w:rFonts w:hint="eastAsia"/>
              </w:rPr>
              <w:t>闪点（</w:t>
            </w:r>
            <w:r>
              <w:t>℃</w:t>
            </w:r>
            <w:r>
              <w:rPr>
                <w:rFonts w:hint="eastAsia"/>
              </w:rPr>
              <w:t>）：45~55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3"/>
            <w:vAlign w:val="center"/>
          </w:tcPr>
          <w:p>
            <w:pPr>
              <w:pStyle w:val="51"/>
            </w:pPr>
            <w:r>
              <w:rPr>
                <w:rFonts w:hint="eastAsia"/>
              </w:rPr>
              <w:t>引燃温度（</w:t>
            </w:r>
            <w:r>
              <w:t>℃</w:t>
            </w:r>
            <w:r>
              <w:rPr>
                <w:rFonts w:hint="eastAsia"/>
              </w:rPr>
              <w:t>）：</w:t>
            </w:r>
            <w:r>
              <w:t>350</w:t>
            </w:r>
            <w:r>
              <w:rPr>
                <w:rFonts w:hint="eastAsia"/>
              </w:rPr>
              <w:t>~</w:t>
            </w:r>
            <w:r>
              <w:t>380</w:t>
            </w:r>
          </w:p>
        </w:tc>
        <w:tc>
          <w:tcPr>
            <w:tcW w:w="4148" w:type="dxa"/>
            <w:gridSpan w:val="2"/>
            <w:vAlign w:val="center"/>
          </w:tcPr>
          <w:p>
            <w:pPr>
              <w:pStyle w:val="51"/>
            </w:pPr>
            <w:r>
              <w:rPr>
                <w:rFonts w:hint="eastAsia"/>
              </w:rPr>
              <w:t>爆炸极限（</w:t>
            </w:r>
            <w:r>
              <w:t>V%</w:t>
            </w:r>
            <w:r>
              <w:rPr>
                <w:rFonts w:hint="eastAsia"/>
              </w:rPr>
              <w:t>）：</w:t>
            </w:r>
            <w:r>
              <w:t>1.5</w:t>
            </w:r>
            <w:r>
              <w:rPr>
                <w:rFonts w:hint="eastAsia"/>
              </w:rPr>
              <w:t>~</w:t>
            </w:r>
            <w: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5"/>
            <w:vAlign w:val="center"/>
          </w:tcPr>
          <w:p>
            <w:pPr>
              <w:pStyle w:val="51"/>
            </w:pPr>
            <w:r>
              <w:rPr>
                <w:rFonts w:hint="eastAsia"/>
              </w:rPr>
              <w:t>危险特性：其蒸气与空气可形成爆炸性混合物。遇明火高热极易燃烧爆炸。与氧化剂能发生强烈反应。其蒸气比空气重。能在较低处扩散到相当远的地方。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3"/>
            <w:vAlign w:val="center"/>
          </w:tcPr>
          <w:p>
            <w:pPr>
              <w:pStyle w:val="51"/>
            </w:pPr>
            <w:r>
              <w:rPr>
                <w:rFonts w:hint="eastAsia"/>
              </w:rPr>
              <w:t>燃烧（分解）产物：</w:t>
            </w:r>
            <w:r>
              <w:t>CO</w:t>
            </w:r>
            <w:r>
              <w:rPr>
                <w:rFonts w:hint="eastAsia"/>
              </w:rPr>
              <w:t>、</w:t>
            </w:r>
            <w:r>
              <w:t>CO</w:t>
            </w:r>
            <w:r>
              <w:rPr>
                <w:vertAlign w:val="subscript"/>
              </w:rPr>
              <w:t>2</w:t>
            </w:r>
            <w:r>
              <w:rPr>
                <w:rFonts w:hint="eastAsia"/>
              </w:rPr>
              <w:t>、</w:t>
            </w:r>
            <w:r>
              <w:t>H</w:t>
            </w:r>
            <w:r>
              <w:rPr>
                <w:vertAlign w:val="subscript"/>
              </w:rPr>
              <w:t>2</w:t>
            </w:r>
            <w:r>
              <w:t>O</w:t>
            </w:r>
          </w:p>
        </w:tc>
        <w:tc>
          <w:tcPr>
            <w:tcW w:w="4148" w:type="dxa"/>
            <w:gridSpan w:val="2"/>
            <w:vAlign w:val="center"/>
          </w:tcPr>
          <w:p>
            <w:pPr>
              <w:pStyle w:val="51"/>
            </w:pPr>
            <w:r>
              <w:rPr>
                <w:rFonts w:hint="eastAsia"/>
              </w:rPr>
              <w:t>禁忌物：强氧化剂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3"/>
            <w:vAlign w:val="center"/>
          </w:tcPr>
          <w:p>
            <w:pPr>
              <w:pStyle w:val="51"/>
            </w:pPr>
            <w:r>
              <w:rPr>
                <w:rFonts w:hint="eastAsia"/>
              </w:rPr>
              <w:t>最高允许浓度（</w:t>
            </w:r>
            <w:r>
              <w:t>mg/m</w:t>
            </w:r>
            <w:r>
              <w:rPr>
                <w:vertAlign w:val="superscript"/>
              </w:rPr>
              <w:t>3</w:t>
            </w:r>
            <w:r>
              <w:rPr>
                <w:rFonts w:hint="eastAsia"/>
              </w:rPr>
              <w:t>）：</w:t>
            </w:r>
            <w:r>
              <w:t>300</w:t>
            </w:r>
          </w:p>
        </w:tc>
        <w:tc>
          <w:tcPr>
            <w:tcW w:w="4148" w:type="dxa"/>
            <w:gridSpan w:val="2"/>
            <w:vAlign w:val="center"/>
          </w:tcPr>
          <w:p>
            <w:pPr>
              <w:pStyle w:val="51"/>
            </w:pPr>
            <w:r>
              <w:rPr>
                <w:rFonts w:hint="eastAsia"/>
              </w:rPr>
              <w:t>侵入途径：吸入、食入、经皮肤吸收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51"/>
            </w:pPr>
            <w:r>
              <w:rPr>
                <w:rFonts w:hint="eastAsia"/>
              </w:rPr>
              <w:t>健康</w:t>
            </w:r>
          </w:p>
          <w:p>
            <w:pPr>
              <w:pStyle w:val="51"/>
            </w:pPr>
            <w:r>
              <w:rPr>
                <w:rFonts w:hint="eastAsia"/>
              </w:rPr>
              <w:t>危害</w:t>
            </w:r>
          </w:p>
        </w:tc>
        <w:tc>
          <w:tcPr>
            <w:tcW w:w="7450" w:type="dxa"/>
            <w:gridSpan w:val="4"/>
            <w:vAlign w:val="center"/>
          </w:tcPr>
          <w:p>
            <w:pPr>
              <w:pStyle w:val="51"/>
              <w:jc w:val="both"/>
            </w:pPr>
            <w:r>
              <w:rPr>
                <w:rFonts w:hint="eastAsia"/>
              </w:rPr>
              <w:t>急性中毒，对中枢神经系统有麻醉作用，轻度中毒症状有头晕、头痛、恶心、呕吐。高浓度吸入出现中毒性脑病。极高浓度吸入引起意识突然丧失，反射性呼吸停止。可伴有中毒性周围神经病及化学性肺炎。吸入呼吸道可引起吸入性肺炎。溅入眼内可致角膜溃疡、穿孔，甚至失明。皮肤接触致急性接触性皮炎，甚至灼伤。吞咽引起急性胃肠炎。并可引起肝、肾损害。慢性中毒神经衰弱综合症，植物神经功能紊乱，周围神经病。严重中毒出现中毒性脑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Align w:val="center"/>
          </w:tcPr>
          <w:p>
            <w:pPr>
              <w:pStyle w:val="51"/>
            </w:pPr>
            <w:r>
              <w:rPr>
                <w:rFonts w:hint="eastAsia"/>
              </w:rPr>
              <w:t>工程</w:t>
            </w:r>
          </w:p>
          <w:p>
            <w:pPr>
              <w:pStyle w:val="51"/>
            </w:pPr>
            <w:r>
              <w:rPr>
                <w:rFonts w:hint="eastAsia"/>
              </w:rPr>
              <w:t>控制</w:t>
            </w:r>
          </w:p>
        </w:tc>
        <w:tc>
          <w:tcPr>
            <w:tcW w:w="7450" w:type="dxa"/>
            <w:gridSpan w:val="4"/>
            <w:vAlign w:val="center"/>
          </w:tcPr>
          <w:p>
            <w:pPr>
              <w:pStyle w:val="51"/>
              <w:jc w:val="both"/>
            </w:pPr>
            <w:r>
              <w:rPr>
                <w:rFonts w:hint="eastAsia"/>
              </w:rPr>
              <w:t>密闭操作，全面通风，工作现场严禁火种。呼吸系统防护高浓度接触时，可佩戴自吸过滤式防毒面具。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51"/>
            </w:pPr>
            <w:r>
              <w:rPr>
                <w:rFonts w:hint="eastAsia"/>
              </w:rPr>
              <w:t>眼睛</w:t>
            </w:r>
          </w:p>
          <w:p>
            <w:pPr>
              <w:pStyle w:val="51"/>
            </w:pPr>
            <w:r>
              <w:rPr>
                <w:rFonts w:hint="eastAsia"/>
              </w:rPr>
              <w:t>防护</w:t>
            </w:r>
          </w:p>
        </w:tc>
        <w:tc>
          <w:tcPr>
            <w:tcW w:w="7450" w:type="dxa"/>
            <w:gridSpan w:val="4"/>
            <w:vAlign w:val="center"/>
          </w:tcPr>
          <w:p>
            <w:pPr>
              <w:pStyle w:val="51"/>
              <w:jc w:val="both"/>
            </w:pPr>
            <w:r>
              <w:rPr>
                <w:rFonts w:hint="eastAsia"/>
              </w:rPr>
              <w:t>高浓度接触时，可佩戴化学安全防护眼镜。身体防护穿防静电工作服。手防护戴耐油手套。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51"/>
            </w:pPr>
            <w:r>
              <w:rPr>
                <w:rFonts w:hint="eastAsia"/>
              </w:rPr>
              <w:t>储运</w:t>
            </w:r>
          </w:p>
        </w:tc>
        <w:tc>
          <w:tcPr>
            <w:tcW w:w="7450" w:type="dxa"/>
            <w:gridSpan w:val="4"/>
            <w:vAlign w:val="center"/>
          </w:tcPr>
          <w:p>
            <w:pPr>
              <w:pStyle w:val="51"/>
              <w:jc w:val="both"/>
            </w:pPr>
            <w:r>
              <w:rPr>
                <w:rFonts w:hint="eastAsia"/>
              </w:rPr>
              <w:t>存储要保持容器密封，要有防火、防爆技术措施，禁止使用易产生火花的机械设备和工具。灌装时应注意流速且有接地装置，防止静电积聚。</w:t>
            </w:r>
          </w:p>
        </w:tc>
      </w:tr>
    </w:tbl>
    <w:p>
      <w:pPr>
        <w:pStyle w:val="53"/>
      </w:pPr>
      <w:bookmarkStart w:id="283" w:name="_Hlk193958459"/>
      <w:r>
        <w:rPr>
          <w:rFonts w:hint="eastAsia"/>
        </w:rPr>
        <w:t>表7.5-2 次氯酸钠理化性质及危害一览表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66"/>
        <w:gridCol w:w="1453"/>
        <w:gridCol w:w="2102"/>
        <w:gridCol w:w="24"/>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pStyle w:val="201"/>
            </w:pPr>
            <w:r>
              <w:rPr>
                <w:rFonts w:hint="eastAsia"/>
              </w:rPr>
              <w:t>标识</w:t>
            </w:r>
          </w:p>
        </w:tc>
        <w:tc>
          <w:tcPr>
            <w:tcW w:w="5245" w:type="dxa"/>
            <w:gridSpan w:val="4"/>
            <w:vAlign w:val="center"/>
          </w:tcPr>
          <w:p>
            <w:pPr>
              <w:pStyle w:val="201"/>
              <w:jc w:val="left"/>
            </w:pPr>
            <w:r>
              <w:rPr>
                <w:rFonts w:hint="eastAsia"/>
              </w:rPr>
              <w:t>中文名：次氯酸钠；英文名：Sodium hypochlorite</w:t>
            </w:r>
          </w:p>
        </w:tc>
        <w:tc>
          <w:tcPr>
            <w:tcW w:w="2347" w:type="dxa"/>
            <w:vAlign w:val="center"/>
          </w:tcPr>
          <w:p>
            <w:pPr>
              <w:pStyle w:val="201"/>
            </w:pPr>
            <w:r>
              <w:rPr>
                <w:rFonts w:hint="eastAsia"/>
              </w:rPr>
              <w:t>危险货物编号：83501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201"/>
            </w:pPr>
          </w:p>
        </w:tc>
        <w:tc>
          <w:tcPr>
            <w:tcW w:w="5245" w:type="dxa"/>
            <w:gridSpan w:val="4"/>
            <w:vAlign w:val="center"/>
          </w:tcPr>
          <w:p>
            <w:pPr>
              <w:pStyle w:val="201"/>
              <w:jc w:val="left"/>
            </w:pPr>
            <w:r>
              <w:rPr>
                <w:rFonts w:hint="eastAsia"/>
              </w:rPr>
              <w:t>分子式：NaClO</w:t>
            </w:r>
          </w:p>
        </w:tc>
        <w:tc>
          <w:tcPr>
            <w:tcW w:w="2347" w:type="dxa"/>
            <w:vAlign w:val="center"/>
          </w:tcPr>
          <w:p>
            <w:pPr>
              <w:pStyle w:val="201"/>
            </w:pPr>
            <w:r>
              <w:rPr>
                <w:rFonts w:hint="eastAsia"/>
              </w:rPr>
              <w:t>CAS号：7681-52-9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pStyle w:val="201"/>
            </w:pPr>
            <w:r>
              <w:rPr>
                <w:rFonts w:hint="eastAsia"/>
              </w:rPr>
              <w:t>理化性质</w:t>
            </w:r>
          </w:p>
        </w:tc>
        <w:tc>
          <w:tcPr>
            <w:tcW w:w="1666" w:type="dxa"/>
            <w:vAlign w:val="center"/>
          </w:tcPr>
          <w:p>
            <w:pPr>
              <w:pStyle w:val="201"/>
            </w:pPr>
            <w:r>
              <w:rPr>
                <w:rFonts w:hint="eastAsia"/>
              </w:rPr>
              <w:t>外观与性状</w:t>
            </w:r>
          </w:p>
        </w:tc>
        <w:tc>
          <w:tcPr>
            <w:tcW w:w="5926" w:type="dxa"/>
            <w:gridSpan w:val="4"/>
            <w:vAlign w:val="center"/>
          </w:tcPr>
          <w:p>
            <w:pPr>
              <w:pStyle w:val="201"/>
            </w:pPr>
            <w:r>
              <w:rPr>
                <w:rFonts w:hint="eastAsia"/>
              </w:rPr>
              <w:t>微黄色溶液，有似氯气的气味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continue"/>
            <w:vAlign w:val="center"/>
          </w:tcPr>
          <w:p>
            <w:pPr>
              <w:pStyle w:val="201"/>
            </w:pPr>
          </w:p>
        </w:tc>
        <w:tc>
          <w:tcPr>
            <w:tcW w:w="1666" w:type="dxa"/>
            <w:vAlign w:val="center"/>
          </w:tcPr>
          <w:p>
            <w:pPr>
              <w:pStyle w:val="201"/>
            </w:pPr>
            <w:r>
              <w:rPr>
                <w:rFonts w:hint="eastAsia"/>
              </w:rPr>
              <w:t>熔点（</w:t>
            </w:r>
            <w:r>
              <w:t>℃</w:t>
            </w:r>
            <w:r>
              <w:rPr>
                <w:rFonts w:hint="eastAsia"/>
              </w:rPr>
              <w:t>）</w:t>
            </w:r>
          </w:p>
        </w:tc>
        <w:tc>
          <w:tcPr>
            <w:tcW w:w="1453" w:type="dxa"/>
            <w:vAlign w:val="center"/>
          </w:tcPr>
          <w:p>
            <w:pPr>
              <w:pStyle w:val="201"/>
            </w:pPr>
            <w:r>
              <w:rPr>
                <w:rFonts w:hint="eastAsia"/>
              </w:rPr>
              <w:t>-6</w:t>
            </w:r>
          </w:p>
        </w:tc>
        <w:tc>
          <w:tcPr>
            <w:tcW w:w="2126" w:type="dxa"/>
            <w:gridSpan w:val="2"/>
            <w:vAlign w:val="center"/>
          </w:tcPr>
          <w:p>
            <w:pPr>
              <w:pStyle w:val="201"/>
            </w:pPr>
            <w:r>
              <w:rPr>
                <w:rFonts w:hint="eastAsia"/>
              </w:rPr>
              <w:t>密度（g/cm</w:t>
            </w:r>
            <w:r>
              <w:rPr>
                <w:rFonts w:hint="eastAsia"/>
                <w:vertAlign w:val="superscript"/>
              </w:rPr>
              <w:t>3</w:t>
            </w:r>
            <w:r>
              <w:rPr>
                <w:rFonts w:hint="eastAsia"/>
              </w:rPr>
              <w:t>）</w:t>
            </w:r>
          </w:p>
        </w:tc>
        <w:tc>
          <w:tcPr>
            <w:tcW w:w="2347" w:type="dxa"/>
            <w:vAlign w:val="center"/>
          </w:tcPr>
          <w:p>
            <w:pPr>
              <w:pStyle w:val="201"/>
            </w:pPr>
            <w:r>
              <w:rPr>
                <w:rFonts w:hint="eastAsi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201"/>
            </w:pPr>
          </w:p>
        </w:tc>
        <w:tc>
          <w:tcPr>
            <w:tcW w:w="1666" w:type="dxa"/>
            <w:vAlign w:val="center"/>
          </w:tcPr>
          <w:p>
            <w:pPr>
              <w:pStyle w:val="201"/>
            </w:pPr>
            <w:r>
              <w:rPr>
                <w:rFonts w:hint="eastAsia"/>
              </w:rPr>
              <w:t>沸点（</w:t>
            </w:r>
            <w:r>
              <w:t>℃</w:t>
            </w:r>
            <w:r>
              <w:rPr>
                <w:rFonts w:hint="eastAsia"/>
              </w:rPr>
              <w:t>）</w:t>
            </w:r>
          </w:p>
        </w:tc>
        <w:tc>
          <w:tcPr>
            <w:tcW w:w="1453" w:type="dxa"/>
            <w:vAlign w:val="center"/>
          </w:tcPr>
          <w:p>
            <w:pPr>
              <w:pStyle w:val="201"/>
            </w:pPr>
            <w:r>
              <w:rPr>
                <w:rFonts w:hint="eastAsia"/>
              </w:rPr>
              <w:t>102.2</w:t>
            </w:r>
          </w:p>
        </w:tc>
        <w:tc>
          <w:tcPr>
            <w:tcW w:w="2126" w:type="dxa"/>
            <w:gridSpan w:val="2"/>
            <w:vAlign w:val="center"/>
          </w:tcPr>
          <w:p>
            <w:pPr>
              <w:pStyle w:val="201"/>
            </w:pPr>
            <w:r>
              <w:rPr>
                <w:rFonts w:hint="eastAsia"/>
              </w:rPr>
              <w:t>饱和蒸气压（kPa）</w:t>
            </w:r>
          </w:p>
        </w:tc>
        <w:tc>
          <w:tcPr>
            <w:tcW w:w="2347" w:type="dxa"/>
            <w:vAlign w:val="center"/>
          </w:tcPr>
          <w:p>
            <w:pPr>
              <w:pStyle w:val="201"/>
            </w:pPr>
            <w:r>
              <w:rPr>
                <w:rFonts w:hint="eastAsia"/>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201"/>
            </w:pPr>
          </w:p>
        </w:tc>
        <w:tc>
          <w:tcPr>
            <w:tcW w:w="1666" w:type="dxa"/>
            <w:vAlign w:val="center"/>
          </w:tcPr>
          <w:p>
            <w:pPr>
              <w:pStyle w:val="201"/>
            </w:pPr>
            <w:r>
              <w:rPr>
                <w:rFonts w:hint="eastAsia"/>
              </w:rPr>
              <w:t>溶解性</w:t>
            </w:r>
          </w:p>
        </w:tc>
        <w:tc>
          <w:tcPr>
            <w:tcW w:w="5926" w:type="dxa"/>
            <w:gridSpan w:val="4"/>
            <w:vAlign w:val="center"/>
          </w:tcPr>
          <w:p>
            <w:pPr>
              <w:pStyle w:val="201"/>
              <w:jc w:val="left"/>
            </w:pPr>
            <w:r>
              <w:rPr>
                <w:rFonts w:hint="eastAsia"/>
              </w:rPr>
              <w:t>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pStyle w:val="201"/>
            </w:pPr>
            <w:r>
              <w:rPr>
                <w:rFonts w:hint="eastAsia"/>
              </w:rPr>
              <w:t>毒性及健康危害</w:t>
            </w:r>
          </w:p>
        </w:tc>
        <w:tc>
          <w:tcPr>
            <w:tcW w:w="1666" w:type="dxa"/>
            <w:vAlign w:val="center"/>
          </w:tcPr>
          <w:p>
            <w:pPr>
              <w:pStyle w:val="201"/>
            </w:pPr>
            <w:r>
              <w:rPr>
                <w:rFonts w:hint="eastAsia"/>
              </w:rPr>
              <w:t>侵入途径</w:t>
            </w:r>
          </w:p>
        </w:tc>
        <w:tc>
          <w:tcPr>
            <w:tcW w:w="5926" w:type="dxa"/>
            <w:gridSpan w:val="4"/>
            <w:vAlign w:val="center"/>
          </w:tcPr>
          <w:p>
            <w:pPr>
              <w:pStyle w:val="201"/>
              <w:jc w:val="left"/>
            </w:pPr>
            <w:r>
              <w:rPr>
                <w:rFonts w:hint="eastAsia"/>
              </w:rPr>
              <w:t>吸入、食入，经皮肤吸入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continue"/>
            <w:vAlign w:val="center"/>
          </w:tcPr>
          <w:p>
            <w:pPr>
              <w:pStyle w:val="201"/>
            </w:pPr>
          </w:p>
        </w:tc>
        <w:tc>
          <w:tcPr>
            <w:tcW w:w="1666" w:type="dxa"/>
            <w:vAlign w:val="center"/>
          </w:tcPr>
          <w:p>
            <w:pPr>
              <w:pStyle w:val="201"/>
            </w:pPr>
            <w:r>
              <w:rPr>
                <w:rFonts w:hint="eastAsia"/>
              </w:rPr>
              <w:t>急性毒性</w:t>
            </w:r>
          </w:p>
        </w:tc>
        <w:tc>
          <w:tcPr>
            <w:tcW w:w="5926" w:type="dxa"/>
            <w:gridSpan w:val="4"/>
            <w:vAlign w:val="center"/>
          </w:tcPr>
          <w:p>
            <w:pPr>
              <w:pStyle w:val="201"/>
              <w:jc w:val="left"/>
            </w:pPr>
            <w:r>
              <w:rPr>
                <w:rFonts w:hint="eastAsia"/>
              </w:rPr>
              <w:t>急性毒性：LD50:8500mg/kg（小鼠经口）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201"/>
            </w:pPr>
          </w:p>
        </w:tc>
        <w:tc>
          <w:tcPr>
            <w:tcW w:w="1666" w:type="dxa"/>
            <w:vAlign w:val="center"/>
          </w:tcPr>
          <w:p>
            <w:pPr>
              <w:pStyle w:val="201"/>
            </w:pPr>
            <w:r>
              <w:rPr>
                <w:rFonts w:hint="eastAsia"/>
              </w:rPr>
              <w:t>健康危害</w:t>
            </w:r>
          </w:p>
        </w:tc>
        <w:tc>
          <w:tcPr>
            <w:tcW w:w="5926" w:type="dxa"/>
            <w:gridSpan w:val="4"/>
            <w:vAlign w:val="center"/>
          </w:tcPr>
          <w:p>
            <w:pPr>
              <w:pStyle w:val="201"/>
              <w:jc w:val="both"/>
            </w:pPr>
            <w:r>
              <w:rPr>
                <w:rFonts w:hint="eastAsia"/>
              </w:rPr>
              <w:t>能刺激皮肤和黏膜，溅入眼中有疼痛感，并对角膜损害。吸入雾滴则刺激气管黏膜，食入至消化道疼痛受损，严重可使之穿孔。经常手接触可致使指甲变薄，毛发脱落。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pStyle w:val="201"/>
            </w:pPr>
            <w:r>
              <w:rPr>
                <w:rFonts w:hint="eastAsia"/>
              </w:rPr>
              <w:t>燃烧爆炸危险性</w:t>
            </w:r>
          </w:p>
        </w:tc>
        <w:tc>
          <w:tcPr>
            <w:tcW w:w="1666" w:type="dxa"/>
            <w:vAlign w:val="center"/>
          </w:tcPr>
          <w:p>
            <w:pPr>
              <w:pStyle w:val="201"/>
              <w:rPr>
                <w:sz w:val="22"/>
                <w:szCs w:val="28"/>
              </w:rPr>
            </w:pPr>
            <w:r>
              <w:rPr>
                <w:rFonts w:hint="eastAsia"/>
              </w:rPr>
              <w:t>燃烧性</w:t>
            </w:r>
          </w:p>
        </w:tc>
        <w:tc>
          <w:tcPr>
            <w:tcW w:w="1453" w:type="dxa"/>
            <w:vAlign w:val="center"/>
          </w:tcPr>
          <w:p>
            <w:pPr>
              <w:pStyle w:val="201"/>
            </w:pPr>
            <w:r>
              <w:rPr>
                <w:rFonts w:hint="eastAsia"/>
              </w:rPr>
              <w:t>助燃</w:t>
            </w:r>
          </w:p>
        </w:tc>
        <w:tc>
          <w:tcPr>
            <w:tcW w:w="2126" w:type="dxa"/>
            <w:gridSpan w:val="2"/>
            <w:vAlign w:val="center"/>
          </w:tcPr>
          <w:p>
            <w:pPr>
              <w:pStyle w:val="201"/>
            </w:pPr>
            <w:r>
              <w:rPr>
                <w:rFonts w:hint="eastAsia"/>
              </w:rPr>
              <w:t>燃烧分解物</w:t>
            </w:r>
          </w:p>
        </w:tc>
        <w:tc>
          <w:tcPr>
            <w:tcW w:w="2347" w:type="dxa"/>
            <w:vAlign w:val="center"/>
          </w:tcPr>
          <w:p>
            <w:pPr>
              <w:pStyle w:val="201"/>
            </w:pPr>
            <w:r>
              <w:rPr>
                <w:rFonts w:hint="eastAsia"/>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201"/>
            </w:pPr>
          </w:p>
        </w:tc>
        <w:tc>
          <w:tcPr>
            <w:tcW w:w="1666" w:type="dxa"/>
            <w:vAlign w:val="center"/>
          </w:tcPr>
          <w:p>
            <w:pPr>
              <w:pStyle w:val="201"/>
            </w:pPr>
            <w:r>
              <w:rPr>
                <w:rFonts w:hint="eastAsia"/>
              </w:rPr>
              <w:t>闪点（</w:t>
            </w:r>
            <w:r>
              <w:t>℃</w:t>
            </w:r>
            <w:r>
              <w:rPr>
                <w:rFonts w:hint="eastAsia"/>
              </w:rPr>
              <w:t>）</w:t>
            </w:r>
          </w:p>
        </w:tc>
        <w:tc>
          <w:tcPr>
            <w:tcW w:w="1453" w:type="dxa"/>
            <w:vAlign w:val="center"/>
          </w:tcPr>
          <w:p>
            <w:pPr>
              <w:pStyle w:val="201"/>
            </w:pPr>
            <w:r>
              <w:rPr>
                <w:rFonts w:hint="eastAsia"/>
              </w:rPr>
              <w:t>无资料</w:t>
            </w:r>
          </w:p>
        </w:tc>
        <w:tc>
          <w:tcPr>
            <w:tcW w:w="2126" w:type="dxa"/>
            <w:gridSpan w:val="2"/>
            <w:vAlign w:val="center"/>
          </w:tcPr>
          <w:p>
            <w:pPr>
              <w:pStyle w:val="201"/>
            </w:pPr>
            <w:r>
              <w:rPr>
                <w:rFonts w:hint="eastAsia"/>
              </w:rPr>
              <w:t>自燃温度（</w:t>
            </w:r>
            <w:r>
              <w:t>℃</w:t>
            </w:r>
            <w:r>
              <w:rPr>
                <w:rFonts w:hint="eastAsia"/>
              </w:rPr>
              <w:t>）</w:t>
            </w:r>
          </w:p>
        </w:tc>
        <w:tc>
          <w:tcPr>
            <w:tcW w:w="2347" w:type="dxa"/>
            <w:vAlign w:val="center"/>
          </w:tcPr>
          <w:p>
            <w:pPr>
              <w:pStyle w:val="201"/>
            </w:pPr>
            <w:r>
              <w:rPr>
                <w:rFonts w:hint="eastAsia"/>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continue"/>
            <w:vAlign w:val="center"/>
          </w:tcPr>
          <w:p>
            <w:pPr>
              <w:pStyle w:val="201"/>
            </w:pPr>
          </w:p>
        </w:tc>
        <w:tc>
          <w:tcPr>
            <w:tcW w:w="1666" w:type="dxa"/>
            <w:vAlign w:val="center"/>
          </w:tcPr>
          <w:p>
            <w:pPr>
              <w:pStyle w:val="201"/>
            </w:pPr>
            <w:r>
              <w:rPr>
                <w:rFonts w:hint="eastAsia"/>
              </w:rPr>
              <w:t>爆炸上限（%）</w:t>
            </w:r>
          </w:p>
        </w:tc>
        <w:tc>
          <w:tcPr>
            <w:tcW w:w="1453" w:type="dxa"/>
            <w:vAlign w:val="center"/>
          </w:tcPr>
          <w:p>
            <w:pPr>
              <w:pStyle w:val="201"/>
            </w:pPr>
            <w:r>
              <w:rPr>
                <w:rFonts w:hint="eastAsia"/>
              </w:rPr>
              <w:t>无资料</w:t>
            </w:r>
          </w:p>
        </w:tc>
        <w:tc>
          <w:tcPr>
            <w:tcW w:w="2126" w:type="dxa"/>
            <w:gridSpan w:val="2"/>
            <w:vAlign w:val="center"/>
          </w:tcPr>
          <w:p>
            <w:pPr>
              <w:pStyle w:val="201"/>
            </w:pPr>
            <w:r>
              <w:rPr>
                <w:rFonts w:hint="eastAsia"/>
              </w:rPr>
              <w:t>爆炸下限（%）</w:t>
            </w:r>
          </w:p>
        </w:tc>
        <w:tc>
          <w:tcPr>
            <w:tcW w:w="2347" w:type="dxa"/>
            <w:vAlign w:val="center"/>
          </w:tcPr>
          <w:p>
            <w:pPr>
              <w:pStyle w:val="201"/>
            </w:pPr>
            <w:r>
              <w:rPr>
                <w:rFonts w:hint="eastAsia"/>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201"/>
            </w:pPr>
          </w:p>
        </w:tc>
        <w:tc>
          <w:tcPr>
            <w:tcW w:w="1666" w:type="dxa"/>
            <w:vAlign w:val="center"/>
          </w:tcPr>
          <w:p>
            <w:pPr>
              <w:pStyle w:val="201"/>
            </w:pPr>
            <w:r>
              <w:rPr>
                <w:rFonts w:hint="eastAsia"/>
              </w:rPr>
              <w:t>危险特性</w:t>
            </w:r>
          </w:p>
        </w:tc>
        <w:tc>
          <w:tcPr>
            <w:tcW w:w="5926" w:type="dxa"/>
            <w:gridSpan w:val="4"/>
            <w:vAlign w:val="center"/>
          </w:tcPr>
          <w:p>
            <w:pPr>
              <w:pStyle w:val="201"/>
              <w:jc w:val="both"/>
            </w:pPr>
            <w:r>
              <w:rPr>
                <w:rFonts w:hint="eastAsia"/>
              </w:rPr>
              <w:t>无水盐易分解产生毒性的腐蚀性烟气，与草酸或纤维素等有机物接触即产生氧化燃烧。一般商品的水溶液则无爆炸燃烧性，但由于强的氧化作用而具有强的腐蚀性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201"/>
            </w:pPr>
          </w:p>
        </w:tc>
        <w:tc>
          <w:tcPr>
            <w:tcW w:w="1666" w:type="dxa"/>
            <w:vAlign w:val="center"/>
          </w:tcPr>
          <w:p>
            <w:pPr>
              <w:pStyle w:val="201"/>
            </w:pPr>
            <w:r>
              <w:rPr>
                <w:rFonts w:hint="eastAsia"/>
              </w:rPr>
              <w:t>建规火险分级</w:t>
            </w:r>
          </w:p>
        </w:tc>
        <w:tc>
          <w:tcPr>
            <w:tcW w:w="1453" w:type="dxa"/>
            <w:vAlign w:val="center"/>
          </w:tcPr>
          <w:p>
            <w:pPr>
              <w:pStyle w:val="201"/>
            </w:pPr>
            <w:r>
              <w:rPr>
                <w:rFonts w:hint="eastAsia"/>
              </w:rPr>
              <w:t>乙类</w:t>
            </w:r>
          </w:p>
        </w:tc>
        <w:tc>
          <w:tcPr>
            <w:tcW w:w="2102" w:type="dxa"/>
            <w:vAlign w:val="center"/>
          </w:tcPr>
          <w:p>
            <w:pPr>
              <w:pStyle w:val="201"/>
            </w:pPr>
            <w:r>
              <w:rPr>
                <w:rFonts w:hint="eastAsia"/>
              </w:rPr>
              <w:t>稳定性</w:t>
            </w:r>
          </w:p>
        </w:tc>
        <w:tc>
          <w:tcPr>
            <w:tcW w:w="2371" w:type="dxa"/>
            <w:gridSpan w:val="2"/>
            <w:vAlign w:val="center"/>
          </w:tcPr>
          <w:p>
            <w:pPr>
              <w:pStyle w:val="201"/>
            </w:pPr>
            <w:r>
              <w:rPr>
                <w:rFonts w:hint="eastAsia"/>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201"/>
            </w:pPr>
          </w:p>
        </w:tc>
        <w:tc>
          <w:tcPr>
            <w:tcW w:w="1666" w:type="dxa"/>
            <w:vAlign w:val="center"/>
          </w:tcPr>
          <w:p>
            <w:pPr>
              <w:pStyle w:val="201"/>
            </w:pPr>
            <w:r>
              <w:rPr>
                <w:rFonts w:hint="eastAsia"/>
              </w:rPr>
              <w:t>聚合危害</w:t>
            </w:r>
          </w:p>
        </w:tc>
        <w:tc>
          <w:tcPr>
            <w:tcW w:w="1453" w:type="dxa"/>
            <w:vAlign w:val="center"/>
          </w:tcPr>
          <w:p>
            <w:pPr>
              <w:pStyle w:val="201"/>
            </w:pPr>
            <w:r>
              <w:rPr>
                <w:rFonts w:hint="eastAsia"/>
              </w:rPr>
              <w:t>不聚合</w:t>
            </w:r>
          </w:p>
        </w:tc>
        <w:tc>
          <w:tcPr>
            <w:tcW w:w="2102" w:type="dxa"/>
            <w:vAlign w:val="center"/>
          </w:tcPr>
          <w:p>
            <w:pPr>
              <w:pStyle w:val="201"/>
            </w:pPr>
            <w:r>
              <w:rPr>
                <w:rFonts w:hint="eastAsia"/>
              </w:rPr>
              <w:t>禁忌物</w:t>
            </w:r>
          </w:p>
        </w:tc>
        <w:tc>
          <w:tcPr>
            <w:tcW w:w="2371" w:type="dxa"/>
            <w:gridSpan w:val="2"/>
            <w:vAlign w:val="center"/>
          </w:tcPr>
          <w:p>
            <w:pPr>
              <w:pStyle w:val="201"/>
            </w:pPr>
            <w:r>
              <w:rPr>
                <w:rFonts w:hint="eastAsia"/>
              </w:rPr>
              <w:t>还原剂、酸等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continue"/>
            <w:vAlign w:val="center"/>
          </w:tcPr>
          <w:p>
            <w:pPr>
              <w:pStyle w:val="201"/>
            </w:pPr>
          </w:p>
        </w:tc>
        <w:tc>
          <w:tcPr>
            <w:tcW w:w="1666" w:type="dxa"/>
            <w:vAlign w:val="center"/>
          </w:tcPr>
          <w:p>
            <w:pPr>
              <w:pStyle w:val="201"/>
            </w:pPr>
            <w:r>
              <w:rPr>
                <w:rFonts w:hint="eastAsia"/>
              </w:rPr>
              <w:t>灭火方法</w:t>
            </w:r>
          </w:p>
        </w:tc>
        <w:tc>
          <w:tcPr>
            <w:tcW w:w="5926" w:type="dxa"/>
            <w:gridSpan w:val="4"/>
            <w:vAlign w:val="center"/>
          </w:tcPr>
          <w:p>
            <w:pPr>
              <w:pStyle w:val="201"/>
              <w:jc w:val="left"/>
            </w:pPr>
            <w:r>
              <w:rPr>
                <w:rFonts w:hint="eastAsia"/>
              </w:rPr>
              <w:t>采用雾状水、砂土、二氧化碳灭火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01"/>
            </w:pPr>
            <w:r>
              <w:rPr>
                <w:rFonts w:hint="eastAsia"/>
              </w:rPr>
              <w:t>急救措施</w:t>
            </w:r>
          </w:p>
        </w:tc>
        <w:tc>
          <w:tcPr>
            <w:tcW w:w="7592" w:type="dxa"/>
            <w:gridSpan w:val="5"/>
            <w:vAlign w:val="center"/>
          </w:tcPr>
          <w:p>
            <w:pPr>
              <w:pStyle w:val="201"/>
              <w:jc w:val="both"/>
            </w:pPr>
            <w:r>
              <w:rPr>
                <w:rFonts w:hint="eastAsia"/>
              </w:rPr>
              <w:t>皮肤接触：理解脱去污染的衣着，用大量流动清水冲洗，眼睛接触：立即提起眼睑，用大量流动清水或生理盐水彻底冲洗15分钟以上，就医。吸入：脱离现场至空气新鲜处，保持呼吸道通畅。如呼吸困难给输氧。如呼吸停止，立即进行人工呼吸。就医。食入：立即以30~50g/L的碳酸钠液洗胃和催吐，然后服用250mL（溶解有30g硫酸镁和10g碳酸钠）水溶液。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01"/>
            </w:pPr>
            <w:r>
              <w:rPr>
                <w:rFonts w:hint="eastAsia"/>
              </w:rPr>
              <w:t>泄漏处置</w:t>
            </w:r>
          </w:p>
        </w:tc>
        <w:tc>
          <w:tcPr>
            <w:tcW w:w="7592" w:type="dxa"/>
            <w:gridSpan w:val="5"/>
            <w:vAlign w:val="center"/>
          </w:tcPr>
          <w:p>
            <w:pPr>
              <w:pStyle w:val="201"/>
              <w:jc w:val="left"/>
            </w:pPr>
            <w:r>
              <w:rPr>
                <w:rFonts w:hint="eastAsia"/>
              </w:rPr>
              <w:t>小量泄漏：用砂土或其他惰性材料吸收或用大量水冲洗。</w:t>
            </w:r>
          </w:p>
          <w:p>
            <w:pPr>
              <w:pStyle w:val="201"/>
              <w:jc w:val="left"/>
            </w:pPr>
            <w:r>
              <w:rPr>
                <w:rFonts w:hint="eastAsia"/>
              </w:rPr>
              <w:t>大量泄漏：构筑围堰或挖坑收容。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01"/>
            </w:pPr>
            <w:r>
              <w:rPr>
                <w:rFonts w:hint="eastAsia"/>
              </w:rPr>
              <w:t>储运注意事项</w:t>
            </w:r>
          </w:p>
        </w:tc>
        <w:tc>
          <w:tcPr>
            <w:tcW w:w="7592" w:type="dxa"/>
            <w:gridSpan w:val="5"/>
            <w:vAlign w:val="center"/>
          </w:tcPr>
          <w:p>
            <w:pPr>
              <w:pStyle w:val="201"/>
              <w:jc w:val="both"/>
            </w:pPr>
            <w:r>
              <w:rPr>
                <w:rFonts w:hint="eastAsia"/>
              </w:rPr>
              <w:t>储存：贮存于阴凉通风的库房内，远离热源和火种，避免与酸、伯胺、氨等混贮。容器内不能混入重金属物质。避免日光照射与长距离输运。不可久储。库温不宜超过30</w:t>
            </w:r>
            <w:r>
              <w:t>℃</w:t>
            </w:r>
            <w:r>
              <w:rPr>
                <w:rFonts w:hint="eastAsia"/>
              </w:rPr>
              <w:t>。运输时单独装运，运输过程中确保容器不泄漏、不倒塌、不坠落、不损坏。运输车辆应配备相应品种和数量的消防器材。运输途中防暴晒、雨淋、防高温。公路运输时需按规定路线行驶，勿在居民区和人口稠密区停留。实行双人押运。</w:t>
            </w:r>
          </w:p>
        </w:tc>
      </w:tr>
      <w:bookmarkEnd w:id="283"/>
    </w:tbl>
    <w:p>
      <w:pPr>
        <w:pStyle w:val="201"/>
      </w:pPr>
    </w:p>
    <w:p>
      <w:pPr>
        <w:pStyle w:val="4"/>
      </w:pPr>
      <w:bookmarkStart w:id="284" w:name="_Toc194481238"/>
      <w:r>
        <w:t>7.</w:t>
      </w:r>
      <w:r>
        <w:rPr>
          <w:rFonts w:hint="eastAsia"/>
        </w:rPr>
        <w:t>5</w:t>
      </w:r>
      <w:r>
        <w:t>.</w:t>
      </w:r>
      <w:r>
        <w:rPr>
          <w:rFonts w:hint="eastAsia"/>
        </w:rPr>
        <w:t>2</w:t>
      </w:r>
      <w:r>
        <w:t xml:space="preserve"> </w:t>
      </w:r>
      <w:r>
        <w:rPr>
          <w:rFonts w:hint="eastAsia" w:cs="Times New Roman"/>
          <w:color w:val="000000"/>
          <w:szCs w:val="28"/>
        </w:rPr>
        <w:t>生产系统危险性识别</w:t>
      </w:r>
      <w:bookmarkEnd w:id="284"/>
    </w:p>
    <w:p>
      <w:pPr>
        <w:pStyle w:val="49"/>
        <w:ind w:firstLine="480"/>
      </w:pPr>
      <w:bookmarkStart w:id="285" w:name="_Hlk193958474"/>
      <w:r>
        <w:rPr>
          <w:rFonts w:hint="eastAsia"/>
        </w:rPr>
        <w:t>生产设施识别范围包括主要生产装置、储运系统、公用工程、环保设施等，在特定条件下，均可能发生泄漏事故，生产系统危险性识别情况详见下表。</w:t>
      </w:r>
    </w:p>
    <w:bookmarkEnd w:id="285"/>
    <w:p>
      <w:pPr>
        <w:pStyle w:val="53"/>
      </w:pPr>
    </w:p>
    <w:p>
      <w:pPr>
        <w:pStyle w:val="53"/>
      </w:pPr>
      <w:bookmarkStart w:id="286" w:name="_Hlk193958482"/>
      <w:r>
        <w:rPr>
          <w:rFonts w:hint="eastAsia"/>
        </w:rPr>
        <w:t>表7.5-3 建设项目环境风险识别表</w:t>
      </w:r>
    </w:p>
    <w:bookmarkEnd w:id="286"/>
    <w:tbl>
      <w:tblPr>
        <w:tblStyle w:val="40"/>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98"/>
        <w:gridCol w:w="1525"/>
        <w:gridCol w:w="971"/>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01"/>
            </w:pPr>
            <w:bookmarkStart w:id="287" w:name="_Hlk193958487"/>
            <w:r>
              <w:rPr>
                <w:rFonts w:hint="eastAsia"/>
              </w:rPr>
              <w:t>序号</w:t>
            </w:r>
          </w:p>
        </w:tc>
        <w:tc>
          <w:tcPr>
            <w:tcW w:w="1898" w:type="dxa"/>
            <w:vAlign w:val="center"/>
          </w:tcPr>
          <w:p>
            <w:pPr>
              <w:pStyle w:val="201"/>
            </w:pPr>
            <w:r>
              <w:rPr>
                <w:rFonts w:hint="eastAsia"/>
              </w:rPr>
              <w:t>风险源</w:t>
            </w:r>
          </w:p>
        </w:tc>
        <w:tc>
          <w:tcPr>
            <w:tcW w:w="1525" w:type="dxa"/>
            <w:vAlign w:val="center"/>
          </w:tcPr>
          <w:p>
            <w:pPr>
              <w:pStyle w:val="201"/>
            </w:pPr>
            <w:r>
              <w:rPr>
                <w:rFonts w:hint="eastAsia"/>
              </w:rPr>
              <w:t>主要危险物质</w:t>
            </w:r>
          </w:p>
        </w:tc>
        <w:tc>
          <w:tcPr>
            <w:tcW w:w="971" w:type="dxa"/>
            <w:vAlign w:val="center"/>
          </w:tcPr>
          <w:p>
            <w:pPr>
              <w:pStyle w:val="201"/>
            </w:pPr>
            <w:r>
              <w:rPr>
                <w:rFonts w:hint="eastAsia"/>
              </w:rPr>
              <w:t>危险性</w:t>
            </w:r>
          </w:p>
        </w:tc>
        <w:tc>
          <w:tcPr>
            <w:tcW w:w="3686" w:type="dxa"/>
            <w:vAlign w:val="center"/>
          </w:tcPr>
          <w:p>
            <w:pPr>
              <w:pStyle w:val="201"/>
            </w:pPr>
            <w:r>
              <w:rPr>
                <w:rFonts w:hint="eastAsia"/>
              </w:rPr>
              <w:t>存在条件、转化为事故的触发因素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01"/>
            </w:pPr>
            <w:r>
              <w:rPr>
                <w:rFonts w:hint="eastAsia"/>
              </w:rPr>
              <w:t>1</w:t>
            </w:r>
          </w:p>
        </w:tc>
        <w:tc>
          <w:tcPr>
            <w:tcW w:w="1898" w:type="dxa"/>
            <w:vAlign w:val="center"/>
          </w:tcPr>
          <w:p>
            <w:pPr>
              <w:pStyle w:val="201"/>
            </w:pPr>
            <w:r>
              <w:rPr>
                <w:rFonts w:hint="eastAsia"/>
              </w:rPr>
              <w:t>一体化污水处理设施废水处理池</w:t>
            </w:r>
          </w:p>
        </w:tc>
        <w:tc>
          <w:tcPr>
            <w:tcW w:w="1525" w:type="dxa"/>
            <w:vAlign w:val="center"/>
          </w:tcPr>
          <w:p>
            <w:pPr>
              <w:pStyle w:val="201"/>
            </w:pPr>
            <w:r>
              <w:t>COD</w:t>
            </w:r>
            <w:r>
              <w:rPr>
                <w:rFonts w:hint="eastAsia"/>
              </w:rPr>
              <w:t>、氨氮</w:t>
            </w:r>
          </w:p>
        </w:tc>
        <w:tc>
          <w:tcPr>
            <w:tcW w:w="971" w:type="dxa"/>
            <w:vAlign w:val="center"/>
          </w:tcPr>
          <w:p>
            <w:pPr>
              <w:pStyle w:val="201"/>
            </w:pPr>
            <w:r>
              <w:rPr>
                <w:rFonts w:hint="eastAsia"/>
              </w:rPr>
              <w:t>泄漏</w:t>
            </w:r>
          </w:p>
        </w:tc>
        <w:tc>
          <w:tcPr>
            <w:tcW w:w="3686" w:type="dxa"/>
            <w:vAlign w:val="center"/>
          </w:tcPr>
          <w:p>
            <w:pPr>
              <w:pStyle w:val="201"/>
            </w:pPr>
            <w:r>
              <w:rPr>
                <w:rFonts w:hint="eastAsia"/>
              </w:rPr>
              <w:t>废水处理池破裂，导致废水发生泄漏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01"/>
            </w:pPr>
            <w:r>
              <w:rPr>
                <w:rFonts w:hint="eastAsia"/>
              </w:rPr>
              <w:t>2</w:t>
            </w:r>
          </w:p>
        </w:tc>
        <w:tc>
          <w:tcPr>
            <w:tcW w:w="1898" w:type="dxa"/>
            <w:vAlign w:val="center"/>
          </w:tcPr>
          <w:p>
            <w:pPr>
              <w:pStyle w:val="201"/>
            </w:pPr>
            <w:r>
              <w:rPr>
                <w:rFonts w:hint="eastAsia"/>
              </w:rPr>
              <w:t>污水处理区药剂房</w:t>
            </w:r>
          </w:p>
        </w:tc>
        <w:tc>
          <w:tcPr>
            <w:tcW w:w="1525" w:type="dxa"/>
            <w:vAlign w:val="center"/>
          </w:tcPr>
          <w:p>
            <w:pPr>
              <w:pStyle w:val="201"/>
            </w:pPr>
            <w:r>
              <w:rPr>
                <w:rFonts w:hint="eastAsia"/>
              </w:rPr>
              <w:t>次氯酸钠</w:t>
            </w:r>
          </w:p>
        </w:tc>
        <w:tc>
          <w:tcPr>
            <w:tcW w:w="971" w:type="dxa"/>
            <w:vAlign w:val="center"/>
          </w:tcPr>
          <w:p>
            <w:pPr>
              <w:pStyle w:val="201"/>
            </w:pPr>
            <w:r>
              <w:rPr>
                <w:rFonts w:hint="eastAsia"/>
              </w:rPr>
              <w:t>泄漏</w:t>
            </w:r>
          </w:p>
        </w:tc>
        <w:tc>
          <w:tcPr>
            <w:tcW w:w="3686" w:type="dxa"/>
            <w:vAlign w:val="center"/>
          </w:tcPr>
          <w:p>
            <w:pPr>
              <w:pStyle w:val="201"/>
            </w:pPr>
            <w:r>
              <w:rPr>
                <w:rFonts w:hint="eastAsia"/>
              </w:rPr>
              <w:t>次氯酸钠桶破损，导致次氯酸钠发生泄漏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Align w:val="center"/>
          </w:tcPr>
          <w:p>
            <w:pPr>
              <w:pStyle w:val="201"/>
            </w:pPr>
            <w:r>
              <w:rPr>
                <w:rFonts w:hint="eastAsia"/>
              </w:rPr>
              <w:t>3</w:t>
            </w:r>
          </w:p>
        </w:tc>
        <w:tc>
          <w:tcPr>
            <w:tcW w:w="1898" w:type="dxa"/>
            <w:vAlign w:val="center"/>
          </w:tcPr>
          <w:p>
            <w:pPr>
              <w:pStyle w:val="201"/>
            </w:pPr>
            <w:r>
              <w:rPr>
                <w:rFonts w:hint="eastAsia"/>
              </w:rPr>
              <w:t>柴油储存区</w:t>
            </w:r>
          </w:p>
        </w:tc>
        <w:tc>
          <w:tcPr>
            <w:tcW w:w="1525" w:type="dxa"/>
            <w:vAlign w:val="center"/>
          </w:tcPr>
          <w:p>
            <w:pPr>
              <w:pStyle w:val="201"/>
            </w:pPr>
            <w:r>
              <w:rPr>
                <w:rFonts w:hint="eastAsia"/>
              </w:rPr>
              <w:t>柴油</w:t>
            </w:r>
          </w:p>
        </w:tc>
        <w:tc>
          <w:tcPr>
            <w:tcW w:w="971" w:type="dxa"/>
            <w:vAlign w:val="center"/>
          </w:tcPr>
          <w:p>
            <w:pPr>
              <w:pStyle w:val="201"/>
            </w:pPr>
            <w:r>
              <w:rPr>
                <w:rFonts w:hint="eastAsia"/>
              </w:rPr>
              <w:t>泄漏</w:t>
            </w:r>
          </w:p>
        </w:tc>
        <w:tc>
          <w:tcPr>
            <w:tcW w:w="3686" w:type="dxa"/>
            <w:vAlign w:val="center"/>
          </w:tcPr>
          <w:p>
            <w:pPr>
              <w:pStyle w:val="201"/>
            </w:pPr>
            <w:r>
              <w:rPr>
                <w:rFonts w:hint="eastAsia"/>
              </w:rPr>
              <w:t>柴油桶破损，导致柴油发生渗漏</w:t>
            </w:r>
          </w:p>
        </w:tc>
      </w:tr>
      <w:bookmarkEnd w:id="287"/>
    </w:tbl>
    <w:p>
      <w:pPr>
        <w:pStyle w:val="4"/>
      </w:pPr>
      <w:bookmarkStart w:id="288" w:name="_Toc194481239"/>
      <w:bookmarkStart w:id="289" w:name="_Hlk193958623"/>
      <w:r>
        <w:t>7.</w:t>
      </w:r>
      <w:r>
        <w:rPr>
          <w:rFonts w:hint="eastAsia"/>
        </w:rPr>
        <w:t>5</w:t>
      </w:r>
      <w:r>
        <w:t>.</w:t>
      </w:r>
      <w:r>
        <w:rPr>
          <w:rFonts w:hint="eastAsia"/>
        </w:rPr>
        <w:t xml:space="preserve">3 </w:t>
      </w:r>
      <w:r>
        <w:rPr>
          <w:rFonts w:hint="eastAsia" w:cs="Times New Roman"/>
          <w:color w:val="000000"/>
          <w:szCs w:val="28"/>
        </w:rPr>
        <w:t>风险识别结果</w:t>
      </w:r>
      <w:bookmarkEnd w:id="288"/>
    </w:p>
    <w:p>
      <w:pPr>
        <w:pStyle w:val="49"/>
        <w:ind w:firstLine="480"/>
      </w:pPr>
      <w:r>
        <w:rPr>
          <w:rFonts w:hint="eastAsia"/>
        </w:rPr>
        <w:t>通过对物质危险性、工艺系统危险性及危险物质向环境转移途径分析，风险识别结果见下表。</w:t>
      </w:r>
    </w:p>
    <w:p>
      <w:pPr>
        <w:pStyle w:val="53"/>
      </w:pPr>
      <w:r>
        <w:rPr>
          <w:rFonts w:hint="eastAsia"/>
        </w:rPr>
        <w:t>表7.5-4 建设项目环境风险识别表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70"/>
        <w:gridCol w:w="1134"/>
        <w:gridCol w:w="851"/>
        <w:gridCol w:w="1701"/>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201"/>
            </w:pPr>
            <w:r>
              <w:rPr>
                <w:rFonts w:hint="eastAsia"/>
              </w:rPr>
              <w:t>序号</w:t>
            </w:r>
          </w:p>
        </w:tc>
        <w:tc>
          <w:tcPr>
            <w:tcW w:w="1270" w:type="dxa"/>
            <w:vAlign w:val="center"/>
          </w:tcPr>
          <w:p>
            <w:pPr>
              <w:pStyle w:val="201"/>
            </w:pPr>
            <w:r>
              <w:rPr>
                <w:rFonts w:hint="eastAsia"/>
              </w:rPr>
              <w:t>风险源</w:t>
            </w:r>
          </w:p>
        </w:tc>
        <w:tc>
          <w:tcPr>
            <w:tcW w:w="1134" w:type="dxa"/>
            <w:vAlign w:val="center"/>
          </w:tcPr>
          <w:p>
            <w:pPr>
              <w:pStyle w:val="201"/>
            </w:pPr>
            <w:r>
              <w:rPr>
                <w:rFonts w:hint="eastAsia"/>
              </w:rPr>
              <w:t>主要危险物质</w:t>
            </w:r>
          </w:p>
        </w:tc>
        <w:tc>
          <w:tcPr>
            <w:tcW w:w="851" w:type="dxa"/>
            <w:vAlign w:val="center"/>
          </w:tcPr>
          <w:p>
            <w:pPr>
              <w:pStyle w:val="201"/>
            </w:pPr>
            <w:r>
              <w:rPr>
                <w:rFonts w:hint="eastAsia"/>
              </w:rPr>
              <w:t>危险性</w:t>
            </w:r>
          </w:p>
        </w:tc>
        <w:tc>
          <w:tcPr>
            <w:tcW w:w="1701" w:type="dxa"/>
            <w:vAlign w:val="center"/>
          </w:tcPr>
          <w:p>
            <w:pPr>
              <w:pStyle w:val="201"/>
            </w:pPr>
            <w:r>
              <w:rPr>
                <w:rFonts w:hint="eastAsia"/>
              </w:rPr>
              <w:t>环境影响途径</w:t>
            </w:r>
          </w:p>
        </w:tc>
        <w:tc>
          <w:tcPr>
            <w:tcW w:w="2914" w:type="dxa"/>
            <w:vAlign w:val="center"/>
          </w:tcPr>
          <w:p>
            <w:pPr>
              <w:pStyle w:val="201"/>
            </w:pPr>
            <w:r>
              <w:rPr>
                <w:rFonts w:hint="eastAsia"/>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201"/>
            </w:pPr>
            <w:r>
              <w:rPr>
                <w:rFonts w:hint="eastAsia"/>
              </w:rPr>
              <w:t>1</w:t>
            </w:r>
          </w:p>
        </w:tc>
        <w:tc>
          <w:tcPr>
            <w:tcW w:w="1270" w:type="dxa"/>
            <w:vAlign w:val="center"/>
          </w:tcPr>
          <w:p>
            <w:pPr>
              <w:pStyle w:val="201"/>
            </w:pPr>
            <w:r>
              <w:rPr>
                <w:rFonts w:hint="eastAsia"/>
              </w:rPr>
              <w:t>一体化污水处理设施废水处理池</w:t>
            </w:r>
          </w:p>
        </w:tc>
        <w:tc>
          <w:tcPr>
            <w:tcW w:w="1134" w:type="dxa"/>
            <w:vAlign w:val="center"/>
          </w:tcPr>
          <w:p>
            <w:pPr>
              <w:pStyle w:val="201"/>
            </w:pPr>
            <w:r>
              <w:t>COD</w:t>
            </w:r>
            <w:r>
              <w:rPr>
                <w:rFonts w:hint="eastAsia"/>
              </w:rPr>
              <w:t>、</w:t>
            </w:r>
          </w:p>
          <w:p>
            <w:pPr>
              <w:pStyle w:val="201"/>
            </w:pPr>
            <w:r>
              <w:rPr>
                <w:rFonts w:hint="eastAsia"/>
              </w:rPr>
              <w:t>氨氮</w:t>
            </w:r>
          </w:p>
        </w:tc>
        <w:tc>
          <w:tcPr>
            <w:tcW w:w="851" w:type="dxa"/>
            <w:vAlign w:val="center"/>
          </w:tcPr>
          <w:p>
            <w:pPr>
              <w:pStyle w:val="201"/>
            </w:pPr>
            <w:r>
              <w:rPr>
                <w:rFonts w:hint="eastAsia"/>
              </w:rPr>
              <w:t>泄漏</w:t>
            </w:r>
          </w:p>
        </w:tc>
        <w:tc>
          <w:tcPr>
            <w:tcW w:w="1701" w:type="dxa"/>
            <w:vAlign w:val="center"/>
          </w:tcPr>
          <w:p>
            <w:pPr>
              <w:pStyle w:val="201"/>
            </w:pPr>
            <w:r>
              <w:rPr>
                <w:rFonts w:hint="eastAsia"/>
              </w:rPr>
              <w:t>地表漫流、渗漏</w:t>
            </w:r>
          </w:p>
        </w:tc>
        <w:tc>
          <w:tcPr>
            <w:tcW w:w="2914" w:type="dxa"/>
            <w:vAlign w:val="center"/>
          </w:tcPr>
          <w:p>
            <w:pPr>
              <w:pStyle w:val="201"/>
            </w:pPr>
            <w:r>
              <w:rPr>
                <w:rFonts w:hint="eastAsia"/>
              </w:rPr>
              <w:t>地表水、土壤、地下水环境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201"/>
            </w:pPr>
            <w:r>
              <w:rPr>
                <w:rFonts w:hint="eastAsia"/>
              </w:rPr>
              <w:t>2</w:t>
            </w:r>
          </w:p>
        </w:tc>
        <w:tc>
          <w:tcPr>
            <w:tcW w:w="1270" w:type="dxa"/>
            <w:vAlign w:val="center"/>
          </w:tcPr>
          <w:p>
            <w:pPr>
              <w:pStyle w:val="201"/>
            </w:pPr>
            <w:r>
              <w:rPr>
                <w:rFonts w:hint="eastAsia"/>
              </w:rPr>
              <w:t>污水处理区药剂房</w:t>
            </w:r>
          </w:p>
        </w:tc>
        <w:tc>
          <w:tcPr>
            <w:tcW w:w="1134" w:type="dxa"/>
            <w:vAlign w:val="center"/>
          </w:tcPr>
          <w:p>
            <w:pPr>
              <w:pStyle w:val="201"/>
            </w:pPr>
            <w:r>
              <w:rPr>
                <w:rFonts w:hint="eastAsia"/>
              </w:rPr>
              <w:t>次氯酸钠</w:t>
            </w:r>
          </w:p>
        </w:tc>
        <w:tc>
          <w:tcPr>
            <w:tcW w:w="851" w:type="dxa"/>
            <w:vAlign w:val="center"/>
          </w:tcPr>
          <w:p>
            <w:pPr>
              <w:pStyle w:val="201"/>
            </w:pPr>
            <w:r>
              <w:rPr>
                <w:rFonts w:hint="eastAsia"/>
              </w:rPr>
              <w:t>泄漏</w:t>
            </w:r>
          </w:p>
        </w:tc>
        <w:tc>
          <w:tcPr>
            <w:tcW w:w="1701" w:type="dxa"/>
            <w:vAlign w:val="center"/>
          </w:tcPr>
          <w:p>
            <w:pPr>
              <w:pStyle w:val="201"/>
            </w:pPr>
            <w:r>
              <w:rPr>
                <w:rFonts w:hint="eastAsia"/>
              </w:rPr>
              <w:t>渗漏、大气扩散</w:t>
            </w:r>
          </w:p>
        </w:tc>
        <w:tc>
          <w:tcPr>
            <w:tcW w:w="2914" w:type="dxa"/>
            <w:vAlign w:val="center"/>
          </w:tcPr>
          <w:p>
            <w:pPr>
              <w:pStyle w:val="201"/>
            </w:pPr>
            <w:r>
              <w:rPr>
                <w:rFonts w:hint="eastAsia"/>
              </w:rPr>
              <w:t>大气、地表水、土壤、地下水环境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Align w:val="center"/>
          </w:tcPr>
          <w:p>
            <w:pPr>
              <w:pStyle w:val="201"/>
            </w:pPr>
            <w:r>
              <w:rPr>
                <w:rFonts w:hint="eastAsia"/>
              </w:rPr>
              <w:t>3</w:t>
            </w:r>
          </w:p>
        </w:tc>
        <w:tc>
          <w:tcPr>
            <w:tcW w:w="1270" w:type="dxa"/>
            <w:vAlign w:val="center"/>
          </w:tcPr>
          <w:p>
            <w:pPr>
              <w:pStyle w:val="201"/>
            </w:pPr>
            <w:r>
              <w:rPr>
                <w:rFonts w:hint="eastAsia"/>
              </w:rPr>
              <w:t>柴油储存区</w:t>
            </w:r>
          </w:p>
        </w:tc>
        <w:tc>
          <w:tcPr>
            <w:tcW w:w="1134" w:type="dxa"/>
            <w:vAlign w:val="center"/>
          </w:tcPr>
          <w:p>
            <w:pPr>
              <w:pStyle w:val="201"/>
            </w:pPr>
            <w:r>
              <w:rPr>
                <w:rFonts w:hint="eastAsia"/>
              </w:rPr>
              <w:t>柴油</w:t>
            </w:r>
          </w:p>
        </w:tc>
        <w:tc>
          <w:tcPr>
            <w:tcW w:w="851" w:type="dxa"/>
            <w:vAlign w:val="center"/>
          </w:tcPr>
          <w:p>
            <w:pPr>
              <w:pStyle w:val="201"/>
            </w:pPr>
            <w:r>
              <w:rPr>
                <w:rFonts w:hint="eastAsia"/>
              </w:rPr>
              <w:t>泄漏</w:t>
            </w:r>
          </w:p>
        </w:tc>
        <w:tc>
          <w:tcPr>
            <w:tcW w:w="1701" w:type="dxa"/>
            <w:vAlign w:val="center"/>
          </w:tcPr>
          <w:p>
            <w:pPr>
              <w:pStyle w:val="201"/>
            </w:pPr>
            <w:r>
              <w:rPr>
                <w:rFonts w:hint="eastAsia"/>
              </w:rPr>
              <w:t>渗漏、大气扩散</w:t>
            </w:r>
          </w:p>
        </w:tc>
        <w:tc>
          <w:tcPr>
            <w:tcW w:w="2914" w:type="dxa"/>
            <w:vAlign w:val="center"/>
          </w:tcPr>
          <w:p>
            <w:pPr>
              <w:pStyle w:val="201"/>
            </w:pPr>
            <w:r>
              <w:rPr>
                <w:rFonts w:hint="eastAsia"/>
              </w:rPr>
              <w:t>大气、地表水、土壤、地下水环境</w:t>
            </w:r>
          </w:p>
        </w:tc>
      </w:tr>
      <w:bookmarkEnd w:id="289"/>
    </w:tbl>
    <w:p>
      <w:pPr>
        <w:pStyle w:val="3"/>
        <w:keepNext w:val="0"/>
        <w:keepLines w:val="0"/>
        <w:widowControl w:val="0"/>
        <w:jc w:val="both"/>
      </w:pPr>
      <w:bookmarkStart w:id="290" w:name="_Toc194481240"/>
      <w:r>
        <w:rPr>
          <w:rFonts w:hint="eastAsia"/>
        </w:rPr>
        <w:t>7</w:t>
      </w:r>
      <w:r>
        <w:t>.</w:t>
      </w:r>
      <w:r>
        <w:rPr>
          <w:rFonts w:hint="eastAsia"/>
        </w:rPr>
        <w:t>6 环境风险分析</w:t>
      </w:r>
      <w:bookmarkEnd w:id="290"/>
    </w:p>
    <w:p>
      <w:pPr>
        <w:pStyle w:val="49"/>
        <w:ind w:firstLine="480"/>
      </w:pPr>
      <w:r>
        <w:rPr>
          <w:rFonts w:hint="eastAsia"/>
        </w:rPr>
        <w:t>本项目环境风险潜势为</w:t>
      </w:r>
      <w:r>
        <w:t>I</w:t>
      </w:r>
      <w:r>
        <w:rPr>
          <w:rFonts w:hint="eastAsia"/>
        </w:rPr>
        <w:t>，根据导则要求，仅需进行环境风险简单分析。根据环境风险识别，项目环境风险主要表现在对大气环境、水环境以及土壤环境等方面的危害上。</w:t>
      </w:r>
    </w:p>
    <w:p>
      <w:pPr>
        <w:pStyle w:val="4"/>
      </w:pPr>
      <w:bookmarkStart w:id="291" w:name="_Toc194481241"/>
      <w:r>
        <w:t>7.</w:t>
      </w:r>
      <w:r>
        <w:rPr>
          <w:rFonts w:hint="eastAsia"/>
        </w:rPr>
        <w:t>6</w:t>
      </w:r>
      <w:r>
        <w:t>.</w:t>
      </w:r>
      <w:r>
        <w:rPr>
          <w:rFonts w:hint="eastAsia"/>
        </w:rPr>
        <w:t>1</w:t>
      </w:r>
      <w:r>
        <w:t xml:space="preserve"> </w:t>
      </w:r>
      <w:r>
        <w:rPr>
          <w:rFonts w:hint="eastAsia"/>
        </w:rPr>
        <w:t>大气环境风险分析</w:t>
      </w:r>
      <w:bookmarkEnd w:id="291"/>
    </w:p>
    <w:p>
      <w:pPr>
        <w:pStyle w:val="49"/>
        <w:ind w:firstLine="480"/>
      </w:pPr>
      <w:bookmarkStart w:id="292" w:name="_Hlk193958752"/>
      <w:r>
        <w:rPr>
          <w:rFonts w:hint="eastAsia"/>
        </w:rPr>
        <w:t>1、柴油泄漏</w:t>
      </w:r>
    </w:p>
    <w:p>
      <w:pPr>
        <w:pStyle w:val="49"/>
        <w:ind w:firstLine="480"/>
      </w:pPr>
      <w:r>
        <w:rPr>
          <w:rFonts w:hint="eastAsia"/>
        </w:rPr>
        <w:t>柴油泄漏后挥发有油气，遇高热、明火，燃烧、爆炸产生</w:t>
      </w:r>
      <w:r>
        <w:t>CO</w:t>
      </w:r>
      <w:r>
        <w:rPr>
          <w:rFonts w:hint="eastAsia"/>
        </w:rPr>
        <w:t>、</w:t>
      </w:r>
      <w:r>
        <w:t>SO</w:t>
      </w:r>
      <w:r>
        <w:rPr>
          <w:vertAlign w:val="subscript"/>
        </w:rPr>
        <w:t>2</w:t>
      </w:r>
      <w:r>
        <w:rPr>
          <w:rFonts w:hint="eastAsia"/>
        </w:rPr>
        <w:t>等有害气体对大气环境产生影响。</w:t>
      </w:r>
    </w:p>
    <w:p>
      <w:pPr>
        <w:pStyle w:val="49"/>
        <w:ind w:firstLine="480"/>
      </w:pPr>
      <w:r>
        <w:rPr>
          <w:rFonts w:hint="eastAsia"/>
        </w:rPr>
        <w:t>2、次氯酸钠泄漏</w:t>
      </w:r>
    </w:p>
    <w:p>
      <w:pPr>
        <w:spacing w:line="360" w:lineRule="auto"/>
        <w:ind w:firstLine="480" w:firstLineChars="200"/>
        <w:rPr>
          <w:rFonts w:hint="eastAsia"/>
        </w:rPr>
      </w:pPr>
      <w:r>
        <w:t>次氯酸钠泄漏有氯气的气味，泄漏受高温易分解产生有毒的腐蚀性气体，产物是氯化物，游离氯可引起中毒，亦可引起皮肤病，有致敏作用。</w:t>
      </w:r>
    </w:p>
    <w:bookmarkEnd w:id="292"/>
    <w:p>
      <w:pPr>
        <w:pStyle w:val="4"/>
      </w:pPr>
      <w:bookmarkStart w:id="293" w:name="_Toc194481242"/>
      <w:r>
        <w:t>7.</w:t>
      </w:r>
      <w:r>
        <w:rPr>
          <w:rFonts w:hint="eastAsia"/>
        </w:rPr>
        <w:t>6</w:t>
      </w:r>
      <w:r>
        <w:t>.</w:t>
      </w:r>
      <w:r>
        <w:rPr>
          <w:rFonts w:hint="eastAsia"/>
        </w:rPr>
        <w:t>2</w:t>
      </w:r>
      <w:r>
        <w:t xml:space="preserve"> </w:t>
      </w:r>
      <w:r>
        <w:rPr>
          <w:rFonts w:hint="eastAsia"/>
        </w:rPr>
        <w:t>地表水环境风险分析</w:t>
      </w:r>
      <w:bookmarkEnd w:id="293"/>
    </w:p>
    <w:p>
      <w:pPr>
        <w:pStyle w:val="49"/>
        <w:ind w:firstLine="480"/>
      </w:pPr>
      <w:bookmarkStart w:id="294" w:name="_Hlk193958780"/>
      <w:r>
        <w:rPr>
          <w:rFonts w:hint="eastAsia"/>
        </w:rPr>
        <w:t>1、废水泄漏</w:t>
      </w:r>
    </w:p>
    <w:p>
      <w:pPr>
        <w:pStyle w:val="82"/>
        <w:widowControl w:val="0"/>
        <w:ind w:firstLine="480"/>
      </w:pPr>
      <w:r>
        <w:rPr>
          <w:rFonts w:hint="eastAsia"/>
        </w:rPr>
        <w:t xml:space="preserve">废水处理池破裂、污水管道由于破裂和接头处的破损，导致未经处理的废水泄漏。项目废水为高浓度有机废水，其中主要污染物为 </w:t>
      </w:r>
      <w:r>
        <w:t>BOD</w:t>
      </w:r>
      <w:r>
        <w:rPr>
          <w:vertAlign w:val="subscript"/>
        </w:rPr>
        <w:t>5</w:t>
      </w:r>
      <w:r>
        <w:rPr>
          <w:rFonts w:hint="eastAsia"/>
        </w:rPr>
        <w:t>、</w:t>
      </w:r>
      <w:r>
        <w:t>COD</w:t>
      </w:r>
      <w:r>
        <w:rPr>
          <w:rFonts w:hint="eastAsia"/>
        </w:rPr>
        <w:t>、</w:t>
      </w:r>
      <w:r>
        <w:t>SS</w:t>
      </w:r>
      <w:r>
        <w:rPr>
          <w:rFonts w:hint="eastAsia"/>
        </w:rPr>
        <w:t>、氨氮、磷、 粪大肠杆菌等，若废水事故排放，进入地表水环境，将严重影响其水质。事故排放 状态下，养殖场废水不仅会导致区域地表水污染物浓度增大，还会导致水域中粪大肠菌群大量增加，可能导致水域富营养化和粪大肠杆菌污染；废水中含有大量的病原微生物将通过水体或水生动植物扩散传播，危害人畜健康。此外，有机物生物降解消耗水体溶解氧，使水体变黑发臭，水生生物死亡，发生水体</w:t>
      </w:r>
      <w:r>
        <w:rPr>
          <w:rFonts w:ascii="宋体" w:hAnsi="宋体"/>
        </w:rPr>
        <w:t>“</w:t>
      </w:r>
      <w:r>
        <w:rPr>
          <w:rFonts w:hint="eastAsia"/>
        </w:rPr>
        <w:t>富营养化</w:t>
      </w:r>
      <w:r>
        <w:rPr>
          <w:rFonts w:ascii="宋体" w:hAnsi="宋体"/>
        </w:rPr>
        <w:t>”</w:t>
      </w:r>
      <w:r>
        <w:rPr>
          <w:rFonts w:hint="eastAsia" w:ascii="宋体" w:hAnsi="宋体"/>
        </w:rPr>
        <w:t>。</w:t>
      </w:r>
    </w:p>
    <w:p>
      <w:pPr>
        <w:pStyle w:val="49"/>
        <w:ind w:firstLine="480"/>
      </w:pPr>
      <w:r>
        <w:rPr>
          <w:rFonts w:hint="eastAsia"/>
        </w:rPr>
        <w:t>2、柴油泄漏</w:t>
      </w:r>
    </w:p>
    <w:p>
      <w:pPr>
        <w:pStyle w:val="49"/>
        <w:ind w:firstLine="480"/>
      </w:pPr>
      <w:r>
        <w:rPr>
          <w:rFonts w:hint="eastAsia"/>
        </w:rPr>
        <w:t>柴油泄漏如经排水沟流入地表水体，引起地表水中石油类含量急剧上升，严重污染地表水水质，同时在地表水面形成油膜，阻隔水中的氧气对流，从而使地表水中的生态平衡产生破坏，影响地表水水生生物生存环境。</w:t>
      </w:r>
    </w:p>
    <w:p>
      <w:pPr>
        <w:pStyle w:val="49"/>
        <w:ind w:firstLine="480"/>
      </w:pPr>
      <w:r>
        <w:rPr>
          <w:rFonts w:hint="eastAsia"/>
        </w:rPr>
        <w:t>3、次氯酸钠泄漏</w:t>
      </w:r>
    </w:p>
    <w:p>
      <w:pPr>
        <w:spacing w:line="360" w:lineRule="auto"/>
        <w:ind w:firstLine="480" w:firstLineChars="200"/>
        <w:rPr>
          <w:rFonts w:hint="eastAsia"/>
        </w:rPr>
      </w:pPr>
      <w:r>
        <w:rPr>
          <w:rFonts w:hint="eastAsia"/>
        </w:rPr>
        <w:t>次氯酸钠泄漏如经排水沟流入地表水体，</w:t>
      </w:r>
      <w:r>
        <w:t>可能导致水体生态失衡。高浓度的次氯酸钠会破坏水生生物的生理机能，影响水体自净能力，甚至对水生生物如鱼类、藻类等产生急性毒性效应，导致生物多样性下降</w:t>
      </w:r>
      <w:r>
        <w:rPr>
          <w:rFonts w:ascii="Times New Roman" w:hAnsi="Times New Roman" w:cs="Times New Roman"/>
        </w:rPr>
        <w:t>‌</w:t>
      </w:r>
      <w:r>
        <w:rPr>
          <w:rFonts w:hint="eastAsia" w:ascii="Times New Roman" w:hAnsi="Times New Roman" w:cs="Times New Roman"/>
        </w:rPr>
        <w:t>。</w:t>
      </w:r>
    </w:p>
    <w:bookmarkEnd w:id="294"/>
    <w:p>
      <w:pPr>
        <w:pStyle w:val="4"/>
      </w:pPr>
      <w:bookmarkStart w:id="295" w:name="_Toc194481243"/>
      <w:r>
        <w:t>7.</w:t>
      </w:r>
      <w:r>
        <w:rPr>
          <w:rFonts w:hint="eastAsia"/>
        </w:rPr>
        <w:t>6</w:t>
      </w:r>
      <w:r>
        <w:t>.</w:t>
      </w:r>
      <w:r>
        <w:rPr>
          <w:rFonts w:hint="eastAsia"/>
        </w:rPr>
        <w:t>3</w:t>
      </w:r>
      <w:r>
        <w:t xml:space="preserve"> </w:t>
      </w:r>
      <w:r>
        <w:rPr>
          <w:rFonts w:hint="eastAsia"/>
        </w:rPr>
        <w:t>地下水、土壤环境风险分析</w:t>
      </w:r>
      <w:bookmarkEnd w:id="295"/>
    </w:p>
    <w:p>
      <w:pPr>
        <w:pStyle w:val="49"/>
        <w:ind w:firstLine="480"/>
      </w:pPr>
      <w:bookmarkStart w:id="296" w:name="_Hlk193958825"/>
      <w:r>
        <w:rPr>
          <w:rFonts w:hint="eastAsia"/>
        </w:rPr>
        <w:t>1、废水泄漏</w:t>
      </w:r>
    </w:p>
    <w:p>
      <w:pPr>
        <w:pStyle w:val="49"/>
        <w:ind w:firstLine="480"/>
      </w:pPr>
      <w:r>
        <w:rPr>
          <w:rFonts w:hint="eastAsia"/>
        </w:rPr>
        <w:t>项目废水处理池发生破裂，废水发生泄漏，若污水处理区防渗不当或防渗层破损，可能会污染地下水、土壤，其对地下水、土壤可能造成的污染途径有二：一是直接污染，地基未作防渗处理时，土层中滞留的污染物浓度达到饱和时，污水将通过粘土层，进入潜水含水层，造成地下水、土壤污染；二是间接污染，污染物不直接到达含水层，通过中间的媒介物质再渗入到含水层污染地下水，进而影响周边村屯的饮用水安全。废水的有毒、有害成分进入地下水中，会使地下水溶解氧含量减少，水质中有毒成分增多，严重时使水体发黑、变臭、失去使用价值。一旦污染了地下水，将极难治理恢复，造成较持久性的污染。</w:t>
      </w:r>
    </w:p>
    <w:p>
      <w:pPr>
        <w:pStyle w:val="49"/>
        <w:ind w:firstLine="480"/>
      </w:pPr>
      <w:r>
        <w:rPr>
          <w:rFonts w:hint="eastAsia"/>
        </w:rPr>
        <w:t xml:space="preserve">同时超标排放的废水中高浓度的 </w:t>
      </w:r>
      <w:r>
        <w:t>COD</w:t>
      </w:r>
      <w:r>
        <w:rPr>
          <w:rFonts w:hint="eastAsia"/>
        </w:rPr>
        <w:t>、</w:t>
      </w:r>
      <w:r>
        <w:t>NH</w:t>
      </w:r>
      <w:r>
        <w:rPr>
          <w:vertAlign w:val="subscript"/>
        </w:rPr>
        <w:t>3</w:t>
      </w:r>
      <w:r>
        <w:t xml:space="preserve">-N </w:t>
      </w:r>
      <w:r>
        <w:rPr>
          <w:rFonts w:hint="eastAsia"/>
        </w:rPr>
        <w:t>等会使土壤环境质量严重恶化。当废水排放超过了土壤的自净能力，便会出现降解不完全和厌氧腐解，产生恶臭物质和亚硝酸盐等有害物质，引起土壤的组成和性状发生改变，破坏其原有的基本功能；作物徒长、倒伏、晚熟或不熟，造成减产、甚至毒害作物使之出现大面积腐烂。此外，土壤对病原微生物的自净能力下降，不仅增加了净化难度，而且易造成生物污染和疫病传播。</w:t>
      </w:r>
    </w:p>
    <w:p>
      <w:pPr>
        <w:pStyle w:val="49"/>
        <w:ind w:firstLine="480"/>
      </w:pPr>
      <w:r>
        <w:rPr>
          <w:rFonts w:hint="eastAsia"/>
        </w:rPr>
        <w:t>2、柴油泄漏</w:t>
      </w:r>
    </w:p>
    <w:p>
      <w:pPr>
        <w:pStyle w:val="49"/>
        <w:ind w:firstLine="480"/>
      </w:pPr>
      <w:r>
        <w:rPr>
          <w:rFonts w:hint="eastAsia"/>
        </w:rPr>
        <w:t>项目柴油储存区防渗不当或防渗层破损，可能会导致柴油泄漏污染地下水、土壤。</w:t>
      </w:r>
      <w:r>
        <w:t>地下水遭到成品油的污染后将使小范围地下水产生严重异味， 并具有较强的致畸致癌性。此外，成品油渗漏必然穿过较厚的土壤层，使土壤层中吸附大量的燃料油，土壤层吸附的燃料油不仅会造成植物生物的死亡，而且土壤层吸附的燃料油还会随着地表水的下渗对土壤层的冲刷作用补充到地下水，即便污染源得到及时控制，被污染的地下水和土壤要完全恢复也需要较长时间。</w:t>
      </w:r>
    </w:p>
    <w:p>
      <w:pPr>
        <w:pStyle w:val="49"/>
        <w:ind w:firstLine="480"/>
      </w:pPr>
      <w:r>
        <w:rPr>
          <w:rFonts w:hint="eastAsia"/>
        </w:rPr>
        <w:t>3、次氯酸钠泄漏</w:t>
      </w:r>
    </w:p>
    <w:p>
      <w:pPr>
        <w:pStyle w:val="49"/>
        <w:ind w:firstLine="480"/>
      </w:pPr>
      <w:r>
        <w:rPr>
          <w:rFonts w:hint="eastAsia"/>
        </w:rPr>
        <w:t>项目污水处理区防渗不当或防渗层破损，可能会导致次氯酸钠泄漏可能会污染地下水、土壤。</w:t>
      </w:r>
      <w:r>
        <w:t>次氯酸钠进入土壤后，会破坏土壤有机质，降低土壤肥力，从而抑制植被生长。</w:t>
      </w:r>
    </w:p>
    <w:bookmarkEnd w:id="296"/>
    <w:p>
      <w:pPr>
        <w:pStyle w:val="4"/>
      </w:pPr>
      <w:bookmarkStart w:id="297" w:name="_Toc194481244"/>
      <w:r>
        <w:t>7.</w:t>
      </w:r>
      <w:r>
        <w:rPr>
          <w:rFonts w:hint="eastAsia"/>
        </w:rPr>
        <w:t>6</w:t>
      </w:r>
      <w:r>
        <w:t>.</w:t>
      </w:r>
      <w:r>
        <w:rPr>
          <w:rFonts w:hint="eastAsia"/>
        </w:rPr>
        <w:t>4</w:t>
      </w:r>
      <w:r>
        <w:t xml:space="preserve"> </w:t>
      </w:r>
      <w:r>
        <w:rPr>
          <w:rFonts w:hint="eastAsia"/>
        </w:rPr>
        <w:t>养殖疫情风险分析</w:t>
      </w:r>
      <w:bookmarkEnd w:id="297"/>
    </w:p>
    <w:p>
      <w:pPr>
        <w:pStyle w:val="49"/>
        <w:ind w:firstLine="480"/>
      </w:pPr>
      <w:r>
        <w:rPr>
          <w:rFonts w:hint="eastAsia"/>
        </w:rPr>
        <w:t xml:space="preserve">在饲养过程中不可避免存在鸡只的病死，若不妥善处理，将会对周边社会环境 造成一定影响。根据农业部 </w:t>
      </w:r>
      <w:r>
        <w:t xml:space="preserve">2008 </w:t>
      </w:r>
      <w:r>
        <w:rPr>
          <w:rFonts w:hint="eastAsia"/>
        </w:rPr>
        <w:t xml:space="preserve">年 </w:t>
      </w:r>
      <w:r>
        <w:t xml:space="preserve">12 </w:t>
      </w:r>
      <w:r>
        <w:rPr>
          <w:rFonts w:hint="eastAsia"/>
        </w:rPr>
        <w:t xml:space="preserve">月发布的第 </w:t>
      </w:r>
      <w:r>
        <w:t xml:space="preserve">1125 </w:t>
      </w:r>
      <w:r>
        <w:rPr>
          <w:rFonts w:hint="eastAsia"/>
        </w:rPr>
        <w:t xml:space="preserve">号公告《一、二、三类动物疫病病种名录》，其中各类疫病病种中，涉及家禽疫病的病种如下： </w:t>
      </w:r>
    </w:p>
    <w:p>
      <w:pPr>
        <w:pStyle w:val="49"/>
        <w:ind w:firstLine="480"/>
      </w:pPr>
      <w:r>
        <w:rPr>
          <w:rFonts w:hint="eastAsia"/>
        </w:rPr>
        <w:t xml:space="preserve">①一类疫病：高致病性禽流感、新城疫等； </w:t>
      </w:r>
    </w:p>
    <w:p>
      <w:pPr>
        <w:pStyle w:val="49"/>
        <w:ind w:firstLine="480"/>
      </w:pPr>
      <w:r>
        <w:rPr>
          <w:rFonts w:hint="eastAsia"/>
        </w:rPr>
        <w:t xml:space="preserve">②二类疫病：鸡传染性喉气管炎、鸡传染性支气管炎、传染性法氏囊病、马立氏病、产蛋下降综合征、禽白血病、禽痘、鸡瘟、鸡病毒性肝炎、鸡浆膜炎、小鹅瘟、禽霍乱、鸡白痢、禽伤寒、鸡败血支原体感染、鸡球虫病、低致病性禽流感、禽网状内皮组织增殖症； </w:t>
      </w:r>
    </w:p>
    <w:p>
      <w:pPr>
        <w:pStyle w:val="49"/>
        <w:ind w:firstLine="480"/>
      </w:pPr>
      <w:r>
        <w:rPr>
          <w:rFonts w:hint="eastAsia"/>
        </w:rPr>
        <w:t xml:space="preserve">③三类疫病：鸡病毒性关节炎、禽传染性脑脊髓炎、传染性鼻炎、禽结核病。 </w:t>
      </w:r>
    </w:p>
    <w:p>
      <w:pPr>
        <w:pStyle w:val="49"/>
        <w:ind w:firstLine="480"/>
      </w:pPr>
      <w:r>
        <w:rPr>
          <w:rFonts w:hint="eastAsia"/>
        </w:rPr>
        <w:t>对于患有以上动物疫病，以及其他危害到鸡只健康的传染性疫病，应视为动物疫病的发生，应及时按照国家相关法规启动应对措施。</w:t>
      </w:r>
    </w:p>
    <w:p>
      <w:pPr>
        <w:pStyle w:val="49"/>
        <w:ind w:firstLine="480"/>
      </w:pPr>
      <w:r>
        <w:rPr>
          <w:rFonts w:hint="eastAsia"/>
        </w:rPr>
        <w:t>养殖场的集约化、高密度饲养，会加大感染性疾病的传播，如果疫情控制和净化措施不完善，则存在发病的风险，进而对养殖业生产和人体健康产生危害。</w:t>
      </w:r>
    </w:p>
    <w:p>
      <w:pPr>
        <w:pStyle w:val="3"/>
        <w:keepNext w:val="0"/>
        <w:keepLines w:val="0"/>
        <w:widowControl w:val="0"/>
        <w:jc w:val="both"/>
      </w:pPr>
      <w:bookmarkStart w:id="298" w:name="_Toc194481245"/>
      <w:r>
        <w:rPr>
          <w:rFonts w:hint="eastAsia"/>
        </w:rPr>
        <w:t>7</w:t>
      </w:r>
      <w:r>
        <w:t>.</w:t>
      </w:r>
      <w:r>
        <w:rPr>
          <w:rFonts w:hint="eastAsia"/>
        </w:rPr>
        <w:t>7 环境风险防范措施</w:t>
      </w:r>
      <w:bookmarkEnd w:id="298"/>
    </w:p>
    <w:p>
      <w:pPr>
        <w:pStyle w:val="4"/>
        <w:keepNext w:val="0"/>
        <w:keepLines w:val="0"/>
        <w:widowControl w:val="0"/>
      </w:pPr>
      <w:bookmarkStart w:id="299" w:name="_Toc194481246"/>
      <w:r>
        <w:t>7.</w:t>
      </w:r>
      <w:r>
        <w:rPr>
          <w:rFonts w:hint="eastAsia"/>
        </w:rPr>
        <w:t>7</w:t>
      </w:r>
      <w:r>
        <w:t>.</w:t>
      </w:r>
      <w:r>
        <w:rPr>
          <w:rFonts w:hint="eastAsia"/>
        </w:rPr>
        <w:t>1</w:t>
      </w:r>
      <w:r>
        <w:t xml:space="preserve"> </w:t>
      </w:r>
      <w:r>
        <w:rPr>
          <w:rFonts w:hint="eastAsia" w:cs="Times New Roman"/>
          <w:color w:val="000000"/>
          <w:szCs w:val="28"/>
        </w:rPr>
        <w:t>废水事故防范措施</w:t>
      </w:r>
      <w:bookmarkEnd w:id="299"/>
    </w:p>
    <w:p>
      <w:pPr>
        <w:pStyle w:val="49"/>
        <w:ind w:firstLine="480"/>
      </w:pPr>
      <w:r>
        <w:t>1</w:t>
      </w:r>
      <w:r>
        <w:rPr>
          <w:rFonts w:hint="eastAsia"/>
        </w:rPr>
        <w:t xml:space="preserve">、加强对一体化污水处理设施的日常维护工作，确保一体化污水处理设施的正常运行。 </w:t>
      </w:r>
    </w:p>
    <w:p>
      <w:pPr>
        <w:pStyle w:val="49"/>
        <w:ind w:firstLine="480"/>
      </w:pPr>
      <w:bookmarkStart w:id="300" w:name="_Hlk193958877"/>
      <w:r>
        <w:rPr>
          <w:rFonts w:hint="eastAsia"/>
        </w:rPr>
        <w:t>2、污水处理区</w:t>
      </w:r>
      <w:r>
        <w:t>地面采用钢筋混凝土加防渗剂的防渗地坪+人工材料(HDPE) 防渗层，确保等效黏土防渗层Mb≥6.0m</w:t>
      </w:r>
      <w:r>
        <w:rPr>
          <w:rFonts w:hint="eastAsia"/>
        </w:rPr>
        <w:t>，</w:t>
      </w:r>
      <w:r>
        <w:t xml:space="preserve"> K≤1×10</w:t>
      </w:r>
      <w:r>
        <w:rPr>
          <w:rFonts w:hint="eastAsia"/>
          <w:vertAlign w:val="superscript"/>
        </w:rPr>
        <w:t>-</w:t>
      </w:r>
      <w:r>
        <w:rPr>
          <w:vertAlign w:val="superscript"/>
        </w:rPr>
        <w:t>7</w:t>
      </w:r>
      <w:r>
        <w:t>cm/s。</w:t>
      </w:r>
    </w:p>
    <w:bookmarkEnd w:id="300"/>
    <w:p>
      <w:pPr>
        <w:pStyle w:val="49"/>
        <w:ind w:firstLine="480"/>
      </w:pPr>
      <w:r>
        <w:rPr>
          <w:rFonts w:hint="eastAsia"/>
        </w:rPr>
        <w:t>3、</w:t>
      </w:r>
      <w:bookmarkStart w:id="301" w:name="_Hlk193958897"/>
      <w:r>
        <w:rPr>
          <w:rFonts w:hint="eastAsia"/>
        </w:rPr>
        <w:t>建设项目排水系统采用雨污分流制。项目</w:t>
      </w:r>
      <w:r>
        <w:t>发生事故或非正常工况排水时</w:t>
      </w:r>
      <w:r>
        <w:rPr>
          <w:rFonts w:hint="eastAsia"/>
        </w:rPr>
        <w:t>，将未处理污水引至事故应急池暂存，</w:t>
      </w:r>
      <w:r>
        <w:t>待事故解除后</w:t>
      </w:r>
      <w:r>
        <w:rPr>
          <w:rFonts w:hint="eastAsia"/>
        </w:rPr>
        <w:t>再抽至一体化污水处理设施 进行处理。</w:t>
      </w:r>
      <w:bookmarkEnd w:id="301"/>
      <w:r>
        <w:rPr>
          <w:rFonts w:hint="eastAsia"/>
        </w:rPr>
        <w:t>本项目综合废水量为1376.294m</w:t>
      </w:r>
      <w:r>
        <w:rPr>
          <w:rFonts w:hint="eastAsia"/>
          <w:vertAlign w:val="superscript"/>
        </w:rPr>
        <w:t>3</w:t>
      </w:r>
      <w:r>
        <w:rPr>
          <w:rFonts w:hint="eastAsia"/>
        </w:rPr>
        <w:t>/a（3.771m</w:t>
      </w:r>
      <w:r>
        <w:rPr>
          <w:rFonts w:hint="eastAsia"/>
          <w:vertAlign w:val="superscript"/>
        </w:rPr>
        <w:t>3</w:t>
      </w:r>
      <w:r>
        <w:rPr>
          <w:rFonts w:hint="eastAsia"/>
        </w:rPr>
        <w:t>/d），同时根据养鸡场实际生产情况，鸡舍在饲养期间不对鸡舍进行冲洗，每次更换批次时才需要对鸡舍进行清洗，项目一年内对蛋鸡舍冲洗一次，鸡舍冲洗废水产生量为62.294m</w:t>
      </w:r>
      <w:r>
        <w:rPr>
          <w:rFonts w:hint="eastAsia"/>
          <w:vertAlign w:val="superscript"/>
        </w:rPr>
        <w:t>3</w:t>
      </w:r>
      <w:r>
        <w:rPr>
          <w:rFonts w:hint="eastAsia"/>
        </w:rPr>
        <w:t>/次，设置1个70m</w:t>
      </w:r>
      <w:r>
        <w:rPr>
          <w:rFonts w:hint="eastAsia"/>
          <w:vertAlign w:val="superscript"/>
        </w:rPr>
        <w:t>3</w:t>
      </w:r>
      <w:r>
        <w:rPr>
          <w:rFonts w:hint="eastAsia"/>
        </w:rPr>
        <w:t>的事故应急池，可以存储最不利情况时项目产生的废水。</w:t>
      </w:r>
      <w:bookmarkStart w:id="302" w:name="_Hlk193958929"/>
      <w:r>
        <w:rPr>
          <w:rFonts w:hint="eastAsia"/>
        </w:rPr>
        <w:t>事故应急池期间为了避免未经处理废水发出恶臭味，应定期向事故应急池周边喷洒生物除臭剂。事故池周边设置截水沟，防止雨水进入造成溢流污染地下水。</w:t>
      </w:r>
    </w:p>
    <w:bookmarkEnd w:id="302"/>
    <w:p>
      <w:pPr>
        <w:pStyle w:val="4"/>
      </w:pPr>
      <w:bookmarkStart w:id="303" w:name="_Toc194481247"/>
      <w:r>
        <w:t>7.</w:t>
      </w:r>
      <w:r>
        <w:rPr>
          <w:rFonts w:hint="eastAsia"/>
        </w:rPr>
        <w:t>7</w:t>
      </w:r>
      <w:r>
        <w:t>.</w:t>
      </w:r>
      <w:r>
        <w:rPr>
          <w:rFonts w:hint="eastAsia"/>
        </w:rPr>
        <w:t xml:space="preserve">2 </w:t>
      </w:r>
      <w:r>
        <w:rPr>
          <w:rFonts w:hint="eastAsia" w:cs="Times New Roman"/>
          <w:color w:val="000000"/>
          <w:szCs w:val="28"/>
        </w:rPr>
        <w:t>柴油储存风险防范措施</w:t>
      </w:r>
      <w:bookmarkEnd w:id="303"/>
    </w:p>
    <w:p>
      <w:pPr>
        <w:pStyle w:val="49"/>
        <w:ind w:firstLine="480"/>
      </w:pPr>
      <w:r>
        <w:rPr>
          <w:rFonts w:hint="eastAsia"/>
        </w:rPr>
        <w:t>项目所使用的柴油，由柴油供给公司运至厂内，厂内设有柴油桶，作为备用柴油发电机的燃料。按照《石油库设计规范》（</w:t>
      </w:r>
      <w:r>
        <w:t>GB50074-2014</w:t>
      </w:r>
      <w:r>
        <w:rPr>
          <w:rFonts w:hint="eastAsia"/>
        </w:rPr>
        <w:t xml:space="preserve">）规定：柴油桶所在区域按要求设置防火堤。防火堤内的有效容量不应小于柴油桶最大的容量，以保证柴油桶漏油事故能够得到有效防治，保证油水不会排放到外环境。 </w:t>
      </w:r>
    </w:p>
    <w:p>
      <w:pPr>
        <w:pStyle w:val="49"/>
        <w:ind w:firstLine="480"/>
      </w:pPr>
      <w:r>
        <w:rPr>
          <w:rFonts w:hint="eastAsia"/>
        </w:rPr>
        <w:t xml:space="preserve">柴油桶风险防范措施如下： </w:t>
      </w:r>
    </w:p>
    <w:p>
      <w:pPr>
        <w:pStyle w:val="49"/>
        <w:ind w:firstLine="480"/>
      </w:pPr>
      <w:r>
        <w:rPr>
          <w:rFonts w:hint="eastAsia"/>
        </w:rPr>
        <w:t>1、项目柴油应存储在专用库房内，库房封闭设置，库房内地面及四周墙裙均进行防渗处理，且在柴油桶区设围堰。</w:t>
      </w:r>
    </w:p>
    <w:p>
      <w:pPr>
        <w:pStyle w:val="49"/>
        <w:ind w:firstLine="480"/>
      </w:pPr>
      <w:r>
        <w:rPr>
          <w:rFonts w:hint="eastAsia"/>
        </w:rPr>
        <w:t xml:space="preserve">2、柴油不能与强氧化剂混放，定期对柴油桶进行检漏。 </w:t>
      </w:r>
    </w:p>
    <w:p>
      <w:pPr>
        <w:pStyle w:val="49"/>
        <w:ind w:firstLine="480"/>
      </w:pPr>
      <w:r>
        <w:rPr>
          <w:rFonts w:hint="eastAsia"/>
        </w:rPr>
        <w:t xml:space="preserve">3、柴油在保管和使用时，应建立严格的管理和规章制度，油品装卸、使用时，全过程应有人在现场监督，一旦发生事故，立即采取防范措施。 </w:t>
      </w:r>
    </w:p>
    <w:p>
      <w:pPr>
        <w:pStyle w:val="49"/>
        <w:ind w:firstLine="480"/>
      </w:pPr>
      <w:r>
        <w:rPr>
          <w:rFonts w:hint="eastAsia"/>
        </w:rPr>
        <w:t xml:space="preserve">4、发现柴油桶发生泄漏等异常情况时，岗位操作人员应及时汇报。相关负责人到场，并有当班人员或岗位主要操作人员组成临时指挥组。 </w:t>
      </w:r>
    </w:p>
    <w:p>
      <w:pPr>
        <w:pStyle w:val="49"/>
        <w:ind w:firstLine="480"/>
      </w:pPr>
      <w:r>
        <w:rPr>
          <w:rFonts w:hint="eastAsia"/>
        </w:rPr>
        <w:t xml:space="preserve">5、在装卸柴油时，不得吸烟，必须保持现场空气流通。 </w:t>
      </w:r>
    </w:p>
    <w:p>
      <w:pPr>
        <w:pStyle w:val="49"/>
        <w:ind w:firstLine="480"/>
      </w:pPr>
      <w:r>
        <w:rPr>
          <w:rFonts w:hint="eastAsia"/>
        </w:rPr>
        <w:t xml:space="preserve">6、晚间作业应用防爆式或封闭式的安全照明。 </w:t>
      </w:r>
    </w:p>
    <w:p>
      <w:pPr>
        <w:pStyle w:val="49"/>
        <w:ind w:firstLine="480"/>
      </w:pPr>
      <w:r>
        <w:rPr>
          <w:rFonts w:hint="eastAsia"/>
        </w:rPr>
        <w:t xml:space="preserve">7、在每年的雷雨季节到来之前，对库区各处的防雷、防静电的接地装置进行检测检查，如有不合格，必须进行整改。 </w:t>
      </w:r>
    </w:p>
    <w:p>
      <w:pPr>
        <w:pStyle w:val="49"/>
        <w:ind w:firstLine="480"/>
      </w:pPr>
      <w:r>
        <w:rPr>
          <w:rFonts w:hint="eastAsia"/>
        </w:rPr>
        <w:t>8、柴油桶应配置温度计、湿度计，严格控制柴油桶温度。</w:t>
      </w:r>
    </w:p>
    <w:p>
      <w:pPr>
        <w:pStyle w:val="4"/>
      </w:pPr>
      <w:bookmarkStart w:id="304" w:name="_Toc191562301"/>
      <w:bookmarkStart w:id="305" w:name="_Toc194481248"/>
      <w:bookmarkStart w:id="306" w:name="_Hlk193958971"/>
      <w:r>
        <w:t>7.</w:t>
      </w:r>
      <w:r>
        <w:rPr>
          <w:rFonts w:hint="eastAsia"/>
        </w:rPr>
        <w:t>7</w:t>
      </w:r>
      <w:r>
        <w:t>.</w:t>
      </w:r>
      <w:r>
        <w:rPr>
          <w:rFonts w:hint="eastAsia"/>
        </w:rPr>
        <w:t xml:space="preserve">3 </w:t>
      </w:r>
      <w:r>
        <w:rPr>
          <w:rFonts w:hint="eastAsia" w:cs="Times New Roman"/>
          <w:color w:val="000000"/>
          <w:szCs w:val="28"/>
        </w:rPr>
        <w:t>次氯酸钠储存风险防范措施</w:t>
      </w:r>
      <w:bookmarkEnd w:id="304"/>
      <w:bookmarkEnd w:id="305"/>
    </w:p>
    <w:p>
      <w:pPr>
        <w:pStyle w:val="49"/>
        <w:ind w:firstLine="480"/>
      </w:pPr>
      <w:r>
        <w:rPr>
          <w:rFonts w:hint="eastAsia" w:hAnsi="宋体"/>
        </w:rPr>
        <w:t>1、污水处理区</w:t>
      </w:r>
      <w:r>
        <w:rPr>
          <w:rFonts w:hint="eastAsia"/>
        </w:rPr>
        <w:t>药剂房</w:t>
      </w:r>
      <w:r>
        <w:t>地面采用钢筋混凝土加防渗剂的防渗地坪+人工材料(HDPE) 防渗层，确保等效黏土防渗层Mb≥6.0m</w:t>
      </w:r>
      <w:r>
        <w:rPr>
          <w:rFonts w:hint="eastAsia"/>
        </w:rPr>
        <w:t>，</w:t>
      </w:r>
      <w:r>
        <w:t xml:space="preserve"> K≤1×10</w:t>
      </w:r>
      <w:r>
        <w:rPr>
          <w:rFonts w:hint="eastAsia"/>
          <w:vertAlign w:val="superscript"/>
        </w:rPr>
        <w:t>-</w:t>
      </w:r>
      <w:r>
        <w:rPr>
          <w:vertAlign w:val="superscript"/>
        </w:rPr>
        <w:t>7</w:t>
      </w:r>
      <w:r>
        <w:t>cm/s。</w:t>
      </w:r>
    </w:p>
    <w:p>
      <w:pPr>
        <w:pStyle w:val="82"/>
        <w:ind w:firstLine="480"/>
      </w:pPr>
      <w:r>
        <w:rPr>
          <w:rFonts w:hint="eastAsia" w:hAnsi="宋体" w:cs="宋体"/>
        </w:rPr>
        <w:t>2、</w:t>
      </w:r>
      <w:r>
        <w:t>禁止将不相容（相互反应）的危险化学品在同一容器内混装，不相容的危险化学品必须分开存放，并设有隔离间隔断。</w:t>
      </w:r>
    </w:p>
    <w:p>
      <w:pPr>
        <w:pStyle w:val="82"/>
        <w:ind w:firstLine="480"/>
      </w:pPr>
      <w:r>
        <w:rPr>
          <w:rFonts w:hint="eastAsia" w:hAnsi="宋体" w:cs="宋体"/>
        </w:rPr>
        <w:t>3、</w:t>
      </w:r>
      <w:r>
        <w:t>贮存过程要防风、防雨、防晒。</w:t>
      </w:r>
    </w:p>
    <w:p>
      <w:pPr>
        <w:pStyle w:val="82"/>
        <w:ind w:firstLine="480"/>
      </w:pPr>
      <w:r>
        <w:rPr>
          <w:rFonts w:hint="eastAsia" w:hAnsi="宋体" w:cs="宋体"/>
        </w:rPr>
        <w:t>4、</w:t>
      </w:r>
      <w:r>
        <w:t>库房贮存区应留有搬运通道。</w:t>
      </w:r>
    </w:p>
    <w:p>
      <w:pPr>
        <w:pStyle w:val="82"/>
        <w:ind w:firstLine="480"/>
      </w:pPr>
      <w:r>
        <w:rPr>
          <w:rFonts w:hint="eastAsia" w:hAnsi="宋体" w:cs="宋体"/>
        </w:rPr>
        <w:t>5、</w:t>
      </w:r>
      <w:r>
        <w:t>贮存库房内设置警示标志。</w:t>
      </w:r>
    </w:p>
    <w:p>
      <w:pPr>
        <w:pStyle w:val="82"/>
        <w:ind w:firstLine="480"/>
      </w:pPr>
      <w:r>
        <w:rPr>
          <w:rFonts w:hint="eastAsia" w:hAnsi="宋体" w:cs="宋体"/>
        </w:rPr>
        <w:t>6、</w:t>
      </w:r>
      <w:r>
        <w:t>贮存区内设置泄漏液体收集井及导流沟。</w:t>
      </w:r>
    </w:p>
    <w:p>
      <w:pPr>
        <w:pStyle w:val="82"/>
        <w:ind w:firstLine="480"/>
      </w:pPr>
      <w:r>
        <w:rPr>
          <w:rFonts w:hint="eastAsia" w:hAnsi="宋体" w:cs="宋体"/>
        </w:rPr>
        <w:t>7、</w:t>
      </w:r>
      <w:r>
        <w:t>贮存区应配备通讯设备、照明设施、安全防护服装及工具，并设有应急防护设施。</w:t>
      </w:r>
    </w:p>
    <w:p>
      <w:pPr>
        <w:pStyle w:val="82"/>
        <w:ind w:firstLine="480"/>
      </w:pPr>
      <w:r>
        <w:rPr>
          <w:rFonts w:hint="eastAsia" w:hAnsi="宋体" w:cs="宋体"/>
        </w:rPr>
        <w:t>8、</w:t>
      </w:r>
      <w:r>
        <w:t>用以存放装载容器的地方，必须有耐腐蚀的硬化地面，且表面无裂痕。</w:t>
      </w:r>
    </w:p>
    <w:bookmarkEnd w:id="306"/>
    <w:p>
      <w:pPr>
        <w:pStyle w:val="4"/>
      </w:pPr>
      <w:bookmarkStart w:id="307" w:name="_Toc194481249"/>
      <w:r>
        <w:t>7.</w:t>
      </w:r>
      <w:r>
        <w:rPr>
          <w:rFonts w:hint="eastAsia"/>
        </w:rPr>
        <w:t>7</w:t>
      </w:r>
      <w:r>
        <w:t>.</w:t>
      </w:r>
      <w:r>
        <w:rPr>
          <w:rFonts w:hint="eastAsia"/>
        </w:rPr>
        <w:t xml:space="preserve">4 </w:t>
      </w:r>
      <w:r>
        <w:rPr>
          <w:rFonts w:hint="eastAsia" w:cs="Times New Roman"/>
          <w:color w:val="000000"/>
          <w:szCs w:val="28"/>
        </w:rPr>
        <w:t>疫情风险防范措施</w:t>
      </w:r>
      <w:bookmarkEnd w:id="307"/>
    </w:p>
    <w:p>
      <w:pPr>
        <w:pStyle w:val="49"/>
        <w:ind w:firstLine="480"/>
      </w:pPr>
      <w:r>
        <w:rPr>
          <w:rFonts w:hint="eastAsia"/>
        </w:rPr>
        <w:t xml:space="preserve">养殖场的集约化、高密度饲养，会加大感染性疾病的传播，如果疫情控制和净化措施不完善，则存在发病的风险，进而对养殖业生产和人体健康产生危害。鸡场主要病有以下几种：热应激综合、鸡大肠杆菌病、坏死性肠炎、鸡球虫病、肉鸡腹水综合征、鸡白细胞原虫病、鸡新城疫、传染性法氏囊病、鸡传染性支气管炎等。传染病的流行发生往往会造成鸡大量死亡，威胁到广大市民的身体健康。 因此，传染病的防治工作也就成为养鸡业发展的关键环节。 </w:t>
      </w:r>
    </w:p>
    <w:p>
      <w:pPr>
        <w:pStyle w:val="49"/>
        <w:ind w:firstLine="480"/>
      </w:pPr>
      <w:r>
        <w:rPr>
          <w:rFonts w:hint="eastAsia"/>
        </w:rPr>
        <w:t xml:space="preserve">根据《中华人民共和国动物防疫法》及其他相关管理办法的要求，本项目的生 产经营活动采取以下措施保障动物疫病的防治： </w:t>
      </w:r>
    </w:p>
    <w:p>
      <w:pPr>
        <w:pStyle w:val="49"/>
        <w:ind w:firstLine="480"/>
      </w:pPr>
      <w:r>
        <w:rPr>
          <w:rFonts w:hint="eastAsia"/>
        </w:rPr>
        <w:t xml:space="preserve">1、加强员工防疫知识和兽医法规的教育； </w:t>
      </w:r>
    </w:p>
    <w:p>
      <w:pPr>
        <w:pStyle w:val="49"/>
        <w:ind w:firstLine="480"/>
      </w:pPr>
      <w:r>
        <w:rPr>
          <w:rFonts w:hint="eastAsia"/>
        </w:rPr>
        <w:t xml:space="preserve">2、对养殖场进行科学的选址规划和布局，远离人口聚集区及其他动物制品加工店，在场区内设置严格管理的消毒设施； </w:t>
      </w:r>
    </w:p>
    <w:p>
      <w:pPr>
        <w:pStyle w:val="49"/>
        <w:ind w:firstLine="480"/>
      </w:pPr>
      <w:r>
        <w:rPr>
          <w:rFonts w:hint="eastAsia"/>
        </w:rPr>
        <w:t xml:space="preserve">3、完善隔离制度，粪污和动物运输通道分离，人畜分离，加强生产区人员及其他动物的出入管理，各生产产房入口处设置消毒设施并严格执行消毒制度，落实动物尸体无害化处理； </w:t>
      </w:r>
    </w:p>
    <w:p>
      <w:pPr>
        <w:pStyle w:val="49"/>
        <w:ind w:firstLine="480"/>
      </w:pPr>
      <w:r>
        <w:rPr>
          <w:rFonts w:hint="eastAsia"/>
        </w:rPr>
        <w:t xml:space="preserve">4、加强影响疾病发生和流行的饲养管理因素，主要包括饲料营养、饮水质量、饲养密度、通风换气、防暑或保温、粪便和污物处理、环境卫生和消毒、动物圈舍管理、生产管理制度、全进全出制度、技术操作规程以及患病动物隔离、检疫等内容，防治病原微生物在不同批次群体中形成连续感染或交叉感染； </w:t>
      </w:r>
    </w:p>
    <w:p>
      <w:pPr>
        <w:pStyle w:val="49"/>
        <w:ind w:firstLine="480"/>
      </w:pPr>
      <w:r>
        <w:rPr>
          <w:rFonts w:hint="eastAsia"/>
        </w:rPr>
        <w:t xml:space="preserve">5、做好疫情报告和疫情诊断工作，迅速全面准确的将疫情报告给主管防疫部门，以便畜禽防疫检疫机构及时正确的做出诊断，提出并实施防治办法，控制疫病的蔓延扩散； </w:t>
      </w:r>
    </w:p>
    <w:p>
      <w:pPr>
        <w:pStyle w:val="49"/>
        <w:ind w:firstLine="480"/>
      </w:pPr>
      <w:r>
        <w:rPr>
          <w:rFonts w:hint="eastAsia"/>
        </w:rPr>
        <w:t xml:space="preserve">6、根据动物运转的环节，配合相关管理部门做好产地检疫、市场监督、屠宰检疫和运输检疫工作； </w:t>
      </w:r>
    </w:p>
    <w:p>
      <w:pPr>
        <w:pStyle w:val="49"/>
        <w:ind w:firstLine="480"/>
      </w:pPr>
      <w:r>
        <w:rPr>
          <w:rFonts w:hint="eastAsia"/>
        </w:rPr>
        <w:t xml:space="preserve">7、在发生疫病后，严格按照相关防治处理方案做好隔离、封锁、扑杀和疫病的净化； </w:t>
      </w:r>
    </w:p>
    <w:p>
      <w:pPr>
        <w:pStyle w:val="49"/>
        <w:ind w:firstLine="480"/>
      </w:pPr>
      <w:r>
        <w:rPr>
          <w:rFonts w:hint="eastAsia"/>
        </w:rPr>
        <w:t xml:space="preserve">8、建立疫病报告制度。养鸡场要实行规范化管理，每栋鸡舍内鸡的数量、精神状况、发病死亡情况、饲料消耗、粪便性状每天都应加以记载，发现有病鸡、死鸡，要及时向当地兽医部门报告，以便及早确诊，采取适当措施，减少损失。 </w:t>
      </w:r>
    </w:p>
    <w:p>
      <w:pPr>
        <w:pStyle w:val="49"/>
        <w:ind w:firstLine="480"/>
      </w:pPr>
      <w:r>
        <w:rPr>
          <w:rFonts w:hint="eastAsia"/>
        </w:rPr>
        <w:t xml:space="preserve">9、做好家禽的免疫接种工作，尤其是对易感畜群，要做好群体防治，必要时使用免疫增强剂，在使用药物的同时，也要做好药物消毒检查，确保药物的安全； </w:t>
      </w:r>
    </w:p>
    <w:p>
      <w:pPr>
        <w:pStyle w:val="49"/>
        <w:ind w:firstLine="480"/>
      </w:pPr>
      <w:r>
        <w:rPr>
          <w:rFonts w:hint="eastAsia"/>
        </w:rPr>
        <w:t xml:space="preserve">10、严格落实消毒制度，按照规范对尸体进行无害化处理，并定期进行场区杀虫灭鼠工作，切断昆虫和鼠类等传染源； </w:t>
      </w:r>
    </w:p>
    <w:p>
      <w:pPr>
        <w:pStyle w:val="49"/>
        <w:ind w:firstLine="480"/>
      </w:pPr>
      <w:r>
        <w:rPr>
          <w:rFonts w:hint="eastAsia"/>
        </w:rPr>
        <w:t>11、对于已经感染疫病的动物，可以挽救的，应进行及时全面的治疗措施，但对于感染烈性传染病的畜禽，应坚决予以扑杀。</w:t>
      </w:r>
    </w:p>
    <w:p>
      <w:pPr>
        <w:pStyle w:val="49"/>
        <w:ind w:firstLine="480"/>
      </w:pPr>
      <w:r>
        <w:rPr>
          <w:rFonts w:hint="eastAsia"/>
        </w:rPr>
        <w:t>通过上述预防、应急措施，可将养殖场放生疫病风险概率及影响程度降至最低。</w:t>
      </w:r>
    </w:p>
    <w:p>
      <w:pPr>
        <w:pStyle w:val="3"/>
        <w:keepNext w:val="0"/>
        <w:keepLines w:val="0"/>
        <w:widowControl w:val="0"/>
        <w:jc w:val="both"/>
      </w:pPr>
      <w:bookmarkStart w:id="308" w:name="_Toc194481250"/>
      <w:r>
        <w:rPr>
          <w:rFonts w:hint="eastAsia"/>
        </w:rPr>
        <w:t>7</w:t>
      </w:r>
      <w:r>
        <w:t>.</w:t>
      </w:r>
      <w:r>
        <w:rPr>
          <w:rFonts w:hint="eastAsia"/>
        </w:rPr>
        <w:t>8 风险应急预案</w:t>
      </w:r>
      <w:bookmarkEnd w:id="308"/>
    </w:p>
    <w:p>
      <w:pPr>
        <w:pStyle w:val="49"/>
        <w:ind w:firstLine="480"/>
        <w:rPr>
          <w:rFonts w:hint="eastAsia" w:ascii="宋体" w:hAnsi="宋体"/>
        </w:rPr>
      </w:pPr>
      <w:r>
        <w:rPr>
          <w:rFonts w:hint="eastAsia"/>
        </w:rPr>
        <w:t xml:space="preserve">由于自然灾害或人为原因，当事故灾害不可避免的时候，有效的应急行动 是可以抵御事故灾害蔓延和减缓灾害后果的有力措施。所以，如果在事故灾害 发生前建立完善的应急系统，制定周密的救援计划，而在灾害发生的时候采取 及时有效的应急救援行动，以及系统的恢复和善后处理，可以拯救生命、保护 </w:t>
      </w:r>
      <w:r>
        <w:rPr>
          <w:rFonts w:hint="eastAsia" w:ascii="宋体" w:hAnsi="宋体"/>
        </w:rPr>
        <w:t>财产、保护环境。项目突发事故应急预案见表</w:t>
      </w:r>
      <w:r>
        <w:rPr>
          <w:rFonts w:cs="Times New Roman"/>
        </w:rPr>
        <w:t>7.</w:t>
      </w:r>
      <w:r>
        <w:rPr>
          <w:rFonts w:hint="eastAsia" w:cs="Times New Roman"/>
        </w:rPr>
        <w:t>8</w:t>
      </w:r>
      <w:r>
        <w:rPr>
          <w:rFonts w:cs="Times New Roman"/>
        </w:rPr>
        <w:t>-1</w:t>
      </w:r>
      <w:r>
        <w:rPr>
          <w:rFonts w:hint="eastAsia" w:ascii="宋体" w:hAnsi="宋体"/>
        </w:rPr>
        <w:t>。</w:t>
      </w:r>
    </w:p>
    <w:p>
      <w:pPr>
        <w:pStyle w:val="53"/>
      </w:pPr>
      <w:r>
        <w:rPr>
          <w:rFonts w:hint="eastAsia"/>
        </w:rPr>
        <w:t xml:space="preserve">表 </w:t>
      </w:r>
      <w:r>
        <w:rPr>
          <w:rFonts w:cs="Times New Roman"/>
        </w:rPr>
        <w:t>7.</w:t>
      </w:r>
      <w:r>
        <w:rPr>
          <w:rFonts w:hint="eastAsia" w:cs="Times New Roman"/>
        </w:rPr>
        <w:t>8</w:t>
      </w:r>
      <w:r>
        <w:rPr>
          <w:rFonts w:cs="Times New Roman"/>
        </w:rPr>
        <w:t xml:space="preserve">-1 </w:t>
      </w:r>
      <w:r>
        <w:rPr>
          <w:rFonts w:hint="eastAsia"/>
        </w:rPr>
        <w:t>环境风险突发事故应急预案</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2"/>
        <w:gridCol w:w="1679"/>
        <w:gridCol w:w="6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60" w:type="pct"/>
            <w:vAlign w:val="center"/>
          </w:tcPr>
          <w:p>
            <w:pPr>
              <w:pStyle w:val="51"/>
            </w:pPr>
            <w:r>
              <w:t>序号</w:t>
            </w:r>
          </w:p>
        </w:tc>
        <w:tc>
          <w:tcPr>
            <w:tcW w:w="1004" w:type="pct"/>
            <w:vAlign w:val="center"/>
          </w:tcPr>
          <w:p>
            <w:pPr>
              <w:pStyle w:val="51"/>
            </w:pPr>
            <w:r>
              <w:t>项目</w:t>
            </w:r>
          </w:p>
        </w:tc>
        <w:tc>
          <w:tcPr>
            <w:tcW w:w="3636" w:type="pct"/>
            <w:vAlign w:val="center"/>
          </w:tcPr>
          <w:p>
            <w:pPr>
              <w:pStyle w:val="51"/>
            </w:pPr>
            <w: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60" w:type="pct"/>
            <w:vAlign w:val="center"/>
          </w:tcPr>
          <w:p>
            <w:pPr>
              <w:pStyle w:val="51"/>
            </w:pPr>
            <w:r>
              <w:t>1</w:t>
            </w:r>
          </w:p>
        </w:tc>
        <w:tc>
          <w:tcPr>
            <w:tcW w:w="1004" w:type="pct"/>
            <w:vAlign w:val="center"/>
          </w:tcPr>
          <w:p>
            <w:pPr>
              <w:pStyle w:val="51"/>
            </w:pPr>
            <w:r>
              <w:rPr>
                <w:rFonts w:hint="eastAsia"/>
              </w:rPr>
              <w:t>编制目的</w:t>
            </w:r>
          </w:p>
        </w:tc>
        <w:tc>
          <w:tcPr>
            <w:tcW w:w="3636" w:type="pct"/>
            <w:vAlign w:val="center"/>
          </w:tcPr>
          <w:p>
            <w:pPr>
              <w:pStyle w:val="51"/>
            </w:pPr>
            <w:r>
              <w:rPr>
                <w:rFonts w:hint="eastAsia"/>
              </w:rPr>
              <w:t>简述应急预案编制的目的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60" w:type="pct"/>
            <w:vAlign w:val="center"/>
          </w:tcPr>
          <w:p>
            <w:pPr>
              <w:pStyle w:val="51"/>
            </w:pPr>
            <w:r>
              <w:t>2</w:t>
            </w:r>
          </w:p>
        </w:tc>
        <w:tc>
          <w:tcPr>
            <w:tcW w:w="1004" w:type="pct"/>
            <w:vAlign w:val="center"/>
          </w:tcPr>
          <w:p>
            <w:pPr>
              <w:pStyle w:val="51"/>
            </w:pPr>
            <w:r>
              <w:rPr>
                <w:rFonts w:hint="eastAsia"/>
              </w:rPr>
              <w:t>编制依据</w:t>
            </w:r>
          </w:p>
        </w:tc>
        <w:tc>
          <w:tcPr>
            <w:tcW w:w="3636" w:type="pct"/>
            <w:vAlign w:val="center"/>
          </w:tcPr>
          <w:p>
            <w:pPr>
              <w:pStyle w:val="51"/>
            </w:pPr>
            <w:r>
              <w:rPr>
                <w:rFonts w:hint="eastAsia"/>
              </w:rPr>
              <w:t>简述应急预案编制所依据的法律、法规、规章、标准和规范性文件以及相关应急预案等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0" w:type="pct"/>
            <w:vAlign w:val="center"/>
          </w:tcPr>
          <w:p>
            <w:pPr>
              <w:pStyle w:val="51"/>
            </w:pPr>
            <w:r>
              <w:t>3</w:t>
            </w:r>
          </w:p>
        </w:tc>
        <w:tc>
          <w:tcPr>
            <w:tcW w:w="1004" w:type="pct"/>
            <w:vAlign w:val="center"/>
          </w:tcPr>
          <w:p>
            <w:pPr>
              <w:pStyle w:val="51"/>
            </w:pPr>
            <w:r>
              <w:rPr>
                <w:rFonts w:hint="eastAsia"/>
              </w:rPr>
              <w:t>适用范围</w:t>
            </w:r>
          </w:p>
        </w:tc>
        <w:tc>
          <w:tcPr>
            <w:tcW w:w="3636" w:type="pct"/>
            <w:vAlign w:val="center"/>
          </w:tcPr>
          <w:p>
            <w:pPr>
              <w:pStyle w:val="51"/>
            </w:pPr>
            <w:r>
              <w:rPr>
                <w:rFonts w:hint="eastAsia"/>
              </w:rPr>
              <w:t>说明应急预案适用的工作范围和事故类型、级别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60" w:type="pct"/>
            <w:vAlign w:val="center"/>
          </w:tcPr>
          <w:p>
            <w:pPr>
              <w:pStyle w:val="51"/>
            </w:pPr>
            <w:r>
              <w:t>4</w:t>
            </w:r>
          </w:p>
        </w:tc>
        <w:tc>
          <w:tcPr>
            <w:tcW w:w="1004" w:type="pct"/>
            <w:vAlign w:val="center"/>
          </w:tcPr>
          <w:p>
            <w:pPr>
              <w:pStyle w:val="51"/>
            </w:pPr>
            <w:r>
              <w:rPr>
                <w:rFonts w:hint="eastAsia"/>
              </w:rPr>
              <w:t>环境风险分析</w:t>
            </w:r>
          </w:p>
        </w:tc>
        <w:tc>
          <w:tcPr>
            <w:tcW w:w="3636" w:type="pct"/>
            <w:vAlign w:val="center"/>
          </w:tcPr>
          <w:p>
            <w:pPr>
              <w:pStyle w:val="51"/>
            </w:pPr>
            <w:r>
              <w:rPr>
                <w:rFonts w:hint="eastAsia"/>
              </w:rPr>
              <w:t>识别风险物质、确定风险级别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60" w:type="pct"/>
            <w:vAlign w:val="center"/>
          </w:tcPr>
          <w:p>
            <w:pPr>
              <w:pStyle w:val="51"/>
            </w:pPr>
            <w:r>
              <w:t>5</w:t>
            </w:r>
          </w:p>
        </w:tc>
        <w:tc>
          <w:tcPr>
            <w:tcW w:w="1004" w:type="pct"/>
            <w:vAlign w:val="center"/>
          </w:tcPr>
          <w:p>
            <w:pPr>
              <w:pStyle w:val="51"/>
            </w:pPr>
            <w:r>
              <w:rPr>
                <w:rFonts w:hint="eastAsia"/>
              </w:rPr>
              <w:t>应急组织机构及职责</w:t>
            </w:r>
          </w:p>
        </w:tc>
        <w:tc>
          <w:tcPr>
            <w:tcW w:w="3636" w:type="pct"/>
            <w:vAlign w:val="center"/>
          </w:tcPr>
          <w:p>
            <w:pPr>
              <w:pStyle w:val="51"/>
            </w:pPr>
            <w:r>
              <w:rPr>
                <w:rFonts w:hint="eastAsia"/>
              </w:rPr>
              <w:t>明确生产经营单位的应急组织形式及组成单位或人员，可用结构图的形式表示，明确构成部门的职责。应急组织机构根据事故类型和应急工作需要，可设置相应的应急工作小组，并明确各小组的工作任务及职责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60" w:type="pct"/>
            <w:vAlign w:val="center"/>
          </w:tcPr>
          <w:p>
            <w:pPr>
              <w:pStyle w:val="51"/>
            </w:pPr>
            <w:r>
              <w:t>6</w:t>
            </w:r>
          </w:p>
        </w:tc>
        <w:tc>
          <w:tcPr>
            <w:tcW w:w="1004" w:type="pct"/>
            <w:vAlign w:val="center"/>
          </w:tcPr>
          <w:p>
            <w:pPr>
              <w:pStyle w:val="51"/>
            </w:pPr>
            <w:r>
              <w:rPr>
                <w:rFonts w:hint="eastAsia"/>
              </w:rPr>
              <w:t>预警及信息报告</w:t>
            </w:r>
          </w:p>
        </w:tc>
        <w:tc>
          <w:tcPr>
            <w:tcW w:w="3636" w:type="pct"/>
            <w:vAlign w:val="center"/>
          </w:tcPr>
          <w:p>
            <w:pPr>
              <w:pStyle w:val="51"/>
            </w:pPr>
            <w:r>
              <w:rPr>
                <w:rFonts w:hint="eastAsia"/>
              </w:rPr>
              <w:t>根据生产经营单位监测监控系统数据变化状况、事故险情紧急程度和发展势态或有关部门提供的预警信息进行预警，明确预警的条件、方式、方法和信息发布的程序信息报告程序主要包括信息接收与通报、信息上报、信息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0" w:type="pct"/>
            <w:vAlign w:val="center"/>
          </w:tcPr>
          <w:p>
            <w:pPr>
              <w:pStyle w:val="51"/>
            </w:pPr>
            <w:r>
              <w:t>7</w:t>
            </w:r>
          </w:p>
        </w:tc>
        <w:tc>
          <w:tcPr>
            <w:tcW w:w="1004" w:type="pct"/>
            <w:vAlign w:val="center"/>
          </w:tcPr>
          <w:p>
            <w:pPr>
              <w:pStyle w:val="51"/>
            </w:pPr>
            <w:r>
              <w:rPr>
                <w:rFonts w:hint="eastAsia"/>
              </w:rPr>
              <w:t>应急响应及措施</w:t>
            </w:r>
          </w:p>
        </w:tc>
        <w:tc>
          <w:tcPr>
            <w:tcW w:w="3636" w:type="pct"/>
            <w:vAlign w:val="center"/>
          </w:tcPr>
          <w:p>
            <w:pPr>
              <w:pStyle w:val="51"/>
            </w:pPr>
            <w:r>
              <w:rPr>
                <w:rFonts w:hint="eastAsia"/>
              </w:rPr>
              <w:t>响应分级：针对事故危害程度、影响范围和生产经营单位控制事态的能力，对事故应急响应进行分级，明确分级响应的基本原则响应程序：根据事故级别和发展态势，描述应急指挥机构启动、应急资源调配、应急救援、扩大应急等响应程序处置程序：针对可能发生的事故风险、事故危害程度和影响范围，制定相应的应急处置措施，明确处置原则和具体要求应急结束：明确现场应急响应结束的基本条件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60" w:type="pct"/>
            <w:vAlign w:val="center"/>
          </w:tcPr>
          <w:p>
            <w:pPr>
              <w:pStyle w:val="51"/>
            </w:pPr>
            <w:r>
              <w:t>8</w:t>
            </w:r>
          </w:p>
        </w:tc>
        <w:tc>
          <w:tcPr>
            <w:tcW w:w="1004" w:type="pct"/>
            <w:vAlign w:val="center"/>
          </w:tcPr>
          <w:p>
            <w:pPr>
              <w:pStyle w:val="51"/>
            </w:pPr>
            <w:r>
              <w:rPr>
                <w:rFonts w:hint="eastAsia"/>
              </w:rPr>
              <w:t>信息公开</w:t>
            </w:r>
          </w:p>
        </w:tc>
        <w:tc>
          <w:tcPr>
            <w:tcW w:w="3636" w:type="pct"/>
            <w:vAlign w:val="center"/>
          </w:tcPr>
          <w:p>
            <w:pPr>
              <w:pStyle w:val="51"/>
            </w:pPr>
            <w:r>
              <w:rPr>
                <w:rFonts w:hint="eastAsia"/>
              </w:rPr>
              <w:t>明确向有关新闻媒体、社会公众通报事故信息的部门、负责人和程序以及通报原则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60" w:type="pct"/>
            <w:vAlign w:val="center"/>
          </w:tcPr>
          <w:p>
            <w:pPr>
              <w:pStyle w:val="51"/>
            </w:pPr>
            <w:r>
              <w:t>9</w:t>
            </w:r>
          </w:p>
        </w:tc>
        <w:tc>
          <w:tcPr>
            <w:tcW w:w="1004" w:type="pct"/>
            <w:vAlign w:val="center"/>
          </w:tcPr>
          <w:p>
            <w:pPr>
              <w:pStyle w:val="51"/>
            </w:pPr>
            <w:r>
              <w:rPr>
                <w:rFonts w:hint="eastAsia"/>
              </w:rPr>
              <w:t>后期处置</w:t>
            </w:r>
          </w:p>
        </w:tc>
        <w:tc>
          <w:tcPr>
            <w:tcW w:w="3636" w:type="pct"/>
            <w:vAlign w:val="center"/>
          </w:tcPr>
          <w:p>
            <w:pPr>
              <w:pStyle w:val="51"/>
            </w:pPr>
            <w:r>
              <w:rPr>
                <w:rFonts w:hint="eastAsia"/>
              </w:rPr>
              <w:t>主要明确污染物处理、生产秩序恢复、医疗救治、人员安置、善后赔偿、应急救援评估等内容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60" w:type="pct"/>
            <w:vAlign w:val="center"/>
          </w:tcPr>
          <w:p>
            <w:pPr>
              <w:pStyle w:val="51"/>
            </w:pPr>
            <w:r>
              <w:t>10</w:t>
            </w:r>
          </w:p>
        </w:tc>
        <w:tc>
          <w:tcPr>
            <w:tcW w:w="1004" w:type="pct"/>
            <w:vAlign w:val="center"/>
          </w:tcPr>
          <w:p>
            <w:pPr>
              <w:pStyle w:val="51"/>
            </w:pPr>
            <w:r>
              <w:rPr>
                <w:rFonts w:hint="eastAsia"/>
              </w:rPr>
              <w:t>保障措施</w:t>
            </w:r>
          </w:p>
        </w:tc>
        <w:tc>
          <w:tcPr>
            <w:tcW w:w="3636" w:type="pct"/>
            <w:vAlign w:val="center"/>
          </w:tcPr>
          <w:p>
            <w:pPr>
              <w:pStyle w:val="51"/>
              <w:jc w:val="both"/>
            </w:pPr>
            <w:r>
              <w:rPr>
                <w:rFonts w:hint="eastAsia"/>
              </w:rPr>
              <w:t>通信与信息保障：明确可为生产经营单位提供应急保障的相关单位及人员通信联系方式和方法，并提供备用方案。同时，建立信息通信系统及维护方案，确保应急期间信息畅通应急队伍保障：明确应急响应的人力资源，包括应急专家、专业应急队伍、兼职应急队伍等物资装备保障：明确生产经营单位的应急物资和装备的类型、数量、性能、存放位置、运输及使用条件、管理责任人及其联系方式等内容其他保障：根据应急工作需求而确定的其他相关保障措施（如：经费保障、交通运输保障、治安保障、医疗保障、后勤保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0" w:type="pct"/>
            <w:vAlign w:val="center"/>
          </w:tcPr>
          <w:p>
            <w:pPr>
              <w:pStyle w:val="51"/>
            </w:pPr>
            <w:r>
              <w:t>11</w:t>
            </w:r>
          </w:p>
        </w:tc>
        <w:tc>
          <w:tcPr>
            <w:tcW w:w="1004" w:type="pct"/>
            <w:vAlign w:val="center"/>
          </w:tcPr>
          <w:p>
            <w:pPr>
              <w:pStyle w:val="51"/>
            </w:pPr>
            <w:r>
              <w:rPr>
                <w:rFonts w:hint="eastAsia"/>
              </w:rPr>
              <w:t>应急预案管理</w:t>
            </w:r>
          </w:p>
        </w:tc>
        <w:tc>
          <w:tcPr>
            <w:tcW w:w="3636" w:type="pct"/>
            <w:vAlign w:val="center"/>
          </w:tcPr>
          <w:p>
            <w:pPr>
              <w:pStyle w:val="51"/>
            </w:pPr>
            <w:r>
              <w:rPr>
                <w:rFonts w:hint="eastAsia"/>
              </w:rPr>
              <w:t>包括：应急预案培训、应急预案演练、应急预案修订、应急预案备案、应急预案实施</w:t>
            </w:r>
          </w:p>
        </w:tc>
      </w:tr>
    </w:tbl>
    <w:p>
      <w:pPr>
        <w:pStyle w:val="49"/>
        <w:ind w:firstLine="480"/>
      </w:pPr>
      <w:r>
        <w:rPr>
          <w:rFonts w:hint="eastAsia"/>
        </w:rPr>
        <w:t>此外，要建立区域联防联控的应急机制。积极配合当地政府建设和完善环境风险预警体系、环境风险防控工程、环境应急保障体系，并建立本建设项目与周边企业、村镇、政府之间的应急联动机制，做好企业突发环境事件应急预案与区域相关部门的应急预案相衔接，并加强区域应急物资调配管理，构建区域环境风险联控机制。环境事故发生后，应根据事故类别，执行其制定的环境风险应急预案，并根据风险事故的类型和等级，充分发挥与区域有关部门的分级响应联动机制，如废水事故排放应急预案。而对于超出本预案规定的适用范围的其他事故，或者事故扩大升级，演变为较大、重大、特别重大事故，超出公司的应对能力时，建设单位应立即通知政府及其他相关管理部门，降低环境 风险影响。</w:t>
      </w:r>
    </w:p>
    <w:p>
      <w:pPr>
        <w:pStyle w:val="3"/>
        <w:keepNext w:val="0"/>
        <w:keepLines w:val="0"/>
        <w:widowControl w:val="0"/>
        <w:jc w:val="both"/>
      </w:pPr>
      <w:bookmarkStart w:id="309" w:name="_Toc194481251"/>
      <w:r>
        <w:rPr>
          <w:rFonts w:hint="eastAsia"/>
        </w:rPr>
        <w:t>7</w:t>
      </w:r>
      <w:r>
        <w:t>.</w:t>
      </w:r>
      <w:r>
        <w:rPr>
          <w:rFonts w:hint="eastAsia"/>
        </w:rPr>
        <w:t xml:space="preserve">9 </w:t>
      </w:r>
      <w:r>
        <w:t>环境风险评价结论</w:t>
      </w:r>
      <w:bookmarkEnd w:id="309"/>
    </w:p>
    <w:p>
      <w:pPr>
        <w:pStyle w:val="49"/>
        <w:overflowPunct w:val="0"/>
        <w:ind w:firstLine="480"/>
      </w:pPr>
      <w:r>
        <w:rPr>
          <w:rFonts w:hint="eastAsia"/>
        </w:rPr>
        <w:t>根据《建设项目环境风险评价技术导则》（</w:t>
      </w:r>
      <w:r>
        <w:t>HJ169-2018</w:t>
      </w:r>
      <w:r>
        <w:rPr>
          <w:rFonts w:hint="eastAsia"/>
        </w:rPr>
        <w:t xml:space="preserve">）附录 </w:t>
      </w:r>
      <w:r>
        <w:t xml:space="preserve">B </w:t>
      </w:r>
      <w:r>
        <w:rPr>
          <w:rFonts w:hint="eastAsia"/>
        </w:rPr>
        <w:t xml:space="preserve">合附录作为判断依据，本项目为畜禽养殖项目，本项目采用的工艺系统不具有危险性，项目养殖过程中涉及到的风险物质主要为备用柴油发电机使用的柴油、尾水消毒涉及的次氯酸钠。经计算项目风险物质 </w:t>
      </w:r>
      <w:r>
        <w:t xml:space="preserve">Q </w:t>
      </w:r>
      <w:r>
        <w:rPr>
          <w:rFonts w:hint="eastAsia"/>
        </w:rPr>
        <w:t>值＜</w:t>
      </w:r>
      <w:r>
        <w:t>1</w:t>
      </w:r>
      <w:r>
        <w:rPr>
          <w:rFonts w:hint="eastAsia"/>
        </w:rPr>
        <w:t>，项目环境风险潜势为</w:t>
      </w:r>
      <w:r>
        <w:t>Ⅰ</w:t>
      </w:r>
      <w:r>
        <w:rPr>
          <w:rFonts w:hint="eastAsia"/>
        </w:rPr>
        <w:t>，环境风险评价工作等级为简单分析。经环境风险简单分析，在采取相应的事故风险防范措施之后，本项目环境风险事故的发生概率较低。建设单位通过加强化学品使用管理，加强废水事故措施，建立健全应急预案体系，严控疫情风险，在此基础上，本项目的环境风险水平是可以接受的。</w:t>
      </w:r>
    </w:p>
    <w:p>
      <w:pPr>
        <w:pStyle w:val="49"/>
        <w:ind w:firstLine="480"/>
      </w:pPr>
      <w:r>
        <w:rPr>
          <w:rFonts w:hint="eastAsia"/>
        </w:rPr>
        <w:t>本项目环境风险简单分析内容表如下。</w:t>
      </w:r>
    </w:p>
    <w:p>
      <w:pPr>
        <w:pStyle w:val="53"/>
      </w:pPr>
      <w:r>
        <w:rPr>
          <w:rFonts w:hint="eastAsia"/>
        </w:rPr>
        <w:t xml:space="preserve">表 </w:t>
      </w:r>
      <w:r>
        <w:t>7.</w:t>
      </w:r>
      <w:r>
        <w:rPr>
          <w:rFonts w:hint="eastAsia"/>
        </w:rPr>
        <w:t>9</w:t>
      </w:r>
      <w:r>
        <w:t xml:space="preserve">-1 </w:t>
      </w:r>
      <w:r>
        <w:rPr>
          <w:rFonts w:hint="eastAsia"/>
        </w:rPr>
        <w:t xml:space="preserve"> 建设项目环境风险简单分析内容表</w:t>
      </w:r>
    </w:p>
    <w:tbl>
      <w:tblPr>
        <w:tblStyle w:val="4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134"/>
        <w:gridCol w:w="2236"/>
        <w:gridCol w:w="1166"/>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51"/>
            </w:pPr>
            <w:r>
              <w:rPr>
                <w:rFonts w:hint="eastAsia"/>
              </w:rPr>
              <w:t>建设项目名称</w:t>
            </w:r>
          </w:p>
        </w:tc>
        <w:tc>
          <w:tcPr>
            <w:tcW w:w="6945" w:type="dxa"/>
            <w:gridSpan w:val="4"/>
            <w:vAlign w:val="center"/>
          </w:tcPr>
          <w:p>
            <w:pPr>
              <w:pStyle w:val="51"/>
            </w:pPr>
            <w:r>
              <w:rPr>
                <w:rFonts w:hint="eastAsia"/>
              </w:rPr>
              <w:t>湘五永兴120万羽智能化蛋鸡养殖场项目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51"/>
            </w:pPr>
            <w:r>
              <w:rPr>
                <w:rFonts w:hint="eastAsia"/>
              </w:rPr>
              <w:t>建设地点</w:t>
            </w:r>
          </w:p>
        </w:tc>
        <w:tc>
          <w:tcPr>
            <w:tcW w:w="6945" w:type="dxa"/>
            <w:gridSpan w:val="4"/>
            <w:vAlign w:val="center"/>
          </w:tcPr>
          <w:p>
            <w:pPr>
              <w:pStyle w:val="51"/>
            </w:pPr>
            <w:r>
              <w:rPr>
                <w:rFonts w:hint="eastAsia"/>
              </w:rPr>
              <w:t>永州市冷水滩区岚角山街道飞跃村、高桥头村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51"/>
            </w:pPr>
            <w:r>
              <w:rPr>
                <w:rFonts w:hint="eastAsia"/>
              </w:rPr>
              <w:t>地理坐标</w:t>
            </w:r>
          </w:p>
        </w:tc>
        <w:tc>
          <w:tcPr>
            <w:tcW w:w="1134" w:type="dxa"/>
            <w:vAlign w:val="center"/>
          </w:tcPr>
          <w:p>
            <w:pPr>
              <w:pStyle w:val="51"/>
            </w:pPr>
            <w:r>
              <w:rPr>
                <w:rFonts w:hint="eastAsia"/>
              </w:rPr>
              <w:t>经度</w:t>
            </w:r>
          </w:p>
        </w:tc>
        <w:tc>
          <w:tcPr>
            <w:tcW w:w="2236" w:type="dxa"/>
            <w:vAlign w:val="center"/>
          </w:tcPr>
          <w:p>
            <w:pPr>
              <w:pStyle w:val="51"/>
            </w:pPr>
            <w:r>
              <w:rPr>
                <w:rFonts w:hint="eastAsia"/>
              </w:rPr>
              <w:t>东经111</w:t>
            </w:r>
            <w:r>
              <w:rPr>
                <w:rFonts w:cs="Times New Roman"/>
                <w:color w:val="000000"/>
              </w:rPr>
              <w:t>°</w:t>
            </w:r>
            <w:r>
              <w:rPr>
                <w:rFonts w:hint="eastAsia"/>
              </w:rPr>
              <w:t>40'05.8240"</w:t>
            </w:r>
          </w:p>
        </w:tc>
        <w:tc>
          <w:tcPr>
            <w:tcW w:w="1166" w:type="dxa"/>
            <w:vAlign w:val="center"/>
          </w:tcPr>
          <w:p>
            <w:pPr>
              <w:pStyle w:val="51"/>
            </w:pPr>
            <w:r>
              <w:rPr>
                <w:rFonts w:hint="eastAsia"/>
              </w:rPr>
              <w:t>纬度</w:t>
            </w:r>
          </w:p>
        </w:tc>
        <w:tc>
          <w:tcPr>
            <w:tcW w:w="2409" w:type="dxa"/>
            <w:vAlign w:val="center"/>
          </w:tcPr>
          <w:p>
            <w:pPr>
              <w:pStyle w:val="49"/>
              <w:spacing w:line="240" w:lineRule="auto"/>
              <w:ind w:firstLine="0" w:firstLineChars="0"/>
              <w:jc w:val="center"/>
            </w:pPr>
            <w:r>
              <w:rPr>
                <w:rFonts w:hint="eastAsia"/>
                <w:sz w:val="21"/>
              </w:rPr>
              <w:t>北纬26</w:t>
            </w:r>
            <w:r>
              <w:rPr>
                <w:sz w:val="21"/>
              </w:rPr>
              <w:t>°</w:t>
            </w:r>
            <w:r>
              <w:rPr>
                <w:rFonts w:hint="eastAsia"/>
                <w:sz w:val="21"/>
              </w:rPr>
              <w:t>21'19.8139"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5" w:type="dxa"/>
            <w:vAlign w:val="center"/>
          </w:tcPr>
          <w:p>
            <w:pPr>
              <w:pStyle w:val="51"/>
            </w:pPr>
            <w:r>
              <w:rPr>
                <w:rFonts w:hint="eastAsia"/>
              </w:rPr>
              <w:t>主要危险物质及分布</w:t>
            </w:r>
          </w:p>
        </w:tc>
        <w:tc>
          <w:tcPr>
            <w:tcW w:w="6945" w:type="dxa"/>
            <w:gridSpan w:val="4"/>
            <w:vAlign w:val="center"/>
          </w:tcPr>
          <w:p>
            <w:pPr>
              <w:pStyle w:val="51"/>
              <w:jc w:val="left"/>
            </w:pPr>
            <w:r>
              <w:rPr>
                <w:rFonts w:hint="eastAsia"/>
              </w:rPr>
              <w:t>项目涉及的危险物质为柴油、次氯酸钠等，柴油分布在配电房柴油储存区，次氯酸钠分布在污水处理区药剂房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51"/>
            </w:pPr>
            <w:r>
              <w:rPr>
                <w:rFonts w:hint="eastAsia"/>
              </w:rPr>
              <w:t>环境影响途径及危害后果</w:t>
            </w:r>
          </w:p>
        </w:tc>
        <w:tc>
          <w:tcPr>
            <w:tcW w:w="6945" w:type="dxa"/>
            <w:gridSpan w:val="4"/>
            <w:vAlign w:val="center"/>
          </w:tcPr>
          <w:p>
            <w:pPr>
              <w:pStyle w:val="51"/>
              <w:jc w:val="both"/>
            </w:pPr>
            <w:r>
              <w:rPr>
                <w:rFonts w:hint="eastAsia"/>
              </w:rPr>
              <w:t>（1）柴油泄漏，遇高热、明火，燃烧、爆炸产生</w:t>
            </w:r>
            <w:r>
              <w:t>CO</w:t>
            </w:r>
            <w:r>
              <w:rPr>
                <w:rFonts w:hint="eastAsia"/>
              </w:rPr>
              <w:t>、</w:t>
            </w:r>
            <w:r>
              <w:t>SO</w:t>
            </w:r>
            <w:r>
              <w:rPr>
                <w:vertAlign w:val="subscript"/>
              </w:rPr>
              <w:t>2</w:t>
            </w:r>
            <w:r>
              <w:rPr>
                <w:rFonts w:hint="eastAsia"/>
              </w:rPr>
              <w:t>等有害气体对大气环境产生影响。</w:t>
            </w:r>
          </w:p>
          <w:p>
            <w:pPr>
              <w:pStyle w:val="51"/>
              <w:jc w:val="both"/>
            </w:pPr>
            <w:r>
              <w:rPr>
                <w:rFonts w:hint="eastAsia"/>
              </w:rPr>
              <w:t>（2）次氯酸钠泄漏，</w:t>
            </w:r>
            <w:r>
              <w:t>受高温易分解产生有毒的腐蚀性气体</w:t>
            </w:r>
            <w:r>
              <w:rPr>
                <w:rFonts w:hint="eastAsia"/>
              </w:rPr>
              <w:t>。</w:t>
            </w:r>
          </w:p>
          <w:p>
            <w:pPr>
              <w:pStyle w:val="51"/>
              <w:jc w:val="both"/>
            </w:pPr>
            <w:r>
              <w:rPr>
                <w:rFonts w:hint="eastAsia"/>
              </w:rPr>
              <w:t>（3）废水泄漏，造成地表水、土壤、地下水环境污染。</w:t>
            </w:r>
          </w:p>
          <w:p>
            <w:pPr>
              <w:pStyle w:val="51"/>
              <w:jc w:val="both"/>
            </w:pPr>
            <w:r>
              <w:rPr>
                <w:rFonts w:hint="eastAsia"/>
              </w:rPr>
              <w:t>（4）柴油泄漏，造成地表水、土壤、地下水环境污染。</w:t>
            </w:r>
          </w:p>
          <w:p>
            <w:pPr>
              <w:pStyle w:val="51"/>
              <w:jc w:val="both"/>
            </w:pPr>
            <w:r>
              <w:rPr>
                <w:rFonts w:hint="eastAsia"/>
              </w:rPr>
              <w:t>（5）次氯酸钠泄漏，造成地表水、土壤、地下水环境污染。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51"/>
            </w:pPr>
            <w:r>
              <w:rPr>
                <w:rFonts w:hint="eastAsia"/>
              </w:rPr>
              <w:t>风险防范措施要求</w:t>
            </w:r>
          </w:p>
        </w:tc>
        <w:tc>
          <w:tcPr>
            <w:tcW w:w="6945" w:type="dxa"/>
            <w:gridSpan w:val="4"/>
            <w:vAlign w:val="center"/>
          </w:tcPr>
          <w:p>
            <w:pPr>
              <w:pStyle w:val="51"/>
              <w:jc w:val="both"/>
            </w:pPr>
            <w:r>
              <w:rPr>
                <w:rFonts w:hint="eastAsia"/>
              </w:rPr>
              <w:t>（</w:t>
            </w:r>
            <w:r>
              <w:t>1</w:t>
            </w:r>
            <w:r>
              <w:rPr>
                <w:rFonts w:hint="eastAsia"/>
              </w:rPr>
              <w:t>）柴油储存区做好防渗防漏，柴油桶单独放置，防止柴油的跑冒漏滴，禁止明火，安全管理。</w:t>
            </w:r>
          </w:p>
          <w:p>
            <w:pPr>
              <w:pStyle w:val="51"/>
              <w:jc w:val="both"/>
            </w:pPr>
            <w:r>
              <w:rPr>
                <w:rFonts w:hint="eastAsia"/>
              </w:rPr>
              <w:t>（2）次氯酸钠储存区做好防渗防漏，次氯酸钠单独放置，防止次氯酸钠跑冒漏滴，禁止明火，安全管理。</w:t>
            </w:r>
          </w:p>
          <w:p>
            <w:pPr>
              <w:pStyle w:val="51"/>
              <w:jc w:val="both"/>
            </w:pPr>
            <w:r>
              <w:rPr>
                <w:rFonts w:hint="eastAsia"/>
              </w:rPr>
              <w:t>（</w:t>
            </w:r>
            <w:r>
              <w:t>2</w:t>
            </w:r>
            <w:r>
              <w:rPr>
                <w:rFonts w:hint="eastAsia"/>
              </w:rPr>
              <w:t xml:space="preserve">）污水处理区、事故应急池做好防渗防漏，同时对管网做好防渗防漏， 定期检查池体、管网。 </w:t>
            </w:r>
          </w:p>
          <w:p>
            <w:pPr>
              <w:pStyle w:val="51"/>
              <w:jc w:val="both"/>
            </w:pPr>
            <w:r>
              <w:rPr>
                <w:rFonts w:hint="eastAsia"/>
              </w:rPr>
              <w:t>（3）严格按照要求建设库房及制备区、按照工艺要求进行操作。</w:t>
            </w:r>
          </w:p>
          <w:p>
            <w:pPr>
              <w:pStyle w:val="51"/>
              <w:jc w:val="both"/>
            </w:pPr>
            <w:r>
              <w:rPr>
                <w:rFonts w:hint="eastAsia"/>
              </w:rPr>
              <w:t>（4）加强管理，场地内做好消毒、防疫处理，建立疾病监测制度。</w:t>
            </w:r>
          </w:p>
        </w:tc>
      </w:tr>
    </w:tbl>
    <w:p>
      <w:pPr>
        <w:pStyle w:val="51"/>
        <w:sectPr>
          <w:pgSz w:w="11906" w:h="16838"/>
          <w:pgMar w:top="1440" w:right="1800" w:bottom="1440" w:left="1800" w:header="851" w:footer="992" w:gutter="0"/>
          <w:cols w:space="425" w:num="1"/>
          <w:docGrid w:type="lines" w:linePitch="312" w:charSpace="0"/>
        </w:sectPr>
      </w:pPr>
    </w:p>
    <w:p>
      <w:pPr>
        <w:pStyle w:val="2"/>
        <w:jc w:val="center"/>
        <w:rPr>
          <w:sz w:val="44"/>
          <w:szCs w:val="56"/>
        </w:rPr>
      </w:pPr>
      <w:bookmarkStart w:id="310" w:name="_Toc31311"/>
      <w:bookmarkStart w:id="311" w:name="_Toc375644223"/>
      <w:bookmarkStart w:id="312" w:name="_Toc9042"/>
      <w:bookmarkStart w:id="313" w:name="_Toc26238"/>
      <w:bookmarkStart w:id="314" w:name="_Toc18590"/>
      <w:bookmarkStart w:id="315" w:name="_Toc23155"/>
      <w:bookmarkStart w:id="316" w:name="_Toc194481252"/>
      <w:bookmarkStart w:id="317" w:name="_Toc160443200"/>
      <w:r>
        <w:rPr>
          <w:sz w:val="44"/>
          <w:szCs w:val="56"/>
        </w:rPr>
        <w:t xml:space="preserve">第8章 </w:t>
      </w:r>
      <w:bookmarkEnd w:id="310"/>
      <w:bookmarkEnd w:id="311"/>
      <w:bookmarkEnd w:id="312"/>
      <w:bookmarkEnd w:id="313"/>
      <w:bookmarkEnd w:id="314"/>
      <w:bookmarkEnd w:id="315"/>
      <w:r>
        <w:rPr>
          <w:sz w:val="44"/>
          <w:szCs w:val="56"/>
        </w:rPr>
        <w:t>环境影响经济损益分析</w:t>
      </w:r>
      <w:bookmarkEnd w:id="316"/>
      <w:bookmarkEnd w:id="317"/>
    </w:p>
    <w:p>
      <w:pPr>
        <w:pStyle w:val="3"/>
        <w:keepNext w:val="0"/>
        <w:keepLines w:val="0"/>
        <w:widowControl w:val="0"/>
        <w:jc w:val="both"/>
      </w:pPr>
      <w:bookmarkStart w:id="318" w:name="_Toc194481253"/>
      <w:r>
        <w:t xml:space="preserve">8.1 </w:t>
      </w:r>
      <w:r>
        <w:rPr>
          <w:rFonts w:hint="eastAsia"/>
        </w:rPr>
        <w:t>环境经济损益分析</w:t>
      </w:r>
      <w:bookmarkEnd w:id="318"/>
    </w:p>
    <w:p>
      <w:pPr>
        <w:pStyle w:val="49"/>
        <w:ind w:firstLine="480"/>
      </w:pPr>
      <w:r>
        <w:rPr>
          <w:rFonts w:hint="eastAsia"/>
        </w:rPr>
        <w:t>环境经济损益分析是项目环境影响评价的一个重要组成部分。其主要任务 是衡量建设项目需要投入的环保投资及所能收到的环境保护效果。因此，在环 境损益分析中除需要计算用于控制污染所需投资和运行费用外，还要同时核算 可能收到的环境与经济实效，甚至还包括项目的社会经济效益，以求对项目环 保投资取得的环境保护效果有全面和明确的评价。</w:t>
      </w:r>
    </w:p>
    <w:p>
      <w:pPr>
        <w:pStyle w:val="4"/>
        <w:keepNext w:val="0"/>
        <w:keepLines w:val="0"/>
        <w:widowControl w:val="0"/>
      </w:pPr>
      <w:bookmarkStart w:id="319" w:name="_Toc194481254"/>
      <w:r>
        <w:rPr>
          <w:rFonts w:hint="eastAsia"/>
        </w:rPr>
        <w:t>8</w:t>
      </w:r>
      <w:r>
        <w:t>.</w:t>
      </w:r>
      <w:r>
        <w:rPr>
          <w:rFonts w:hint="eastAsia"/>
        </w:rPr>
        <w:t>1</w:t>
      </w:r>
      <w:r>
        <w:t>.</w:t>
      </w:r>
      <w:r>
        <w:rPr>
          <w:rFonts w:hint="eastAsia"/>
        </w:rPr>
        <w:t>1</w:t>
      </w:r>
      <w:r>
        <w:t xml:space="preserve"> </w:t>
      </w:r>
      <w:r>
        <w:rPr>
          <w:rFonts w:hint="eastAsia"/>
        </w:rPr>
        <w:t>环保投资估算</w:t>
      </w:r>
      <w:bookmarkEnd w:id="319"/>
    </w:p>
    <w:p>
      <w:pPr>
        <w:pStyle w:val="49"/>
        <w:ind w:firstLine="480"/>
      </w:pPr>
      <w:r>
        <w:rPr>
          <w:rFonts w:hint="eastAsia"/>
        </w:rPr>
        <w:t>根据本项目工程分析和环境影响预测及评价结果，本项目产生的废水、废 气、噪声对周围环境将会产生一定的影响。因此，必须采取相应的环境保护措 施加以控制，并保证相应环保投资的投入，以使项目建成后生产过程中产生的 各类污染物对周围环境的影响降低到最小程度。根据初步估算，本项目总投资 23000万元，其中环保投资费用为140万元，约占该项目总投资的0.61</w:t>
      </w:r>
      <w:r>
        <w:t>%</w:t>
      </w:r>
      <w:r>
        <w:rPr>
          <w:rFonts w:hint="eastAsia"/>
        </w:rPr>
        <w:t xml:space="preserve">。本项 目的环保投资见表 </w:t>
      </w:r>
      <w:r>
        <w:t>8.1-1</w:t>
      </w:r>
      <w:r>
        <w:rPr>
          <w:rFonts w:hint="eastAsia"/>
        </w:rPr>
        <w:t>。</w:t>
      </w:r>
    </w:p>
    <w:p>
      <w:pPr>
        <w:pStyle w:val="53"/>
      </w:pPr>
      <w:r>
        <w:rPr>
          <w:rFonts w:hint="eastAsia"/>
        </w:rPr>
        <w:t xml:space="preserve">表 </w:t>
      </w:r>
      <w:r>
        <w:rPr>
          <w:rFonts w:cs="Times New Roman"/>
        </w:rPr>
        <w:t xml:space="preserve">8.1-1 </w:t>
      </w:r>
      <w:r>
        <w:rPr>
          <w:rFonts w:hint="eastAsia"/>
        </w:rPr>
        <w:t xml:space="preserve">项目环保投资估算  </w:t>
      </w:r>
    </w:p>
    <w:tbl>
      <w:tblPr>
        <w:tblStyle w:val="40"/>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1696"/>
        <w:gridCol w:w="411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pStyle w:val="51"/>
            </w:pPr>
            <w:r>
              <w:rPr>
                <w:rFonts w:hint="eastAsia"/>
              </w:rPr>
              <w:t>时期</w:t>
            </w:r>
          </w:p>
        </w:tc>
        <w:tc>
          <w:tcPr>
            <w:tcW w:w="1134" w:type="dxa"/>
            <w:vAlign w:val="center"/>
          </w:tcPr>
          <w:p>
            <w:pPr>
              <w:pStyle w:val="51"/>
            </w:pPr>
            <w:r>
              <w:rPr>
                <w:rFonts w:hint="eastAsia"/>
              </w:rPr>
              <w:t>防治对象</w:t>
            </w:r>
          </w:p>
        </w:tc>
        <w:tc>
          <w:tcPr>
            <w:tcW w:w="1696" w:type="dxa"/>
            <w:vAlign w:val="center"/>
          </w:tcPr>
          <w:p>
            <w:pPr>
              <w:pStyle w:val="51"/>
            </w:pPr>
            <w:r>
              <w:rPr>
                <w:rFonts w:hint="eastAsia"/>
              </w:rPr>
              <w:t>污染源</w:t>
            </w:r>
          </w:p>
        </w:tc>
        <w:tc>
          <w:tcPr>
            <w:tcW w:w="4111" w:type="dxa"/>
            <w:vAlign w:val="center"/>
          </w:tcPr>
          <w:p>
            <w:pPr>
              <w:pStyle w:val="51"/>
            </w:pPr>
            <w:r>
              <w:rPr>
                <w:rFonts w:hint="eastAsia"/>
              </w:rPr>
              <w:t>环保措施</w:t>
            </w:r>
          </w:p>
        </w:tc>
        <w:tc>
          <w:tcPr>
            <w:tcW w:w="1559" w:type="dxa"/>
            <w:vAlign w:val="center"/>
          </w:tcPr>
          <w:p>
            <w:pPr>
              <w:pStyle w:val="51"/>
            </w:pPr>
            <w:r>
              <w:rPr>
                <w:rFonts w:hint="eastAsia"/>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pStyle w:val="51"/>
            </w:pPr>
            <w:r>
              <w:rPr>
                <w:rFonts w:hint="eastAsia"/>
              </w:rPr>
              <w:t>施工期</w:t>
            </w:r>
          </w:p>
        </w:tc>
        <w:tc>
          <w:tcPr>
            <w:tcW w:w="1134" w:type="dxa"/>
            <w:vAlign w:val="center"/>
          </w:tcPr>
          <w:p>
            <w:pPr>
              <w:pStyle w:val="51"/>
            </w:pPr>
            <w:r>
              <w:rPr>
                <w:rFonts w:hint="eastAsia"/>
              </w:rPr>
              <w:t>废气</w:t>
            </w:r>
          </w:p>
        </w:tc>
        <w:tc>
          <w:tcPr>
            <w:tcW w:w="1696" w:type="dxa"/>
            <w:vAlign w:val="center"/>
          </w:tcPr>
          <w:p>
            <w:pPr>
              <w:pStyle w:val="51"/>
            </w:pPr>
            <w:r>
              <w:rPr>
                <w:rFonts w:hint="eastAsia"/>
              </w:rPr>
              <w:t>施工扬尘</w:t>
            </w:r>
          </w:p>
        </w:tc>
        <w:tc>
          <w:tcPr>
            <w:tcW w:w="4111" w:type="dxa"/>
            <w:vAlign w:val="center"/>
          </w:tcPr>
          <w:p>
            <w:pPr>
              <w:pStyle w:val="51"/>
            </w:pPr>
            <w:r>
              <w:rPr>
                <w:rFonts w:hint="eastAsia"/>
              </w:rPr>
              <w:t>洒水、覆盖、围栏</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restart"/>
            <w:vAlign w:val="center"/>
          </w:tcPr>
          <w:p>
            <w:pPr>
              <w:pStyle w:val="51"/>
            </w:pPr>
            <w:r>
              <w:rPr>
                <w:rFonts w:hint="eastAsia"/>
              </w:rPr>
              <w:t>废水</w:t>
            </w:r>
          </w:p>
        </w:tc>
        <w:tc>
          <w:tcPr>
            <w:tcW w:w="1696" w:type="dxa"/>
            <w:vAlign w:val="center"/>
          </w:tcPr>
          <w:p>
            <w:pPr>
              <w:pStyle w:val="51"/>
            </w:pPr>
            <w:r>
              <w:rPr>
                <w:rFonts w:hint="eastAsia"/>
              </w:rPr>
              <w:t>生活污水</w:t>
            </w:r>
          </w:p>
        </w:tc>
        <w:tc>
          <w:tcPr>
            <w:tcW w:w="4111" w:type="dxa"/>
            <w:vAlign w:val="center"/>
          </w:tcPr>
          <w:p>
            <w:pPr>
              <w:pStyle w:val="51"/>
              <w:rPr>
                <w:snapToGrid w:val="0"/>
              </w:rPr>
            </w:pPr>
            <w:r>
              <w:rPr>
                <w:rFonts w:hint="eastAsia"/>
                <w:snapToGrid w:val="0"/>
              </w:rPr>
              <w:t>依托周边居民</w:t>
            </w:r>
          </w:p>
        </w:tc>
        <w:tc>
          <w:tcPr>
            <w:tcW w:w="1559"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施工废水</w:t>
            </w:r>
          </w:p>
        </w:tc>
        <w:tc>
          <w:tcPr>
            <w:tcW w:w="4111" w:type="dxa"/>
            <w:vAlign w:val="center"/>
          </w:tcPr>
          <w:p>
            <w:pPr>
              <w:pStyle w:val="51"/>
            </w:pPr>
            <w:r>
              <w:rPr>
                <w:rFonts w:hint="eastAsia"/>
              </w:rPr>
              <w:t>沉淀池、隔油池</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restart"/>
            <w:vAlign w:val="center"/>
          </w:tcPr>
          <w:p>
            <w:pPr>
              <w:pStyle w:val="51"/>
            </w:pPr>
            <w:r>
              <w:rPr>
                <w:rFonts w:hint="eastAsia"/>
              </w:rPr>
              <w:t>固废</w:t>
            </w:r>
          </w:p>
        </w:tc>
        <w:tc>
          <w:tcPr>
            <w:tcW w:w="1696" w:type="dxa"/>
            <w:vAlign w:val="center"/>
          </w:tcPr>
          <w:p>
            <w:pPr>
              <w:pStyle w:val="51"/>
            </w:pPr>
            <w:r>
              <w:rPr>
                <w:rFonts w:hint="eastAsia"/>
              </w:rPr>
              <w:t>建筑垃圾</w:t>
            </w:r>
          </w:p>
        </w:tc>
        <w:tc>
          <w:tcPr>
            <w:tcW w:w="4111" w:type="dxa"/>
            <w:vAlign w:val="center"/>
          </w:tcPr>
          <w:p>
            <w:pPr>
              <w:pStyle w:val="51"/>
            </w:pPr>
            <w:r>
              <w:rPr>
                <w:rFonts w:hint="eastAsia"/>
              </w:rPr>
              <w:t>回收利用、及时外运</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生活垃圾</w:t>
            </w:r>
          </w:p>
        </w:tc>
        <w:tc>
          <w:tcPr>
            <w:tcW w:w="4111" w:type="dxa"/>
            <w:vAlign w:val="center"/>
          </w:tcPr>
          <w:p>
            <w:pPr>
              <w:pStyle w:val="51"/>
            </w:pPr>
            <w:r>
              <w:rPr>
                <w:rFonts w:hint="eastAsia"/>
              </w:rPr>
              <w:t>委托环卫部门清运处理</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Align w:val="center"/>
          </w:tcPr>
          <w:p>
            <w:pPr>
              <w:pStyle w:val="51"/>
            </w:pPr>
            <w:r>
              <w:rPr>
                <w:rFonts w:hint="eastAsia"/>
              </w:rPr>
              <w:t>噪声</w:t>
            </w:r>
          </w:p>
        </w:tc>
        <w:tc>
          <w:tcPr>
            <w:tcW w:w="1696" w:type="dxa"/>
            <w:vAlign w:val="center"/>
          </w:tcPr>
          <w:p>
            <w:pPr>
              <w:pStyle w:val="51"/>
            </w:pPr>
            <w:r>
              <w:rPr>
                <w:rFonts w:hint="eastAsia"/>
              </w:rPr>
              <w:t>施工噪声</w:t>
            </w:r>
          </w:p>
        </w:tc>
        <w:tc>
          <w:tcPr>
            <w:tcW w:w="4111" w:type="dxa"/>
            <w:vAlign w:val="center"/>
          </w:tcPr>
          <w:p>
            <w:pPr>
              <w:pStyle w:val="51"/>
            </w:pPr>
            <w:r>
              <w:rPr>
                <w:rFonts w:hint="eastAsia"/>
              </w:rPr>
              <w:t>采用低噪声设备、临时围挡，合理安排施工时段等</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continue"/>
            <w:vAlign w:val="center"/>
          </w:tcPr>
          <w:p>
            <w:pPr>
              <w:pStyle w:val="51"/>
            </w:pPr>
          </w:p>
        </w:tc>
        <w:tc>
          <w:tcPr>
            <w:tcW w:w="2830" w:type="dxa"/>
            <w:gridSpan w:val="2"/>
            <w:vAlign w:val="center"/>
          </w:tcPr>
          <w:p>
            <w:pPr>
              <w:pStyle w:val="51"/>
            </w:pPr>
            <w:r>
              <w:rPr>
                <w:rFonts w:hint="eastAsia"/>
              </w:rPr>
              <w:t>水土流失</w:t>
            </w:r>
          </w:p>
        </w:tc>
        <w:tc>
          <w:tcPr>
            <w:tcW w:w="4111" w:type="dxa"/>
            <w:vAlign w:val="center"/>
          </w:tcPr>
          <w:p>
            <w:pPr>
              <w:pStyle w:val="51"/>
            </w:pPr>
            <w:r>
              <w:rPr>
                <w:rFonts w:hint="eastAsia"/>
              </w:rPr>
              <w:t>排水系统、渣土覆盖、施工地生态恢复</w:t>
            </w:r>
          </w:p>
        </w:tc>
        <w:tc>
          <w:tcPr>
            <w:tcW w:w="1559" w:type="dxa"/>
            <w:vAlign w:val="center"/>
          </w:tcPr>
          <w:p>
            <w:pPr>
              <w:pStyle w:val="51"/>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pStyle w:val="51"/>
            </w:pPr>
            <w:bookmarkStart w:id="320" w:name="_Hlk192086648"/>
            <w:r>
              <w:rPr>
                <w:rFonts w:hint="eastAsia"/>
              </w:rPr>
              <w:t>营运期</w:t>
            </w:r>
          </w:p>
        </w:tc>
        <w:tc>
          <w:tcPr>
            <w:tcW w:w="1134" w:type="dxa"/>
            <w:vMerge w:val="restart"/>
            <w:vAlign w:val="center"/>
          </w:tcPr>
          <w:p>
            <w:pPr>
              <w:pStyle w:val="51"/>
            </w:pPr>
            <w:r>
              <w:rPr>
                <w:rFonts w:hint="eastAsia"/>
              </w:rPr>
              <w:t>废气</w:t>
            </w:r>
          </w:p>
        </w:tc>
        <w:tc>
          <w:tcPr>
            <w:tcW w:w="1696" w:type="dxa"/>
            <w:vAlign w:val="center"/>
          </w:tcPr>
          <w:p>
            <w:pPr>
              <w:pStyle w:val="51"/>
            </w:pPr>
            <w:r>
              <w:rPr>
                <w:rFonts w:hint="eastAsia"/>
              </w:rPr>
              <w:t>鸡舍臭气、粉尘</w:t>
            </w:r>
          </w:p>
        </w:tc>
        <w:tc>
          <w:tcPr>
            <w:tcW w:w="4111" w:type="dxa"/>
            <w:vAlign w:val="center"/>
          </w:tcPr>
          <w:p>
            <w:pPr>
              <w:pStyle w:val="51"/>
              <w:rPr>
                <w:color w:val="000000"/>
                <w:szCs w:val="21"/>
              </w:rPr>
            </w:pPr>
            <w:r>
              <w:rPr>
                <w:rFonts w:hint="eastAsia"/>
              </w:rPr>
              <w:t>在饲料中添加EM菌对蛋鸡进行喂养，同时鸡粪采用干清粪封闭式输送带输送，每天及时清运、加强通风，定期喷洒生物除臭剂，加强绿化；</w:t>
            </w: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p>
        </w:tc>
        <w:tc>
          <w:tcPr>
            <w:tcW w:w="1559" w:type="dxa"/>
            <w:vAlign w:val="center"/>
          </w:tcPr>
          <w:p>
            <w:pPr>
              <w:pStyle w:val="51"/>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鸡粪风干车间臭气、颗粒物</w:t>
            </w:r>
          </w:p>
        </w:tc>
        <w:tc>
          <w:tcPr>
            <w:tcW w:w="4111" w:type="dxa"/>
            <w:vAlign w:val="center"/>
          </w:tcPr>
          <w:p>
            <w:pPr>
              <w:pStyle w:val="51"/>
              <w:rPr>
                <w:color w:val="000000"/>
                <w:szCs w:val="21"/>
              </w:rPr>
            </w:pPr>
            <w:r>
              <w:rPr>
                <w:rFonts w:hint="eastAsia"/>
              </w:rPr>
              <w:t>在鸡粪风干车间风道出口设置高压水帘装置，并使用微生物除臭剂溶液作为循环水，每日对车间周边喷洒生物除臭剂</w:t>
            </w:r>
          </w:p>
        </w:tc>
        <w:tc>
          <w:tcPr>
            <w:tcW w:w="1559" w:type="dxa"/>
            <w:vAlign w:val="center"/>
          </w:tcPr>
          <w:p>
            <w:pPr>
              <w:pStyle w:val="51"/>
            </w:pPr>
            <w:r>
              <w:rPr>
                <w:rFonts w:hint="eastAsia"/>
              </w:rPr>
              <w:t>10</w:t>
            </w:r>
          </w:p>
        </w:tc>
      </w:tr>
      <w:bookmarkEnd w:id="3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一体化污水处理设施</w:t>
            </w:r>
          </w:p>
        </w:tc>
        <w:tc>
          <w:tcPr>
            <w:tcW w:w="4111" w:type="dxa"/>
            <w:vAlign w:val="center"/>
          </w:tcPr>
          <w:p>
            <w:pPr>
              <w:pStyle w:val="51"/>
              <w:rPr>
                <w:color w:val="000000"/>
                <w:szCs w:val="21"/>
              </w:rPr>
            </w:pPr>
            <w:r>
              <w:rPr>
                <w:rFonts w:hint="eastAsia"/>
              </w:rPr>
              <w:t>厌氧段污水处理设施均密闭，定期喷洒除臭剂，加强绿化</w:t>
            </w:r>
          </w:p>
        </w:tc>
        <w:tc>
          <w:tcPr>
            <w:tcW w:w="1559" w:type="dxa"/>
            <w:vAlign w:val="center"/>
          </w:tcPr>
          <w:p>
            <w:pPr>
              <w:pStyle w:val="51"/>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食堂油烟</w:t>
            </w:r>
          </w:p>
        </w:tc>
        <w:tc>
          <w:tcPr>
            <w:tcW w:w="4111" w:type="dxa"/>
            <w:vAlign w:val="center"/>
          </w:tcPr>
          <w:p>
            <w:pPr>
              <w:pStyle w:val="51"/>
              <w:rPr>
                <w:color w:val="000000"/>
                <w:szCs w:val="21"/>
              </w:rPr>
            </w:pPr>
            <w:r>
              <w:rPr>
                <w:rFonts w:hint="eastAsia"/>
                <w:color w:val="000000"/>
                <w:szCs w:val="21"/>
              </w:rPr>
              <w:t>油烟净化器</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restart"/>
            <w:vAlign w:val="center"/>
          </w:tcPr>
          <w:p>
            <w:pPr>
              <w:pStyle w:val="51"/>
            </w:pPr>
            <w:r>
              <w:rPr>
                <w:rFonts w:hint="eastAsia"/>
              </w:rPr>
              <w:t>废水</w:t>
            </w:r>
          </w:p>
        </w:tc>
        <w:tc>
          <w:tcPr>
            <w:tcW w:w="1696" w:type="dxa"/>
            <w:vAlign w:val="center"/>
          </w:tcPr>
          <w:p>
            <w:pPr>
              <w:pStyle w:val="51"/>
            </w:pPr>
            <w:r>
              <w:rPr>
                <w:rFonts w:hint="eastAsia"/>
              </w:rPr>
              <w:t>综合废水</w:t>
            </w:r>
          </w:p>
        </w:tc>
        <w:tc>
          <w:tcPr>
            <w:tcW w:w="4111" w:type="dxa"/>
            <w:vAlign w:val="center"/>
          </w:tcPr>
          <w:p>
            <w:pPr>
              <w:pStyle w:val="51"/>
              <w:rPr>
                <w:color w:val="000000"/>
                <w:szCs w:val="21"/>
              </w:rPr>
            </w:pPr>
            <w:r>
              <w:rPr>
                <w:rFonts w:hint="eastAsia"/>
                <w:color w:val="000000"/>
                <w:szCs w:val="21"/>
              </w:rPr>
              <w:t>一体化污水处理设施（5m</w:t>
            </w:r>
            <w:r>
              <w:rPr>
                <w:rFonts w:hint="eastAsia"/>
                <w:color w:val="000000"/>
                <w:szCs w:val="21"/>
                <w:vertAlign w:val="superscript"/>
              </w:rPr>
              <w:t>3</w:t>
            </w:r>
            <w:r>
              <w:rPr>
                <w:rFonts w:hint="eastAsia"/>
                <w:color w:val="000000"/>
                <w:szCs w:val="21"/>
              </w:rPr>
              <w:t>/d）</w:t>
            </w:r>
          </w:p>
        </w:tc>
        <w:tc>
          <w:tcPr>
            <w:tcW w:w="1559" w:type="dxa"/>
            <w:vAlign w:val="center"/>
          </w:tcPr>
          <w:p>
            <w:pPr>
              <w:pStyle w:val="51"/>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雨水</w:t>
            </w:r>
          </w:p>
        </w:tc>
        <w:tc>
          <w:tcPr>
            <w:tcW w:w="4111" w:type="dxa"/>
            <w:vAlign w:val="center"/>
          </w:tcPr>
          <w:p>
            <w:pPr>
              <w:pStyle w:val="51"/>
              <w:rPr>
                <w:color w:val="000000"/>
                <w:szCs w:val="21"/>
              </w:rPr>
            </w:pPr>
            <w:r>
              <w:rPr>
                <w:rFonts w:hint="eastAsia"/>
                <w:color w:val="000000"/>
                <w:szCs w:val="21"/>
              </w:rPr>
              <w:t>雨水收集沟</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restart"/>
            <w:vAlign w:val="center"/>
          </w:tcPr>
          <w:p>
            <w:pPr>
              <w:pStyle w:val="51"/>
            </w:pPr>
            <w:r>
              <w:rPr>
                <w:rFonts w:hint="eastAsia"/>
              </w:rPr>
              <w:t>噪声</w:t>
            </w:r>
          </w:p>
        </w:tc>
        <w:tc>
          <w:tcPr>
            <w:tcW w:w="1696" w:type="dxa"/>
            <w:vAlign w:val="center"/>
          </w:tcPr>
          <w:p>
            <w:pPr>
              <w:pStyle w:val="51"/>
            </w:pPr>
            <w:r>
              <w:rPr>
                <w:rFonts w:hint="eastAsia"/>
              </w:rPr>
              <w:t>鸡叫声</w:t>
            </w:r>
          </w:p>
        </w:tc>
        <w:tc>
          <w:tcPr>
            <w:tcW w:w="4111" w:type="dxa"/>
            <w:vAlign w:val="center"/>
          </w:tcPr>
          <w:p>
            <w:pPr>
              <w:pStyle w:val="51"/>
              <w:rPr>
                <w:color w:val="000000"/>
                <w:szCs w:val="21"/>
              </w:rPr>
            </w:pPr>
            <w:r>
              <w:rPr>
                <w:rFonts w:hint="eastAsia"/>
                <w:color w:val="000000"/>
                <w:szCs w:val="21"/>
              </w:rPr>
              <w:t>避免鸡只饥渴及突发性噪声、墙体隔声</w:t>
            </w:r>
          </w:p>
        </w:tc>
        <w:tc>
          <w:tcPr>
            <w:tcW w:w="1559"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设备噪声</w:t>
            </w:r>
          </w:p>
        </w:tc>
        <w:tc>
          <w:tcPr>
            <w:tcW w:w="4111" w:type="dxa"/>
            <w:vAlign w:val="center"/>
          </w:tcPr>
          <w:p>
            <w:pPr>
              <w:pStyle w:val="51"/>
              <w:rPr>
                <w:color w:val="000000"/>
                <w:szCs w:val="21"/>
              </w:rPr>
            </w:pPr>
            <w:r>
              <w:rPr>
                <w:rFonts w:hint="eastAsia"/>
                <w:color w:val="000000"/>
                <w:szCs w:val="21"/>
              </w:rPr>
              <w:t>隔声、减振、消声</w:t>
            </w:r>
          </w:p>
        </w:tc>
        <w:tc>
          <w:tcPr>
            <w:tcW w:w="1559" w:type="dxa"/>
            <w:vAlign w:val="center"/>
          </w:tcPr>
          <w:p>
            <w:pPr>
              <w:pStyle w:val="51"/>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restart"/>
            <w:vAlign w:val="center"/>
          </w:tcPr>
          <w:p>
            <w:pPr>
              <w:pStyle w:val="51"/>
            </w:pPr>
            <w:r>
              <w:rPr>
                <w:rFonts w:hint="eastAsia"/>
              </w:rPr>
              <w:t>固废</w:t>
            </w:r>
          </w:p>
        </w:tc>
        <w:tc>
          <w:tcPr>
            <w:tcW w:w="1696" w:type="dxa"/>
            <w:vAlign w:val="center"/>
          </w:tcPr>
          <w:p>
            <w:pPr>
              <w:pStyle w:val="51"/>
            </w:pPr>
            <w:r>
              <w:rPr>
                <w:rFonts w:hint="eastAsia"/>
              </w:rPr>
              <w:t>鸡粪</w:t>
            </w:r>
          </w:p>
        </w:tc>
        <w:tc>
          <w:tcPr>
            <w:tcW w:w="4111" w:type="dxa"/>
            <w:vMerge w:val="restart"/>
            <w:vAlign w:val="center"/>
          </w:tcPr>
          <w:p>
            <w:pPr>
              <w:pStyle w:val="51"/>
              <w:rPr>
                <w:color w:val="000000"/>
                <w:szCs w:val="21"/>
              </w:rPr>
            </w:pPr>
            <w:r>
              <w:rPr>
                <w:rFonts w:hint="eastAsia"/>
                <w:color w:val="000000"/>
                <w:szCs w:val="21"/>
              </w:rPr>
              <w:t>鸡粪风干车间</w:t>
            </w:r>
          </w:p>
        </w:tc>
        <w:tc>
          <w:tcPr>
            <w:tcW w:w="1559" w:type="dxa"/>
            <w:vMerge w:val="restart"/>
            <w:vAlign w:val="center"/>
          </w:tcPr>
          <w:p>
            <w:pPr>
              <w:pStyle w:val="51"/>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污泥</w:t>
            </w:r>
          </w:p>
        </w:tc>
        <w:tc>
          <w:tcPr>
            <w:tcW w:w="4111" w:type="dxa"/>
            <w:vMerge w:val="continue"/>
            <w:vAlign w:val="center"/>
          </w:tcPr>
          <w:p>
            <w:pPr>
              <w:pStyle w:val="51"/>
              <w:rPr>
                <w:color w:val="000000"/>
                <w:szCs w:val="21"/>
              </w:rPr>
            </w:pPr>
          </w:p>
        </w:tc>
        <w:tc>
          <w:tcPr>
            <w:tcW w:w="1559"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病死鸡</w:t>
            </w:r>
          </w:p>
        </w:tc>
        <w:tc>
          <w:tcPr>
            <w:tcW w:w="4111" w:type="dxa"/>
            <w:vAlign w:val="center"/>
          </w:tcPr>
          <w:p>
            <w:pPr>
              <w:pStyle w:val="51"/>
              <w:rPr>
                <w:color w:val="000000"/>
                <w:szCs w:val="21"/>
              </w:rPr>
            </w:pPr>
            <w:r>
              <w:rPr>
                <w:rFonts w:hint="eastAsia"/>
              </w:rPr>
              <w:t>冷冻库（5m</w:t>
            </w:r>
            <w:r>
              <w:rPr>
                <w:rFonts w:hint="eastAsia"/>
                <w:vertAlign w:val="superscript"/>
              </w:rPr>
              <w:t>2</w:t>
            </w:r>
            <w:r>
              <w:rPr>
                <w:rFonts w:hint="eastAsia"/>
              </w:rPr>
              <w:t>）</w:t>
            </w:r>
          </w:p>
        </w:tc>
        <w:tc>
          <w:tcPr>
            <w:tcW w:w="1559" w:type="dxa"/>
            <w:vAlign w:val="center"/>
          </w:tcPr>
          <w:p>
            <w:pPr>
              <w:pStyle w:val="51"/>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废包装材料</w:t>
            </w:r>
          </w:p>
        </w:tc>
        <w:tc>
          <w:tcPr>
            <w:tcW w:w="4111" w:type="dxa"/>
            <w:vAlign w:val="center"/>
          </w:tcPr>
          <w:p>
            <w:pPr>
              <w:pStyle w:val="51"/>
            </w:pPr>
            <w:r>
              <w:rPr>
                <w:rFonts w:hint="eastAsia"/>
              </w:rPr>
              <w:t>一般固废暂存间（5m</w:t>
            </w:r>
            <w:r>
              <w:rPr>
                <w:rFonts w:hint="eastAsia"/>
                <w:vertAlign w:val="superscript"/>
              </w:rPr>
              <w:t>2</w:t>
            </w:r>
            <w:r>
              <w:rPr>
                <w:rFonts w:hint="eastAsia"/>
              </w:rPr>
              <w:t>）</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医疗垃圾</w:t>
            </w:r>
          </w:p>
        </w:tc>
        <w:tc>
          <w:tcPr>
            <w:tcW w:w="4111" w:type="dxa"/>
            <w:vAlign w:val="center"/>
          </w:tcPr>
          <w:p>
            <w:pPr>
              <w:pStyle w:val="51"/>
              <w:rPr>
                <w:color w:val="000000"/>
                <w:szCs w:val="21"/>
              </w:rPr>
            </w:pPr>
            <w:r>
              <w:rPr>
                <w:rFonts w:hint="eastAsia"/>
                <w:color w:val="000000"/>
                <w:szCs w:val="21"/>
              </w:rPr>
              <w:t>危废暂存间</w:t>
            </w:r>
            <w:r>
              <w:rPr>
                <w:rFonts w:hint="eastAsia"/>
              </w:rPr>
              <w:t>（5m</w:t>
            </w:r>
            <w:r>
              <w:rPr>
                <w:rFonts w:hint="eastAsia"/>
                <w:vertAlign w:val="superscript"/>
              </w:rPr>
              <w:t>2</w:t>
            </w:r>
            <w:r>
              <w:rPr>
                <w:rFonts w:hint="eastAsia"/>
              </w:rPr>
              <w:t>）</w:t>
            </w:r>
          </w:p>
        </w:tc>
        <w:tc>
          <w:tcPr>
            <w:tcW w:w="1559" w:type="dxa"/>
            <w:vAlign w:val="center"/>
          </w:tcPr>
          <w:p>
            <w:pPr>
              <w:pStyle w:val="51"/>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1134" w:type="dxa"/>
            <w:vMerge w:val="continue"/>
            <w:vAlign w:val="center"/>
          </w:tcPr>
          <w:p>
            <w:pPr>
              <w:pStyle w:val="51"/>
            </w:pPr>
          </w:p>
        </w:tc>
        <w:tc>
          <w:tcPr>
            <w:tcW w:w="1696" w:type="dxa"/>
            <w:vAlign w:val="center"/>
          </w:tcPr>
          <w:p>
            <w:pPr>
              <w:pStyle w:val="51"/>
            </w:pPr>
            <w:r>
              <w:rPr>
                <w:rFonts w:hint="eastAsia"/>
              </w:rPr>
              <w:t>生活垃圾</w:t>
            </w:r>
          </w:p>
        </w:tc>
        <w:tc>
          <w:tcPr>
            <w:tcW w:w="4111" w:type="dxa"/>
            <w:vAlign w:val="center"/>
          </w:tcPr>
          <w:p>
            <w:pPr>
              <w:pStyle w:val="51"/>
              <w:rPr>
                <w:color w:val="000000"/>
                <w:szCs w:val="21"/>
              </w:rPr>
            </w:pPr>
            <w:r>
              <w:rPr>
                <w:rFonts w:hint="eastAsia"/>
              </w:rPr>
              <w:t>委托环卫部门清运处理</w:t>
            </w:r>
          </w:p>
        </w:tc>
        <w:tc>
          <w:tcPr>
            <w:tcW w:w="1559" w:type="dxa"/>
            <w:vAlign w:val="center"/>
          </w:tcPr>
          <w:p>
            <w:pPr>
              <w:pStyle w:val="51"/>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2830" w:type="dxa"/>
            <w:gridSpan w:val="2"/>
            <w:vMerge w:val="restart"/>
            <w:vAlign w:val="center"/>
          </w:tcPr>
          <w:p>
            <w:pPr>
              <w:pStyle w:val="51"/>
            </w:pPr>
            <w:r>
              <w:rPr>
                <w:rFonts w:hint="eastAsia"/>
              </w:rPr>
              <w:t>地下水、土壤环境</w:t>
            </w:r>
          </w:p>
        </w:tc>
        <w:tc>
          <w:tcPr>
            <w:tcW w:w="4111" w:type="dxa"/>
            <w:vAlign w:val="center"/>
          </w:tcPr>
          <w:p>
            <w:pPr>
              <w:pStyle w:val="51"/>
              <w:rPr>
                <w:color w:val="000000"/>
                <w:szCs w:val="21"/>
              </w:rPr>
            </w:pPr>
            <w:r>
              <w:rPr>
                <w:rFonts w:hint="eastAsia"/>
                <w:color w:val="000000"/>
                <w:szCs w:val="21"/>
              </w:rPr>
              <w:t>分区防渗措施</w:t>
            </w:r>
          </w:p>
        </w:tc>
        <w:tc>
          <w:tcPr>
            <w:tcW w:w="1559" w:type="dxa"/>
            <w:vAlign w:val="center"/>
          </w:tcPr>
          <w:p>
            <w:pPr>
              <w:pStyle w:val="51"/>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2830" w:type="dxa"/>
            <w:gridSpan w:val="2"/>
            <w:vMerge w:val="continue"/>
            <w:vAlign w:val="center"/>
          </w:tcPr>
          <w:p>
            <w:pPr>
              <w:pStyle w:val="51"/>
            </w:pPr>
          </w:p>
        </w:tc>
        <w:tc>
          <w:tcPr>
            <w:tcW w:w="4111" w:type="dxa"/>
            <w:vAlign w:val="center"/>
          </w:tcPr>
          <w:p>
            <w:pPr>
              <w:pStyle w:val="51"/>
              <w:rPr>
                <w:color w:val="000000"/>
                <w:szCs w:val="21"/>
              </w:rPr>
            </w:pPr>
            <w:r>
              <w:rPr>
                <w:rFonts w:hint="eastAsia"/>
                <w:color w:val="000000"/>
                <w:szCs w:val="21"/>
              </w:rPr>
              <w:t xml:space="preserve">在场区内设置 </w:t>
            </w:r>
            <w:r>
              <w:rPr>
                <w:color w:val="000000"/>
                <w:szCs w:val="21"/>
              </w:rPr>
              <w:t xml:space="preserve">1 </w:t>
            </w:r>
            <w:r>
              <w:rPr>
                <w:rFonts w:hint="eastAsia"/>
                <w:color w:val="000000"/>
                <w:szCs w:val="21"/>
              </w:rPr>
              <w:t>个地下水监测井</w:t>
            </w:r>
          </w:p>
        </w:tc>
        <w:tc>
          <w:tcPr>
            <w:tcW w:w="1559" w:type="dxa"/>
            <w:vAlign w:val="center"/>
          </w:tcPr>
          <w:p>
            <w:pPr>
              <w:pStyle w:val="51"/>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2830" w:type="dxa"/>
            <w:gridSpan w:val="2"/>
            <w:vAlign w:val="center"/>
          </w:tcPr>
          <w:p>
            <w:pPr>
              <w:pStyle w:val="51"/>
            </w:pPr>
            <w:r>
              <w:rPr>
                <w:rFonts w:hint="eastAsia"/>
              </w:rPr>
              <w:t>生态环境</w:t>
            </w:r>
          </w:p>
        </w:tc>
        <w:tc>
          <w:tcPr>
            <w:tcW w:w="4111" w:type="dxa"/>
            <w:vAlign w:val="center"/>
          </w:tcPr>
          <w:p>
            <w:pPr>
              <w:pStyle w:val="51"/>
              <w:rPr>
                <w:color w:val="000000"/>
                <w:szCs w:val="21"/>
              </w:rPr>
            </w:pPr>
            <w:r>
              <w:rPr>
                <w:rFonts w:hint="eastAsia"/>
                <w:color w:val="000000"/>
                <w:szCs w:val="21"/>
              </w:rPr>
              <w:t>加强场区和隔离绿化带</w:t>
            </w:r>
          </w:p>
        </w:tc>
        <w:tc>
          <w:tcPr>
            <w:tcW w:w="1559" w:type="dxa"/>
            <w:vAlign w:val="center"/>
          </w:tcPr>
          <w:p>
            <w:pPr>
              <w:pStyle w:val="51"/>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pStyle w:val="51"/>
            </w:pPr>
          </w:p>
        </w:tc>
        <w:tc>
          <w:tcPr>
            <w:tcW w:w="2830" w:type="dxa"/>
            <w:gridSpan w:val="2"/>
            <w:vAlign w:val="center"/>
          </w:tcPr>
          <w:p>
            <w:pPr>
              <w:pStyle w:val="51"/>
            </w:pPr>
            <w:r>
              <w:rPr>
                <w:rFonts w:hint="eastAsia"/>
              </w:rPr>
              <w:t>环境风险</w:t>
            </w:r>
          </w:p>
        </w:tc>
        <w:tc>
          <w:tcPr>
            <w:tcW w:w="4111" w:type="dxa"/>
            <w:vAlign w:val="center"/>
          </w:tcPr>
          <w:p>
            <w:pPr>
              <w:pStyle w:val="51"/>
              <w:rPr>
                <w:color w:val="000000"/>
                <w:szCs w:val="21"/>
              </w:rPr>
            </w:pPr>
            <w:r>
              <w:rPr>
                <w:rFonts w:hint="eastAsia"/>
                <w:color w:val="000000"/>
                <w:szCs w:val="21"/>
              </w:rPr>
              <w:t>事故应急池（70m</w:t>
            </w:r>
            <w:r>
              <w:rPr>
                <w:rFonts w:hint="eastAsia"/>
                <w:color w:val="000000"/>
                <w:szCs w:val="21"/>
                <w:vertAlign w:val="superscript"/>
              </w:rPr>
              <w:t>3</w:t>
            </w:r>
            <w:r>
              <w:rPr>
                <w:rFonts w:hint="eastAsia"/>
                <w:color w:val="000000"/>
                <w:szCs w:val="21"/>
              </w:rPr>
              <w:t>）</w:t>
            </w:r>
          </w:p>
        </w:tc>
        <w:tc>
          <w:tcPr>
            <w:tcW w:w="1559" w:type="dxa"/>
            <w:vAlign w:val="center"/>
          </w:tcPr>
          <w:p>
            <w:pPr>
              <w:pStyle w:val="51"/>
            </w:pPr>
            <w:r>
              <w:rPr>
                <w:rFonts w:hint="eastAsia"/>
              </w:rPr>
              <w:t>2</w:t>
            </w:r>
          </w:p>
        </w:tc>
      </w:tr>
    </w:tbl>
    <w:p>
      <w:pPr>
        <w:pStyle w:val="49"/>
        <w:ind w:firstLine="480"/>
      </w:pPr>
      <w:r>
        <w:rPr>
          <w:rFonts w:hint="eastAsia"/>
        </w:rPr>
        <w:t>由上表可知，本项目总投资为23</w:t>
      </w:r>
      <w:r>
        <w:t>00</w:t>
      </w:r>
      <w:r>
        <w:rPr>
          <w:rFonts w:hint="eastAsia"/>
        </w:rPr>
        <w:t>0</w:t>
      </w:r>
      <w:r>
        <w:t xml:space="preserve"> </w:t>
      </w:r>
      <w:r>
        <w:rPr>
          <w:rFonts w:hint="eastAsia"/>
        </w:rPr>
        <w:t>万元，其中环保投资140</w:t>
      </w:r>
      <w:r>
        <w:t xml:space="preserve"> </w:t>
      </w:r>
      <w:r>
        <w:rPr>
          <w:rFonts w:hint="eastAsia"/>
        </w:rPr>
        <w:t>万元，环保投资占总投资的比例为 0.61</w:t>
      </w:r>
      <w:r>
        <w:t>%</w:t>
      </w:r>
      <w:r>
        <w:rPr>
          <w:rFonts w:hint="eastAsia"/>
        </w:rPr>
        <w:t>。通过一系列环保投资建设，加强了工程的硬件设施，全面控制了项目的产污和排污，达到了环保设施与主体工程同时设计、同时施工、同时投产使用的要求。</w:t>
      </w:r>
    </w:p>
    <w:p>
      <w:pPr>
        <w:pStyle w:val="4"/>
        <w:keepNext w:val="0"/>
        <w:keepLines w:val="0"/>
        <w:widowControl w:val="0"/>
      </w:pPr>
      <w:bookmarkStart w:id="321" w:name="_Toc194481255"/>
      <w:r>
        <w:t xml:space="preserve">8.1.2 </w:t>
      </w:r>
      <w:r>
        <w:rPr>
          <w:rFonts w:hint="eastAsia"/>
        </w:rPr>
        <w:t>环保投资效益分析</w:t>
      </w:r>
      <w:bookmarkEnd w:id="321"/>
    </w:p>
    <w:p>
      <w:pPr>
        <w:pStyle w:val="49"/>
        <w:ind w:firstLine="480"/>
        <w:rPr>
          <w:rFonts w:hint="eastAsia" w:ascii="宋体" w:hAnsi="宋体"/>
        </w:rPr>
      </w:pPr>
      <w:r>
        <w:rPr>
          <w:rFonts w:hint="eastAsia"/>
        </w:rPr>
        <w:t>本项目通过采取技术可靠、经济合理的环保投资，各主要污染物均能实现</w:t>
      </w:r>
      <w:r>
        <w:rPr>
          <w:rFonts w:hint="eastAsia" w:ascii="宋体" w:hAnsi="宋体"/>
        </w:rPr>
        <w:t>达标排放，具有明显的环境效益。具体表现在：</w:t>
      </w:r>
    </w:p>
    <w:p>
      <w:pPr>
        <w:pStyle w:val="49"/>
        <w:ind w:firstLine="480"/>
        <w:rPr>
          <w:rFonts w:hint="eastAsia" w:ascii="宋体" w:hAnsi="宋体"/>
        </w:rPr>
      </w:pPr>
      <w:r>
        <w:rPr>
          <w:rFonts w:cs="Times New Roman"/>
        </w:rPr>
        <w:t>1</w:t>
      </w:r>
      <w:r>
        <w:rPr>
          <w:rFonts w:hint="eastAsia" w:ascii="宋体" w:hAnsi="宋体"/>
        </w:rPr>
        <w:t>、</w:t>
      </w:r>
      <w:r>
        <w:rPr>
          <w:rFonts w:cs="Times New Roman"/>
          <w:color w:val="000000"/>
        </w:rPr>
        <w:t>水环境损益分析</w:t>
      </w:r>
    </w:p>
    <w:p>
      <w:pPr>
        <w:pStyle w:val="49"/>
        <w:ind w:firstLine="480"/>
      </w:pPr>
      <w:r>
        <w:rPr>
          <w:rFonts w:hint="eastAsia"/>
        </w:rPr>
        <w:t>鸡舍冲洗废水和生活污水</w:t>
      </w:r>
      <w:bookmarkStart w:id="322" w:name="_Hlk193959493"/>
      <w:r>
        <w:rPr>
          <w:rFonts w:hint="eastAsia"/>
        </w:rPr>
        <w:t>一起进入一体化污水处理设施处理达标后，用于周边林地灌溉，不外排，对周围地表水环境影响较小。</w:t>
      </w:r>
      <w:bookmarkEnd w:id="322"/>
    </w:p>
    <w:p>
      <w:pPr>
        <w:pStyle w:val="49"/>
        <w:ind w:firstLine="480"/>
      </w:pPr>
      <w:r>
        <w:rPr>
          <w:rFonts w:hint="eastAsia"/>
        </w:rPr>
        <w:t>2</w:t>
      </w:r>
      <w:r>
        <w:t>、</w:t>
      </w:r>
      <w:r>
        <w:rPr>
          <w:rFonts w:hint="eastAsia"/>
        </w:rPr>
        <w:t>大气环境损益分析</w:t>
      </w:r>
    </w:p>
    <w:p>
      <w:pPr>
        <w:pStyle w:val="49"/>
        <w:ind w:firstLine="480"/>
      </w:pPr>
      <w:r>
        <w:rPr>
          <w:rFonts w:hint="eastAsia"/>
        </w:rPr>
        <w:t>本项目对大气环境的影响主要是硫化氢、氨气和颗粒物。 经预测分析，废气中各污染因子对周围大气环境的影响较小。</w:t>
      </w:r>
    </w:p>
    <w:p>
      <w:pPr>
        <w:pStyle w:val="49"/>
        <w:ind w:firstLine="480"/>
      </w:pPr>
      <w:r>
        <w:rPr>
          <w:rFonts w:hint="eastAsia"/>
        </w:rPr>
        <w:t>3</w:t>
      </w:r>
      <w:r>
        <w:t>、声环境损益分析</w:t>
      </w:r>
    </w:p>
    <w:p>
      <w:pPr>
        <w:widowControl w:val="0"/>
        <w:spacing w:line="360" w:lineRule="auto"/>
        <w:ind w:firstLine="468" w:firstLineChars="200"/>
        <w:rPr>
          <w:rFonts w:ascii="Times New Roman" w:hAnsi="Times New Roman" w:cs="Times New Roman"/>
          <w:color w:val="000000"/>
          <w:spacing w:val="-3"/>
        </w:rPr>
      </w:pPr>
      <w:r>
        <w:rPr>
          <w:rFonts w:hint="eastAsia" w:ascii="Times New Roman" w:hAnsi="Times New Roman" w:cs="Times New Roman"/>
          <w:color w:val="000000"/>
          <w:spacing w:val="-3"/>
        </w:rPr>
        <w:t>本项目噪声主要来源于生产区机械设备运转产生的机械噪声以及运输车辆。经预测分析得知，建设单位对噪声源进行合理布局，并对高噪声源进行必要的治理，噪声可达标排放，本项目的生产噪声对周围声环境影响不大。</w:t>
      </w:r>
    </w:p>
    <w:p>
      <w:pPr>
        <w:spacing w:line="360" w:lineRule="auto"/>
        <w:ind w:firstLine="480" w:firstLineChars="200"/>
        <w:rPr>
          <w:rFonts w:ascii="Times New Roman" w:hAnsi="Times New Roman" w:cs="Times New Roman"/>
          <w:color w:val="000000"/>
          <w:spacing w:val="-3"/>
        </w:rPr>
      </w:pPr>
      <w:r>
        <w:rPr>
          <w:rFonts w:hint="eastAsia" w:ascii="Times New Roman" w:hAnsi="Times New Roman" w:cs="Times New Roman"/>
          <w:color w:val="000000"/>
        </w:rPr>
        <w:t>4、</w:t>
      </w:r>
      <w:r>
        <w:rPr>
          <w:rFonts w:ascii="Times New Roman" w:hAnsi="Times New Roman" w:cs="Times New Roman"/>
          <w:bCs/>
          <w:color w:val="000000"/>
        </w:rPr>
        <w:t>固体废物损益分析</w:t>
      </w:r>
    </w:p>
    <w:p>
      <w:pPr>
        <w:spacing w:line="360" w:lineRule="auto"/>
        <w:ind w:firstLine="566" w:firstLineChars="242"/>
        <w:rPr>
          <w:rFonts w:ascii="Times New Roman" w:hAnsi="Times New Roman" w:cs="Times New Roman"/>
          <w:color w:val="000000"/>
          <w:spacing w:val="-3"/>
        </w:rPr>
      </w:pPr>
      <w:r>
        <w:rPr>
          <w:rFonts w:hint="eastAsia" w:ascii="Times New Roman" w:hAnsi="Times New Roman" w:cs="Times New Roman"/>
          <w:color w:val="000000"/>
          <w:spacing w:val="-3"/>
        </w:rPr>
        <w:t>本项目产生的固体废物均得到合理处置，不会产生二次污染。</w:t>
      </w:r>
    </w:p>
    <w:p>
      <w:pPr>
        <w:spacing w:line="360" w:lineRule="auto"/>
        <w:ind w:firstLine="580" w:firstLineChars="242"/>
        <w:rPr>
          <w:rFonts w:ascii="Times New Roman" w:hAnsi="Times New Roman" w:cs="Times New Roman"/>
          <w:color w:val="000000"/>
        </w:rPr>
      </w:pPr>
      <w:r>
        <w:rPr>
          <w:rFonts w:hint="eastAsia"/>
          <w:color w:val="000000"/>
        </w:rPr>
        <w:t>由此可见，本项目的建设具有较好的环境效益。</w:t>
      </w:r>
    </w:p>
    <w:p>
      <w:pPr>
        <w:pStyle w:val="4"/>
        <w:keepNext w:val="0"/>
        <w:keepLines w:val="0"/>
        <w:widowControl w:val="0"/>
      </w:pPr>
      <w:bookmarkStart w:id="323" w:name="_Toc194481256"/>
      <w:r>
        <w:rPr>
          <w:rFonts w:hint="eastAsia"/>
        </w:rPr>
        <w:t>8</w:t>
      </w:r>
      <w:r>
        <w:t>.</w:t>
      </w:r>
      <w:r>
        <w:rPr>
          <w:rFonts w:hint="eastAsia"/>
        </w:rPr>
        <w:t>1</w:t>
      </w:r>
      <w:r>
        <w:t>.</w:t>
      </w:r>
      <w:r>
        <w:rPr>
          <w:rFonts w:hint="eastAsia"/>
        </w:rPr>
        <w:t>3</w:t>
      </w:r>
      <w:r>
        <w:t xml:space="preserve"> </w:t>
      </w:r>
      <w:r>
        <w:rPr>
          <w:rFonts w:hint="eastAsia"/>
        </w:rPr>
        <w:t>经济效益分析</w:t>
      </w:r>
      <w:bookmarkEnd w:id="323"/>
    </w:p>
    <w:p>
      <w:pPr>
        <w:pStyle w:val="49"/>
        <w:ind w:firstLine="480"/>
      </w:pPr>
      <w:r>
        <w:rPr>
          <w:rFonts w:hint="eastAsia"/>
        </w:rPr>
        <w:t xml:space="preserve">项目拟投资 23000万元，投资回收期包括建设期约为 </w:t>
      </w:r>
      <w:r>
        <w:t xml:space="preserve">5 </w:t>
      </w:r>
      <w:r>
        <w:rPr>
          <w:rFonts w:hint="eastAsia"/>
        </w:rPr>
        <w:t>年。企业经济效益明显，可增加国家和地方财政收入，具有较强的盈利能力和投资回收能力。敏感性分析表明，项目有较强的抗风险能力，因此，项目在经济上是可行的。</w:t>
      </w:r>
    </w:p>
    <w:p>
      <w:pPr>
        <w:pStyle w:val="4"/>
        <w:keepNext w:val="0"/>
        <w:keepLines w:val="0"/>
        <w:widowControl w:val="0"/>
      </w:pPr>
      <w:bookmarkStart w:id="324" w:name="_Toc194481257"/>
      <w:r>
        <w:t xml:space="preserve">8.1.4 </w:t>
      </w:r>
      <w:r>
        <w:rPr>
          <w:rFonts w:hint="eastAsia"/>
        </w:rPr>
        <w:t>社会效益分析</w:t>
      </w:r>
      <w:bookmarkEnd w:id="324"/>
    </w:p>
    <w:p>
      <w:pPr>
        <w:pStyle w:val="49"/>
        <w:ind w:firstLine="480"/>
      </w:pPr>
      <w:r>
        <w:t>1</w:t>
      </w:r>
      <w:r>
        <w:rPr>
          <w:rFonts w:hint="eastAsia"/>
        </w:rPr>
        <w:t xml:space="preserve">、带动农村经济 </w:t>
      </w:r>
    </w:p>
    <w:p>
      <w:pPr>
        <w:pStyle w:val="49"/>
        <w:ind w:firstLine="480"/>
      </w:pPr>
      <w:r>
        <w:rPr>
          <w:rFonts w:hint="eastAsia"/>
        </w:rPr>
        <w:t xml:space="preserve">畜牧业是衡量一个地区农业现代化程度的重要标志，也是发展农村经济的支柱产业。畜牧业的生产方式仍是以传统的千家万户分散养殖为主，生产效率和经济效益低下，离现代农业和社会主义新农村的建设目标还有不小的距离。本项目通过良种推广和技术示范，大幅增加项目所在区域畜牧业产值，提升当地闲置土地利用率，推动当地农村经济的发展。 </w:t>
      </w:r>
    </w:p>
    <w:p>
      <w:pPr>
        <w:pStyle w:val="49"/>
        <w:ind w:firstLine="480"/>
      </w:pPr>
      <w:r>
        <w:t>2</w:t>
      </w:r>
      <w:r>
        <w:rPr>
          <w:rFonts w:hint="eastAsia"/>
        </w:rPr>
        <w:t xml:space="preserve">、增加政府财政收入 </w:t>
      </w:r>
    </w:p>
    <w:p>
      <w:pPr>
        <w:pStyle w:val="49"/>
        <w:ind w:firstLine="480"/>
      </w:pPr>
      <w:r>
        <w:rPr>
          <w:rFonts w:hint="eastAsia"/>
        </w:rPr>
        <w:t xml:space="preserve">项目达产期可实现年销售税金附加，有利于增加政府财税收入。此外，通过项目的带动，一批公司和专业户赢利能力增强，纳税能力也相应增强。 </w:t>
      </w:r>
    </w:p>
    <w:p>
      <w:pPr>
        <w:pStyle w:val="49"/>
        <w:ind w:firstLine="480"/>
      </w:pPr>
      <w:r>
        <w:t>3</w:t>
      </w:r>
      <w:r>
        <w:rPr>
          <w:rFonts w:hint="eastAsia"/>
        </w:rPr>
        <w:t xml:space="preserve">、促进就业 </w:t>
      </w:r>
    </w:p>
    <w:p>
      <w:pPr>
        <w:pStyle w:val="49"/>
        <w:ind w:firstLine="480"/>
      </w:pPr>
      <w:r>
        <w:rPr>
          <w:rFonts w:hint="eastAsia"/>
        </w:rPr>
        <w:t xml:space="preserve">养殖场建成后，需要生产管理者和饲养工人，还可为周边农村农民部分解决就业问题。通过建立产业化体系，可培育一大批养殖专业户，使之成为能够自食其力的个体劳动者，同时可造就一大批技术能手，使他们掌握一技之长，在社会上更容易找到就业岗位。 </w:t>
      </w:r>
    </w:p>
    <w:p>
      <w:pPr>
        <w:pStyle w:val="49"/>
        <w:ind w:firstLine="480"/>
      </w:pPr>
      <w:r>
        <w:rPr>
          <w:rFonts w:hint="eastAsia"/>
        </w:rPr>
        <w:t>由此可见，本项目建成后，不仅能促进当地经济的产业结构，带来良好的经济效益，也能妥善地解决农民就业与发展问题，加快社会主义新农村建设，整个项目将产生积极、深远的社会影响。</w:t>
      </w:r>
    </w:p>
    <w:p>
      <w:pPr>
        <w:pStyle w:val="4"/>
        <w:keepNext w:val="0"/>
        <w:keepLines w:val="0"/>
        <w:widowControl w:val="0"/>
      </w:pPr>
      <w:bookmarkStart w:id="325" w:name="_Toc194481258"/>
      <w:r>
        <w:t>8.1.</w:t>
      </w:r>
      <w:r>
        <w:rPr>
          <w:rFonts w:hint="eastAsia"/>
        </w:rPr>
        <w:t>5</w:t>
      </w:r>
      <w:r>
        <w:t xml:space="preserve"> </w:t>
      </w:r>
      <w:r>
        <w:rPr>
          <w:rFonts w:hint="eastAsia"/>
        </w:rPr>
        <w:t>小结</w:t>
      </w:r>
      <w:bookmarkEnd w:id="325"/>
    </w:p>
    <w:p>
      <w:pPr>
        <w:pStyle w:val="49"/>
        <w:ind w:firstLine="480"/>
      </w:pPr>
      <w:r>
        <w:rPr>
          <w:rFonts w:hint="eastAsia"/>
        </w:rPr>
        <w:t xml:space="preserve">综上所述，本项目的建设将取得较好的社会效益和经济效益，在采取合理 </w:t>
      </w:r>
      <w:r>
        <w:rPr>
          <w:rFonts w:hint="eastAsia" w:ascii="宋体" w:hAnsi="宋体"/>
        </w:rPr>
        <w:t>有效的污染治理措施后，可使环境效益、社会效益、经济效益三者有效地统一。</w:t>
      </w:r>
    </w:p>
    <w:p>
      <w:pPr>
        <w:pStyle w:val="49"/>
        <w:ind w:firstLine="480"/>
        <w:sectPr>
          <w:pgSz w:w="11906" w:h="16838"/>
          <w:pgMar w:top="1440" w:right="1800" w:bottom="1440" w:left="1800" w:header="851" w:footer="992" w:gutter="0"/>
          <w:cols w:space="425" w:num="1"/>
          <w:docGrid w:type="lines" w:linePitch="312" w:charSpace="0"/>
        </w:sectPr>
      </w:pPr>
    </w:p>
    <w:p>
      <w:pPr>
        <w:pStyle w:val="2"/>
        <w:jc w:val="center"/>
        <w:rPr>
          <w:sz w:val="44"/>
          <w:szCs w:val="56"/>
        </w:rPr>
      </w:pPr>
      <w:bookmarkStart w:id="326" w:name="_Toc194481259"/>
      <w:r>
        <w:rPr>
          <w:rFonts w:hint="eastAsia"/>
          <w:sz w:val="44"/>
          <w:szCs w:val="56"/>
        </w:rPr>
        <w:t xml:space="preserve">第 </w:t>
      </w:r>
      <w:r>
        <w:rPr>
          <w:sz w:val="44"/>
          <w:szCs w:val="56"/>
        </w:rPr>
        <w:t xml:space="preserve">9 </w:t>
      </w:r>
      <w:r>
        <w:rPr>
          <w:rFonts w:hint="eastAsia"/>
          <w:sz w:val="44"/>
          <w:szCs w:val="56"/>
        </w:rPr>
        <w:t>章 环境管理与监测计划</w:t>
      </w:r>
      <w:bookmarkEnd w:id="326"/>
    </w:p>
    <w:p>
      <w:pPr>
        <w:pStyle w:val="49"/>
        <w:ind w:firstLine="480"/>
      </w:pPr>
      <w:r>
        <w:rPr>
          <w:rFonts w:hint="eastAsia"/>
        </w:rPr>
        <w:t>环境管理和环境监测是污染防治的重要内容之一，是实现污染物许可排放控制和污染防治设施达到期目标的有效保证本项目建成投产后，除了依据环评报告和批复要求，还需加强环境管理和环境监测工作，以便及时发现装置运行过程中存在的问题，采取处理措施减少或避免污染和损失。同时通过加强管理和环境监测，为清洁生产工艺改进和污染处理技术进步提供指导和参考。</w:t>
      </w:r>
    </w:p>
    <w:p>
      <w:pPr>
        <w:pStyle w:val="49"/>
        <w:ind w:firstLine="480"/>
      </w:pPr>
      <w:r>
        <w:rPr>
          <w:rFonts w:hint="eastAsia"/>
        </w:rPr>
        <w:t>同时，根据中华人民共和国生态环境部颁发的《排污单位自行监测技术指南总则》（</w:t>
      </w:r>
      <w:r>
        <w:t>HJ819-2017</w:t>
      </w:r>
      <w:r>
        <w:rPr>
          <w:rFonts w:hint="eastAsia"/>
        </w:rPr>
        <w:t>）对企业自行监测提出更明确的要求，并发布《排污单位环境管理台账及排污许可证执行报告技术规范总则（试行）》（</w:t>
      </w:r>
      <w:r>
        <w:t>HJ944-2018</w:t>
      </w:r>
      <w:r>
        <w:rPr>
          <w:rFonts w:hint="eastAsia"/>
        </w:rPr>
        <w:t>）、《排污许可证申请与核发技术规范总则》（</w:t>
      </w:r>
      <w:r>
        <w:t>HJ942-2018</w:t>
      </w:r>
      <w:r>
        <w:rPr>
          <w:rFonts w:hint="eastAsia"/>
        </w:rPr>
        <w:t>）、《排污许可证申请与核发技术规范 畜禽养殖行业》（</w:t>
      </w:r>
      <w:r>
        <w:t>HJ1029-2019</w:t>
      </w:r>
      <w:r>
        <w:rPr>
          <w:rFonts w:hint="eastAsia"/>
        </w:rPr>
        <w:t>）等多个排污许可技术文件，对企业环境管理台账及排污许可证执行提出要求，建设单位的环境监测工作应满足相应文件的要求。</w:t>
      </w:r>
    </w:p>
    <w:p>
      <w:pPr>
        <w:pStyle w:val="3"/>
        <w:keepNext w:val="0"/>
        <w:keepLines w:val="0"/>
        <w:widowControl w:val="0"/>
        <w:jc w:val="both"/>
      </w:pPr>
      <w:bookmarkStart w:id="327" w:name="_Toc194481260"/>
      <w:r>
        <w:t xml:space="preserve">9.1 </w:t>
      </w:r>
      <w:r>
        <w:rPr>
          <w:rFonts w:hint="eastAsia"/>
        </w:rPr>
        <w:t>环境管理</w:t>
      </w:r>
      <w:bookmarkEnd w:id="327"/>
    </w:p>
    <w:p>
      <w:pPr>
        <w:pStyle w:val="4"/>
        <w:keepNext w:val="0"/>
        <w:keepLines w:val="0"/>
        <w:widowControl w:val="0"/>
      </w:pPr>
      <w:bookmarkStart w:id="328" w:name="_Toc194481261"/>
      <w:r>
        <w:t xml:space="preserve">9.1.1 </w:t>
      </w:r>
      <w:r>
        <w:rPr>
          <w:rFonts w:hint="eastAsia"/>
        </w:rPr>
        <w:t>环境管理制度</w:t>
      </w:r>
      <w:bookmarkEnd w:id="328"/>
    </w:p>
    <w:p>
      <w:pPr>
        <w:pStyle w:val="49"/>
        <w:ind w:firstLine="480"/>
      </w:pPr>
      <w:r>
        <w:rPr>
          <w:rFonts w:hint="eastAsia"/>
        </w:rPr>
        <w:t>建设单位是落实建设项目环境保护责任的主体。建设单位在建设项目开工前和发生重大变动前，必须依法取得环境影响评价审批文件。建设项目实施过程中应严格落实经批准的环境影响评价文件及其批复文件提出的各项环境保护要求，确保环境保护设施正常运行。建设单位是建设项目竣工环境保护验收的责任主体，应依法组织对配套建设的环境保护设施进行验收，编制建设项目竣工环境保护验收报告，并依法向社会公开。或委托第三方机构编制建设项目环境保护设施竣工验收报告，向社会公开。</w:t>
      </w:r>
    </w:p>
    <w:p>
      <w:pPr>
        <w:pStyle w:val="49"/>
        <w:ind w:firstLine="480"/>
      </w:pPr>
      <w:r>
        <w:rPr>
          <w:rFonts w:hint="eastAsia"/>
        </w:rPr>
        <w:t>根据《排污许可管理办法（试行）》、《排污许可证申请与核发技术规范畜禽养殖行业》（</w:t>
      </w:r>
      <w:r>
        <w:t>HJ1029-2019</w:t>
      </w:r>
      <w:r>
        <w:rPr>
          <w:rFonts w:hint="eastAsia"/>
        </w:rPr>
        <w:t>），建设单位应当在投入生产或使用并产生实际排污行为之前，依法按照排污许可证申请与核发技术规范提交排污许可申请，申报排放污染物种类、排放浓度等，测算并申报污染物排放量，申请领取排污许可证。根据《排污许可证申请与核发技术规范 畜禽养殖行业》（</w:t>
      </w:r>
      <w:r>
        <w:t>HJ1029-2019</w:t>
      </w:r>
      <w:r>
        <w:rPr>
          <w:rFonts w:hint="eastAsia"/>
        </w:rPr>
        <w:t>）中环境管理台账记录、排污许可证执行报告表格进行项目日常环境管理及排污许可证申报。</w:t>
      </w:r>
    </w:p>
    <w:p>
      <w:pPr>
        <w:pStyle w:val="4"/>
        <w:keepNext w:val="0"/>
        <w:keepLines w:val="0"/>
        <w:widowControl w:val="0"/>
      </w:pPr>
      <w:bookmarkStart w:id="329" w:name="_Toc194481262"/>
      <w:r>
        <w:t xml:space="preserve">9.1.2 </w:t>
      </w:r>
      <w:r>
        <w:rPr>
          <w:rFonts w:hint="eastAsia"/>
        </w:rPr>
        <w:t>环境管理机构设置</w:t>
      </w:r>
      <w:bookmarkEnd w:id="329"/>
    </w:p>
    <w:p>
      <w:pPr>
        <w:pStyle w:val="49"/>
        <w:ind w:firstLine="480"/>
      </w:pPr>
      <w:r>
        <w:rPr>
          <w:rFonts w:hint="eastAsia"/>
        </w:rPr>
        <w:t xml:space="preserve">1、环境管理机构的组成 </w:t>
      </w:r>
    </w:p>
    <w:p>
      <w:pPr>
        <w:pStyle w:val="49"/>
        <w:ind w:firstLine="480"/>
      </w:pPr>
      <w:r>
        <w:rPr>
          <w:rFonts w:hint="eastAsia"/>
        </w:rPr>
        <w:t>根据项目的特点，建议设立由相应管理人员负责的环境管理机构，负责实施环保工作计划、规划、审查、监督建设项目</w:t>
      </w:r>
      <w:r>
        <w:t>“</w:t>
      </w:r>
      <w:r>
        <w:rPr>
          <w:rFonts w:hint="eastAsia"/>
        </w:rPr>
        <w:t>三同时</w:t>
      </w:r>
      <w:r>
        <w:t>”</w:t>
      </w:r>
      <w:r>
        <w:rPr>
          <w:rFonts w:hint="eastAsia"/>
        </w:rPr>
        <w:t>工作并对</w:t>
      </w:r>
      <w:r>
        <w:t>“</w:t>
      </w:r>
      <w:r>
        <w:rPr>
          <w:rFonts w:hint="eastAsia"/>
        </w:rPr>
        <w:t>三废</w:t>
      </w:r>
      <w:r>
        <w:t>”</w:t>
      </w:r>
      <w:r>
        <w:rPr>
          <w:rFonts w:hint="eastAsia"/>
        </w:rPr>
        <w:t xml:space="preserve">的排放达标进行监控，处理污染事故，编制环保统计及环保考核等报告。配备相应环保人员 </w:t>
      </w:r>
      <w:r>
        <w:t xml:space="preserve">1~2 </w:t>
      </w:r>
      <w:r>
        <w:rPr>
          <w:rFonts w:hint="eastAsia"/>
        </w:rPr>
        <w:t xml:space="preserve">名，负责环境监督管理工作，同时要加强对管理人员和操作人员的环保培训。 </w:t>
      </w:r>
    </w:p>
    <w:p>
      <w:pPr>
        <w:pStyle w:val="49"/>
        <w:ind w:firstLine="480"/>
      </w:pPr>
      <w:r>
        <w:rPr>
          <w:rFonts w:hint="eastAsia"/>
        </w:rPr>
        <w:t xml:space="preserve">2、环境管理机构的职责 </w:t>
      </w:r>
    </w:p>
    <w:p>
      <w:pPr>
        <w:pStyle w:val="49"/>
        <w:ind w:firstLine="480"/>
      </w:pPr>
      <w:r>
        <w:rPr>
          <w:rFonts w:hint="eastAsia"/>
        </w:rPr>
        <w:t xml:space="preserve">项目规划小，人员少，工艺流程简单，不设独立的环保机构，建议由管理人员，如厂长及经理等管理层中选择 </w:t>
      </w:r>
      <w:r>
        <w:t>1~2</w:t>
      </w:r>
      <w:r>
        <w:rPr>
          <w:rFonts w:hint="eastAsia"/>
        </w:rPr>
        <w:t xml:space="preserve">人兼职环保工作。兼职管理人员的基本任务是负责组织落实、监督项目的环保工作，主要职责如下： </w:t>
      </w:r>
    </w:p>
    <w:p>
      <w:pPr>
        <w:pStyle w:val="49"/>
        <w:ind w:firstLine="480"/>
      </w:pPr>
      <w:r>
        <w:rPr>
          <w:rFonts w:hint="eastAsia"/>
        </w:rPr>
        <w:t>①督促、检查本企业执行国家有关环境保护方针、政策、法规及企业环境保护制度，贯彻执行</w:t>
      </w:r>
      <w:r>
        <w:rPr>
          <w:rFonts w:ascii="宋体" w:hAnsi="宋体"/>
        </w:rPr>
        <w:t>“</w:t>
      </w:r>
      <w:r>
        <w:rPr>
          <w:rFonts w:hint="eastAsia"/>
        </w:rPr>
        <w:t>三同时</w:t>
      </w:r>
      <w:r>
        <w:rPr>
          <w:rFonts w:ascii="宋体" w:hAnsi="宋体"/>
        </w:rPr>
        <w:t>”</w:t>
      </w:r>
      <w:r>
        <w:rPr>
          <w:rFonts w:hint="eastAsia"/>
        </w:rPr>
        <w:t xml:space="preserve">规定，并参加有关方案的审定及竣工验收工作。 </w:t>
      </w:r>
    </w:p>
    <w:p>
      <w:pPr>
        <w:pStyle w:val="49"/>
        <w:ind w:firstLine="480"/>
      </w:pPr>
      <w:r>
        <w:rPr>
          <w:rFonts w:hint="eastAsia"/>
        </w:rPr>
        <w:t xml:space="preserve">②根据项目生产特点和产污情况，制定全场环境管理办法，按照国家和当地的有关规定，制定全场污染综合防治的经济技术原则，制定切实可行的环保管理制度和条例。 </w:t>
      </w:r>
    </w:p>
    <w:p>
      <w:pPr>
        <w:pStyle w:val="49"/>
        <w:ind w:firstLine="480"/>
      </w:pPr>
      <w:r>
        <w:rPr>
          <w:rFonts w:hint="eastAsia"/>
        </w:rPr>
        <w:t xml:space="preserve">③组织制定公司内部的环保管理规章制度，明确职责，并监督执行。 </w:t>
      </w:r>
    </w:p>
    <w:p>
      <w:pPr>
        <w:pStyle w:val="49"/>
        <w:ind w:firstLine="480"/>
      </w:pPr>
      <w:r>
        <w:rPr>
          <w:rFonts w:hint="eastAsia"/>
        </w:rPr>
        <w:t xml:space="preserve">④建立环保监控室，认真做好污染源及处理设施的控制工作，及时解决运行中的环保问题，做好应急事故处理，参与环境污染事故调查和处理工作。 </w:t>
      </w:r>
    </w:p>
    <w:p>
      <w:pPr>
        <w:pStyle w:val="49"/>
        <w:ind w:firstLine="480"/>
      </w:pPr>
      <w:r>
        <w:rPr>
          <w:rFonts w:hint="eastAsia"/>
        </w:rPr>
        <w:t xml:space="preserve">⑤收集、整理和推广环保技术和经验，组织对本企业环保人员的培训和环保技术情报的交流，推广国内、外先进的污染防治技术和经验，对运行中出现的环保问题及时解决。 </w:t>
      </w:r>
    </w:p>
    <w:p>
      <w:pPr>
        <w:pStyle w:val="49"/>
        <w:ind w:firstLine="480"/>
      </w:pPr>
      <w:r>
        <w:rPr>
          <w:rFonts w:hint="eastAsia"/>
        </w:rPr>
        <w:t xml:space="preserve">⑥开展环保技术人员培训，提高环保人员技术水平，做好环境统计工作，建立环保档案。 </w:t>
      </w:r>
    </w:p>
    <w:p>
      <w:pPr>
        <w:pStyle w:val="49"/>
        <w:ind w:firstLine="480"/>
      </w:pPr>
      <w:r>
        <w:rPr>
          <w:rFonts w:hint="eastAsia"/>
        </w:rPr>
        <w:t xml:space="preserve">⑦做好场内环保设施运行记录的档案管理工作，定期检查环境管理计划实施情况，保证环保设备正常运行。 </w:t>
      </w:r>
    </w:p>
    <w:p>
      <w:pPr>
        <w:pStyle w:val="49"/>
        <w:ind w:firstLine="480"/>
      </w:pPr>
      <w:r>
        <w:rPr>
          <w:rFonts w:hint="eastAsia"/>
        </w:rPr>
        <w:t xml:space="preserve">⑧按照责、权、利实行奖罚制度，对违反制度的行为根据情节给予处罚，对有功人员给予奖励。 </w:t>
      </w:r>
    </w:p>
    <w:p>
      <w:pPr>
        <w:pStyle w:val="49"/>
        <w:ind w:firstLine="480"/>
      </w:pPr>
      <w:r>
        <w:rPr>
          <w:rFonts w:hint="eastAsia"/>
        </w:rPr>
        <w:t xml:space="preserve">⑨对项目所在地区域的生态环境进行保护。 </w:t>
      </w:r>
    </w:p>
    <w:p>
      <w:pPr>
        <w:pStyle w:val="49"/>
        <w:ind w:firstLine="480"/>
      </w:pPr>
      <w:r>
        <w:rPr>
          <w:rFonts w:hint="eastAsia"/>
        </w:rPr>
        <w:t>⑩利用常规监控手段，掌握场内环境管理和环保设施运行效果的动态情况；通过采取相应的技术手段，不断提高污染防治对策的水平和可操作性。</w:t>
      </w:r>
    </w:p>
    <w:p>
      <w:pPr>
        <w:pStyle w:val="4"/>
        <w:keepNext w:val="0"/>
        <w:keepLines w:val="0"/>
        <w:widowControl w:val="0"/>
      </w:pPr>
      <w:bookmarkStart w:id="330" w:name="_Toc194481263"/>
      <w:r>
        <w:t xml:space="preserve">9.1.3 </w:t>
      </w:r>
      <w:r>
        <w:rPr>
          <w:rFonts w:hint="eastAsia"/>
        </w:rPr>
        <w:t>环境管理计划</w:t>
      </w:r>
      <w:bookmarkEnd w:id="330"/>
    </w:p>
    <w:p>
      <w:pPr>
        <w:pStyle w:val="49"/>
        <w:ind w:firstLine="480"/>
      </w:pPr>
      <w:r>
        <w:rPr>
          <w:rFonts w:hint="eastAsia"/>
        </w:rPr>
        <w:t>根据环保措施应与建设项目同时设计、同时建设、同时验收的</w:t>
      </w:r>
      <w:r>
        <w:t>“</w:t>
      </w:r>
      <w:r>
        <w:rPr>
          <w:rFonts w:hint="eastAsia"/>
        </w:rPr>
        <w:t>三同时</w:t>
      </w:r>
      <w:r>
        <w:t>”</w:t>
      </w:r>
      <w:r>
        <w:rPr>
          <w:rFonts w:hint="eastAsia"/>
        </w:rPr>
        <w:t>要求，该项目污染治理措施及本评价提出的改进措施应在项目初设阶段落实，以利于切实实施。此外，在设计实施计划的同时应考虑环保设施的自身建设特点，进行统筹安排，建设项目污染防治措施的配套建设，应按项目建设期分步骤如期完成。本项目的各项环境保护设施和措施的建设、运行及维护费用计划由建设单位支付，做到专款专用，保障环保设施正常运行，环境管理计划见表 9</w:t>
      </w:r>
      <w:r>
        <w:t>.1-1</w:t>
      </w:r>
      <w:r>
        <w:rPr>
          <w:rFonts w:hint="eastAsia"/>
        </w:rPr>
        <w:t>。</w:t>
      </w:r>
    </w:p>
    <w:p>
      <w:pPr>
        <w:pStyle w:val="53"/>
      </w:pPr>
      <w:r>
        <w:rPr>
          <w:rFonts w:hint="eastAsia"/>
        </w:rPr>
        <w:t xml:space="preserve">表 </w:t>
      </w:r>
      <w:r>
        <w:rPr>
          <w:rFonts w:hint="eastAsia" w:cs="Times New Roman"/>
        </w:rPr>
        <w:t>9</w:t>
      </w:r>
      <w:r>
        <w:rPr>
          <w:rFonts w:cs="Times New Roman"/>
        </w:rPr>
        <w:t>.</w:t>
      </w:r>
      <w:r>
        <w:rPr>
          <w:rFonts w:hint="eastAsia" w:cs="Times New Roman"/>
        </w:rPr>
        <w:t>1</w:t>
      </w:r>
      <w:r>
        <w:rPr>
          <w:rFonts w:cs="Times New Roman"/>
        </w:rPr>
        <w:t xml:space="preserve">-1 </w:t>
      </w:r>
      <w:r>
        <w:rPr>
          <w:rFonts w:hint="eastAsia"/>
        </w:rPr>
        <w:t>环境管理计划表</w:t>
      </w:r>
    </w:p>
    <w:tbl>
      <w:tblPr>
        <w:tblStyle w:val="40"/>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652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51"/>
            </w:pPr>
            <w:r>
              <w:rPr>
                <w:rFonts w:hint="eastAsia"/>
              </w:rPr>
              <w:t>阶段</w:t>
            </w:r>
          </w:p>
        </w:tc>
        <w:tc>
          <w:tcPr>
            <w:tcW w:w="1134" w:type="dxa"/>
            <w:vAlign w:val="center"/>
          </w:tcPr>
          <w:p>
            <w:pPr>
              <w:pStyle w:val="51"/>
            </w:pPr>
            <w:r>
              <w:rPr>
                <w:rFonts w:hint="eastAsia"/>
              </w:rPr>
              <w:t>污染</w:t>
            </w:r>
          </w:p>
        </w:tc>
        <w:tc>
          <w:tcPr>
            <w:tcW w:w="6521" w:type="dxa"/>
            <w:vAlign w:val="center"/>
          </w:tcPr>
          <w:p>
            <w:pPr>
              <w:pStyle w:val="51"/>
            </w:pPr>
            <w:r>
              <w:rPr>
                <w:rFonts w:hint="eastAsia"/>
              </w:rPr>
              <w:t>处理措施及内容</w:t>
            </w:r>
          </w:p>
        </w:tc>
        <w:tc>
          <w:tcPr>
            <w:tcW w:w="1134" w:type="dxa"/>
            <w:vAlign w:val="center"/>
          </w:tcPr>
          <w:p>
            <w:pPr>
              <w:pStyle w:val="51"/>
            </w:pPr>
            <w:r>
              <w:rPr>
                <w:rFonts w:hint="eastAsia"/>
              </w:rPr>
              <w:t>实施机构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pStyle w:val="51"/>
            </w:pPr>
            <w:r>
              <w:rPr>
                <w:rFonts w:hint="eastAsia"/>
              </w:rPr>
              <w:t>施工期</w:t>
            </w:r>
          </w:p>
        </w:tc>
        <w:tc>
          <w:tcPr>
            <w:tcW w:w="1134" w:type="dxa"/>
            <w:vAlign w:val="center"/>
          </w:tcPr>
          <w:p>
            <w:pPr>
              <w:pStyle w:val="51"/>
            </w:pPr>
            <w:r>
              <w:rPr>
                <w:rFonts w:hint="eastAsia"/>
              </w:rPr>
              <w:t>大气污染</w:t>
            </w:r>
          </w:p>
        </w:tc>
        <w:tc>
          <w:tcPr>
            <w:tcW w:w="6521" w:type="dxa"/>
            <w:vAlign w:val="center"/>
          </w:tcPr>
          <w:p>
            <w:pPr>
              <w:pStyle w:val="51"/>
            </w:pPr>
            <w:r>
              <w:rPr>
                <w:rFonts w:hint="eastAsia"/>
              </w:rPr>
              <w:t>进出施工场地路口硬化；洒水降尘；及时清理运输车辆泥土和路面尘土；建材等运输车辆密闭</w:t>
            </w:r>
          </w:p>
        </w:tc>
        <w:tc>
          <w:tcPr>
            <w:tcW w:w="1134" w:type="dxa"/>
            <w:vMerge w:val="restart"/>
            <w:vAlign w:val="center"/>
          </w:tcPr>
          <w:p>
            <w:pPr>
              <w:pStyle w:val="51"/>
            </w:pPr>
            <w:r>
              <w:rPr>
                <w:rFonts w:hint="eastAsia"/>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134" w:type="dxa"/>
            <w:vAlign w:val="center"/>
          </w:tcPr>
          <w:p>
            <w:pPr>
              <w:pStyle w:val="51"/>
            </w:pPr>
            <w:r>
              <w:rPr>
                <w:rFonts w:hint="eastAsia"/>
              </w:rPr>
              <w:t>水污染</w:t>
            </w:r>
          </w:p>
        </w:tc>
        <w:tc>
          <w:tcPr>
            <w:tcW w:w="6521" w:type="dxa"/>
            <w:vAlign w:val="center"/>
          </w:tcPr>
          <w:p>
            <w:pPr>
              <w:pStyle w:val="51"/>
            </w:pPr>
            <w:r>
              <w:rPr>
                <w:rFonts w:hint="eastAsia"/>
              </w:rPr>
              <w:t>施工废水经沉淀池处理后，回用于施工场地洒水抑尘、车辆冲洗，不外排；生活污水依托周边居民现有污水处理设施</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continue"/>
            <w:vAlign w:val="center"/>
          </w:tcPr>
          <w:p>
            <w:pPr>
              <w:pStyle w:val="51"/>
            </w:pPr>
          </w:p>
        </w:tc>
        <w:tc>
          <w:tcPr>
            <w:tcW w:w="1134" w:type="dxa"/>
            <w:vAlign w:val="center"/>
          </w:tcPr>
          <w:p>
            <w:pPr>
              <w:pStyle w:val="51"/>
            </w:pPr>
            <w:r>
              <w:rPr>
                <w:rFonts w:hint="eastAsia"/>
              </w:rPr>
              <w:t xml:space="preserve">噪声污染 </w:t>
            </w:r>
          </w:p>
        </w:tc>
        <w:tc>
          <w:tcPr>
            <w:tcW w:w="6521" w:type="dxa"/>
            <w:vAlign w:val="center"/>
          </w:tcPr>
          <w:p>
            <w:pPr>
              <w:pStyle w:val="51"/>
            </w:pPr>
            <w:r>
              <w:rPr>
                <w:rFonts w:hint="eastAsia"/>
              </w:rPr>
              <w:t>尽量选用低噪声施工机械，合理安排施工时间；运输车辆匀速行驶，禁止鸣笛</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134" w:type="dxa"/>
            <w:vAlign w:val="center"/>
          </w:tcPr>
          <w:p>
            <w:pPr>
              <w:pStyle w:val="51"/>
            </w:pPr>
            <w:r>
              <w:rPr>
                <w:rFonts w:hint="eastAsia"/>
              </w:rPr>
              <w:t>固体废物</w:t>
            </w:r>
          </w:p>
        </w:tc>
        <w:tc>
          <w:tcPr>
            <w:tcW w:w="6521" w:type="dxa"/>
            <w:vAlign w:val="center"/>
          </w:tcPr>
          <w:p>
            <w:pPr>
              <w:pStyle w:val="51"/>
            </w:pPr>
            <w:r>
              <w:rPr>
                <w:rFonts w:hint="eastAsia"/>
              </w:rPr>
              <w:t>建筑垃圾能回用的回用，不能回用的当地主管部门的要求运往建筑垃圾堆放点集中处理；生活垃圾交由环卫部门统一清运处理</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pStyle w:val="51"/>
            </w:pPr>
            <w:r>
              <w:rPr>
                <w:rFonts w:hint="eastAsia"/>
              </w:rPr>
              <w:t>营运期</w:t>
            </w:r>
          </w:p>
        </w:tc>
        <w:tc>
          <w:tcPr>
            <w:tcW w:w="1134" w:type="dxa"/>
            <w:vAlign w:val="center"/>
          </w:tcPr>
          <w:p>
            <w:pPr>
              <w:pStyle w:val="51"/>
            </w:pPr>
            <w:r>
              <w:rPr>
                <w:rFonts w:hint="eastAsia"/>
              </w:rPr>
              <w:t>大气污染</w:t>
            </w:r>
          </w:p>
        </w:tc>
        <w:tc>
          <w:tcPr>
            <w:tcW w:w="6521" w:type="dxa"/>
            <w:vAlign w:val="center"/>
          </w:tcPr>
          <w:p>
            <w:pPr>
              <w:pStyle w:val="51"/>
            </w:pPr>
            <w:r>
              <w:rPr>
                <w:rFonts w:hint="eastAsia"/>
              </w:rPr>
              <w:t>在饲料中添加EM菌对蛋鸡进行喂养，同时鸡粪采用干清粪封闭式输送带输送，每天及时清运、加强通风，定期喷洒生物除臭剂，加强绿化；在鸡粪风干车间风道出口设置高压水帘装置，并使用微生物除臭剂溶液作为循环水，每日对车间周边喷洒生物除臭剂；</w:t>
            </w: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r>
              <w:rPr>
                <w:rFonts w:hint="eastAsia"/>
              </w:rPr>
              <w:t>厌氧段污水处理设施均密闭，定期喷洒除臭剂，加强绿化</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134" w:type="dxa"/>
            <w:vAlign w:val="center"/>
          </w:tcPr>
          <w:p>
            <w:pPr>
              <w:pStyle w:val="51"/>
            </w:pPr>
            <w:r>
              <w:rPr>
                <w:rFonts w:hint="eastAsia"/>
              </w:rPr>
              <w:t>水污染</w:t>
            </w:r>
          </w:p>
        </w:tc>
        <w:tc>
          <w:tcPr>
            <w:tcW w:w="6521" w:type="dxa"/>
            <w:vAlign w:val="center"/>
          </w:tcPr>
          <w:p>
            <w:pPr>
              <w:pStyle w:val="51"/>
            </w:pPr>
            <w:r>
              <w:rPr>
                <w:rFonts w:hint="eastAsia"/>
              </w:rPr>
              <w:t>雨污分流管网、污水处理站、尾水浇灌管网</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Merge w:val="continue"/>
            <w:vAlign w:val="center"/>
          </w:tcPr>
          <w:p>
            <w:pPr>
              <w:pStyle w:val="51"/>
            </w:pPr>
          </w:p>
        </w:tc>
        <w:tc>
          <w:tcPr>
            <w:tcW w:w="1134" w:type="dxa"/>
            <w:vAlign w:val="center"/>
          </w:tcPr>
          <w:p>
            <w:pPr>
              <w:pStyle w:val="51"/>
            </w:pPr>
            <w:r>
              <w:rPr>
                <w:rFonts w:hint="eastAsia"/>
              </w:rPr>
              <w:t>噪声污染</w:t>
            </w:r>
          </w:p>
        </w:tc>
        <w:tc>
          <w:tcPr>
            <w:tcW w:w="6521" w:type="dxa"/>
            <w:vAlign w:val="center"/>
          </w:tcPr>
          <w:p>
            <w:pPr>
              <w:pStyle w:val="51"/>
            </w:pPr>
            <w:r>
              <w:rPr>
                <w:rFonts w:hint="eastAsia"/>
              </w:rPr>
              <w:t>确保设备正常运行，确保厂界噪声达标</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134" w:type="dxa"/>
            <w:vAlign w:val="center"/>
          </w:tcPr>
          <w:p>
            <w:pPr>
              <w:pStyle w:val="51"/>
            </w:pPr>
            <w:r>
              <w:rPr>
                <w:rFonts w:hint="eastAsia"/>
              </w:rPr>
              <w:t>固体废物</w:t>
            </w:r>
          </w:p>
        </w:tc>
        <w:tc>
          <w:tcPr>
            <w:tcW w:w="6521" w:type="dxa"/>
            <w:vAlign w:val="center"/>
          </w:tcPr>
          <w:p>
            <w:pPr>
              <w:pStyle w:val="51"/>
            </w:pPr>
            <w:r>
              <w:rPr>
                <w:rFonts w:hint="eastAsia" w:ascii="宋体" w:hAnsi="宋体"/>
              </w:rPr>
              <w:t>鸡粪、污泥送鸡粪风干车间风干后，转运至湖南恩润生物科技有限公司制造有机肥；病死鸡</w:t>
            </w:r>
            <w:r>
              <w:rPr>
                <w:rFonts w:hint="eastAsia"/>
              </w:rPr>
              <w:t>在冷冻库暂存后定期交由永州恩泉环保科技有限公司无害化处置；废包装材料收集在一般固废暂存间内暂存，再外售综合利用；</w:t>
            </w:r>
            <w:r>
              <w:rPr>
                <w:rFonts w:hint="eastAsia" w:ascii="宋体" w:hAnsi="宋体"/>
              </w:rPr>
              <w:t>医疗垃圾在危废暂存间分类暂存，再定期交由有资质单位处置；生活垃圾收集后由环卫部门统一清运处理。</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pStyle w:val="51"/>
            </w:pPr>
          </w:p>
        </w:tc>
        <w:tc>
          <w:tcPr>
            <w:tcW w:w="1134" w:type="dxa"/>
            <w:vAlign w:val="center"/>
          </w:tcPr>
          <w:p>
            <w:pPr>
              <w:pStyle w:val="51"/>
            </w:pPr>
            <w:r>
              <w:rPr>
                <w:rFonts w:hint="eastAsia"/>
              </w:rPr>
              <w:t xml:space="preserve">环保管 </w:t>
            </w:r>
          </w:p>
          <w:p>
            <w:pPr>
              <w:pStyle w:val="51"/>
            </w:pPr>
            <w:r>
              <w:rPr>
                <w:rFonts w:hint="eastAsia"/>
              </w:rPr>
              <w:t>理机构</w:t>
            </w:r>
          </w:p>
        </w:tc>
        <w:tc>
          <w:tcPr>
            <w:tcW w:w="6521" w:type="dxa"/>
            <w:vAlign w:val="center"/>
          </w:tcPr>
          <w:p>
            <w:pPr>
              <w:pStyle w:val="51"/>
            </w:pPr>
            <w:r>
              <w:rPr>
                <w:rFonts w:hint="eastAsia"/>
              </w:rPr>
              <w:t>企业内部应成立环保管理机构并配备专职的环保管理人员，制定健全的环保管理和负责制度</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Align w:val="center"/>
          </w:tcPr>
          <w:p>
            <w:pPr>
              <w:pStyle w:val="51"/>
            </w:pPr>
            <w:r>
              <w:rPr>
                <w:rFonts w:hint="eastAsia"/>
              </w:rPr>
              <w:t>风险防范措施</w:t>
            </w:r>
          </w:p>
        </w:tc>
        <w:tc>
          <w:tcPr>
            <w:tcW w:w="6521" w:type="dxa"/>
            <w:vAlign w:val="center"/>
          </w:tcPr>
          <w:p>
            <w:pPr>
              <w:pStyle w:val="51"/>
            </w:pPr>
            <w:r>
              <w:t>1.</w:t>
            </w:r>
            <w:r>
              <w:rPr>
                <w:rFonts w:hint="eastAsia"/>
              </w:rPr>
              <w:t>加强环保设施的管理，一旦发现不能正常运行应立即采取措施。一旦发生事故能够迅速做出反应，及时上报并能采取有效控制；</w:t>
            </w:r>
            <w:r>
              <w:t>2.</w:t>
            </w:r>
            <w:r>
              <w:rPr>
                <w:rFonts w:hint="eastAsia"/>
              </w:rPr>
              <w:t>加强职工培训，建全安全生产制度，防止生产事故发生，确保无污染事故发生；</w:t>
            </w:r>
            <w:r>
              <w:t>3.</w:t>
            </w:r>
            <w:r>
              <w:rPr>
                <w:rFonts w:hint="eastAsia"/>
              </w:rPr>
              <w:t>配备污染事故应急处理设备，制订相应处理措施，明确人员和操作规程，一旦发生污染事故能够迅速做出反应，及时上报并能采取有效控制。</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838" w:type="dxa"/>
            <w:gridSpan w:val="2"/>
            <w:vAlign w:val="center"/>
          </w:tcPr>
          <w:p>
            <w:pPr>
              <w:pStyle w:val="51"/>
            </w:pPr>
            <w:r>
              <w:rPr>
                <w:rFonts w:hint="eastAsia"/>
              </w:rPr>
              <w:t>环境监测</w:t>
            </w:r>
          </w:p>
        </w:tc>
        <w:tc>
          <w:tcPr>
            <w:tcW w:w="6521" w:type="dxa"/>
            <w:vAlign w:val="center"/>
          </w:tcPr>
          <w:p>
            <w:pPr>
              <w:pStyle w:val="51"/>
            </w:pPr>
            <w:r>
              <w:rPr>
                <w:rFonts w:hint="eastAsia"/>
              </w:rPr>
              <w:t>按照环境监测技术规范和国家生态环境保护部颁布的相关标准法律及规范，严格执行环境监测。</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38" w:type="dxa"/>
            <w:gridSpan w:val="2"/>
            <w:vAlign w:val="center"/>
          </w:tcPr>
          <w:p>
            <w:pPr>
              <w:pStyle w:val="51"/>
            </w:pPr>
            <w:r>
              <w:rPr>
                <w:rFonts w:hint="eastAsia"/>
              </w:rPr>
              <w:t>台账管理</w:t>
            </w:r>
          </w:p>
        </w:tc>
        <w:tc>
          <w:tcPr>
            <w:tcW w:w="6521" w:type="dxa"/>
            <w:vAlign w:val="center"/>
          </w:tcPr>
          <w:p>
            <w:pPr>
              <w:pStyle w:val="51"/>
            </w:pPr>
            <w:r>
              <w:t>1.</w:t>
            </w:r>
            <w:r>
              <w:rPr>
                <w:rFonts w:hint="eastAsia"/>
              </w:rPr>
              <w:t>对应本项目所有污染排放口的名称、位置、数量以及排放污染物名称、数量等内容进行统计，并登记上报当地环保部门，以便进行 验收和排放口的规范化管理。</w:t>
            </w:r>
            <w:r>
              <w:t>2.</w:t>
            </w:r>
            <w:r>
              <w:rPr>
                <w:rFonts w:hint="eastAsia"/>
              </w:rPr>
              <w:t>对各项环保设施运行状况进行记录，对重要的环境因素、环保检查、环境事件、非常规</w:t>
            </w:r>
            <w:r>
              <w:rPr>
                <w:rFonts w:ascii="宋体" w:hAnsi="宋体"/>
              </w:rPr>
              <w:t>“</w:t>
            </w:r>
            <w:r>
              <w:rPr>
                <w:rFonts w:hint="eastAsia"/>
              </w:rPr>
              <w:t>三废</w:t>
            </w:r>
            <w:r>
              <w:rPr>
                <w:rFonts w:ascii="宋体" w:hAnsi="宋体"/>
              </w:rPr>
              <w:t>”</w:t>
            </w:r>
            <w:r>
              <w:rPr>
                <w:rFonts w:hint="eastAsia"/>
              </w:rPr>
              <w:t>排放、环保设施的常规检测形成相应的台账存档。</w:t>
            </w:r>
          </w:p>
        </w:tc>
        <w:tc>
          <w:tcPr>
            <w:tcW w:w="1134"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38" w:type="dxa"/>
            <w:gridSpan w:val="2"/>
            <w:vAlign w:val="center"/>
          </w:tcPr>
          <w:p>
            <w:pPr>
              <w:pStyle w:val="51"/>
            </w:pPr>
            <w:r>
              <w:rPr>
                <w:rFonts w:hint="eastAsia"/>
              </w:rPr>
              <w:t>信息公开</w:t>
            </w:r>
          </w:p>
        </w:tc>
        <w:tc>
          <w:tcPr>
            <w:tcW w:w="6521" w:type="dxa"/>
            <w:vAlign w:val="center"/>
          </w:tcPr>
          <w:p>
            <w:pPr>
              <w:pStyle w:val="51"/>
            </w:pPr>
            <w:r>
              <w:rPr>
                <w:rFonts w:hint="eastAsia"/>
              </w:rPr>
              <w:t>根据《企业事业单位环境信息公开办法》（﹝</w:t>
            </w:r>
            <w:r>
              <w:t>2014</w:t>
            </w:r>
            <w:r>
              <w:rPr>
                <w:rFonts w:hint="eastAsia"/>
              </w:rPr>
              <w:t>﹞部令</w:t>
            </w:r>
          </w:p>
          <w:p>
            <w:pPr>
              <w:pStyle w:val="51"/>
            </w:pPr>
            <w:r>
              <w:rPr>
                <w:rFonts w:hint="eastAsia"/>
              </w:rPr>
              <w:t xml:space="preserve">第 </w:t>
            </w:r>
            <w:r>
              <w:t>31</w:t>
            </w:r>
            <w:r>
              <w:rPr>
                <w:rFonts w:hint="eastAsia"/>
              </w:rPr>
              <w:t>号）执行。</w:t>
            </w:r>
          </w:p>
        </w:tc>
        <w:tc>
          <w:tcPr>
            <w:tcW w:w="1134" w:type="dxa"/>
            <w:vMerge w:val="continue"/>
            <w:vAlign w:val="center"/>
          </w:tcPr>
          <w:p>
            <w:pPr>
              <w:pStyle w:val="51"/>
            </w:pPr>
          </w:p>
        </w:tc>
      </w:tr>
    </w:tbl>
    <w:p>
      <w:pPr>
        <w:pStyle w:val="4"/>
        <w:keepNext w:val="0"/>
        <w:keepLines w:val="0"/>
        <w:widowControl w:val="0"/>
      </w:pPr>
      <w:bookmarkStart w:id="331" w:name="_Toc194481264"/>
      <w:r>
        <w:t>9.</w:t>
      </w:r>
      <w:r>
        <w:rPr>
          <w:rFonts w:hint="eastAsia"/>
        </w:rPr>
        <w:t>1</w:t>
      </w:r>
      <w:r>
        <w:t>.</w:t>
      </w:r>
      <w:r>
        <w:rPr>
          <w:rFonts w:hint="eastAsia"/>
        </w:rPr>
        <w:t>4 监理环境管理台账</w:t>
      </w:r>
      <w:bookmarkEnd w:id="331"/>
    </w:p>
    <w:p>
      <w:pPr>
        <w:pStyle w:val="49"/>
        <w:ind w:firstLine="480"/>
      </w:pPr>
      <w:r>
        <w:rPr>
          <w:rFonts w:hint="eastAsia"/>
        </w:rPr>
        <w:t xml:space="preserve">环境管理台账，指排污单位根据排污许可证的规定，对自行监测、落实各项环境管理要求等行为的具体记录。 </w:t>
      </w:r>
    </w:p>
    <w:p>
      <w:pPr>
        <w:pStyle w:val="49"/>
        <w:ind w:firstLine="480"/>
      </w:pPr>
      <w:r>
        <w:rPr>
          <w:rFonts w:hint="eastAsia"/>
        </w:rPr>
        <w:t>根据《排污许可证申请与核发技术规范畜禽养殖行业》（</w:t>
      </w:r>
      <w:r>
        <w:t>HJ1029-2019</w:t>
      </w:r>
      <w:r>
        <w:rPr>
          <w:rFonts w:hint="eastAsia"/>
        </w:rPr>
        <w:t xml:space="preserve">）， 排污单位应建立环境管理台账记录制度，设置专职人员进行台账的记录、整理、 维护和管理等，台账记录频次和内容须满足排污许可证环境管理要求，并对环境管理台账的真实性、完整性和规范性负责。 </w:t>
      </w:r>
    </w:p>
    <w:p>
      <w:pPr>
        <w:pStyle w:val="49"/>
        <w:ind w:firstLine="480"/>
      </w:pPr>
      <w:r>
        <w:rPr>
          <w:rFonts w:hint="eastAsia"/>
        </w:rPr>
        <w:t xml:space="preserve">环境管理台账记录内容包括基本信息、生产设施运行管理信息、污染防治设施运行管理信息、监测记录信息及其他环境管理信息等。主要生产设施、污染防治设施、排放口编码应与排污许可证副本中载明的编码一致。环境管理台账记录形式分为电子台账和纸质台账两种形式，保存时间原则上不低于 </w:t>
      </w:r>
      <w:r>
        <w:t xml:space="preserve">5 </w:t>
      </w:r>
      <w:r>
        <w:rPr>
          <w:rFonts w:hint="eastAsia"/>
        </w:rPr>
        <w:t>年。</w:t>
      </w:r>
    </w:p>
    <w:p>
      <w:pPr>
        <w:pStyle w:val="3"/>
        <w:keepNext w:val="0"/>
        <w:keepLines w:val="0"/>
        <w:widowControl w:val="0"/>
        <w:jc w:val="both"/>
      </w:pPr>
      <w:bookmarkStart w:id="332" w:name="_Toc194481265"/>
      <w:r>
        <w:t xml:space="preserve">9.2 </w:t>
      </w:r>
      <w:r>
        <w:rPr>
          <w:rFonts w:hint="eastAsia"/>
        </w:rPr>
        <w:t>环境监测</w:t>
      </w:r>
      <w:bookmarkEnd w:id="332"/>
    </w:p>
    <w:p>
      <w:pPr>
        <w:pStyle w:val="49"/>
        <w:ind w:firstLine="480"/>
      </w:pPr>
      <w:r>
        <w:rPr>
          <w:rFonts w:hint="eastAsia"/>
        </w:rPr>
        <w:t>环境监测（包括污染源监测）是企业环境保护的重要组成部分，也是企业的一项规范化制度。根据环境监测结果进行数据整理分析，建立监测档案，可为掌握污染物排放变化规律及污染源治理提供依据，为上级生态环境主管部门进行区域环境规划、管理执法提供依据。同时，环境监测也是企业实现污染物总量控制，做到清洁生产的重要保障手段之一。</w:t>
      </w:r>
    </w:p>
    <w:p>
      <w:pPr>
        <w:pStyle w:val="4"/>
        <w:keepNext w:val="0"/>
        <w:keepLines w:val="0"/>
        <w:widowControl w:val="0"/>
      </w:pPr>
      <w:bookmarkStart w:id="333" w:name="_Toc194481266"/>
      <w:r>
        <w:t xml:space="preserve">9.2.1 </w:t>
      </w:r>
      <w:r>
        <w:rPr>
          <w:rFonts w:hint="eastAsia"/>
        </w:rPr>
        <w:t>环境监测管理</w:t>
      </w:r>
      <w:bookmarkEnd w:id="333"/>
    </w:p>
    <w:p>
      <w:pPr>
        <w:pStyle w:val="49"/>
        <w:ind w:firstLine="480"/>
      </w:pPr>
      <w:r>
        <w:rPr>
          <w:rFonts w:hint="eastAsia"/>
        </w:rPr>
        <w:t>环境监测是为环境管理提供科学依据的必不可少的基础性工作，是执行环 保法规、评价环境质量、判断环保治理设施运行效果的重要手段，在环保管理中起着举足轻重的作用。</w:t>
      </w:r>
    </w:p>
    <w:p>
      <w:pPr>
        <w:pStyle w:val="4"/>
        <w:keepNext w:val="0"/>
        <w:keepLines w:val="0"/>
        <w:widowControl w:val="0"/>
      </w:pPr>
      <w:bookmarkStart w:id="334" w:name="_Toc194481267"/>
      <w:r>
        <w:t xml:space="preserve">9.2.2 </w:t>
      </w:r>
      <w:r>
        <w:rPr>
          <w:rFonts w:hint="eastAsia"/>
        </w:rPr>
        <w:t>环境监测工作的要求</w:t>
      </w:r>
      <w:bookmarkEnd w:id="334"/>
    </w:p>
    <w:p>
      <w:pPr>
        <w:pStyle w:val="49"/>
        <w:ind w:firstLine="480"/>
      </w:pPr>
      <w:r>
        <w:rPr>
          <w:rFonts w:hint="eastAsia"/>
        </w:rPr>
        <w:t xml:space="preserve">1、环境监测工作应包括污染源源强与环境质量状况（项目场区、场界敏 感点）两部分内容，对水、气、声、渣几方面进行监控，重点为水和气两方面。 </w:t>
      </w:r>
    </w:p>
    <w:p>
      <w:pPr>
        <w:pStyle w:val="49"/>
        <w:ind w:firstLine="480"/>
      </w:pPr>
      <w:r>
        <w:rPr>
          <w:rFonts w:hint="eastAsia"/>
        </w:rPr>
        <w:t xml:space="preserve">2、治理工程的监测时间要统一安排，监测工作应接受环保部门的指导和 审查。 </w:t>
      </w:r>
    </w:p>
    <w:p>
      <w:pPr>
        <w:pStyle w:val="49"/>
        <w:ind w:firstLine="480"/>
      </w:pPr>
      <w:r>
        <w:rPr>
          <w:rFonts w:hint="eastAsia"/>
        </w:rPr>
        <w:t xml:space="preserve">3、应注重监测数据的完整性和准确性，建立环保档案，搞好数据积累工 作，监测结果定期向有关部门上报，发现问题，及时解决，将环境监测与节能降耗、产品质量、生产安全等职能部门的工作相结合，为企业决策提供依据。 </w:t>
      </w:r>
    </w:p>
    <w:p>
      <w:pPr>
        <w:pStyle w:val="49"/>
        <w:ind w:firstLine="480"/>
      </w:pPr>
      <w:r>
        <w:rPr>
          <w:rFonts w:hint="eastAsia"/>
        </w:rPr>
        <w:t>4、发现废水不正常排放或事故泄漏时，应立即向环境管理机构报告，并 加强在不正常排放期间对各项水质、大气监测。环境管理机构除应立即采取事故排放的应急措施外，还应立即向环保主管部门报告。</w:t>
      </w:r>
    </w:p>
    <w:p>
      <w:pPr>
        <w:pStyle w:val="4"/>
        <w:keepNext w:val="0"/>
        <w:keepLines w:val="0"/>
        <w:widowControl w:val="0"/>
      </w:pPr>
      <w:bookmarkStart w:id="335" w:name="_Toc194481268"/>
      <w:r>
        <w:t xml:space="preserve">9.2.3 </w:t>
      </w:r>
      <w:r>
        <w:rPr>
          <w:rFonts w:hint="eastAsia"/>
        </w:rPr>
        <w:t>环境监测</w:t>
      </w:r>
      <w:bookmarkEnd w:id="335"/>
    </w:p>
    <w:p>
      <w:pPr>
        <w:pStyle w:val="49"/>
        <w:ind w:firstLine="480"/>
      </w:pPr>
      <w:r>
        <w:rPr>
          <w:rFonts w:hint="eastAsia"/>
        </w:rPr>
        <w:t>根据《环境影响评价技术导则地下水环境》（</w:t>
      </w:r>
      <w:r>
        <w:t>HJ610-2016</w:t>
      </w:r>
      <w:r>
        <w:rPr>
          <w:rFonts w:hint="eastAsia"/>
        </w:rPr>
        <w:t>）本项目地下水环境评价等级为三级评价，应制定地下水环境影响跟踪监测计划。</w:t>
      </w:r>
    </w:p>
    <w:p>
      <w:pPr>
        <w:pStyle w:val="49"/>
        <w:ind w:firstLine="480"/>
      </w:pPr>
      <w:r>
        <w:rPr>
          <w:rFonts w:hint="eastAsia"/>
        </w:rPr>
        <w:t>根据《排污许可证申请与核发技术规范畜禽养殖行业》（</w:t>
      </w:r>
      <w:r>
        <w:t>HJ1029-2019</w:t>
      </w:r>
      <w:r>
        <w:rPr>
          <w:rFonts w:hint="eastAsia"/>
        </w:rPr>
        <w:t>）的相关要求，制定本项目的自行监测计划。建设单位应做好与监测相关的数据记录，按照规定进行保存，并依据相关法规向社会公开监测结果。项目营运期污染源监测计划见表 9</w:t>
      </w:r>
      <w:r>
        <w:t>.2-</w:t>
      </w:r>
      <w:r>
        <w:rPr>
          <w:rFonts w:hint="eastAsia"/>
        </w:rPr>
        <w:t>1、环境质量监测计划见表 9</w:t>
      </w:r>
      <w:r>
        <w:t>.2-</w:t>
      </w:r>
      <w:r>
        <w:rPr>
          <w:rFonts w:hint="eastAsia"/>
        </w:rPr>
        <w:t>2。</w:t>
      </w:r>
    </w:p>
    <w:p>
      <w:pPr>
        <w:pStyle w:val="49"/>
        <w:ind w:firstLine="480"/>
      </w:pPr>
      <w:r>
        <w:rPr>
          <w:rFonts w:hint="eastAsia"/>
        </w:rPr>
        <w:t>1、污染源监测计划</w:t>
      </w:r>
    </w:p>
    <w:p>
      <w:pPr>
        <w:pStyle w:val="49"/>
        <w:ind w:firstLine="480"/>
      </w:pPr>
      <w:r>
        <w:rPr>
          <w:rFonts w:hint="eastAsia"/>
        </w:rPr>
        <w:t>本项目废水主要有鸡舍冲洗废水和生活污水，</w:t>
      </w:r>
      <w:bookmarkStart w:id="336" w:name="_Hlk193959720"/>
      <w:r>
        <w:rPr>
          <w:rFonts w:hint="eastAsia"/>
        </w:rPr>
        <w:t>一起进去一体化污水处理设施处理达标后，用于周边林地灌溉浇灌。本项目无外排废水，不设污水排放口，不设废水自行监测。</w:t>
      </w:r>
    </w:p>
    <w:bookmarkEnd w:id="336"/>
    <w:p>
      <w:pPr>
        <w:pStyle w:val="53"/>
      </w:pPr>
      <w:r>
        <w:rPr>
          <w:rFonts w:hint="eastAsia"/>
        </w:rPr>
        <w:t xml:space="preserve">表 </w:t>
      </w:r>
      <w:r>
        <w:rPr>
          <w:rFonts w:cs="Times New Roman"/>
        </w:rPr>
        <w:t xml:space="preserve">9.2-1 </w:t>
      </w:r>
      <w:r>
        <w:rPr>
          <w:rFonts w:hint="eastAsia" w:cs="Times New Roman"/>
        </w:rPr>
        <w:t xml:space="preserve"> </w:t>
      </w:r>
      <w:r>
        <w:rPr>
          <w:rFonts w:hint="eastAsia"/>
        </w:rPr>
        <w:t>项目污染源监测计划</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835"/>
        <w:gridCol w:w="3041"/>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51"/>
            </w:pPr>
            <w:r>
              <w:rPr>
                <w:rFonts w:hint="eastAsia"/>
              </w:rPr>
              <w:t>监测要素</w:t>
            </w:r>
          </w:p>
        </w:tc>
        <w:tc>
          <w:tcPr>
            <w:tcW w:w="2835" w:type="dxa"/>
            <w:vAlign w:val="center"/>
          </w:tcPr>
          <w:p>
            <w:pPr>
              <w:pStyle w:val="51"/>
            </w:pPr>
            <w:r>
              <w:rPr>
                <w:rFonts w:hint="eastAsia"/>
              </w:rPr>
              <w:t>监测点位</w:t>
            </w:r>
          </w:p>
        </w:tc>
        <w:tc>
          <w:tcPr>
            <w:tcW w:w="3041" w:type="dxa"/>
            <w:vAlign w:val="center"/>
          </w:tcPr>
          <w:p>
            <w:pPr>
              <w:pStyle w:val="51"/>
            </w:pPr>
            <w:r>
              <w:rPr>
                <w:rFonts w:hint="eastAsia"/>
              </w:rPr>
              <w:t>监测项目</w:t>
            </w:r>
          </w:p>
        </w:tc>
        <w:tc>
          <w:tcPr>
            <w:tcW w:w="1291" w:type="dxa"/>
            <w:vAlign w:val="center"/>
          </w:tcPr>
          <w:p>
            <w:pPr>
              <w:pStyle w:val="51"/>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51"/>
            </w:pPr>
            <w:r>
              <w:rPr>
                <w:rFonts w:hint="eastAsia"/>
              </w:rPr>
              <w:t>废气</w:t>
            </w:r>
          </w:p>
        </w:tc>
        <w:tc>
          <w:tcPr>
            <w:tcW w:w="2835" w:type="dxa"/>
            <w:vAlign w:val="center"/>
          </w:tcPr>
          <w:p>
            <w:pPr>
              <w:pStyle w:val="51"/>
            </w:pPr>
            <w:r>
              <w:rPr>
                <w:rFonts w:hint="eastAsia"/>
              </w:rPr>
              <w:t>厂界周边</w:t>
            </w:r>
          </w:p>
        </w:tc>
        <w:tc>
          <w:tcPr>
            <w:tcW w:w="3041" w:type="dxa"/>
            <w:vAlign w:val="center"/>
          </w:tcPr>
          <w:p>
            <w:pPr>
              <w:pStyle w:val="51"/>
            </w:pPr>
            <w:r>
              <w:rPr>
                <w:rFonts w:hint="eastAsia"/>
              </w:rPr>
              <w:t>NH</w:t>
            </w:r>
            <w:r>
              <w:rPr>
                <w:rFonts w:hint="eastAsia"/>
                <w:vertAlign w:val="subscript"/>
              </w:rPr>
              <w:t>3</w:t>
            </w:r>
            <w:r>
              <w:rPr>
                <w:rFonts w:hint="eastAsia"/>
              </w:rPr>
              <w:t>、H</w:t>
            </w:r>
            <w:r>
              <w:rPr>
                <w:rFonts w:hint="eastAsia"/>
                <w:vertAlign w:val="subscript"/>
              </w:rPr>
              <w:t>2</w:t>
            </w:r>
            <w:r>
              <w:rPr>
                <w:rFonts w:hint="eastAsia"/>
              </w:rPr>
              <w:t>S、臭气浓度、颗粒物</w:t>
            </w:r>
          </w:p>
        </w:tc>
        <w:tc>
          <w:tcPr>
            <w:tcW w:w="1291" w:type="dxa"/>
            <w:vAlign w:val="center"/>
          </w:tcPr>
          <w:p>
            <w:pPr>
              <w:pStyle w:val="51"/>
            </w:pPr>
            <w:r>
              <w:rPr>
                <w:rFonts w:hint="eastAsia"/>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51"/>
            </w:pPr>
            <w:r>
              <w:rPr>
                <w:rFonts w:hint="eastAsia"/>
              </w:rPr>
              <w:t>噪声</w:t>
            </w:r>
          </w:p>
        </w:tc>
        <w:tc>
          <w:tcPr>
            <w:tcW w:w="2835" w:type="dxa"/>
            <w:vAlign w:val="center"/>
          </w:tcPr>
          <w:p>
            <w:pPr>
              <w:pStyle w:val="51"/>
            </w:pPr>
            <w:r>
              <w:rPr>
                <w:color w:val="000000"/>
                <w:szCs w:val="21"/>
              </w:rPr>
              <w:t>四周厂界外1m</w:t>
            </w:r>
          </w:p>
        </w:tc>
        <w:tc>
          <w:tcPr>
            <w:tcW w:w="3041" w:type="dxa"/>
            <w:vAlign w:val="center"/>
          </w:tcPr>
          <w:p>
            <w:pPr>
              <w:pStyle w:val="51"/>
              <w:rPr>
                <w:color w:val="000000"/>
                <w:szCs w:val="21"/>
              </w:rPr>
            </w:pPr>
            <w:r>
              <w:rPr>
                <w:color w:val="000000"/>
                <w:szCs w:val="21"/>
              </w:rPr>
              <w:t>等效连续A声级dB(A)</w:t>
            </w:r>
          </w:p>
        </w:tc>
        <w:tc>
          <w:tcPr>
            <w:tcW w:w="1291" w:type="dxa"/>
            <w:vAlign w:val="center"/>
          </w:tcPr>
          <w:p>
            <w:pPr>
              <w:pStyle w:val="51"/>
            </w:pPr>
            <w:r>
              <w:rPr>
                <w:rFonts w:hint="eastAsia"/>
              </w:rPr>
              <w:t>1次/季度</w:t>
            </w:r>
          </w:p>
        </w:tc>
      </w:tr>
    </w:tbl>
    <w:p>
      <w:pPr>
        <w:pStyle w:val="49"/>
        <w:ind w:firstLine="480"/>
      </w:pPr>
      <w:r>
        <w:rPr>
          <w:rFonts w:hint="eastAsia"/>
        </w:rPr>
        <w:t>2、环境质量监测计划</w:t>
      </w:r>
    </w:p>
    <w:p>
      <w:pPr>
        <w:pStyle w:val="53"/>
      </w:pPr>
      <w:r>
        <w:rPr>
          <w:rFonts w:hint="eastAsia"/>
        </w:rPr>
        <w:t xml:space="preserve">表 </w:t>
      </w:r>
      <w:r>
        <w:rPr>
          <w:rFonts w:cs="Times New Roman"/>
        </w:rPr>
        <w:t>9.2-</w:t>
      </w:r>
      <w:r>
        <w:rPr>
          <w:rFonts w:hint="eastAsia" w:cs="Times New Roman"/>
        </w:rPr>
        <w:t>2</w:t>
      </w:r>
      <w:r>
        <w:rPr>
          <w:rFonts w:cs="Times New Roman"/>
        </w:rPr>
        <w:t xml:space="preserve"> </w:t>
      </w:r>
      <w:r>
        <w:rPr>
          <w:rFonts w:hint="eastAsia" w:cs="Times New Roman"/>
        </w:rPr>
        <w:t xml:space="preserve"> </w:t>
      </w:r>
      <w:r>
        <w:rPr>
          <w:rFonts w:hint="eastAsia"/>
        </w:rPr>
        <w:t>项目环境质量监测计划</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843"/>
        <w:gridCol w:w="4033"/>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51"/>
            </w:pPr>
            <w:r>
              <w:rPr>
                <w:rFonts w:hint="eastAsia"/>
              </w:rPr>
              <w:t>监测要素</w:t>
            </w:r>
          </w:p>
        </w:tc>
        <w:tc>
          <w:tcPr>
            <w:tcW w:w="1843" w:type="dxa"/>
            <w:vAlign w:val="center"/>
          </w:tcPr>
          <w:p>
            <w:pPr>
              <w:pStyle w:val="51"/>
            </w:pPr>
            <w:r>
              <w:rPr>
                <w:rFonts w:hint="eastAsia"/>
              </w:rPr>
              <w:t>监测点位</w:t>
            </w:r>
          </w:p>
        </w:tc>
        <w:tc>
          <w:tcPr>
            <w:tcW w:w="4033" w:type="dxa"/>
            <w:vAlign w:val="center"/>
          </w:tcPr>
          <w:p>
            <w:pPr>
              <w:pStyle w:val="51"/>
            </w:pPr>
            <w:r>
              <w:rPr>
                <w:rFonts w:hint="eastAsia"/>
              </w:rPr>
              <w:t>监测项目</w:t>
            </w:r>
          </w:p>
        </w:tc>
        <w:tc>
          <w:tcPr>
            <w:tcW w:w="1291" w:type="dxa"/>
            <w:vAlign w:val="center"/>
          </w:tcPr>
          <w:p>
            <w:pPr>
              <w:pStyle w:val="51"/>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51"/>
            </w:pPr>
            <w:r>
              <w:rPr>
                <w:rFonts w:hint="eastAsia"/>
              </w:rPr>
              <w:t>地下水</w:t>
            </w:r>
          </w:p>
          <w:p>
            <w:pPr>
              <w:pStyle w:val="51"/>
            </w:pPr>
            <w:r>
              <w:rPr>
                <w:rFonts w:hint="eastAsia"/>
              </w:rPr>
              <w:t>环境</w:t>
            </w:r>
          </w:p>
        </w:tc>
        <w:tc>
          <w:tcPr>
            <w:tcW w:w="1843" w:type="dxa"/>
            <w:vAlign w:val="center"/>
          </w:tcPr>
          <w:p>
            <w:pPr>
              <w:pStyle w:val="51"/>
              <w:rPr>
                <w:color w:val="000000"/>
                <w:szCs w:val="21"/>
              </w:rPr>
            </w:pPr>
            <w:r>
              <w:rPr>
                <w:rFonts w:hint="eastAsia"/>
                <w:color w:val="000000"/>
                <w:szCs w:val="21"/>
              </w:rPr>
              <w:t>场区水井</w:t>
            </w:r>
          </w:p>
        </w:tc>
        <w:tc>
          <w:tcPr>
            <w:tcW w:w="4033" w:type="dxa"/>
            <w:vAlign w:val="center"/>
          </w:tcPr>
          <w:p>
            <w:pPr>
              <w:pStyle w:val="51"/>
              <w:rPr>
                <w:color w:val="000000"/>
                <w:szCs w:val="21"/>
              </w:rPr>
            </w:pPr>
            <w:r>
              <w:rPr>
                <w:rFonts w:cs="Times New Roman"/>
              </w:rPr>
              <w:t>pH</w:t>
            </w:r>
            <w:r>
              <w:rPr>
                <w:rFonts w:hint="eastAsia"/>
              </w:rPr>
              <w:t>、</w:t>
            </w:r>
            <w:r>
              <w:rPr>
                <w:szCs w:val="21"/>
              </w:rPr>
              <w:t>K</w:t>
            </w:r>
            <w:r>
              <w:rPr>
                <w:szCs w:val="21"/>
                <w:vertAlign w:val="superscript"/>
              </w:rPr>
              <w:t>+</w:t>
            </w:r>
            <w:r>
              <w:rPr>
                <w:rFonts w:hint="eastAsia"/>
                <w:szCs w:val="21"/>
              </w:rPr>
              <w:t>、</w:t>
            </w:r>
            <w:r>
              <w:rPr>
                <w:szCs w:val="21"/>
              </w:rPr>
              <w:t>Na</w:t>
            </w:r>
            <w:r>
              <w:rPr>
                <w:szCs w:val="21"/>
                <w:vertAlign w:val="superscript"/>
              </w:rPr>
              <w:t>+</w:t>
            </w:r>
            <w:r>
              <w:rPr>
                <w:rFonts w:hint="eastAsia"/>
                <w:szCs w:val="21"/>
              </w:rPr>
              <w:t>、</w:t>
            </w:r>
            <w:r>
              <w:rPr>
                <w:szCs w:val="21"/>
              </w:rPr>
              <w:t>Ca</w:t>
            </w:r>
            <w:r>
              <w:rPr>
                <w:szCs w:val="21"/>
                <w:vertAlign w:val="superscript"/>
              </w:rPr>
              <w:t>2+</w:t>
            </w:r>
            <w:r>
              <w:rPr>
                <w:rFonts w:hint="eastAsia"/>
                <w:szCs w:val="21"/>
              </w:rPr>
              <w:t>、</w:t>
            </w:r>
            <w:r>
              <w:rPr>
                <w:szCs w:val="21"/>
              </w:rPr>
              <w:t>Mg</w:t>
            </w:r>
            <w:r>
              <w:rPr>
                <w:szCs w:val="21"/>
                <w:vertAlign w:val="superscript"/>
              </w:rPr>
              <w:t>2+</w:t>
            </w:r>
            <w:r>
              <w:rPr>
                <w:rFonts w:hint="eastAsia"/>
                <w:szCs w:val="21"/>
              </w:rPr>
              <w:t>、</w:t>
            </w:r>
            <w:r>
              <w:rPr>
                <w:szCs w:val="21"/>
              </w:rPr>
              <w:t>CO</w:t>
            </w:r>
            <w:r>
              <w:rPr>
                <w:szCs w:val="21"/>
                <w:vertAlign w:val="subscript"/>
              </w:rPr>
              <w:t>3</w:t>
            </w:r>
            <w:r>
              <w:rPr>
                <w:szCs w:val="21"/>
                <w:vertAlign w:val="superscript"/>
              </w:rPr>
              <w:t>2-</w:t>
            </w:r>
            <w:r>
              <w:rPr>
                <w:rFonts w:hint="eastAsia"/>
                <w:szCs w:val="21"/>
              </w:rPr>
              <w:t>、</w:t>
            </w:r>
            <w:r>
              <w:rPr>
                <w:szCs w:val="21"/>
              </w:rPr>
              <w:t>HCO</w:t>
            </w:r>
            <w:r>
              <w:rPr>
                <w:szCs w:val="21"/>
                <w:vertAlign w:val="superscript"/>
              </w:rPr>
              <w:t>-</w:t>
            </w:r>
            <w:r>
              <w:rPr>
                <w:rFonts w:hint="eastAsia"/>
                <w:szCs w:val="21"/>
              </w:rPr>
              <w:t>、Cl</w:t>
            </w:r>
            <w:r>
              <w:rPr>
                <w:szCs w:val="21"/>
                <w:vertAlign w:val="superscript"/>
              </w:rPr>
              <w:t>-</w:t>
            </w:r>
            <w:r>
              <w:rPr>
                <w:rFonts w:hint="eastAsia"/>
                <w:szCs w:val="21"/>
              </w:rPr>
              <w:t>、SO</w:t>
            </w:r>
            <w:r>
              <w:rPr>
                <w:rFonts w:hint="eastAsia"/>
                <w:szCs w:val="21"/>
                <w:vertAlign w:val="subscript"/>
              </w:rPr>
              <w:t>4</w:t>
            </w:r>
            <w:r>
              <w:rPr>
                <w:rFonts w:hint="eastAsia"/>
                <w:szCs w:val="21"/>
                <w:vertAlign w:val="superscript"/>
              </w:rPr>
              <w:t>2-</w:t>
            </w:r>
            <w:r>
              <w:rPr>
                <w:rFonts w:hint="eastAsia"/>
                <w:szCs w:val="21"/>
              </w:rPr>
              <w:t>、</w:t>
            </w:r>
            <w:r>
              <w:rPr>
                <w:rFonts w:hint="eastAsia"/>
              </w:rPr>
              <w:t>氨氮、砷、硝酸盐、亚硝酸盐、挥发性酚类、氰化物、汞、总大肠菌群、菌落总数</w:t>
            </w:r>
          </w:p>
        </w:tc>
        <w:tc>
          <w:tcPr>
            <w:tcW w:w="1291" w:type="dxa"/>
            <w:vAlign w:val="center"/>
          </w:tcPr>
          <w:p>
            <w:pPr>
              <w:pStyle w:val="51"/>
            </w:pPr>
            <w:r>
              <w:rPr>
                <w:rFonts w:hint="eastAsia"/>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51"/>
            </w:pPr>
            <w:r>
              <w:rPr>
                <w:rFonts w:hint="eastAsia"/>
              </w:rPr>
              <w:t>土壤</w:t>
            </w:r>
          </w:p>
        </w:tc>
        <w:tc>
          <w:tcPr>
            <w:tcW w:w="1843" w:type="dxa"/>
            <w:vAlign w:val="center"/>
          </w:tcPr>
          <w:p>
            <w:pPr>
              <w:pStyle w:val="51"/>
              <w:rPr>
                <w:color w:val="000000"/>
                <w:szCs w:val="21"/>
              </w:rPr>
            </w:pPr>
            <w:r>
              <w:rPr>
                <w:rFonts w:hint="eastAsia"/>
                <w:color w:val="000000"/>
                <w:szCs w:val="21"/>
              </w:rPr>
              <w:t>周边林地</w:t>
            </w:r>
          </w:p>
        </w:tc>
        <w:tc>
          <w:tcPr>
            <w:tcW w:w="4033" w:type="dxa"/>
            <w:vAlign w:val="center"/>
          </w:tcPr>
          <w:p>
            <w:pPr>
              <w:pStyle w:val="51"/>
              <w:rPr>
                <w:rFonts w:cs="Times New Roman"/>
              </w:rPr>
            </w:pPr>
            <w:r>
              <w:rPr>
                <w:rFonts w:hint="eastAsia" w:cs="Times New Roman"/>
              </w:rPr>
              <w:t>pH、镉、铜、镍、铅、铬、汞、砷、锌</w:t>
            </w:r>
          </w:p>
        </w:tc>
        <w:tc>
          <w:tcPr>
            <w:tcW w:w="1291" w:type="dxa"/>
            <w:vAlign w:val="center"/>
          </w:tcPr>
          <w:p>
            <w:pPr>
              <w:pStyle w:val="51"/>
            </w:pPr>
            <w:r>
              <w:t xml:space="preserve">1 </w:t>
            </w:r>
            <w:r>
              <w:rPr>
                <w:rFonts w:hint="eastAsia"/>
              </w:rPr>
              <w:t>次</w:t>
            </w:r>
            <w:r>
              <w:t xml:space="preserve">/5 </w:t>
            </w:r>
            <w:r>
              <w:rPr>
                <w:rFonts w:hint="eastAsia"/>
              </w:rPr>
              <w:t>年</w:t>
            </w:r>
          </w:p>
        </w:tc>
      </w:tr>
    </w:tbl>
    <w:p>
      <w:pPr>
        <w:pStyle w:val="49"/>
        <w:ind w:firstLine="480"/>
      </w:pPr>
      <w:r>
        <w:rPr>
          <w:rFonts w:hint="eastAsia"/>
        </w:rPr>
        <w:t>环境监测计划由建设单位负责机构及有资质的环境监测机构共同完成，从人员、设备、方法、制度等方面全面落实监测工作，有资质的环境监测机构负责项目场区及区域环境的监测。</w:t>
      </w:r>
    </w:p>
    <w:p>
      <w:pPr>
        <w:pStyle w:val="49"/>
        <w:ind w:firstLine="480"/>
      </w:pPr>
      <w:r>
        <w:rPr>
          <w:rFonts w:hint="eastAsia"/>
        </w:rPr>
        <w:t>3、环境监控程序</w:t>
      </w:r>
    </w:p>
    <w:p>
      <w:pPr>
        <w:pStyle w:val="49"/>
        <w:ind w:firstLine="480"/>
      </w:pPr>
      <w:r>
        <w:rPr>
          <w:rFonts w:hint="eastAsia"/>
        </w:rPr>
        <w:t>根据本项目特征，结合同类项目的运行管理经验及环境管理体系的要求，建设单位应拟订工程在建设期、运营期的环境监控程序。环境监控程序的内容应包括如下方面：</w:t>
      </w:r>
    </w:p>
    <w:p>
      <w:pPr>
        <w:pStyle w:val="49"/>
        <w:ind w:firstLine="480"/>
      </w:pPr>
      <w:r>
        <w:rPr>
          <w:rFonts w:hint="eastAsia"/>
        </w:rPr>
        <w:t xml:space="preserve">① 设立专门的环境管理机构，资金和人员的保证。 </w:t>
      </w:r>
    </w:p>
    <w:p>
      <w:pPr>
        <w:pStyle w:val="49"/>
        <w:ind w:firstLine="480"/>
      </w:pPr>
      <w:r>
        <w:rPr>
          <w:rFonts w:hint="eastAsia"/>
        </w:rPr>
        <w:t xml:space="preserve">② 根据施工计划和本环评中的具体内容，制定针对拟建工程的环境管理制度、环境监测方案、培训计划、污染防治措施。 </w:t>
      </w:r>
    </w:p>
    <w:p>
      <w:pPr>
        <w:pStyle w:val="49"/>
        <w:ind w:firstLine="480"/>
      </w:pPr>
      <w:r>
        <w:rPr>
          <w:rFonts w:hint="eastAsia"/>
        </w:rPr>
        <w:t xml:space="preserve">③ 按要求组织培训，确保全体人员环境意识、操作能力的要求，包括采用上述污染防治措施的技能培训。 </w:t>
      </w:r>
    </w:p>
    <w:p>
      <w:pPr>
        <w:pStyle w:val="49"/>
        <w:ind w:firstLine="480"/>
      </w:pPr>
      <w:r>
        <w:rPr>
          <w:rFonts w:hint="eastAsia"/>
        </w:rPr>
        <w:t xml:space="preserve">④ 明确分工，责任落实到人，按计划进行日常管理（包括现场监督检查），对拟建工程的环境影响实施监控。 </w:t>
      </w:r>
    </w:p>
    <w:p>
      <w:pPr>
        <w:pStyle w:val="49"/>
        <w:ind w:firstLine="480"/>
      </w:pPr>
      <w:r>
        <w:rPr>
          <w:rFonts w:hint="eastAsia"/>
        </w:rPr>
        <w:t xml:space="preserve">⑤ 建立良好的信息交流渠道，尤其对可能产生的居民投诉应建立有效的响应途径。 </w:t>
      </w:r>
    </w:p>
    <w:p>
      <w:pPr>
        <w:pStyle w:val="49"/>
        <w:ind w:firstLine="480"/>
      </w:pPr>
      <w:r>
        <w:rPr>
          <w:rFonts w:hint="eastAsia"/>
        </w:rPr>
        <w:t xml:space="preserve">⑥ 组织各相关监测单位按监测计划实施定期监测，并将监测结果及时上报有关部门。 </w:t>
      </w:r>
    </w:p>
    <w:p>
      <w:pPr>
        <w:pStyle w:val="49"/>
        <w:ind w:firstLine="480"/>
      </w:pPr>
      <w:r>
        <w:rPr>
          <w:rFonts w:hint="eastAsia"/>
        </w:rPr>
        <w:t xml:space="preserve">⑦ 对建设期和运营期出现的环境违法和扰民问题及时予以纠正，制定预防措施，必要时修改相关管理办法，适应具体情况的需要。 </w:t>
      </w:r>
    </w:p>
    <w:p>
      <w:pPr>
        <w:pStyle w:val="49"/>
        <w:ind w:firstLine="480"/>
      </w:pPr>
      <w:r>
        <w:rPr>
          <w:rFonts w:hint="eastAsia"/>
        </w:rPr>
        <w:t xml:space="preserve">⑧ 作好环境管理过程中重要记录的管理，如监测报告、居民投诉、限期治理整改单等等。 </w:t>
      </w:r>
    </w:p>
    <w:p>
      <w:pPr>
        <w:pStyle w:val="49"/>
        <w:ind w:firstLine="480"/>
      </w:pPr>
      <w:r>
        <w:rPr>
          <w:rFonts w:hint="eastAsia"/>
        </w:rPr>
        <w:t>⑨ 环境管理机构定期对工作的实施予以审查，编制拟建工程环境监控报告上报有关部门。根据环境行政主管部门对拟建工程环境监控报告的审查意见和可能存在的有关环境问题的投诉，对环境管理监控程序的相关部分进行持续改进，以更好地完成环境管理工作。</w:t>
      </w:r>
    </w:p>
    <w:p>
      <w:pPr>
        <w:pStyle w:val="49"/>
        <w:ind w:firstLine="480"/>
      </w:pPr>
      <w:r>
        <w:rPr>
          <w:rFonts w:hint="eastAsia"/>
        </w:rPr>
        <w:t xml:space="preserve">4、环境监控报告 </w:t>
      </w:r>
    </w:p>
    <w:p>
      <w:pPr>
        <w:pStyle w:val="49"/>
        <w:ind w:firstLine="480"/>
      </w:pPr>
      <w:r>
        <w:rPr>
          <w:rFonts w:hint="eastAsia"/>
        </w:rPr>
        <w:t xml:space="preserve">本项目投入运营后，由环境监测单位定期编制环境监控报告（一般每年 </w:t>
      </w:r>
      <w:r>
        <w:t xml:space="preserve">1 </w:t>
      </w:r>
      <w:r>
        <w:rPr>
          <w:rFonts w:hint="eastAsia"/>
        </w:rPr>
        <w:t>次），主要内容应包括：环境管理机构的设置和变化情况、对环保部门关于前期报告的审查意见的落实情况、监测制度等</w:t>
      </w:r>
    </w:p>
    <w:p>
      <w:pPr>
        <w:pStyle w:val="4"/>
        <w:keepNext w:val="0"/>
        <w:keepLines w:val="0"/>
        <w:widowControl w:val="0"/>
      </w:pPr>
      <w:bookmarkStart w:id="337" w:name="_Toc194481269"/>
      <w:r>
        <w:rPr>
          <w:rFonts w:hint="eastAsia"/>
        </w:rPr>
        <w:t>9</w:t>
      </w:r>
      <w:r>
        <w:t xml:space="preserve">.2.5 </w:t>
      </w:r>
      <w:r>
        <w:rPr>
          <w:rFonts w:hint="eastAsia"/>
        </w:rPr>
        <w:t>监测工作保障措施</w:t>
      </w:r>
      <w:bookmarkEnd w:id="337"/>
    </w:p>
    <w:p>
      <w:pPr>
        <w:pStyle w:val="49"/>
        <w:ind w:firstLine="480"/>
      </w:pPr>
      <w:r>
        <w:rPr>
          <w:rFonts w:hint="eastAsia"/>
        </w:rPr>
        <w:t xml:space="preserve">1、组织实施：建设单位可根据监测计划委托有资质的环境监测机构进行 环境监测工作，监测机构负责完成建设单位委托的监测任务，确保环境监测工作能按监测计划顺利完成。 </w:t>
      </w:r>
    </w:p>
    <w:p>
      <w:pPr>
        <w:pStyle w:val="49"/>
        <w:ind w:firstLine="480"/>
      </w:pPr>
      <w:r>
        <w:rPr>
          <w:rFonts w:hint="eastAsia"/>
        </w:rPr>
        <w:t>2、技术保证措施：为了确保监测质量，监测人员必须持有相应的资格证 书或上岗证书。</w:t>
      </w:r>
    </w:p>
    <w:p>
      <w:pPr>
        <w:pStyle w:val="49"/>
        <w:ind w:firstLine="480"/>
      </w:pPr>
      <w:r>
        <w:rPr>
          <w:rFonts w:hint="eastAsia"/>
        </w:rPr>
        <w:t xml:space="preserve">3、在监测过程中，如发现某污染因子有超标异常情况，应分析原因并报告环境管理机构，及时采取改进生产或加强污染控制的措施。 </w:t>
      </w:r>
    </w:p>
    <w:p>
      <w:pPr>
        <w:pStyle w:val="49"/>
        <w:ind w:firstLine="480"/>
      </w:pPr>
      <w:r>
        <w:rPr>
          <w:rFonts w:hint="eastAsia"/>
        </w:rPr>
        <w:t xml:space="preserve">4、建立合理可行的监测质量保证措施，保证监测数据客观、公正、准确、 可靠、不受行政和其他因素的干预。 </w:t>
      </w:r>
    </w:p>
    <w:p>
      <w:pPr>
        <w:pStyle w:val="49"/>
        <w:ind w:firstLine="480"/>
      </w:pPr>
      <w:r>
        <w:rPr>
          <w:rFonts w:hint="eastAsia"/>
        </w:rPr>
        <w:t xml:space="preserve">5、定期（月、季、年）对检测数据进行综合分析，掌握废气、废水、噪 声达标排放情况，并向管理机构作出书面汇报，并及时向社会公开企业污染物排放情况及采取的污染防治措施。 </w:t>
      </w:r>
    </w:p>
    <w:p>
      <w:pPr>
        <w:pStyle w:val="49"/>
        <w:ind w:firstLine="480"/>
      </w:pPr>
      <w:r>
        <w:rPr>
          <w:rFonts w:hint="eastAsia"/>
        </w:rPr>
        <w:t>6、建立监测资料档案。</w:t>
      </w:r>
    </w:p>
    <w:p>
      <w:pPr>
        <w:pStyle w:val="3"/>
        <w:keepNext w:val="0"/>
        <w:keepLines w:val="0"/>
        <w:widowControl w:val="0"/>
        <w:jc w:val="both"/>
      </w:pPr>
      <w:bookmarkStart w:id="338" w:name="_Toc194481270"/>
      <w:r>
        <w:t>9.</w:t>
      </w:r>
      <w:r>
        <w:rPr>
          <w:rFonts w:hint="eastAsia"/>
        </w:rPr>
        <w:t>3</w:t>
      </w:r>
      <w:r>
        <w:t xml:space="preserve"> </w:t>
      </w:r>
      <w:r>
        <w:rPr>
          <w:rFonts w:hint="eastAsia"/>
        </w:rPr>
        <w:t>排污许可管理</w:t>
      </w:r>
      <w:bookmarkEnd w:id="338"/>
    </w:p>
    <w:p>
      <w:pPr>
        <w:pStyle w:val="49"/>
        <w:ind w:firstLine="480"/>
      </w:pPr>
      <w:r>
        <w:rPr>
          <w:rFonts w:hint="eastAsia"/>
        </w:rPr>
        <w:t>国家根据排放污染物的企业事业单位和其他生产经营者污染物产生量、排放量和环境危害程度等因素，实行排污许可重点管理、简化管理和登记管理。根据《固定污染源排污许可分类管理名录（</w:t>
      </w:r>
      <w:r>
        <w:t xml:space="preserve">2019 </w:t>
      </w:r>
      <w:r>
        <w:rPr>
          <w:rFonts w:hint="eastAsia"/>
        </w:rPr>
        <w:t>年版）》，行业类别为</w:t>
      </w:r>
      <w:r>
        <w:rPr>
          <w:rFonts w:ascii="宋体" w:hAnsi="宋体"/>
        </w:rPr>
        <w:t>“</w:t>
      </w:r>
      <w:r>
        <w:rPr>
          <w:rFonts w:hint="eastAsia"/>
        </w:rPr>
        <w:t>家禽饲养</w:t>
      </w:r>
      <w:r>
        <w:t>032—</w:t>
      </w:r>
      <w:r>
        <w:rPr>
          <w:rFonts w:hint="eastAsia"/>
        </w:rPr>
        <w:t>无污水排放口的模化畜禽养殖场、养殖小区</w:t>
      </w:r>
      <w:r>
        <w:rPr>
          <w:rFonts w:ascii="宋体" w:hAnsi="宋体"/>
        </w:rPr>
        <w:t>”</w:t>
      </w:r>
      <w:r>
        <w:rPr>
          <w:rFonts w:hint="eastAsia"/>
        </w:rPr>
        <w:t>的企业实行排污许可登记管理，适用排污许可行业技术规范为《排污许可证申请与核发技术规范畜禽养殖行业》（</w:t>
      </w:r>
      <w:r>
        <w:t>HJ1029-2019</w:t>
      </w:r>
      <w:r>
        <w:rPr>
          <w:rFonts w:hint="eastAsia"/>
        </w:rPr>
        <w:t>）。</w:t>
      </w:r>
    </w:p>
    <w:p>
      <w:pPr>
        <w:pStyle w:val="49"/>
        <w:ind w:firstLine="480"/>
      </w:pPr>
      <w:r>
        <w:rPr>
          <w:rFonts w:hint="eastAsia"/>
        </w:rPr>
        <w:t>本项目废水主要鸡舍冲洗废水和生活污水，</w:t>
      </w:r>
      <w:bookmarkStart w:id="339" w:name="_Hlk193959758"/>
      <w:r>
        <w:rPr>
          <w:rFonts w:hint="eastAsia"/>
        </w:rPr>
        <w:t>一起进入场区一体化污水处理设施处理达标后，用于周边林地灌溉，不外排。本项目不设污水排放口。因此本项目属于登记管理单位。</w:t>
      </w:r>
    </w:p>
    <w:bookmarkEnd w:id="339"/>
    <w:p>
      <w:pPr>
        <w:pStyle w:val="49"/>
        <w:ind w:firstLine="480"/>
      </w:pPr>
      <w:r>
        <w:rPr>
          <w:rFonts w:hint="eastAsia"/>
        </w:rPr>
        <w:t xml:space="preserve">实行登记管理的排污单位，不需要申请取得排污许可证，应当在全国排污许可证管理信息平台填报排污登记表，登记基本信息、污染物排放去向、执行的污染物排放标准以及采取的污染防治措施等信息。 </w:t>
      </w:r>
    </w:p>
    <w:p>
      <w:pPr>
        <w:pStyle w:val="49"/>
        <w:ind w:firstLine="480"/>
      </w:pPr>
      <w:r>
        <w:rPr>
          <w:rFonts w:hint="eastAsia"/>
        </w:rPr>
        <w:t xml:space="preserve">排污单位需进行建档管理，排污单位建立排污口档案，把排污口规范化资 料、监测资料、污染物排放资料等收集、立卷、建档。 </w:t>
      </w:r>
    </w:p>
    <w:p>
      <w:pPr>
        <w:pStyle w:val="49"/>
        <w:ind w:firstLine="480"/>
      </w:pPr>
      <w:r>
        <w:rPr>
          <w:rFonts w:hint="eastAsia"/>
        </w:rPr>
        <w:t xml:space="preserve">项目污染防治设施应严格按原国家环境保护总局令第 </w:t>
      </w:r>
      <w:r>
        <w:t xml:space="preserve">39 </w:t>
      </w:r>
      <w:r>
        <w:rPr>
          <w:rFonts w:hint="eastAsia"/>
        </w:rPr>
        <w:t>号《环境监测管理 办法》中规定执行，落实监控设施建设。</w:t>
      </w:r>
    </w:p>
    <w:p>
      <w:pPr>
        <w:pStyle w:val="3"/>
        <w:keepNext w:val="0"/>
        <w:keepLines w:val="0"/>
        <w:widowControl w:val="0"/>
        <w:jc w:val="both"/>
      </w:pPr>
      <w:bookmarkStart w:id="340" w:name="_Toc194481271"/>
      <w:r>
        <w:t>9.</w:t>
      </w:r>
      <w:r>
        <w:rPr>
          <w:rFonts w:hint="eastAsia"/>
        </w:rPr>
        <w:t>4</w:t>
      </w:r>
      <w:r>
        <w:t xml:space="preserve"> </w:t>
      </w:r>
      <w:r>
        <w:rPr>
          <w:rFonts w:hint="eastAsia"/>
        </w:rPr>
        <w:t>排污口规范化建设及管理</w:t>
      </w:r>
      <w:bookmarkEnd w:id="340"/>
    </w:p>
    <w:p>
      <w:pPr>
        <w:pStyle w:val="4"/>
        <w:keepNext w:val="0"/>
        <w:keepLines w:val="0"/>
        <w:widowControl w:val="0"/>
      </w:pPr>
      <w:bookmarkStart w:id="341" w:name="_Toc183185623"/>
      <w:bookmarkStart w:id="342" w:name="_Toc194481272"/>
      <w:r>
        <w:t>9.</w:t>
      </w:r>
      <w:r>
        <w:rPr>
          <w:rFonts w:hint="eastAsia"/>
        </w:rPr>
        <w:t>4</w:t>
      </w:r>
      <w:r>
        <w:t>.</w:t>
      </w:r>
      <w:r>
        <w:rPr>
          <w:rFonts w:hint="eastAsia"/>
        </w:rPr>
        <w:t>1</w:t>
      </w:r>
      <w:r>
        <w:t xml:space="preserve"> </w:t>
      </w:r>
      <w:r>
        <w:rPr>
          <w:rFonts w:hint="eastAsia"/>
        </w:rPr>
        <w:t>排污口规范化建设</w:t>
      </w:r>
      <w:bookmarkEnd w:id="341"/>
      <w:bookmarkEnd w:id="342"/>
    </w:p>
    <w:p>
      <w:pPr>
        <w:pStyle w:val="49"/>
        <w:ind w:firstLine="480"/>
      </w:pPr>
      <w:r>
        <w:rPr>
          <w:rFonts w:hint="eastAsia"/>
        </w:rPr>
        <w:t>依据国家标准《环境保护图形标志</w:t>
      </w:r>
      <w:r>
        <w:t>—</w:t>
      </w:r>
      <w:r>
        <w:rPr>
          <w:rFonts w:hint="eastAsia"/>
        </w:rPr>
        <w:t>排放口（源）》和国家环保局《排污口规范化整治要求（试行）》的技术要求，所有排污口（包括水、渣、气、声），必须按照</w:t>
      </w:r>
      <w:r>
        <w:rPr>
          <w:rFonts w:ascii="宋体" w:hAnsi="宋体"/>
        </w:rPr>
        <w:t>“</w:t>
      </w:r>
      <w:r>
        <w:rPr>
          <w:rFonts w:hint="eastAsia"/>
        </w:rPr>
        <w:t>便于采样、便于计量监测、便于日常现场监督检查</w:t>
      </w:r>
      <w:r>
        <w:rPr>
          <w:rFonts w:ascii="宋体" w:hAnsi="宋体"/>
        </w:rPr>
        <w:t>”</w:t>
      </w:r>
      <w:r>
        <w:rPr>
          <w:rFonts w:hint="eastAsia"/>
        </w:rPr>
        <w:t>的原则和规范化要求，设置与之相适应的环境保护图形标志牌，绘制企业排污口分布图。排污口的规范化要求如下：</w:t>
      </w:r>
    </w:p>
    <w:p>
      <w:pPr>
        <w:pStyle w:val="49"/>
        <w:ind w:firstLine="480"/>
      </w:pPr>
      <w:r>
        <w:rPr>
          <w:rFonts w:hint="eastAsia"/>
        </w:rPr>
        <w:t>1、污水排放口规范化设置</w:t>
      </w:r>
    </w:p>
    <w:p>
      <w:pPr>
        <w:pStyle w:val="49"/>
        <w:ind w:firstLine="480"/>
      </w:pPr>
      <w:r>
        <w:rPr>
          <w:rFonts w:hint="eastAsia"/>
        </w:rPr>
        <w:t>鸡舍冲洗废水和生活污水一起进入一体化污水处理设施处理达标后，用于周边林地灌溉，不外排，不设污水排放口。</w:t>
      </w:r>
    </w:p>
    <w:p>
      <w:pPr>
        <w:pStyle w:val="49"/>
        <w:ind w:firstLine="480"/>
      </w:pPr>
      <w:r>
        <w:rPr>
          <w:rFonts w:hint="eastAsia"/>
        </w:rPr>
        <w:t>2、废气排放口规范化设置</w:t>
      </w:r>
    </w:p>
    <w:p>
      <w:pPr>
        <w:pStyle w:val="49"/>
        <w:ind w:firstLine="480"/>
      </w:pPr>
      <w:r>
        <w:rPr>
          <w:rFonts w:hint="eastAsia"/>
        </w:rPr>
        <w:t>项目运营期废气均为无组织排放，不设废气排放口。</w:t>
      </w:r>
    </w:p>
    <w:p>
      <w:pPr>
        <w:pStyle w:val="49"/>
        <w:ind w:firstLine="480"/>
      </w:pPr>
      <w:r>
        <w:rPr>
          <w:rFonts w:hint="eastAsia"/>
        </w:rPr>
        <w:t>3、固定噪声源</w:t>
      </w:r>
    </w:p>
    <w:p>
      <w:pPr>
        <w:pStyle w:val="49"/>
        <w:ind w:firstLine="480"/>
      </w:pPr>
      <w:r>
        <w:rPr>
          <w:rFonts w:hint="eastAsia"/>
        </w:rPr>
        <w:t>在固定噪声源对厂界噪声影响最大处，设置环境保护图形标志牌。</w:t>
      </w:r>
    </w:p>
    <w:p>
      <w:pPr>
        <w:pStyle w:val="49"/>
        <w:ind w:firstLine="480"/>
      </w:pPr>
      <w:r>
        <w:rPr>
          <w:rFonts w:hint="eastAsia"/>
        </w:rPr>
        <w:t>4、固体废物贮存场所</w:t>
      </w:r>
    </w:p>
    <w:p>
      <w:pPr>
        <w:pStyle w:val="49"/>
        <w:ind w:firstLine="480"/>
      </w:pPr>
      <w:r>
        <w:rPr>
          <w:rFonts w:hint="eastAsia"/>
        </w:rPr>
        <w:t>设置专门的储存设施或堆放场所、运输通道。存放场应采取防散、防流、防渗措施，并应在存放场边界和进出口位置设置环保标志牌。</w:t>
      </w:r>
    </w:p>
    <w:p>
      <w:pPr>
        <w:pStyle w:val="49"/>
        <w:ind w:firstLine="480"/>
      </w:pPr>
      <w:r>
        <w:rPr>
          <w:rFonts w:hint="eastAsia"/>
        </w:rPr>
        <w:t>5、设置标志牌要求</w:t>
      </w:r>
    </w:p>
    <w:p>
      <w:pPr>
        <w:pStyle w:val="49"/>
        <w:ind w:firstLine="480"/>
      </w:pPr>
      <w:r>
        <w:rPr>
          <w:rFonts w:hint="eastAsia"/>
        </w:rPr>
        <w:t xml:space="preserve">环保标志牌按照标准制作，一般污染物排放口设置提示标志牌，排放有毒有害等污染物的排放口设置警告式标志牌。标志牌应设置在排污口（采样点）附近且醒目处，高度为标志牌上缘离地面 </w:t>
      </w:r>
      <w:r>
        <w:t>2m</w:t>
      </w:r>
      <w:r>
        <w:rPr>
          <w:rFonts w:hint="eastAsia"/>
        </w:rPr>
        <w:t xml:space="preserve">，排污口附近 </w:t>
      </w:r>
      <w:r>
        <w:t xml:space="preserve">1m </w:t>
      </w:r>
      <w:r>
        <w:rPr>
          <w:rFonts w:hint="eastAsia"/>
        </w:rPr>
        <w:t>范围内有建筑物的，设平面式标志牌，无建筑物的设立式标志牌。规范化排污口的有关设置（如力形标志牌、计量装置、监控装置等）属环保设施，排污单位必须负责日常的维护保养，任何单位和个人不得擅自拆除。</w:t>
      </w:r>
    </w:p>
    <w:p>
      <w:pPr>
        <w:pStyle w:val="49"/>
        <w:ind w:firstLine="480"/>
      </w:pPr>
      <w:r>
        <w:rPr>
          <w:rFonts w:hint="eastAsia"/>
        </w:rPr>
        <w:t>6、排污口管理</w:t>
      </w:r>
    </w:p>
    <w:p>
      <w:pPr>
        <w:pStyle w:val="49"/>
        <w:ind w:firstLine="480"/>
      </w:pPr>
      <w:r>
        <w:rPr>
          <w:rFonts w:hint="eastAsia"/>
        </w:rPr>
        <w:t>建设单位应在各排放口处竖立或挂上排放口标准，标志牌应注明污染物名 称以警示周围群众。建设单位应如实填写《中华人民共和国规范化排污口标志登记》的有关内容，由生态环境主管部门签发登记证。建设单位应把有关排污情况如排污口的性质，编号、排污口的位置以及主要排放的污染物种类、数量、浓度、排放规律及污染治理设施的运行情况等进行建档管理，并报送生态环境主管部门备案。建立排污口基础资料档案和管理档案。</w:t>
      </w:r>
    </w:p>
    <w:p>
      <w:pPr>
        <w:pStyle w:val="49"/>
        <w:ind w:firstLine="480"/>
      </w:pPr>
      <w:r>
        <w:rPr>
          <w:rFonts w:hint="eastAsia"/>
        </w:rPr>
        <w:t>有下列情况之一时，须履行排污口变更申报登记手续，更换标志牌和更改登记注册内容：①排放主要污染物种类、数量、浓度发生变化的；②位置发生变化的；③须拆除或闲置的；④须增加、调整、改造或更新的。</w:t>
      </w:r>
    </w:p>
    <w:p>
      <w:pPr>
        <w:pStyle w:val="49"/>
        <w:ind w:firstLine="480"/>
      </w:pPr>
      <w:r>
        <w:rPr>
          <w:rFonts w:hint="eastAsia"/>
        </w:rPr>
        <w:t>7、环境保护图形标志</w:t>
      </w:r>
    </w:p>
    <w:p>
      <w:pPr>
        <w:pStyle w:val="49"/>
        <w:ind w:firstLine="480"/>
      </w:pPr>
      <w:r>
        <w:rPr>
          <w:rFonts w:hint="eastAsia"/>
        </w:rPr>
        <w:t>在项目的废气排放源、固体废物贮存处置场应设置环境保护图形标志，图形符号分为提示图形和警告图形符号两种，分别按《环境保护图形标志</w:t>
      </w:r>
      <w:r>
        <w:t>—</w:t>
      </w:r>
      <w:r>
        <w:rPr>
          <w:rFonts w:hint="eastAsia"/>
        </w:rPr>
        <w:t>排放口（源）》（</w:t>
      </w:r>
      <w:r>
        <w:t>GB15562.1-1995</w:t>
      </w:r>
      <w:r>
        <w:rPr>
          <w:rFonts w:hint="eastAsia"/>
        </w:rPr>
        <w:t>）、《环境保护图形标志</w:t>
      </w:r>
      <w:r>
        <w:t>—</w:t>
      </w:r>
      <w:r>
        <w:rPr>
          <w:rFonts w:hint="eastAsia"/>
        </w:rPr>
        <w:t>固体废物贮存（处置）场》（</w:t>
      </w:r>
      <w:r>
        <w:t>GB15562.2-1995</w:t>
      </w:r>
      <w:r>
        <w:rPr>
          <w:rFonts w:hint="eastAsia"/>
        </w:rPr>
        <w:t>）执行。</w:t>
      </w:r>
    </w:p>
    <w:p>
      <w:pPr>
        <w:pStyle w:val="53"/>
      </w:pPr>
      <w:r>
        <w:t>表</w:t>
      </w:r>
      <w:r>
        <w:rPr>
          <w:rFonts w:hint="eastAsia"/>
        </w:rPr>
        <w:t>9.4</w:t>
      </w:r>
      <w:r>
        <w:t>-1  排放口图形标志</w:t>
      </w:r>
    </w:p>
    <w:tbl>
      <w:tblPr>
        <w:tblStyle w:val="39"/>
        <w:tblW w:w="909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94"/>
        <w:gridCol w:w="1492"/>
        <w:gridCol w:w="1560"/>
        <w:gridCol w:w="1543"/>
        <w:gridCol w:w="1698"/>
        <w:gridCol w:w="16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94" w:type="dxa"/>
            <w:vAlign w:val="center"/>
          </w:tcPr>
          <w:p>
            <w:pPr>
              <w:pStyle w:val="51"/>
            </w:pPr>
            <w:r>
              <w:t>排放口</w:t>
            </w:r>
          </w:p>
        </w:tc>
        <w:tc>
          <w:tcPr>
            <w:tcW w:w="1492" w:type="dxa"/>
            <w:vAlign w:val="center"/>
          </w:tcPr>
          <w:p>
            <w:pPr>
              <w:pStyle w:val="51"/>
            </w:pPr>
            <w:r>
              <w:t>废气排放口</w:t>
            </w:r>
          </w:p>
          <w:p>
            <w:pPr>
              <w:pStyle w:val="51"/>
            </w:pPr>
            <w:r>
              <w:t>提示图形符号</w:t>
            </w:r>
          </w:p>
        </w:tc>
        <w:tc>
          <w:tcPr>
            <w:tcW w:w="1560" w:type="dxa"/>
            <w:vAlign w:val="center"/>
          </w:tcPr>
          <w:p>
            <w:pPr>
              <w:pStyle w:val="51"/>
            </w:pPr>
            <w:r>
              <w:t>废水排放口</w:t>
            </w:r>
          </w:p>
          <w:p>
            <w:pPr>
              <w:pStyle w:val="51"/>
            </w:pPr>
            <w:r>
              <w:t>提示图形符号</w:t>
            </w:r>
          </w:p>
        </w:tc>
        <w:tc>
          <w:tcPr>
            <w:tcW w:w="1543" w:type="dxa"/>
            <w:vAlign w:val="center"/>
          </w:tcPr>
          <w:p>
            <w:pPr>
              <w:pStyle w:val="51"/>
            </w:pPr>
            <w:r>
              <w:t>噪声排放源</w:t>
            </w:r>
          </w:p>
          <w:p>
            <w:pPr>
              <w:pStyle w:val="51"/>
            </w:pPr>
            <w:r>
              <w:t>提示图形符号</w:t>
            </w:r>
          </w:p>
        </w:tc>
        <w:tc>
          <w:tcPr>
            <w:tcW w:w="1698" w:type="dxa"/>
            <w:vAlign w:val="center"/>
          </w:tcPr>
          <w:p>
            <w:pPr>
              <w:pStyle w:val="51"/>
            </w:pPr>
            <w:r>
              <w:t>固体废物贮存间提示图形符号</w:t>
            </w:r>
          </w:p>
        </w:tc>
        <w:tc>
          <w:tcPr>
            <w:tcW w:w="1610" w:type="dxa"/>
            <w:vAlign w:val="center"/>
          </w:tcPr>
          <w:p>
            <w:pPr>
              <w:pStyle w:val="51"/>
            </w:pPr>
            <w:r>
              <w:t>危险废物</w:t>
            </w:r>
          </w:p>
          <w:p>
            <w:pPr>
              <w:pStyle w:val="51"/>
            </w:pPr>
            <w:r>
              <w:t>贮存间警告性图形符号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94" w:type="dxa"/>
            <w:vAlign w:val="center"/>
          </w:tcPr>
          <w:p>
            <w:pPr>
              <w:pStyle w:val="51"/>
            </w:pPr>
            <w:r>
              <w:t>图形</w:t>
            </w:r>
          </w:p>
          <w:p>
            <w:pPr>
              <w:pStyle w:val="51"/>
            </w:pPr>
            <w:r>
              <w:t>符号</w:t>
            </w:r>
          </w:p>
        </w:tc>
        <w:tc>
          <w:tcPr>
            <w:tcW w:w="1492" w:type="dxa"/>
            <w:vAlign w:val="center"/>
          </w:tcPr>
          <w:p>
            <w:pPr>
              <w:pStyle w:val="51"/>
            </w:pPr>
            <w:r>
              <w:drawing>
                <wp:inline distT="0" distB="0" distL="0" distR="0">
                  <wp:extent cx="769620" cy="810895"/>
                  <wp:effectExtent l="0" t="0" r="0" b="0"/>
                  <wp:docPr id="108228135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2281351" name="图片 6"/>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0" y="0"/>
                            <a:ext cx="777921" cy="819105"/>
                          </a:xfrm>
                          <a:prstGeom prst="rect">
                            <a:avLst/>
                          </a:prstGeom>
                          <a:noFill/>
                          <a:ln>
                            <a:noFill/>
                          </a:ln>
                        </pic:spPr>
                      </pic:pic>
                    </a:graphicData>
                  </a:graphic>
                </wp:inline>
              </w:drawing>
            </w:r>
          </w:p>
        </w:tc>
        <w:tc>
          <w:tcPr>
            <w:tcW w:w="1560" w:type="dxa"/>
            <w:vAlign w:val="center"/>
          </w:tcPr>
          <w:p>
            <w:pPr>
              <w:pStyle w:val="51"/>
            </w:pPr>
            <w:r>
              <w:drawing>
                <wp:inline distT="0" distB="0" distL="0" distR="0">
                  <wp:extent cx="781050" cy="781050"/>
                  <wp:effectExtent l="0" t="0" r="0" b="0"/>
                  <wp:docPr id="181577311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15773112" name="图片 5"/>
                          <pic:cNvPicPr>
                            <a:picLocks noChangeAspect="true" noChangeArrowheads="true"/>
                          </pic:cNvPicPr>
                        </pic:nvPicPr>
                        <pic:blipFill>
                          <a:blip r:embed="rId46">
                            <a:extLst>
                              <a:ext uri="{28A0092B-C50C-407E-A947-70E740481C1C}">
                                <a14:useLocalDpi xmlns:a14="http://schemas.microsoft.com/office/drawing/2010/main" val="false"/>
                              </a:ext>
                            </a:extLst>
                          </a:blip>
                          <a:srcRect/>
                          <a:stretch>
                            <a:fillRect/>
                          </a:stretch>
                        </pic:blipFill>
                        <pic:spPr>
                          <a:xfrm>
                            <a:off x="0" y="0"/>
                            <a:ext cx="781050" cy="781050"/>
                          </a:xfrm>
                          <a:prstGeom prst="rect">
                            <a:avLst/>
                          </a:prstGeom>
                          <a:noFill/>
                          <a:ln>
                            <a:noFill/>
                          </a:ln>
                        </pic:spPr>
                      </pic:pic>
                    </a:graphicData>
                  </a:graphic>
                </wp:inline>
              </w:drawing>
            </w:r>
          </w:p>
        </w:tc>
        <w:tc>
          <w:tcPr>
            <w:tcW w:w="1543" w:type="dxa"/>
            <w:vAlign w:val="center"/>
          </w:tcPr>
          <w:p>
            <w:pPr>
              <w:pStyle w:val="51"/>
            </w:pPr>
            <w:r>
              <w:drawing>
                <wp:inline distT="0" distB="0" distL="0" distR="0">
                  <wp:extent cx="781050" cy="790575"/>
                  <wp:effectExtent l="0" t="0" r="0" b="0"/>
                  <wp:docPr id="28502648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5026487" name="图片 7"/>
                          <pic:cNvPicPr>
                            <a:picLocks noChangeAspect="true"/>
                          </pic:cNvPicPr>
                        </pic:nvPicPr>
                        <pic:blipFill>
                          <a:blip r:embed="rId47">
                            <a:extLst>
                              <a:ext uri="{28A0092B-C50C-407E-A947-70E740481C1C}">
                                <a14:useLocalDpi xmlns:a14="http://schemas.microsoft.com/office/drawing/2010/main" val="false"/>
                              </a:ext>
                            </a:extLst>
                          </a:blip>
                          <a:stretch>
                            <a:fillRect/>
                          </a:stretch>
                        </pic:blipFill>
                        <pic:spPr>
                          <a:xfrm>
                            <a:off x="0" y="0"/>
                            <a:ext cx="781591" cy="790575"/>
                          </a:xfrm>
                          <a:prstGeom prst="rect">
                            <a:avLst/>
                          </a:prstGeom>
                        </pic:spPr>
                      </pic:pic>
                    </a:graphicData>
                  </a:graphic>
                </wp:inline>
              </w:drawing>
            </w:r>
          </w:p>
        </w:tc>
        <w:tc>
          <w:tcPr>
            <w:tcW w:w="1698" w:type="dxa"/>
            <w:vAlign w:val="center"/>
          </w:tcPr>
          <w:p>
            <w:pPr>
              <w:pStyle w:val="51"/>
            </w:pPr>
            <w:r>
              <w:drawing>
                <wp:inline distT="0" distB="0" distL="0" distR="0">
                  <wp:extent cx="800735" cy="810895"/>
                  <wp:effectExtent l="0" t="0" r="0" b="0"/>
                  <wp:docPr id="99713196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7131966" name="图片 3"/>
                          <pic:cNvPicPr>
                            <a:picLocks noChangeAspect="true" noChangeArrowheads="true"/>
                          </pic:cNvPicPr>
                        </pic:nvPicPr>
                        <pic:blipFill>
                          <a:blip r:embed="rId48">
                            <a:extLst>
                              <a:ext uri="{28A0092B-C50C-407E-A947-70E740481C1C}">
                                <a14:useLocalDpi xmlns:a14="http://schemas.microsoft.com/office/drawing/2010/main" val="false"/>
                              </a:ext>
                            </a:extLst>
                          </a:blip>
                          <a:srcRect/>
                          <a:stretch>
                            <a:fillRect/>
                          </a:stretch>
                        </pic:blipFill>
                        <pic:spPr>
                          <a:xfrm>
                            <a:off x="0" y="0"/>
                            <a:ext cx="814958" cy="825504"/>
                          </a:xfrm>
                          <a:prstGeom prst="rect">
                            <a:avLst/>
                          </a:prstGeom>
                          <a:noFill/>
                          <a:ln>
                            <a:noFill/>
                          </a:ln>
                        </pic:spPr>
                      </pic:pic>
                    </a:graphicData>
                  </a:graphic>
                </wp:inline>
              </w:drawing>
            </w:r>
          </w:p>
        </w:tc>
        <w:tc>
          <w:tcPr>
            <w:tcW w:w="1610" w:type="dxa"/>
            <w:vAlign w:val="center"/>
          </w:tcPr>
          <w:p>
            <w:pPr>
              <w:pStyle w:val="51"/>
            </w:pPr>
            <w:r>
              <w:drawing>
                <wp:inline distT="0" distB="0" distL="0" distR="0">
                  <wp:extent cx="884555" cy="814705"/>
                  <wp:effectExtent l="0" t="0" r="0" b="0"/>
                  <wp:docPr id="65137168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1371686" name="图片 2"/>
                          <pic:cNvPicPr>
                            <a:picLocks noChangeAspect="true" noChangeArrowheads="true"/>
                          </pic:cNvPicPr>
                        </pic:nvPicPr>
                        <pic:blipFill>
                          <a:blip r:embed="rId49">
                            <a:extLst>
                              <a:ext uri="{28A0092B-C50C-407E-A947-70E740481C1C}">
                                <a14:useLocalDpi xmlns:a14="http://schemas.microsoft.com/office/drawing/2010/main" val="false"/>
                              </a:ext>
                            </a:extLst>
                          </a:blip>
                          <a:srcRect l="3175" t="8069" r="2716" b="4013"/>
                          <a:stretch>
                            <a:fillRect/>
                          </a:stretch>
                        </pic:blipFill>
                        <pic:spPr>
                          <a:xfrm>
                            <a:off x="0" y="0"/>
                            <a:ext cx="885669" cy="815857"/>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94" w:type="dxa"/>
            <w:vAlign w:val="center"/>
          </w:tcPr>
          <w:p>
            <w:pPr>
              <w:pStyle w:val="51"/>
            </w:pPr>
            <w:r>
              <w:t>背景颜色</w:t>
            </w:r>
          </w:p>
        </w:tc>
        <w:tc>
          <w:tcPr>
            <w:tcW w:w="6293" w:type="dxa"/>
            <w:gridSpan w:val="4"/>
            <w:vAlign w:val="center"/>
          </w:tcPr>
          <w:p>
            <w:pPr>
              <w:pStyle w:val="51"/>
            </w:pPr>
            <w:r>
              <w:t>绿色</w:t>
            </w:r>
          </w:p>
        </w:tc>
        <w:tc>
          <w:tcPr>
            <w:tcW w:w="1610" w:type="dxa"/>
            <w:vAlign w:val="center"/>
          </w:tcPr>
          <w:p>
            <w:pPr>
              <w:pStyle w:val="51"/>
            </w:pPr>
            <w:r>
              <w:t>黄色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1194" w:type="dxa"/>
            <w:vAlign w:val="center"/>
          </w:tcPr>
          <w:p>
            <w:pPr>
              <w:pStyle w:val="51"/>
            </w:pPr>
            <w:r>
              <w:t>图形颜色</w:t>
            </w:r>
          </w:p>
        </w:tc>
        <w:tc>
          <w:tcPr>
            <w:tcW w:w="6293" w:type="dxa"/>
            <w:gridSpan w:val="4"/>
            <w:vAlign w:val="center"/>
          </w:tcPr>
          <w:p>
            <w:pPr>
              <w:pStyle w:val="51"/>
            </w:pPr>
            <w:r>
              <w:t>白色</w:t>
            </w:r>
          </w:p>
        </w:tc>
        <w:tc>
          <w:tcPr>
            <w:tcW w:w="1610" w:type="dxa"/>
            <w:vAlign w:val="center"/>
          </w:tcPr>
          <w:p>
            <w:pPr>
              <w:pStyle w:val="51"/>
            </w:pPr>
            <w:r>
              <w:t>黑色</w:t>
            </w:r>
          </w:p>
        </w:tc>
      </w:tr>
    </w:tbl>
    <w:p>
      <w:pPr>
        <w:pStyle w:val="4"/>
        <w:keepNext w:val="0"/>
        <w:keepLines w:val="0"/>
        <w:widowControl w:val="0"/>
      </w:pPr>
      <w:bookmarkStart w:id="343" w:name="_Toc194481273"/>
      <w:r>
        <w:t>9.</w:t>
      </w:r>
      <w:r>
        <w:rPr>
          <w:rFonts w:hint="eastAsia"/>
        </w:rPr>
        <w:t>4</w:t>
      </w:r>
      <w:r>
        <w:t>.</w:t>
      </w:r>
      <w:r>
        <w:rPr>
          <w:rFonts w:hint="eastAsia"/>
        </w:rPr>
        <w:t>2</w:t>
      </w:r>
      <w:r>
        <w:t xml:space="preserve"> </w:t>
      </w:r>
      <w:r>
        <w:rPr>
          <w:rFonts w:hint="eastAsia"/>
        </w:rPr>
        <w:t>排污口建档管理</w:t>
      </w:r>
      <w:bookmarkEnd w:id="343"/>
    </w:p>
    <w:p>
      <w:pPr>
        <w:pStyle w:val="49"/>
        <w:ind w:firstLine="480"/>
      </w:pPr>
      <w:r>
        <w:rPr>
          <w:rFonts w:hint="eastAsia"/>
        </w:rPr>
        <w:t xml:space="preserve">1、要求使用生态环境部统一印制的《中华人民共和国规范化排污口标志牌登记证》，并按要求填写有关内容。 </w:t>
      </w:r>
    </w:p>
    <w:p>
      <w:pPr>
        <w:pStyle w:val="49"/>
        <w:ind w:firstLine="480"/>
      </w:pPr>
      <w:r>
        <w:rPr>
          <w:rFonts w:hint="eastAsia"/>
        </w:rPr>
        <w:t>2、根据排污口管理档案内容要求，本项目建成投产后，应将主要污染物 种类、数量、浓度、排放去向、达标情况及设施运行情况记录于档案。建设项目应根据《排污许可管理办法（试行）》，对照《固定污染源排污许可分类管理名录》（</w:t>
      </w:r>
      <w:r>
        <w:t xml:space="preserve">2019 </w:t>
      </w:r>
      <w:r>
        <w:rPr>
          <w:rFonts w:hint="eastAsia"/>
        </w:rPr>
        <w:t xml:space="preserve">年版），当在启动生产设施或者发生实际排污之前申请取得排污许可证或者填报排污登记表。 </w:t>
      </w:r>
    </w:p>
    <w:p>
      <w:pPr>
        <w:pStyle w:val="49"/>
        <w:ind w:firstLine="480"/>
      </w:pPr>
      <w:r>
        <w:rPr>
          <w:rFonts w:hint="eastAsia"/>
        </w:rPr>
        <w:t>根据《固定污染源排污许可分类管理名录》（</w:t>
      </w:r>
      <w:r>
        <w:t xml:space="preserve">2019 </w:t>
      </w:r>
      <w:r>
        <w:rPr>
          <w:rFonts w:hint="eastAsia"/>
        </w:rPr>
        <w:t>年版），本项目为重点 管理企业，应在启动生产设施或者发生实际排污之前申请取得排污许可证。</w:t>
      </w:r>
    </w:p>
    <w:p>
      <w:pPr>
        <w:pStyle w:val="3"/>
        <w:keepNext w:val="0"/>
        <w:keepLines w:val="0"/>
        <w:widowControl w:val="0"/>
        <w:jc w:val="both"/>
      </w:pPr>
      <w:bookmarkStart w:id="344" w:name="_Toc194481274"/>
      <w:r>
        <w:t xml:space="preserve">9.5 </w:t>
      </w:r>
      <w:r>
        <w:rPr>
          <w:rFonts w:hint="eastAsia"/>
        </w:rPr>
        <w:t>环境保护“三同时”验收</w:t>
      </w:r>
      <w:bookmarkEnd w:id="344"/>
    </w:p>
    <w:p>
      <w:pPr>
        <w:pStyle w:val="49"/>
        <w:ind w:firstLine="480"/>
      </w:pPr>
      <w:r>
        <w:t>建设单位应当按照《国务院关于修改&lt;建设项目环境保护管理条例&gt;的决定》的要求，在建设项目竣工后，建设单位按照国务院环境保护行政主管部门规定的标准和程度，成立自主验收工作组，对配套建设的环境保护设施进行验收，编制验收报告。同时提供环境保护验收监测报告。</w:t>
      </w:r>
    </w:p>
    <w:p>
      <w:pPr>
        <w:pStyle w:val="49"/>
        <w:ind w:firstLine="480"/>
      </w:pPr>
      <w:r>
        <w:t>本项目具体的</w:t>
      </w:r>
      <w:r>
        <w:rPr>
          <w:rFonts w:ascii="宋体" w:hAnsi="宋体"/>
        </w:rPr>
        <w:t>“</w:t>
      </w:r>
      <w:r>
        <w:t>三同时</w:t>
      </w:r>
      <w:r>
        <w:rPr>
          <w:rFonts w:ascii="宋体" w:hAnsi="宋体"/>
        </w:rPr>
        <w:t>”</w:t>
      </w:r>
      <w:r>
        <w:t>验收内容见下表9.5-1。</w:t>
      </w:r>
    </w:p>
    <w:p>
      <w:pPr>
        <w:pStyle w:val="53"/>
      </w:pPr>
      <w:r>
        <w:rPr>
          <w:rFonts w:hint="eastAsia"/>
        </w:rPr>
        <w:t xml:space="preserve">表 </w:t>
      </w:r>
      <w:r>
        <w:rPr>
          <w:rFonts w:ascii="TimesNewRomanPS-BoldMT" w:hAnsi="TimesNewRomanPS-BoldMT"/>
        </w:rPr>
        <w:t xml:space="preserve">9.5-1 </w:t>
      </w:r>
      <w:r>
        <w:rPr>
          <w:rFonts w:hint="eastAsia"/>
        </w:rPr>
        <w:t>本项目</w:t>
      </w:r>
      <w:r>
        <w:rPr>
          <w:rFonts w:ascii="TimesNewRomanPS-BoldMT" w:hAnsi="TimesNewRomanPS-BoldMT"/>
        </w:rPr>
        <w:t>“</w:t>
      </w:r>
      <w:r>
        <w:rPr>
          <w:rFonts w:hint="eastAsia"/>
        </w:rPr>
        <w:t>三同时</w:t>
      </w:r>
      <w:r>
        <w:rPr>
          <w:rFonts w:ascii="TimesNewRomanPS-BoldMT" w:hAnsi="TimesNewRomanPS-BoldMT"/>
        </w:rPr>
        <w:t>”</w:t>
      </w:r>
      <w:r>
        <w:rPr>
          <w:rFonts w:hint="eastAsia"/>
        </w:rPr>
        <w:t>验收监测项目</w:t>
      </w:r>
    </w:p>
    <w:tbl>
      <w:tblPr>
        <w:tblStyle w:val="40"/>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96"/>
        <w:gridCol w:w="396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gridSpan w:val="2"/>
            <w:vAlign w:val="center"/>
          </w:tcPr>
          <w:p>
            <w:pPr>
              <w:pStyle w:val="51"/>
            </w:pPr>
            <w:r>
              <w:rPr>
                <w:rFonts w:hint="eastAsia"/>
              </w:rPr>
              <w:t>项目</w:t>
            </w:r>
          </w:p>
        </w:tc>
        <w:tc>
          <w:tcPr>
            <w:tcW w:w="3969" w:type="dxa"/>
            <w:vAlign w:val="center"/>
          </w:tcPr>
          <w:p>
            <w:pPr>
              <w:pStyle w:val="51"/>
            </w:pPr>
            <w:r>
              <w:rPr>
                <w:rFonts w:hint="eastAsia"/>
              </w:rPr>
              <w:t>主要环保措施</w:t>
            </w:r>
          </w:p>
        </w:tc>
        <w:tc>
          <w:tcPr>
            <w:tcW w:w="2835" w:type="dxa"/>
            <w:vAlign w:val="center"/>
          </w:tcPr>
          <w:p>
            <w:pPr>
              <w:pStyle w:val="51"/>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51"/>
            </w:pPr>
            <w:r>
              <w:rPr>
                <w:rFonts w:hint="eastAsia"/>
              </w:rPr>
              <w:t>废气</w:t>
            </w:r>
          </w:p>
        </w:tc>
        <w:tc>
          <w:tcPr>
            <w:tcW w:w="1696" w:type="dxa"/>
            <w:vAlign w:val="center"/>
          </w:tcPr>
          <w:p>
            <w:pPr>
              <w:pStyle w:val="51"/>
            </w:pPr>
            <w:r>
              <w:rPr>
                <w:rFonts w:hint="eastAsia"/>
              </w:rPr>
              <w:t>鸡舍恶臭、粉尘</w:t>
            </w:r>
          </w:p>
        </w:tc>
        <w:tc>
          <w:tcPr>
            <w:tcW w:w="3969" w:type="dxa"/>
            <w:vAlign w:val="center"/>
          </w:tcPr>
          <w:p>
            <w:pPr>
              <w:pStyle w:val="51"/>
            </w:pPr>
            <w:r>
              <w:rPr>
                <w:rFonts w:hint="eastAsia"/>
              </w:rPr>
              <w:t>在饲料中添加EM菌对蛋鸡进行喂养，同时鸡粪采用干清粪封闭式输送带输送，每天及时清运、加强通风，定期喷洒生物除臭剂，加强绿化；</w:t>
            </w: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r>
              <w:t xml:space="preserve"> </w:t>
            </w:r>
          </w:p>
        </w:tc>
        <w:tc>
          <w:tcPr>
            <w:tcW w:w="2835" w:type="dxa"/>
            <w:vMerge w:val="restart"/>
            <w:vAlign w:val="center"/>
          </w:tcPr>
          <w:p>
            <w:pPr>
              <w:pStyle w:val="51"/>
            </w:pPr>
            <w:r>
              <w:rPr>
                <w:rFonts w:hint="eastAsia"/>
              </w:rPr>
              <w:t>《畜禽养殖业污染物排放标准》 （</w:t>
            </w:r>
            <w:r>
              <w:t>GB18596-2001</w:t>
            </w:r>
            <w:r>
              <w:rPr>
                <w:rFonts w:hint="eastAsia"/>
              </w:rPr>
              <w:t>）、</w:t>
            </w:r>
          </w:p>
          <w:p>
            <w:pPr>
              <w:pStyle w:val="51"/>
            </w:pPr>
            <w:r>
              <w:rPr>
                <w:rFonts w:hint="eastAsia"/>
              </w:rPr>
              <w:t>《恶臭污染物排放标准》（</w:t>
            </w:r>
            <w:r>
              <w:t>GB14554-93</w:t>
            </w:r>
            <w:r>
              <w:rPr>
                <w:rFonts w:hint="eastAsia"/>
              </w:rPr>
              <w:t>）、《大气污染物综合排放标准》 （</w:t>
            </w:r>
            <w:r>
              <w:t>GB16297-1996</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pPr>
          </w:p>
        </w:tc>
        <w:tc>
          <w:tcPr>
            <w:tcW w:w="1696" w:type="dxa"/>
            <w:vAlign w:val="center"/>
          </w:tcPr>
          <w:p>
            <w:pPr>
              <w:pStyle w:val="51"/>
            </w:pPr>
            <w:r>
              <w:rPr>
                <w:rFonts w:hint="eastAsia"/>
              </w:rPr>
              <w:t>鸡粪风干</w:t>
            </w:r>
          </w:p>
          <w:p>
            <w:pPr>
              <w:pStyle w:val="51"/>
            </w:pPr>
            <w:r>
              <w:rPr>
                <w:rFonts w:hint="eastAsia"/>
              </w:rPr>
              <w:t>车间</w:t>
            </w:r>
          </w:p>
        </w:tc>
        <w:tc>
          <w:tcPr>
            <w:tcW w:w="3969" w:type="dxa"/>
            <w:vAlign w:val="center"/>
          </w:tcPr>
          <w:p>
            <w:pPr>
              <w:pStyle w:val="51"/>
            </w:pPr>
            <w:r>
              <w:rPr>
                <w:rFonts w:hint="eastAsia"/>
              </w:rPr>
              <w:t>在鸡粪风干车间风道出口设置高压水帘装置，并使用微生物除臭剂溶液作为循环水，每日对车间周边喷洒生物除臭剂</w:t>
            </w:r>
          </w:p>
        </w:tc>
        <w:tc>
          <w:tcPr>
            <w:tcW w:w="2835"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Merge w:val="continue"/>
            <w:vAlign w:val="center"/>
          </w:tcPr>
          <w:p>
            <w:pPr>
              <w:pStyle w:val="51"/>
            </w:pPr>
          </w:p>
        </w:tc>
        <w:tc>
          <w:tcPr>
            <w:tcW w:w="1696" w:type="dxa"/>
            <w:vAlign w:val="center"/>
          </w:tcPr>
          <w:p>
            <w:pPr>
              <w:pStyle w:val="51"/>
            </w:pPr>
            <w:r>
              <w:rPr>
                <w:rFonts w:hint="eastAsia"/>
              </w:rPr>
              <w:t>一体化污水处理设施</w:t>
            </w:r>
          </w:p>
        </w:tc>
        <w:tc>
          <w:tcPr>
            <w:tcW w:w="3969" w:type="dxa"/>
            <w:vAlign w:val="center"/>
          </w:tcPr>
          <w:p>
            <w:pPr>
              <w:pStyle w:val="51"/>
            </w:pPr>
            <w:r>
              <w:rPr>
                <w:rFonts w:hint="eastAsia"/>
              </w:rPr>
              <w:t>厌氧段污水处理设施均密闭，定期喷洒除臭剂，加强绿化</w:t>
            </w:r>
          </w:p>
        </w:tc>
        <w:tc>
          <w:tcPr>
            <w:tcW w:w="2835"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pPr>
          </w:p>
        </w:tc>
        <w:tc>
          <w:tcPr>
            <w:tcW w:w="1696" w:type="dxa"/>
            <w:vAlign w:val="center"/>
          </w:tcPr>
          <w:p>
            <w:pPr>
              <w:pStyle w:val="51"/>
            </w:pPr>
            <w:r>
              <w:rPr>
                <w:rFonts w:hint="eastAsia"/>
              </w:rPr>
              <w:t>备用柴油发电机废气</w:t>
            </w:r>
          </w:p>
        </w:tc>
        <w:tc>
          <w:tcPr>
            <w:tcW w:w="3969" w:type="dxa"/>
            <w:vAlign w:val="center"/>
          </w:tcPr>
          <w:p>
            <w:pPr>
              <w:pStyle w:val="51"/>
            </w:pPr>
            <w:r>
              <w:rPr>
                <w:rFonts w:hint="eastAsia"/>
              </w:rPr>
              <w:t>专用排烟竖井</w:t>
            </w:r>
          </w:p>
        </w:tc>
        <w:tc>
          <w:tcPr>
            <w:tcW w:w="2835" w:type="dxa"/>
            <w:vAlign w:val="center"/>
          </w:tcPr>
          <w:p>
            <w:pPr>
              <w:pStyle w:val="51"/>
            </w:pPr>
            <w:r>
              <w:rPr>
                <w:rFonts w:hint="eastAsia"/>
              </w:rPr>
              <w:t>《大气污染物综合排放标准》 （</w:t>
            </w:r>
            <w:r>
              <w:t>GB16297-1996</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51"/>
            </w:pPr>
          </w:p>
        </w:tc>
        <w:tc>
          <w:tcPr>
            <w:tcW w:w="1696" w:type="dxa"/>
            <w:vAlign w:val="center"/>
          </w:tcPr>
          <w:p>
            <w:pPr>
              <w:pStyle w:val="51"/>
            </w:pPr>
            <w:r>
              <w:rPr>
                <w:rFonts w:hint="eastAsia"/>
              </w:rPr>
              <w:t>食堂油烟</w:t>
            </w:r>
          </w:p>
        </w:tc>
        <w:tc>
          <w:tcPr>
            <w:tcW w:w="3969" w:type="dxa"/>
            <w:vAlign w:val="center"/>
          </w:tcPr>
          <w:p>
            <w:pPr>
              <w:pStyle w:val="51"/>
            </w:pPr>
            <w:r>
              <w:rPr>
                <w:rFonts w:hint="eastAsia"/>
              </w:rPr>
              <w:t>经油烟净化器处理后屋顶排放</w:t>
            </w:r>
          </w:p>
        </w:tc>
        <w:tc>
          <w:tcPr>
            <w:tcW w:w="2835" w:type="dxa"/>
            <w:vAlign w:val="center"/>
          </w:tcPr>
          <w:p>
            <w:pPr>
              <w:pStyle w:val="51"/>
            </w:pPr>
            <w:r>
              <w:rPr>
                <w:rFonts w:hint="eastAsia"/>
              </w:rPr>
              <w:t>《饮食业油烟排放标准（试行）》 （</w:t>
            </w:r>
            <w:r>
              <w:t>GB18483-2001</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51"/>
            </w:pPr>
            <w:r>
              <w:rPr>
                <w:rFonts w:hint="eastAsia"/>
              </w:rPr>
              <w:t>废水</w:t>
            </w:r>
          </w:p>
        </w:tc>
        <w:tc>
          <w:tcPr>
            <w:tcW w:w="1696" w:type="dxa"/>
            <w:vAlign w:val="center"/>
          </w:tcPr>
          <w:p>
            <w:pPr>
              <w:pStyle w:val="51"/>
            </w:pPr>
            <w:r>
              <w:rPr>
                <w:rFonts w:hint="eastAsia"/>
              </w:rPr>
              <w:t>综合废水</w:t>
            </w:r>
          </w:p>
        </w:tc>
        <w:tc>
          <w:tcPr>
            <w:tcW w:w="3969" w:type="dxa"/>
            <w:vAlign w:val="center"/>
          </w:tcPr>
          <w:p>
            <w:pPr>
              <w:pStyle w:val="51"/>
            </w:pPr>
            <w:r>
              <w:rPr>
                <w:rFonts w:hint="eastAsia"/>
              </w:rPr>
              <w:t>一体化污水处理设施，处理规模5m</w:t>
            </w:r>
            <w:r>
              <w:rPr>
                <w:rFonts w:hint="eastAsia"/>
                <w:vertAlign w:val="superscript"/>
              </w:rPr>
              <w:t>3</w:t>
            </w:r>
            <w:r>
              <w:rPr>
                <w:rFonts w:hint="eastAsia"/>
              </w:rPr>
              <w:t>/d，采用</w:t>
            </w:r>
            <w:r>
              <w:t>“</w:t>
            </w:r>
            <w:r>
              <w:rPr>
                <w:rFonts w:hint="eastAsia"/>
              </w:rPr>
              <w:t>格栅池+调节池+水解酸化池+A/O池+沉淀池+消毒池</w:t>
            </w:r>
            <w:r>
              <w:t>”</w:t>
            </w:r>
            <w:r>
              <w:rPr>
                <w:rFonts w:hint="eastAsia"/>
              </w:rPr>
              <w:t>处理工艺</w:t>
            </w:r>
          </w:p>
        </w:tc>
        <w:tc>
          <w:tcPr>
            <w:tcW w:w="2835" w:type="dxa"/>
            <w:vAlign w:val="center"/>
          </w:tcPr>
          <w:p>
            <w:pPr>
              <w:pStyle w:val="51"/>
              <w:rPr>
                <w:rStyle w:val="83"/>
                <w:sz w:val="21"/>
                <w:szCs w:val="16"/>
              </w:rPr>
            </w:pPr>
            <w:r>
              <w:rPr>
                <w:rStyle w:val="83"/>
                <w:rFonts w:hint="eastAsia"/>
                <w:sz w:val="21"/>
                <w:szCs w:val="16"/>
              </w:rPr>
              <w:t>《污水综合排放标准》（GB8978-1996）表4中</w:t>
            </w:r>
          </w:p>
          <w:p>
            <w:pPr>
              <w:pStyle w:val="51"/>
            </w:pPr>
            <w:r>
              <w:rPr>
                <w:rStyle w:val="83"/>
                <w:rFonts w:hint="eastAsia"/>
                <w:sz w:val="21"/>
                <w:szCs w:val="16"/>
              </w:rPr>
              <w:t>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Align w:val="center"/>
          </w:tcPr>
          <w:p>
            <w:pPr>
              <w:pStyle w:val="51"/>
            </w:pPr>
            <w:r>
              <w:rPr>
                <w:rFonts w:hint="eastAsia"/>
              </w:rPr>
              <w:t>噪声</w:t>
            </w:r>
          </w:p>
        </w:tc>
        <w:tc>
          <w:tcPr>
            <w:tcW w:w="1696" w:type="dxa"/>
            <w:vAlign w:val="center"/>
          </w:tcPr>
          <w:p>
            <w:pPr>
              <w:pStyle w:val="51"/>
            </w:pPr>
            <w:r>
              <w:rPr>
                <w:rFonts w:hint="eastAsia"/>
              </w:rPr>
              <w:t>设备及</w:t>
            </w:r>
          </w:p>
          <w:p>
            <w:pPr>
              <w:pStyle w:val="51"/>
            </w:pPr>
            <w:r>
              <w:rPr>
                <w:rFonts w:hint="eastAsia"/>
              </w:rPr>
              <w:t>鸡群噪声</w:t>
            </w:r>
          </w:p>
        </w:tc>
        <w:tc>
          <w:tcPr>
            <w:tcW w:w="3969" w:type="dxa"/>
            <w:vAlign w:val="center"/>
          </w:tcPr>
          <w:p>
            <w:pPr>
              <w:pStyle w:val="51"/>
            </w:pPr>
            <w:r>
              <w:rPr>
                <w:rFonts w:hint="eastAsia"/>
              </w:rPr>
              <w:t>喂足饲料和水，避免饥渴，选低噪声设备，隔声减振</w:t>
            </w:r>
          </w:p>
        </w:tc>
        <w:tc>
          <w:tcPr>
            <w:tcW w:w="2835" w:type="dxa"/>
            <w:vAlign w:val="center"/>
          </w:tcPr>
          <w:p>
            <w:pPr>
              <w:pStyle w:val="51"/>
            </w:pPr>
            <w:r>
              <w:rPr>
                <w:rFonts w:hint="eastAsia"/>
              </w:rPr>
              <w:t>《工业企业厂界环境噪声排放标准》（</w:t>
            </w:r>
            <w:r>
              <w:t>GB12348-2008</w:t>
            </w:r>
            <w:r>
              <w:rPr>
                <w:rFonts w:hint="eastAsia"/>
              </w:rPr>
              <w:t>）</w:t>
            </w:r>
            <w:r>
              <w:t>2</w:t>
            </w:r>
            <w:r>
              <w:rPr>
                <w:rFonts w:hint="eastAsia"/>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6" w:type="dxa"/>
            <w:vMerge w:val="restart"/>
            <w:vAlign w:val="center"/>
          </w:tcPr>
          <w:p>
            <w:pPr>
              <w:pStyle w:val="51"/>
            </w:pPr>
            <w:r>
              <w:rPr>
                <w:rFonts w:hint="eastAsia"/>
              </w:rPr>
              <w:t>固废</w:t>
            </w:r>
          </w:p>
        </w:tc>
        <w:tc>
          <w:tcPr>
            <w:tcW w:w="1696" w:type="dxa"/>
            <w:vAlign w:val="center"/>
          </w:tcPr>
          <w:p>
            <w:pPr>
              <w:pStyle w:val="51"/>
            </w:pPr>
            <w:r>
              <w:rPr>
                <w:rFonts w:hint="eastAsia"/>
              </w:rPr>
              <w:t>鸡粪、污泥</w:t>
            </w:r>
          </w:p>
        </w:tc>
        <w:tc>
          <w:tcPr>
            <w:tcW w:w="3969" w:type="dxa"/>
            <w:vAlign w:val="center"/>
          </w:tcPr>
          <w:p>
            <w:pPr>
              <w:pStyle w:val="51"/>
            </w:pPr>
            <w:r>
              <w:rPr>
                <w:rFonts w:hint="eastAsia"/>
              </w:rPr>
              <w:t>鸡粪、污泥送鸡粪风干车间风干后，转运至湖南恩润生物科技有限公司制造有机肥</w:t>
            </w:r>
          </w:p>
        </w:tc>
        <w:tc>
          <w:tcPr>
            <w:tcW w:w="2835" w:type="dxa"/>
            <w:vMerge w:val="restart"/>
            <w:vAlign w:val="center"/>
          </w:tcPr>
          <w:p>
            <w:pPr>
              <w:pStyle w:val="51"/>
            </w:pPr>
            <w:r>
              <w:rPr>
                <w:rFonts w:hint="eastAsia"/>
              </w:rPr>
              <w:t>《畜禽养殖业污染防治技术规范》（</w:t>
            </w:r>
            <w:r>
              <w:t>HJ/T81-2001</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6" w:type="dxa"/>
            <w:vMerge w:val="continue"/>
            <w:vAlign w:val="center"/>
          </w:tcPr>
          <w:p>
            <w:pPr>
              <w:pStyle w:val="51"/>
            </w:pPr>
          </w:p>
        </w:tc>
        <w:tc>
          <w:tcPr>
            <w:tcW w:w="1696" w:type="dxa"/>
            <w:vAlign w:val="center"/>
          </w:tcPr>
          <w:p>
            <w:pPr>
              <w:pStyle w:val="51"/>
            </w:pPr>
            <w:r>
              <w:rPr>
                <w:rFonts w:hint="eastAsia"/>
              </w:rPr>
              <w:t>病死鸡</w:t>
            </w:r>
          </w:p>
        </w:tc>
        <w:tc>
          <w:tcPr>
            <w:tcW w:w="3969" w:type="dxa"/>
            <w:vAlign w:val="center"/>
          </w:tcPr>
          <w:p>
            <w:pPr>
              <w:pStyle w:val="51"/>
            </w:pPr>
            <w:r>
              <w:rPr>
                <w:rFonts w:hint="eastAsia"/>
              </w:rPr>
              <w:t>冷冻库（5m</w:t>
            </w:r>
            <w:r>
              <w:rPr>
                <w:rFonts w:hint="eastAsia"/>
                <w:vertAlign w:val="superscript"/>
              </w:rPr>
              <w:t>2</w:t>
            </w:r>
            <w:r>
              <w:rPr>
                <w:rFonts w:hint="eastAsia"/>
              </w:rPr>
              <w:t>）暂存后定期交由永州恩泉环保科技有限公司无害化处置</w:t>
            </w:r>
          </w:p>
        </w:tc>
        <w:tc>
          <w:tcPr>
            <w:tcW w:w="2835" w:type="dxa"/>
            <w:vMerge w:val="continue"/>
            <w:vAlign w:val="center"/>
          </w:tcPr>
          <w:p>
            <w:pPr>
              <w:pStyle w:val="5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6" w:type="dxa"/>
            <w:vMerge w:val="continue"/>
            <w:vAlign w:val="center"/>
          </w:tcPr>
          <w:p>
            <w:pPr>
              <w:pStyle w:val="51"/>
            </w:pPr>
          </w:p>
        </w:tc>
        <w:tc>
          <w:tcPr>
            <w:tcW w:w="1696" w:type="dxa"/>
            <w:vAlign w:val="center"/>
          </w:tcPr>
          <w:p>
            <w:pPr>
              <w:pStyle w:val="51"/>
            </w:pPr>
            <w:r>
              <w:rPr>
                <w:rFonts w:hint="eastAsia"/>
              </w:rPr>
              <w:t>废包装材料</w:t>
            </w:r>
          </w:p>
        </w:tc>
        <w:tc>
          <w:tcPr>
            <w:tcW w:w="3969" w:type="dxa"/>
            <w:vAlign w:val="center"/>
          </w:tcPr>
          <w:p>
            <w:pPr>
              <w:pStyle w:val="51"/>
            </w:pPr>
            <w:r>
              <w:rPr>
                <w:rFonts w:hint="eastAsia"/>
              </w:rPr>
              <w:t>废包装材料收集在一般固废暂存间（5m</w:t>
            </w:r>
            <w:r>
              <w:rPr>
                <w:rFonts w:hint="eastAsia"/>
                <w:vertAlign w:val="superscript"/>
              </w:rPr>
              <w:t>2</w:t>
            </w:r>
            <w:r>
              <w:rPr>
                <w:rFonts w:hint="eastAsia"/>
              </w:rPr>
              <w:t>）内暂存，再外售综合利用</w:t>
            </w:r>
          </w:p>
        </w:tc>
        <w:tc>
          <w:tcPr>
            <w:tcW w:w="2835" w:type="dxa"/>
            <w:vAlign w:val="center"/>
          </w:tcPr>
          <w:p>
            <w:pPr>
              <w:pStyle w:val="51"/>
            </w:pPr>
            <w:r>
              <w:rPr>
                <w:rFonts w:hint="eastAsia"/>
              </w:rPr>
              <w:t>一般固废储存满足</w:t>
            </w:r>
            <w:r>
              <w:t>《一般工业固体废物贮存、处置场污染控制标准》（GB18599-2020）要求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26" w:type="dxa"/>
            <w:vMerge w:val="continue"/>
            <w:vAlign w:val="center"/>
          </w:tcPr>
          <w:p>
            <w:pPr>
              <w:pStyle w:val="51"/>
            </w:pPr>
          </w:p>
        </w:tc>
        <w:tc>
          <w:tcPr>
            <w:tcW w:w="1696" w:type="dxa"/>
            <w:vAlign w:val="center"/>
          </w:tcPr>
          <w:p>
            <w:pPr>
              <w:pStyle w:val="51"/>
            </w:pPr>
            <w:r>
              <w:rPr>
                <w:rFonts w:hint="eastAsia"/>
              </w:rPr>
              <w:t>医疗垃圾</w:t>
            </w:r>
          </w:p>
        </w:tc>
        <w:tc>
          <w:tcPr>
            <w:tcW w:w="3969" w:type="dxa"/>
            <w:vAlign w:val="center"/>
          </w:tcPr>
          <w:p>
            <w:pPr>
              <w:pStyle w:val="51"/>
            </w:pPr>
            <w:r>
              <w:rPr>
                <w:rFonts w:hint="eastAsia"/>
              </w:rPr>
              <w:t>分类收集在危废暂存间（5m</w:t>
            </w:r>
            <w:r>
              <w:rPr>
                <w:rFonts w:hint="eastAsia"/>
                <w:vertAlign w:val="superscript"/>
              </w:rPr>
              <w:t>2</w:t>
            </w:r>
            <w:r>
              <w:rPr>
                <w:rFonts w:hint="eastAsia"/>
              </w:rPr>
              <w:t>）内暂存，再定期交有资质单位处置</w:t>
            </w:r>
          </w:p>
        </w:tc>
        <w:tc>
          <w:tcPr>
            <w:tcW w:w="2835" w:type="dxa"/>
            <w:vAlign w:val="center"/>
          </w:tcPr>
          <w:p>
            <w:pPr>
              <w:pStyle w:val="51"/>
            </w:pPr>
            <w:r>
              <w:rPr>
                <w:rFonts w:cs="Times New Roman"/>
                <w:color w:val="000000"/>
                <w:szCs w:val="21"/>
              </w:rPr>
              <w:t>危险固废存储满足《危险废物贮存污染控制标准》</w:t>
            </w:r>
            <w:r>
              <w:rPr>
                <w:rFonts w:hint="eastAsia" w:cs="Times New Roman"/>
                <w:color w:val="000000"/>
                <w:szCs w:val="21"/>
              </w:rPr>
              <w:t>（</w:t>
            </w:r>
            <w:r>
              <w:rPr>
                <w:rFonts w:cs="Times New Roman"/>
                <w:color w:val="000000"/>
                <w:szCs w:val="21"/>
              </w:rPr>
              <w:t>GB18597-2023</w:t>
            </w:r>
            <w:r>
              <w:rPr>
                <w:rFonts w:hint="eastAsia" w:cs="Times New Roman"/>
                <w:color w:val="000000"/>
                <w:szCs w:val="21"/>
              </w:rPr>
              <w:t>）</w:t>
            </w:r>
            <w:r>
              <w:rPr>
                <w:rFonts w:cs="Times New Roman"/>
                <w:color w:val="000000"/>
                <w:szCs w:val="21"/>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6" w:type="dxa"/>
            <w:vMerge w:val="continue"/>
            <w:vAlign w:val="center"/>
          </w:tcPr>
          <w:p>
            <w:pPr>
              <w:pStyle w:val="51"/>
            </w:pPr>
          </w:p>
        </w:tc>
        <w:tc>
          <w:tcPr>
            <w:tcW w:w="1696" w:type="dxa"/>
            <w:vAlign w:val="center"/>
          </w:tcPr>
          <w:p>
            <w:pPr>
              <w:pStyle w:val="51"/>
            </w:pPr>
            <w:r>
              <w:rPr>
                <w:rFonts w:hint="eastAsia"/>
              </w:rPr>
              <w:t>生活垃圾</w:t>
            </w:r>
          </w:p>
        </w:tc>
        <w:tc>
          <w:tcPr>
            <w:tcW w:w="3969" w:type="dxa"/>
            <w:vAlign w:val="center"/>
          </w:tcPr>
          <w:p>
            <w:pPr>
              <w:pStyle w:val="51"/>
            </w:pPr>
            <w:r>
              <w:rPr>
                <w:rFonts w:hint="eastAsia"/>
              </w:rPr>
              <w:t>交由环卫部门统一清运处理</w:t>
            </w:r>
          </w:p>
        </w:tc>
        <w:tc>
          <w:tcPr>
            <w:tcW w:w="2835" w:type="dxa"/>
            <w:vAlign w:val="center"/>
          </w:tcPr>
          <w:p>
            <w:pPr>
              <w:pStyle w:val="51"/>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2" w:type="dxa"/>
            <w:gridSpan w:val="2"/>
            <w:vAlign w:val="center"/>
          </w:tcPr>
          <w:p>
            <w:pPr>
              <w:pStyle w:val="51"/>
            </w:pPr>
            <w:r>
              <w:rPr>
                <w:rFonts w:hint="eastAsia"/>
              </w:rPr>
              <w:t>环境风险</w:t>
            </w:r>
          </w:p>
        </w:tc>
        <w:tc>
          <w:tcPr>
            <w:tcW w:w="3969" w:type="dxa"/>
            <w:vAlign w:val="center"/>
          </w:tcPr>
          <w:p>
            <w:pPr>
              <w:pStyle w:val="51"/>
            </w:pPr>
            <w:r>
              <w:rPr>
                <w:rFonts w:hint="eastAsia"/>
              </w:rPr>
              <w:t>事故应急池（70m</w:t>
            </w:r>
            <w:r>
              <w:rPr>
                <w:rFonts w:hint="eastAsia"/>
                <w:vertAlign w:val="superscript"/>
              </w:rPr>
              <w:t>3</w:t>
            </w:r>
            <w:r>
              <w:rPr>
                <w:rFonts w:hint="eastAsia"/>
              </w:rPr>
              <w:t>）</w:t>
            </w:r>
          </w:p>
        </w:tc>
        <w:tc>
          <w:tcPr>
            <w:tcW w:w="2835" w:type="dxa"/>
            <w:vAlign w:val="center"/>
          </w:tcPr>
          <w:p>
            <w:pPr>
              <w:pStyle w:val="51"/>
            </w:pPr>
            <w:r>
              <w:rPr>
                <w:rFonts w:hint="eastAsia"/>
              </w:rPr>
              <w:t>/</w:t>
            </w:r>
          </w:p>
        </w:tc>
      </w:tr>
    </w:tbl>
    <w:p>
      <w:pPr>
        <w:pStyle w:val="3"/>
        <w:keepNext w:val="0"/>
        <w:keepLines w:val="0"/>
        <w:widowControl w:val="0"/>
        <w:jc w:val="both"/>
      </w:pPr>
      <w:bookmarkStart w:id="345" w:name="_Toc194481275"/>
      <w:r>
        <w:t>9.</w:t>
      </w:r>
      <w:r>
        <w:rPr>
          <w:rFonts w:hint="eastAsia"/>
        </w:rPr>
        <w:t>6</w:t>
      </w:r>
      <w:r>
        <w:t xml:space="preserve"> </w:t>
      </w:r>
      <w:r>
        <w:rPr>
          <w:rFonts w:hint="eastAsia"/>
        </w:rPr>
        <w:t>污染物排放总量控制指标</w:t>
      </w:r>
      <w:bookmarkEnd w:id="345"/>
    </w:p>
    <w:p>
      <w:pPr>
        <w:pStyle w:val="49"/>
        <w:ind w:firstLine="480"/>
        <w:rPr>
          <w:color w:val="000000"/>
          <w14:ligatures w14:val="none"/>
        </w:rPr>
      </w:pPr>
      <w:r>
        <w:rPr>
          <w:rFonts w:hint="eastAsia"/>
        </w:rPr>
        <w:t xml:space="preserve">根据 </w:t>
      </w:r>
      <w:r>
        <w:rPr>
          <w:rFonts w:cs="Times New Roman"/>
        </w:rPr>
        <w:t xml:space="preserve">2022 </w:t>
      </w:r>
      <w:r>
        <w:rPr>
          <w:rFonts w:hint="eastAsia"/>
        </w:rPr>
        <w:t xml:space="preserve">年 </w:t>
      </w:r>
      <w:r>
        <w:rPr>
          <w:rFonts w:cs="Times New Roman"/>
        </w:rPr>
        <w:t xml:space="preserve">5 </w:t>
      </w:r>
      <w:r>
        <w:rPr>
          <w:rFonts w:hint="eastAsia"/>
        </w:rPr>
        <w:t xml:space="preserve">月 </w:t>
      </w:r>
      <w:r>
        <w:rPr>
          <w:rFonts w:cs="Times New Roman"/>
        </w:rPr>
        <w:t xml:space="preserve">11 </w:t>
      </w:r>
      <w:r>
        <w:rPr>
          <w:rFonts w:hint="eastAsia"/>
        </w:rPr>
        <w:t>日湖南省人民政府关于印发《湖南省主要污染物排污权有偿使用和交易管理办法》的通知（湘政发［</w:t>
      </w:r>
      <w:r>
        <w:rPr>
          <w:rFonts w:cs="Times New Roman"/>
        </w:rPr>
        <w:t>2022</w:t>
      </w:r>
      <w:r>
        <w:rPr>
          <w:rFonts w:hint="eastAsia"/>
        </w:rPr>
        <w:t>］</w:t>
      </w:r>
      <w:r>
        <w:rPr>
          <w:rFonts w:cs="Times New Roman"/>
        </w:rPr>
        <w:t xml:space="preserve">23 </w:t>
      </w:r>
      <w:r>
        <w:rPr>
          <w:rFonts w:hint="eastAsia"/>
        </w:rPr>
        <w:t>号），主要污染物排污权有偿使用和交易活动是指化学需氧量、氨氮、二氧化硫、氮氧化物、铅、</w:t>
      </w:r>
      <w:r>
        <w:rPr>
          <w:rFonts w:hint="eastAsia"/>
          <w:color w:val="000000"/>
          <w14:ligatures w14:val="none"/>
        </w:rPr>
        <w:t>镉、砷、 汞、铬、挥发性有机物、总磷等十一类污染物，主要污染物排污权有 偿使用，是指排污单位按照国家或者地方规定的污染物排放标准，以及污染物 排放总量控制要求，经核定允许其在一定期限内排放主要污染物种类和数量的 权利。</w:t>
      </w:r>
    </w:p>
    <w:p>
      <w:pPr>
        <w:pStyle w:val="49"/>
        <w:ind w:firstLine="480"/>
        <w:rPr>
          <w:color w:val="000000"/>
          <w14:ligatures w14:val="none"/>
        </w:rPr>
      </w:pPr>
      <w:r>
        <w:rPr>
          <w:rFonts w:hint="eastAsia"/>
          <w:color w:val="000000"/>
          <w14:ligatures w14:val="none"/>
        </w:rPr>
        <w:t>本项目废水主要为鸡舍冲洗废水和生活污水，</w:t>
      </w:r>
      <w:r>
        <w:rPr>
          <w:rFonts w:hint="eastAsia"/>
        </w:rPr>
        <w:t>一起进入一体化污水处理设施处理达标后，用于周边林地灌溉，不外排，</w:t>
      </w:r>
      <w:r>
        <w:rPr>
          <w:rFonts w:hint="eastAsia"/>
          <w:color w:val="000000"/>
          <w14:ligatures w14:val="none"/>
        </w:rPr>
        <w:t>无需申请项目废水污染物总量控制指标。</w:t>
      </w:r>
    </w:p>
    <w:p>
      <w:pPr>
        <w:pStyle w:val="49"/>
        <w:ind w:firstLine="480"/>
        <w:rPr>
          <w:color w:val="000000"/>
          <w14:ligatures w14:val="none"/>
        </w:rPr>
      </w:pPr>
      <w:r>
        <w:rPr>
          <w:rFonts w:hint="eastAsia"/>
          <w:color w:val="000000"/>
          <w14:ligatures w14:val="none"/>
        </w:rPr>
        <w:t>项目排放的废气主要为无组织排放的恶臭气体、颗粒物，无需申请项目大气污染物总量控制指标。</w:t>
      </w:r>
    </w:p>
    <w:p>
      <w:pPr>
        <w:pStyle w:val="49"/>
        <w:ind w:firstLine="480"/>
        <w:rPr>
          <w:color w:val="000000"/>
          <w14:ligatures w14:val="none"/>
        </w:rPr>
        <w:sectPr>
          <w:pgSz w:w="11906" w:h="16838"/>
          <w:pgMar w:top="1440" w:right="1800" w:bottom="1440" w:left="1800" w:header="851" w:footer="992" w:gutter="0"/>
          <w:cols w:space="425" w:num="1"/>
          <w:docGrid w:type="lines" w:linePitch="312" w:charSpace="0"/>
        </w:sectPr>
      </w:pPr>
    </w:p>
    <w:p>
      <w:pPr>
        <w:pStyle w:val="2"/>
        <w:jc w:val="center"/>
        <w:rPr>
          <w:sz w:val="44"/>
          <w:szCs w:val="56"/>
        </w:rPr>
      </w:pPr>
      <w:bookmarkStart w:id="346" w:name="_Toc194481276"/>
      <w:r>
        <w:rPr>
          <w:rFonts w:hint="eastAsia"/>
          <w:sz w:val="44"/>
          <w:szCs w:val="56"/>
        </w:rPr>
        <w:t>第10章 环境影响评价结论</w:t>
      </w:r>
      <w:bookmarkEnd w:id="346"/>
    </w:p>
    <w:p>
      <w:pPr>
        <w:pStyle w:val="3"/>
        <w:keepNext w:val="0"/>
        <w:keepLines w:val="0"/>
        <w:widowControl w:val="0"/>
        <w:jc w:val="both"/>
      </w:pPr>
      <w:bookmarkStart w:id="347" w:name="_Toc194481277"/>
      <w:r>
        <w:t xml:space="preserve">10.1 </w:t>
      </w:r>
      <w:r>
        <w:rPr>
          <w:rFonts w:hint="eastAsia"/>
        </w:rPr>
        <w:t>结论</w:t>
      </w:r>
      <w:bookmarkEnd w:id="347"/>
    </w:p>
    <w:p>
      <w:pPr>
        <w:pStyle w:val="4"/>
        <w:keepNext w:val="0"/>
        <w:keepLines w:val="0"/>
        <w:widowControl w:val="0"/>
      </w:pPr>
      <w:bookmarkStart w:id="348" w:name="_Toc194481278"/>
      <w:r>
        <w:t xml:space="preserve">10.1.1 </w:t>
      </w:r>
      <w:r>
        <w:rPr>
          <w:rFonts w:hint="eastAsia"/>
        </w:rPr>
        <w:t>项目概况</w:t>
      </w:r>
      <w:bookmarkEnd w:id="348"/>
    </w:p>
    <w:p>
      <w:pPr>
        <w:pStyle w:val="49"/>
        <w:ind w:firstLine="480"/>
      </w:pPr>
      <w:r>
        <w:rPr>
          <w:rFonts w:hint="eastAsia"/>
        </w:rPr>
        <w:t>本项目位于永州市冷水滩区岚角山街道飞跃村、高桥头村，项目总投资23000万元，占地面积</w:t>
      </w:r>
      <w:r>
        <w:rPr>
          <w:rFonts w:hint="eastAsia" w:cs="Times New Roman"/>
          <w:szCs w:val="28"/>
        </w:rPr>
        <w:t>76953</w:t>
      </w:r>
      <w:r>
        <w:rPr>
          <w:rFonts w:hint="eastAsia"/>
        </w:rPr>
        <w:t>m</w:t>
      </w:r>
      <w:r>
        <w:rPr>
          <w:rFonts w:hint="eastAsia"/>
          <w:vertAlign w:val="superscript"/>
        </w:rPr>
        <w:t>2</w:t>
      </w:r>
      <w:r>
        <w:rPr>
          <w:rFonts w:hint="eastAsia"/>
        </w:rPr>
        <w:t>，总建筑面积约18775m</w:t>
      </w:r>
      <w:r>
        <w:rPr>
          <w:rFonts w:hint="eastAsia"/>
          <w:vertAlign w:val="superscript"/>
        </w:rPr>
        <w:t>2</w:t>
      </w:r>
      <w:r>
        <w:rPr>
          <w:rFonts w:hint="eastAsia"/>
        </w:rPr>
        <w:t>，主要建设内容包括7栋标准化鸡舍及配套的蛋库、料塔、鸡粪风干车间、办公生活区、门卫室、多媒体教室、淋浴区、宿舍、维修房及库房、配电房、冰冻库、一体化污水处理设施等。项目建成后，年存栏120万羽蛋鸡，年产鸡蛋4.4亿枚。</w:t>
      </w:r>
    </w:p>
    <w:p>
      <w:pPr>
        <w:pStyle w:val="4"/>
        <w:keepNext w:val="0"/>
        <w:keepLines w:val="0"/>
        <w:widowControl w:val="0"/>
      </w:pPr>
      <w:bookmarkStart w:id="349" w:name="_Toc194481279"/>
      <w:r>
        <w:t>10.1.</w:t>
      </w:r>
      <w:r>
        <w:rPr>
          <w:rFonts w:hint="eastAsia"/>
        </w:rPr>
        <w:t>2</w:t>
      </w:r>
      <w:r>
        <w:t xml:space="preserve"> </w:t>
      </w:r>
      <w:r>
        <w:rPr>
          <w:rFonts w:hint="eastAsia"/>
        </w:rPr>
        <w:t>环境质量现状</w:t>
      </w:r>
      <w:bookmarkEnd w:id="349"/>
    </w:p>
    <w:p>
      <w:pPr>
        <w:pStyle w:val="49"/>
        <w:ind w:firstLine="480"/>
      </w:pPr>
      <w:r>
        <w:rPr>
          <w:rFonts w:hint="eastAsia"/>
        </w:rPr>
        <w:t>1、环境空气</w:t>
      </w:r>
    </w:p>
    <w:p>
      <w:pPr>
        <w:pStyle w:val="49"/>
        <w:ind w:firstLine="480"/>
        <w:rPr>
          <w:szCs w:val="32"/>
        </w:rPr>
      </w:pPr>
      <w:r>
        <w:rPr>
          <w:rFonts w:hint="eastAsia"/>
          <w:color w:val="000000"/>
        </w:rPr>
        <w:t xml:space="preserve">本次选择的评价基准年为 </w:t>
      </w:r>
      <w:r>
        <w:rPr>
          <w:rFonts w:cs="Times New Roman"/>
          <w:color w:val="000000"/>
        </w:rPr>
        <w:t>202</w:t>
      </w:r>
      <w:r>
        <w:rPr>
          <w:rFonts w:hint="eastAsia" w:cs="Times New Roman"/>
          <w:color w:val="000000"/>
        </w:rPr>
        <w:t>4</w:t>
      </w:r>
      <w:r>
        <w:rPr>
          <w:rFonts w:hint="eastAsia"/>
          <w:color w:val="000000"/>
        </w:rPr>
        <w:t>年，</w:t>
      </w:r>
      <w:r>
        <w:rPr>
          <w:rFonts w:hint="eastAsia"/>
        </w:rPr>
        <w:t>本次环评收集了</w:t>
      </w:r>
      <w:r>
        <w:rPr>
          <w:rFonts w:hint="eastAsia"/>
          <w:szCs w:val="32"/>
        </w:rPr>
        <w:t>永州市生态环境局发布的《关于2</w:t>
      </w:r>
      <w:r>
        <w:rPr>
          <w:szCs w:val="32"/>
        </w:rPr>
        <w:t>02</w:t>
      </w:r>
      <w:r>
        <w:rPr>
          <w:rFonts w:hint="eastAsia"/>
          <w:szCs w:val="32"/>
        </w:rPr>
        <w:t>4年1</w:t>
      </w:r>
      <w:r>
        <w:rPr>
          <w:szCs w:val="32"/>
        </w:rPr>
        <w:t>2</w:t>
      </w:r>
      <w:r>
        <w:rPr>
          <w:rFonts w:hint="eastAsia"/>
          <w:szCs w:val="32"/>
        </w:rPr>
        <w:t>月份全市环境质量状况的通报》中附件4</w:t>
      </w:r>
      <w:r>
        <w:rPr>
          <w:szCs w:val="32"/>
        </w:rPr>
        <w:t xml:space="preserve"> </w:t>
      </w:r>
      <w:r>
        <w:rPr>
          <w:rFonts w:hint="eastAsia"/>
          <w:szCs w:val="32"/>
        </w:rPr>
        <w:t>《</w:t>
      </w:r>
      <w:r>
        <w:rPr>
          <w:szCs w:val="32"/>
        </w:rPr>
        <w:t>20</w:t>
      </w:r>
      <w:r>
        <w:rPr>
          <w:rFonts w:hint="eastAsia"/>
          <w:szCs w:val="32"/>
        </w:rPr>
        <w:t>24年1-12月全市城市环境空气质量污染物浓度状况</w:t>
      </w:r>
      <w:r>
        <w:rPr>
          <w:szCs w:val="32"/>
        </w:rPr>
        <w:t>》中</w:t>
      </w:r>
      <w:r>
        <w:rPr>
          <w:rFonts w:hint="eastAsia"/>
          <w:szCs w:val="32"/>
        </w:rPr>
        <w:t>冷水滩区</w:t>
      </w:r>
      <w:r>
        <w:rPr>
          <w:szCs w:val="32"/>
        </w:rPr>
        <w:t>环境空气质量现状数据</w:t>
      </w:r>
      <w:r>
        <w:rPr>
          <w:rFonts w:hint="eastAsia"/>
          <w:szCs w:val="32"/>
        </w:rPr>
        <w:t>，常规因子中</w:t>
      </w:r>
      <w:r>
        <w:rPr>
          <w:rFonts w:hint="eastAsia"/>
          <w:color w:val="000000"/>
          <w:szCs w:val="32"/>
        </w:rPr>
        <w:t>S</w:t>
      </w:r>
      <w:r>
        <w:rPr>
          <w:color w:val="000000"/>
          <w:szCs w:val="32"/>
        </w:rPr>
        <w:t>O</w:t>
      </w:r>
      <w:r>
        <w:rPr>
          <w:color w:val="000000"/>
          <w:szCs w:val="32"/>
          <w:vertAlign w:val="subscript"/>
        </w:rPr>
        <w:t>2</w:t>
      </w:r>
      <w:r>
        <w:rPr>
          <w:rFonts w:hint="eastAsia"/>
          <w:color w:val="000000"/>
          <w:szCs w:val="32"/>
        </w:rPr>
        <w:t>、</w:t>
      </w:r>
      <w:r>
        <w:rPr>
          <w:rFonts w:hint="eastAsia"/>
          <w:szCs w:val="32"/>
        </w:rPr>
        <w:t>NO</w:t>
      </w:r>
      <w:r>
        <w:rPr>
          <w:rFonts w:hint="eastAsia"/>
          <w:szCs w:val="32"/>
          <w:vertAlign w:val="subscript"/>
        </w:rPr>
        <w:t>2</w:t>
      </w:r>
      <w:r>
        <w:rPr>
          <w:rFonts w:hint="eastAsia"/>
          <w:szCs w:val="32"/>
        </w:rPr>
        <w:t>、CO、O</w:t>
      </w:r>
      <w:r>
        <w:rPr>
          <w:rFonts w:hint="eastAsia"/>
          <w:szCs w:val="32"/>
          <w:vertAlign w:val="subscript"/>
        </w:rPr>
        <w:t>3</w:t>
      </w:r>
      <w:r>
        <w:rPr>
          <w:rFonts w:hint="eastAsia"/>
          <w:szCs w:val="32"/>
        </w:rPr>
        <w:t>、PM</w:t>
      </w:r>
      <w:r>
        <w:rPr>
          <w:rFonts w:hint="eastAsia"/>
          <w:szCs w:val="32"/>
          <w:vertAlign w:val="subscript"/>
        </w:rPr>
        <w:t>2.5</w:t>
      </w:r>
      <w:r>
        <w:rPr>
          <w:rFonts w:hint="eastAsia"/>
          <w:szCs w:val="32"/>
        </w:rPr>
        <w:t>、PM</w:t>
      </w:r>
      <w:r>
        <w:rPr>
          <w:rFonts w:hint="eastAsia"/>
          <w:szCs w:val="32"/>
          <w:vertAlign w:val="subscript"/>
        </w:rPr>
        <w:t>10</w:t>
      </w:r>
      <w:r>
        <w:rPr>
          <w:rFonts w:hint="eastAsia"/>
          <w:szCs w:val="32"/>
        </w:rPr>
        <w:t>质量浓度均能够满足《环境空气质量标准》（GB3095-2012）及2018年修改单中二级标准要求，冷水滩区为达标区。</w:t>
      </w:r>
    </w:p>
    <w:p>
      <w:pPr>
        <w:pStyle w:val="49"/>
        <w:ind w:firstLine="480"/>
        <w:rPr>
          <w:color w:val="000000"/>
        </w:rPr>
      </w:pPr>
      <w:r>
        <w:rPr>
          <w:rFonts w:hint="eastAsia"/>
        </w:rPr>
        <w:t>根据补充监测结果可知，</w:t>
      </w:r>
      <w:r>
        <w:t>NH</w:t>
      </w:r>
      <w:r>
        <w:rPr>
          <w:vertAlign w:val="subscript"/>
        </w:rPr>
        <w:t>3</w:t>
      </w:r>
      <w:r>
        <w:t>、H</w:t>
      </w:r>
      <w:r>
        <w:rPr>
          <w:vertAlign w:val="subscript"/>
        </w:rPr>
        <w:t>2</w:t>
      </w:r>
      <w:r>
        <w:t>S</w:t>
      </w:r>
      <w:r>
        <w:rPr>
          <w:rFonts w:hint="eastAsia" w:ascii="宋体" w:hAnsi="宋体"/>
        </w:rPr>
        <w:t>《环境影响评价技术导则</w:t>
      </w:r>
      <w:r>
        <w:t xml:space="preserve"> </w:t>
      </w:r>
      <w:r>
        <w:rPr>
          <w:rFonts w:hint="eastAsia" w:ascii="宋体" w:hAnsi="宋体"/>
        </w:rPr>
        <w:t>大气环境》（</w:t>
      </w:r>
      <w:r>
        <w:t>HJ 2.2- 2018</w:t>
      </w:r>
      <w:r>
        <w:rPr>
          <w:rFonts w:hint="eastAsia" w:ascii="宋体" w:hAnsi="宋体"/>
        </w:rPr>
        <w:t>）附录</w:t>
      </w:r>
      <w:r>
        <w:t>D</w:t>
      </w:r>
      <w:r>
        <w:rPr>
          <w:rFonts w:hint="eastAsia" w:ascii="宋体" w:hAnsi="宋体"/>
        </w:rPr>
        <w:t>中其他污染物空气质量浓度参考限值</w:t>
      </w:r>
      <w:r>
        <w:rPr>
          <w:rFonts w:hint="eastAsia"/>
        </w:rPr>
        <w:t>；颗粒物满足</w:t>
      </w:r>
      <w:r>
        <w:rPr>
          <w:color w:val="000000"/>
        </w:rPr>
        <w:t>《环境空气质量标准》（GB3095-2012）</w:t>
      </w:r>
      <w:r>
        <w:rPr>
          <w:rFonts w:hint="eastAsia"/>
          <w:color w:val="000000"/>
        </w:rPr>
        <w:t>及</w:t>
      </w:r>
      <w:r>
        <w:rPr>
          <w:rFonts w:hint="eastAsia"/>
          <w:szCs w:val="32"/>
        </w:rPr>
        <w:t>2018年修改单中二级标准要求。</w:t>
      </w:r>
    </w:p>
    <w:p>
      <w:pPr>
        <w:pStyle w:val="49"/>
        <w:ind w:firstLine="480"/>
      </w:pPr>
      <w:r>
        <w:rPr>
          <w:rFonts w:hint="eastAsia"/>
        </w:rPr>
        <w:t>2、地表水环境</w:t>
      </w:r>
    </w:p>
    <w:p>
      <w:pPr>
        <w:pStyle w:val="49"/>
        <w:ind w:firstLine="480"/>
        <w:rPr>
          <w:szCs w:val="32"/>
        </w:rPr>
      </w:pPr>
      <w:r>
        <w:rPr>
          <w:rFonts w:hint="eastAsia"/>
          <w:szCs w:val="32"/>
        </w:rPr>
        <w:t>根据永州市生态环境局发布的《永州市11月份环境质量状况》，项目附近的湘江曲河断面水质稳定，满足《地表水环境质量标准》（GB3838-2002）中</w:t>
      </w:r>
      <w:r>
        <w:rPr>
          <w:rFonts w:cs="Times New Roman"/>
          <w:szCs w:val="32"/>
        </w:rPr>
        <w:t>Ⅱ</w:t>
      </w:r>
      <w:r>
        <w:rPr>
          <w:rFonts w:hint="eastAsia"/>
          <w:szCs w:val="32"/>
        </w:rPr>
        <w:t>类水质标准。</w:t>
      </w:r>
    </w:p>
    <w:p>
      <w:pPr>
        <w:pStyle w:val="49"/>
        <w:ind w:firstLine="480"/>
      </w:pPr>
      <w:r>
        <w:rPr>
          <w:rFonts w:hint="eastAsia"/>
        </w:rPr>
        <w:t>根据监测结果可知，项目所在地水塘除总磷外其他监测因子均满足《地表水环境质量标准》（</w:t>
      </w:r>
      <w:r>
        <w:rPr>
          <w:rFonts w:cs="Times New Roman"/>
        </w:rPr>
        <w:t>GB3838-2002</w:t>
      </w:r>
      <w:r>
        <w:rPr>
          <w:rFonts w:hint="eastAsia"/>
        </w:rPr>
        <w:t>）</w:t>
      </w:r>
      <w:r>
        <w:rPr>
          <w:rFonts w:cs="Times New Roman"/>
        </w:rPr>
        <w:t xml:space="preserve">III </w:t>
      </w:r>
      <w:r>
        <w:rPr>
          <w:rFonts w:hint="eastAsia"/>
        </w:rPr>
        <w:t>类水质标准。根据调查，总磷超标是由于水塘用于养鱼导致。</w:t>
      </w:r>
    </w:p>
    <w:p>
      <w:pPr>
        <w:pStyle w:val="49"/>
        <w:ind w:firstLine="480"/>
      </w:pPr>
      <w:r>
        <w:rPr>
          <w:rFonts w:hint="eastAsia"/>
        </w:rPr>
        <w:t>3、地下水环境</w:t>
      </w:r>
    </w:p>
    <w:p>
      <w:pPr>
        <w:pStyle w:val="49"/>
        <w:ind w:firstLine="480"/>
        <w:rPr>
          <w:szCs w:val="32"/>
        </w:rPr>
      </w:pPr>
      <w:r>
        <w:rPr>
          <w:rFonts w:hint="eastAsia"/>
          <w:szCs w:val="32"/>
        </w:rPr>
        <w:t>根据监测结果可知，</w:t>
      </w:r>
      <w:r>
        <w:rPr>
          <w:szCs w:val="32"/>
        </w:rPr>
        <w:t>项目</w:t>
      </w:r>
      <w:r>
        <w:rPr>
          <w:rFonts w:hint="eastAsia"/>
          <w:szCs w:val="32"/>
        </w:rPr>
        <w:t>所在地、门口洞、对江岭莫家</w:t>
      </w:r>
      <w:r>
        <w:rPr>
          <w:szCs w:val="32"/>
        </w:rPr>
        <w:t>各项监测因子均符合</w:t>
      </w:r>
      <w:r>
        <w:t>《地下水质量标准》（GB/T14848-2017）</w:t>
      </w:r>
      <w:r>
        <w:rPr>
          <w:szCs w:val="32"/>
        </w:rPr>
        <w:t>中III类标准。</w:t>
      </w:r>
    </w:p>
    <w:p>
      <w:pPr>
        <w:pStyle w:val="49"/>
        <w:ind w:firstLine="480"/>
      </w:pPr>
      <w:r>
        <w:rPr>
          <w:rFonts w:hint="eastAsia"/>
        </w:rPr>
        <w:t>4、声环境</w:t>
      </w:r>
    </w:p>
    <w:p>
      <w:pPr>
        <w:pStyle w:val="49"/>
        <w:ind w:firstLine="480"/>
        <w:rPr>
          <w:rFonts w:hint="eastAsia" w:ascii="宋体" w:hAnsi="宋体"/>
        </w:rPr>
      </w:pPr>
      <w:r>
        <w:rPr>
          <w:rFonts w:hint="eastAsia"/>
        </w:rPr>
        <w:t>根据监测结果可知，本项目厂界四周昼夜噪声级可满足《声环境质量标准》（</w:t>
      </w:r>
      <w:r>
        <w:rPr>
          <w:rFonts w:cs="Times New Roman"/>
        </w:rPr>
        <w:t>GB3096-2008</w:t>
      </w:r>
      <w:r>
        <w:rPr>
          <w:rFonts w:hint="eastAsia"/>
        </w:rPr>
        <w:t>）中的</w:t>
      </w:r>
      <w:r>
        <w:rPr>
          <w:rFonts w:hint="eastAsia" w:cs="Times New Roman"/>
        </w:rPr>
        <w:t>2</w:t>
      </w:r>
      <w:r>
        <w:rPr>
          <w:rFonts w:hint="eastAsia"/>
        </w:rPr>
        <w:t>类区标准</w:t>
      </w:r>
      <w:r>
        <w:rPr>
          <w:rFonts w:hint="eastAsia" w:ascii="宋体" w:hAnsi="宋体"/>
        </w:rPr>
        <w:t>。</w:t>
      </w:r>
    </w:p>
    <w:p>
      <w:pPr>
        <w:pStyle w:val="49"/>
        <w:ind w:firstLine="480"/>
      </w:pPr>
      <w:r>
        <w:rPr>
          <w:rFonts w:hint="eastAsia"/>
        </w:rPr>
        <w:t>5</w:t>
      </w:r>
      <w:r>
        <w:t>、土壤环境</w:t>
      </w:r>
    </w:p>
    <w:p>
      <w:pPr>
        <w:pStyle w:val="49"/>
        <w:ind w:firstLine="480"/>
      </w:pPr>
      <w:r>
        <w:rPr>
          <w:rFonts w:hint="eastAsia"/>
        </w:rPr>
        <w:t>根据土壤监测结果，本项目土壤监测点各监测因子均满足《</w:t>
      </w:r>
      <w:r>
        <w:rPr>
          <w:rFonts w:hint="eastAsia"/>
          <w:kern w:val="2"/>
        </w:rPr>
        <w:t>农</w:t>
      </w:r>
      <w:r>
        <w:rPr>
          <w:kern w:val="2"/>
        </w:rPr>
        <w:t>用地土壤污染风险管控标准（试行）</w:t>
      </w:r>
      <w:r>
        <w:rPr>
          <w:rFonts w:hint="eastAsia"/>
        </w:rPr>
        <w:t>》（</w:t>
      </w:r>
      <w:r>
        <w:t>GB</w:t>
      </w:r>
      <w:r>
        <w:rPr>
          <w:rFonts w:hint="eastAsia"/>
        </w:rPr>
        <w:t>15618</w:t>
      </w:r>
      <w:r>
        <w:t>-2018</w:t>
      </w:r>
      <w:r>
        <w:rPr>
          <w:rFonts w:hint="eastAsia"/>
        </w:rPr>
        <w:t>）表1风险筛选值。</w:t>
      </w:r>
    </w:p>
    <w:p>
      <w:pPr>
        <w:pStyle w:val="4"/>
        <w:keepNext w:val="0"/>
        <w:keepLines w:val="0"/>
        <w:widowControl w:val="0"/>
      </w:pPr>
      <w:bookmarkStart w:id="350" w:name="_Toc194481280"/>
      <w:r>
        <w:t xml:space="preserve">10.1.3 </w:t>
      </w:r>
      <w:r>
        <w:rPr>
          <w:rFonts w:hint="eastAsia"/>
        </w:rPr>
        <w:t>环境影响分析</w:t>
      </w:r>
      <w:bookmarkEnd w:id="350"/>
    </w:p>
    <w:p>
      <w:pPr>
        <w:pStyle w:val="49"/>
        <w:ind w:firstLine="480"/>
      </w:pPr>
      <w:r>
        <w:rPr>
          <w:rFonts w:hint="eastAsia"/>
        </w:rPr>
        <w:t>1、</w:t>
      </w:r>
      <w:r>
        <w:t>施工期环境影响评价结论</w:t>
      </w:r>
    </w:p>
    <w:p>
      <w:pPr>
        <w:pStyle w:val="49"/>
        <w:ind w:firstLine="480"/>
      </w:pPr>
      <w:r>
        <w:t>项目施工期在采取相应的防治措施的前提下，对周边环境影响较小。</w:t>
      </w:r>
    </w:p>
    <w:p>
      <w:pPr>
        <w:pStyle w:val="49"/>
        <w:ind w:firstLine="480"/>
        <w:rPr>
          <w:rFonts w:cs="Times New Roman"/>
          <w:color w:val="000000"/>
        </w:rPr>
      </w:pPr>
      <w:r>
        <w:rPr>
          <w:rFonts w:hint="eastAsia"/>
        </w:rPr>
        <w:t>2、</w:t>
      </w:r>
      <w:r>
        <w:rPr>
          <w:rFonts w:cs="Times New Roman"/>
          <w:color w:val="000000"/>
        </w:rPr>
        <w:t>营运期环境影响评价结论</w:t>
      </w:r>
    </w:p>
    <w:p>
      <w:pPr>
        <w:pStyle w:val="49"/>
        <w:ind w:firstLine="480"/>
      </w:pPr>
      <w:r>
        <w:rPr>
          <w:rFonts w:hint="eastAsia"/>
        </w:rPr>
        <w:t>（1）大气环境影响分析</w:t>
      </w:r>
    </w:p>
    <w:p>
      <w:pPr>
        <w:pStyle w:val="49"/>
        <w:ind w:firstLine="480"/>
      </w:pPr>
      <w:r>
        <w:rPr>
          <w:rFonts w:hint="eastAsia"/>
        </w:rPr>
        <w:t>本项目营运期产生的废气主要为鸡舍、鸡粪风干车间产生的恶臭气体和粉尘、</w:t>
      </w:r>
      <w:bookmarkStart w:id="351" w:name="_Hlk193960219"/>
      <w:r>
        <w:rPr>
          <w:rFonts w:hint="eastAsia"/>
        </w:rPr>
        <w:t>一体化污水处理设施产生的恶臭气体、</w:t>
      </w:r>
      <w:bookmarkEnd w:id="351"/>
      <w:r>
        <w:rPr>
          <w:rFonts w:hint="eastAsia"/>
        </w:rPr>
        <w:t>备用发电机废气、食堂油烟。</w:t>
      </w:r>
    </w:p>
    <w:p>
      <w:pPr>
        <w:pStyle w:val="49"/>
        <w:ind w:firstLine="480"/>
      </w:pPr>
      <w:bookmarkStart w:id="352" w:name="_Hlk193960232"/>
      <w:r>
        <w:rPr>
          <w:rFonts w:hint="eastAsia"/>
        </w:rPr>
        <w:t>鸡舍采取在饲料中添加EM菌对蛋鸡进行喂养，同时鸡粪采用干清粪封闭式输送带输送，每天及时清运、加强通风，定期喷洒生物除臭剂，加强绿化；</w:t>
      </w:r>
      <w:r>
        <w:rPr>
          <w:rFonts w:hint="eastAsia" w:cs="Times New Roman"/>
          <w:bCs/>
          <w:kern w:val="2"/>
        </w:rPr>
        <w:t>鸡舍排风尾端设置防尘间</w:t>
      </w:r>
      <w:r>
        <w:rPr>
          <w:rFonts w:cs="Times New Roman"/>
          <w:bCs/>
          <w:kern w:val="2"/>
        </w:rPr>
        <w:t>封闭，并在排放口上部布置防尘网</w:t>
      </w:r>
      <w:r>
        <w:rPr>
          <w:rFonts w:hint="eastAsia" w:cs="Times New Roman"/>
          <w:bCs/>
          <w:kern w:val="2"/>
        </w:rPr>
        <w:t>，设置水雾喷淋系统；</w:t>
      </w:r>
      <w:bookmarkEnd w:id="352"/>
      <w:r>
        <w:rPr>
          <w:rFonts w:hint="eastAsia"/>
        </w:rPr>
        <w:t>鸡粪风干车间采取在鸡粪风干车间风道出口设置高压水帘装置，并使用微生物除臭剂溶液作为循环水，每日对车间周边喷洒生物除臭剂；</w:t>
      </w:r>
      <w:bookmarkStart w:id="353" w:name="_Hlk193960264"/>
      <w:r>
        <w:rPr>
          <w:rFonts w:hint="eastAsia"/>
        </w:rPr>
        <w:t>一体化污水处理设施厌氧段污水处理设施均密闭，定期喷洒除臭剂，加强绿化；</w:t>
      </w:r>
      <w:bookmarkEnd w:id="353"/>
      <w:r>
        <w:rPr>
          <w:rFonts w:hint="eastAsia"/>
        </w:rPr>
        <w:t>采取上述措施后，厂界臭气浓度可达</w:t>
      </w:r>
      <w:r>
        <w:t>《畜禽养殖业污染物排放标准》（GB18596-2001）</w:t>
      </w:r>
      <w:r>
        <w:rPr>
          <w:rFonts w:hint="eastAsia"/>
        </w:rPr>
        <w:t>表7中排放标准，氨、硫化氢可达</w:t>
      </w:r>
      <w:r>
        <w:t>《恶臭污染物排放标准》（GB14554-93）</w:t>
      </w:r>
      <w:r>
        <w:rPr>
          <w:rFonts w:hint="eastAsia"/>
        </w:rPr>
        <w:t>表1中二级新扩改建标准值，</w:t>
      </w:r>
      <w:bookmarkStart w:id="354" w:name="_Hlk193960298"/>
      <w:r>
        <w:rPr>
          <w:rFonts w:hint="eastAsia"/>
        </w:rPr>
        <w:t>颗粒物可达《大气污染物综合排放标准》 （</w:t>
      </w:r>
      <w:r>
        <w:t>GB16297-1996</w:t>
      </w:r>
      <w:r>
        <w:rPr>
          <w:rFonts w:hint="eastAsia"/>
        </w:rPr>
        <w:t>）表2中无组织排放监控浓度限度。对周围环境影响较小。</w:t>
      </w:r>
      <w:bookmarkEnd w:id="354"/>
    </w:p>
    <w:p>
      <w:pPr>
        <w:pStyle w:val="49"/>
        <w:ind w:firstLine="480"/>
      </w:pPr>
      <w:r>
        <w:rPr>
          <w:rFonts w:hint="eastAsia"/>
        </w:rPr>
        <w:t>备用柴油发电机作为备用电源，仅在停电时使用，使用频率较低，废气排放量小，废气由专用烟道引至配电房屋顶排放，柴油发电机尾气各污染物排放可达到《大气污染物综合排放标准》（</w:t>
      </w:r>
      <w:r>
        <w:t>GB16297-1996</w:t>
      </w:r>
      <w:r>
        <w:rPr>
          <w:rFonts w:hint="eastAsia"/>
        </w:rPr>
        <w:t>）的要求，对环境的影响较小。</w:t>
      </w:r>
    </w:p>
    <w:p>
      <w:pPr>
        <w:pStyle w:val="49"/>
        <w:ind w:firstLine="480"/>
      </w:pPr>
      <w:r>
        <w:rPr>
          <w:rFonts w:hint="eastAsia"/>
        </w:rPr>
        <w:t>食堂油烟经油烟净化器处理后，通过专用烟道引至屋顶排放，油烟排放浓度达到《饮食业油烟排放标准（试行）》（</w:t>
      </w:r>
      <w:r>
        <w:t>GB18483-2001</w:t>
      </w:r>
      <w:r>
        <w:rPr>
          <w:rFonts w:hint="eastAsia"/>
        </w:rPr>
        <w:t xml:space="preserve">）要求，对周边大气 </w:t>
      </w:r>
    </w:p>
    <w:p>
      <w:pPr>
        <w:pStyle w:val="49"/>
        <w:ind w:firstLine="0" w:firstLineChars="0"/>
      </w:pPr>
      <w:r>
        <w:rPr>
          <w:rFonts w:hint="eastAsia"/>
        </w:rPr>
        <w:t>环境影响不大。</w:t>
      </w:r>
    </w:p>
    <w:p>
      <w:pPr>
        <w:pStyle w:val="49"/>
        <w:ind w:firstLine="480"/>
      </w:pPr>
      <w:r>
        <w:rPr>
          <w:rFonts w:hint="eastAsia"/>
        </w:rPr>
        <w:t>综上所述，项目产生的各项废气在落实相应环保措施后对周边环境影响较小。</w:t>
      </w:r>
    </w:p>
    <w:p>
      <w:pPr>
        <w:pStyle w:val="49"/>
        <w:ind w:firstLine="480"/>
      </w:pPr>
      <w:r>
        <w:rPr>
          <w:rFonts w:hint="eastAsia"/>
        </w:rPr>
        <w:t>（2）地表水环境影响分析</w:t>
      </w:r>
    </w:p>
    <w:p>
      <w:pPr>
        <w:pStyle w:val="49"/>
        <w:ind w:firstLine="480"/>
        <w:rPr>
          <w:sz w:val="32"/>
          <w:szCs w:val="32"/>
        </w:rPr>
      </w:pPr>
      <w:r>
        <w:rPr>
          <w:rFonts w:hint="eastAsia"/>
        </w:rPr>
        <w:t>鸡舍冲洗废水和生活污水</w:t>
      </w:r>
      <w:bookmarkStart w:id="355" w:name="_Hlk193960342"/>
      <w:r>
        <w:rPr>
          <w:rFonts w:hint="eastAsia"/>
        </w:rPr>
        <w:t>一起进入一体化污水处理设施处理达</w:t>
      </w:r>
      <w:r>
        <w:rPr>
          <w:rStyle w:val="83"/>
          <w:rFonts w:hint="eastAsia"/>
        </w:rPr>
        <w:t>《污水综合排放标准》（GB8978-1996）表4中一级标准后，用于</w:t>
      </w:r>
      <w:r>
        <w:rPr>
          <w:rFonts w:hint="eastAsia"/>
          <w:szCs w:val="21"/>
        </w:rPr>
        <w:t>周边林地灌溉，不外排，对周边地表水环境影响较小。</w:t>
      </w:r>
    </w:p>
    <w:bookmarkEnd w:id="355"/>
    <w:p>
      <w:pPr>
        <w:pStyle w:val="49"/>
        <w:ind w:firstLine="480"/>
        <w:rPr>
          <w:snapToGrid w:val="0"/>
        </w:rPr>
      </w:pPr>
      <w:r>
        <w:rPr>
          <w:rFonts w:hint="eastAsia"/>
        </w:rPr>
        <w:t>（3）地下水环境影响分析</w:t>
      </w:r>
    </w:p>
    <w:p>
      <w:pPr>
        <w:pStyle w:val="49"/>
        <w:ind w:firstLine="480"/>
        <w:rPr>
          <w:rFonts w:hint="eastAsia" w:ascii="宋体" w:hAnsi="宋体"/>
        </w:rPr>
      </w:pPr>
      <w:bookmarkStart w:id="356" w:name="_Hlk193960359"/>
      <w:r>
        <w:rPr>
          <w:rFonts w:hint="eastAsia"/>
        </w:rPr>
        <w:t>项目场区采取分区防渗措施，在正常情况下，可有效防止项目运营过程中污染物进入地下水环境，正常情况下对周边区域地下水的环境影响可得到有效避免。</w:t>
      </w:r>
    </w:p>
    <w:bookmarkEnd w:id="356"/>
    <w:p>
      <w:pPr>
        <w:pStyle w:val="49"/>
        <w:ind w:firstLine="480"/>
      </w:pPr>
      <w:r>
        <w:t>（</w:t>
      </w:r>
      <w:r>
        <w:rPr>
          <w:rFonts w:hint="eastAsia"/>
        </w:rPr>
        <w:t>4</w:t>
      </w:r>
      <w:r>
        <w:t>）</w:t>
      </w:r>
      <w:r>
        <w:rPr>
          <w:rFonts w:hint="eastAsia"/>
        </w:rPr>
        <w:t>声环境影响分析</w:t>
      </w:r>
    </w:p>
    <w:p>
      <w:pPr>
        <w:pStyle w:val="49"/>
        <w:ind w:firstLine="480"/>
      </w:pPr>
      <w:r>
        <w:rPr>
          <w:rFonts w:hint="eastAsia"/>
        </w:rPr>
        <w:t>本项目在落实各项噪声治理措施后，预测结果表明：项目东、南、西、北面厂界昼间、夜间噪声贡献值均满足《工业企业厂界环境噪声排放标准》（</w:t>
      </w:r>
      <w:r>
        <w:t>GB12348-2008</w:t>
      </w:r>
      <w:r>
        <w:rPr>
          <w:rFonts w:hint="eastAsia"/>
        </w:rPr>
        <w:t>）</w:t>
      </w:r>
      <w:r>
        <w:t xml:space="preserve">2 </w:t>
      </w:r>
      <w:r>
        <w:rPr>
          <w:rFonts w:hint="eastAsia"/>
        </w:rPr>
        <w:t>类标准限值要求，项目噪声对周边声环境影响不大。</w:t>
      </w:r>
    </w:p>
    <w:p>
      <w:pPr>
        <w:pStyle w:val="49"/>
        <w:ind w:firstLine="480"/>
        <w:rPr>
          <w:color w:val="000000"/>
        </w:rPr>
      </w:pPr>
      <w:r>
        <w:rPr>
          <w:rFonts w:hint="eastAsia"/>
        </w:rPr>
        <w:t>（5）</w:t>
      </w:r>
      <w:r>
        <w:rPr>
          <w:rFonts w:hint="eastAsia"/>
          <w:color w:val="000000"/>
        </w:rPr>
        <w:t>固体废物影响分析</w:t>
      </w:r>
    </w:p>
    <w:p>
      <w:pPr>
        <w:pStyle w:val="49"/>
        <w:ind w:firstLine="480"/>
      </w:pPr>
      <w:bookmarkStart w:id="357" w:name="_Hlk193960386"/>
      <w:r>
        <w:rPr>
          <w:rFonts w:hint="eastAsia"/>
        </w:rPr>
        <w:t>本项目鸡粪采用干清粪工艺，日产日清，由鸡舍内清粪带及中央集粪带将鸡粪输送至运输车辆内，</w:t>
      </w:r>
      <w:bookmarkEnd w:id="357"/>
      <w:r>
        <w:rPr>
          <w:rFonts w:hint="eastAsia"/>
        </w:rPr>
        <w:t>再由运输汽车转运至鸡粪风干车间，风干后</w:t>
      </w:r>
      <w:bookmarkStart w:id="358" w:name="_Hlk193960408"/>
      <w:r>
        <w:rPr>
          <w:rFonts w:hint="eastAsia"/>
        </w:rPr>
        <w:t>转运至湖南恩润生物科技有限公司制造有机肥</w:t>
      </w:r>
      <w:bookmarkEnd w:id="358"/>
      <w:r>
        <w:rPr>
          <w:rFonts w:hint="eastAsia"/>
        </w:rPr>
        <w:t>；污泥收集转运至鸡粪风干车间同鸡粪一并风干后转运至有湖南恩润生物科技有限公司制造有机肥；病死鸡在冷冻库暂存后定期交由永州恩泉环保科技有限公司无害化处置；废包装材料收集在一般固废暂存间内暂存，再外售综合利用；医疗垃圾分类收集在危废暂存间内暂存，再定期交有资质单位处置；</w:t>
      </w:r>
      <w:r>
        <w:rPr>
          <w:rFonts w:hint="eastAsia" w:ascii="宋体" w:hAnsi="宋体"/>
        </w:rPr>
        <w:t>生活垃圾交由环卫部门统一清运处理。</w:t>
      </w:r>
      <w:r>
        <w:rPr>
          <w:rFonts w:hint="eastAsia"/>
        </w:rPr>
        <w:t>通过加强管理，专人负责环保工作，及时妥善的处理各项固废，防止二次</w:t>
      </w:r>
      <w:r>
        <w:rPr>
          <w:rFonts w:hint="eastAsia" w:ascii="宋体" w:hAnsi="宋体"/>
        </w:rPr>
        <w:t>污染，项目固废不会对周围环境产生明显影响。</w:t>
      </w:r>
    </w:p>
    <w:p>
      <w:pPr>
        <w:pStyle w:val="49"/>
        <w:ind w:firstLine="480"/>
      </w:pPr>
      <w:r>
        <w:t>（</w:t>
      </w:r>
      <w:r>
        <w:rPr>
          <w:rFonts w:hint="eastAsia"/>
        </w:rPr>
        <w:t>6</w:t>
      </w:r>
      <w:r>
        <w:t>）</w:t>
      </w:r>
      <w:r>
        <w:rPr>
          <w:rFonts w:hint="eastAsia"/>
        </w:rPr>
        <w:t>土壤环境影响分析</w:t>
      </w:r>
    </w:p>
    <w:p>
      <w:pPr>
        <w:pStyle w:val="49"/>
        <w:ind w:firstLine="480"/>
      </w:pPr>
      <w:r>
        <w:rPr>
          <w:rFonts w:hint="eastAsia"/>
        </w:rPr>
        <w:t>根据项目厂址土壤环境现状监测结果，项目占地范围内土壤环境质量不存在点位超标，土壤环境现状较好。本项目采取源头控制、过程防控和跟踪监测等措施后，项目周边的土壤环境可以得到有效保护，项目营运期对区域土壤环境影响不大。</w:t>
      </w:r>
      <w:bookmarkStart w:id="359" w:name="_Hlk193960461"/>
      <w:r>
        <w:rPr>
          <w:rFonts w:hint="eastAsia"/>
        </w:rPr>
        <w:t>综合废水经一体化污水处理设施处理达标后，用于周边林地灌溉，能改善浇灌区土壤理化性质，增强土壤肥力，使废水资源化，项目建设对土壤环境影响不大。</w:t>
      </w:r>
    </w:p>
    <w:bookmarkEnd w:id="359"/>
    <w:p>
      <w:pPr>
        <w:pStyle w:val="49"/>
        <w:ind w:firstLine="480"/>
      </w:pPr>
      <w:r>
        <w:rPr>
          <w:rFonts w:hint="eastAsia"/>
        </w:rPr>
        <w:t>（7）生态环境影响分析</w:t>
      </w:r>
    </w:p>
    <w:p>
      <w:pPr>
        <w:pStyle w:val="49"/>
        <w:ind w:firstLine="480"/>
      </w:pPr>
      <w:r>
        <w:rPr>
          <w:rFonts w:hint="eastAsia"/>
        </w:rPr>
        <w:t>项目建设完成后，及时对场区绿化进行补偿恢复；扰动地表、占压土地和损坏林草植被的施工程度较轻，项目建成后不产生水土流失，运营期应妥善处置好固体废弃物，定点堆放，及时清运，在采取上述措施后，对周边生态环境影响不大。</w:t>
      </w:r>
    </w:p>
    <w:p>
      <w:pPr>
        <w:pStyle w:val="4"/>
        <w:keepNext w:val="0"/>
        <w:keepLines w:val="0"/>
        <w:widowControl w:val="0"/>
      </w:pPr>
      <w:bookmarkStart w:id="360" w:name="_Toc194481281"/>
      <w:r>
        <w:t xml:space="preserve">10.1.4 </w:t>
      </w:r>
      <w:r>
        <w:rPr>
          <w:rFonts w:hint="eastAsia"/>
        </w:rPr>
        <w:t>环境风险分析</w:t>
      </w:r>
      <w:bookmarkEnd w:id="360"/>
    </w:p>
    <w:p>
      <w:pPr>
        <w:pStyle w:val="49"/>
        <w:ind w:firstLine="480"/>
      </w:pPr>
      <w:r>
        <w:rPr>
          <w:rFonts w:hint="eastAsia"/>
        </w:rPr>
        <w:t xml:space="preserve">本项目涉及的危险物质主要为备用柴油发电机使用的柴油、尾水消毒涉及的次氯酸钠等，危险物质数量与临界量的比值 </w:t>
      </w:r>
      <w:r>
        <w:t>Q</w:t>
      </w:r>
      <w:r>
        <w:rPr>
          <w:rFonts w:hint="eastAsia"/>
        </w:rPr>
        <w:t>＜</w:t>
      </w:r>
      <w:r>
        <w:t>1</w:t>
      </w:r>
      <w:r>
        <w:rPr>
          <w:rFonts w:hint="eastAsia"/>
        </w:rPr>
        <w:t>，环境风险潜势为</w:t>
      </w:r>
      <w:r>
        <w:t>Ⅰ</w:t>
      </w:r>
      <w:r>
        <w:rPr>
          <w:rFonts w:hint="eastAsia"/>
        </w:rPr>
        <w:t>，评价等级为简单分析。本项目运营可能产生的环境风险事故为</w:t>
      </w:r>
      <w:bookmarkStart w:id="361" w:name="_Hlk193960487"/>
      <w:r>
        <w:rPr>
          <w:rFonts w:hint="eastAsia"/>
        </w:rPr>
        <w:t>柴油泄漏、废水泄漏、次氯酸钠、疫病事故风险以及柴油泄漏导致的火灾事故风险等，</w:t>
      </w:r>
      <w:bookmarkEnd w:id="361"/>
      <w:r>
        <w:rPr>
          <w:rFonts w:hint="eastAsia"/>
        </w:rPr>
        <w:t>风险的发生概率均较低。只要严格按照国家有关规定加强生产管理，对环保措施加强管理和巡查、维护，发生事故的可能性不大。通过制定严格风险防范措施和管理规定，落实岗位责任制，加强职工的安全生产教育，提高风险意识，能够最大限度地减少可能发生的环境风险，在发生环境风险事故时，及时启动风险应急预案，及时通知周边影响村庄、单位。在认真贯彻落实本报告提出的各项环境风险防范措施和加强管理的前提下，项目环境风险是可控的。</w:t>
      </w:r>
    </w:p>
    <w:p>
      <w:pPr>
        <w:pStyle w:val="4"/>
        <w:keepNext w:val="0"/>
        <w:keepLines w:val="0"/>
      </w:pPr>
      <w:bookmarkStart w:id="362" w:name="_Toc194481282"/>
      <w:r>
        <w:t xml:space="preserve">10.1.5 </w:t>
      </w:r>
      <w:r>
        <w:rPr>
          <w:rFonts w:hint="eastAsia"/>
        </w:rPr>
        <w:t>总量控制</w:t>
      </w:r>
      <w:bookmarkEnd w:id="362"/>
    </w:p>
    <w:p>
      <w:pPr>
        <w:pStyle w:val="49"/>
        <w:ind w:firstLine="480"/>
      </w:pPr>
      <w:r>
        <w:rPr>
          <w:rFonts w:hint="eastAsia"/>
        </w:rPr>
        <w:t>本项目涉及总量控制指标。</w:t>
      </w:r>
    </w:p>
    <w:p>
      <w:pPr>
        <w:pStyle w:val="4"/>
        <w:keepNext w:val="0"/>
        <w:keepLines w:val="0"/>
        <w:widowControl w:val="0"/>
      </w:pPr>
      <w:bookmarkStart w:id="363" w:name="_Toc194481283"/>
      <w:r>
        <w:t>10.1.6</w:t>
      </w:r>
      <w:r>
        <w:rPr>
          <w:rFonts w:hint="eastAsia"/>
        </w:rPr>
        <w:t xml:space="preserve"> 环境经济损益分析</w:t>
      </w:r>
      <w:bookmarkEnd w:id="363"/>
    </w:p>
    <w:p>
      <w:pPr>
        <w:pStyle w:val="49"/>
        <w:ind w:firstLine="480"/>
        <w:rPr>
          <w:rFonts w:hint="eastAsia" w:ascii="宋体" w:hAnsi="宋体"/>
        </w:rPr>
      </w:pPr>
      <w:r>
        <w:rPr>
          <w:rFonts w:hint="eastAsia"/>
        </w:rPr>
        <w:t xml:space="preserve">本项目在确保环保资金和污染治理设施到位前提下，项目产生的“三废” 在采取合理的处理处置措施后，可明显减低其对环境的危害，并取得一定的社 </w:t>
      </w:r>
      <w:r>
        <w:rPr>
          <w:rFonts w:hint="eastAsia" w:ascii="宋体" w:hAnsi="宋体"/>
        </w:rPr>
        <w:t>会效益和经济效益。由此可见，本项目环保投资具有较好的环境经济效益。</w:t>
      </w:r>
    </w:p>
    <w:p>
      <w:pPr>
        <w:pStyle w:val="4"/>
        <w:keepNext w:val="0"/>
        <w:keepLines w:val="0"/>
        <w:widowControl w:val="0"/>
      </w:pPr>
      <w:bookmarkStart w:id="364" w:name="_Toc194481284"/>
      <w:r>
        <w:t xml:space="preserve">10.1.7 </w:t>
      </w:r>
      <w:r>
        <w:rPr>
          <w:rFonts w:hint="eastAsia"/>
        </w:rPr>
        <w:t>公众参与结论</w:t>
      </w:r>
      <w:bookmarkEnd w:id="364"/>
    </w:p>
    <w:p>
      <w:pPr>
        <w:pStyle w:val="49"/>
        <w:ind w:firstLine="480"/>
      </w:pPr>
      <w:r>
        <w:t>经咨询建设单位，本项目在确定环评公司后在</w:t>
      </w:r>
      <w:r>
        <w:rPr>
          <w:rFonts w:hint="eastAsia"/>
        </w:rPr>
        <w:t>生态环境公示网</w:t>
      </w:r>
      <w:r>
        <w:t>公示了本项目的相关信息，并向公众提交了公众意见表，在意见稿编制期间未收到有公众对本项目提出相关的环保意见。本项目征求意见稿编制完成后建设单位在《环球时报》两次公示了本项目的全本链接以及查阅纸质报告书的方式和途径，同时进行了网上公示和现场公示。项目环评期间，建设单位和环评单位均未收到反对本项目建设的意见和相关具体要求，表明项目地公众对本项目的建设基本上是支持的。在建设单位采用先进、成熟的工艺技术，严格落实好环评提出的各项污染防治措施，且环境管理部门严格执法监督的前提下，被调查公众认为本项目的建设是可行的。</w:t>
      </w:r>
    </w:p>
    <w:p>
      <w:pPr>
        <w:pStyle w:val="4"/>
        <w:keepNext w:val="0"/>
        <w:keepLines w:val="0"/>
        <w:widowControl w:val="0"/>
      </w:pPr>
      <w:bookmarkStart w:id="365" w:name="_Toc194481285"/>
      <w:r>
        <w:t xml:space="preserve">10.1.8 </w:t>
      </w:r>
      <w:r>
        <w:rPr>
          <w:rFonts w:hint="eastAsia"/>
        </w:rPr>
        <w:t>项目建设的可行性</w:t>
      </w:r>
      <w:bookmarkEnd w:id="365"/>
    </w:p>
    <w:p>
      <w:pPr>
        <w:pStyle w:val="49"/>
        <w:ind w:firstLine="480"/>
      </w:pPr>
      <w:r>
        <w:rPr>
          <w:rFonts w:hint="eastAsia"/>
        </w:rPr>
        <w:t>本项目符合国家产业政策，选址交通较为便利，基础设施条件较为完善， 项目平面布局合理，符合区域产业规划要求，建设项目与环境容量相符，项目 区有一定的环境容量，各污染物能实现达标排放，固体废物能得到安全处置， 根据现场踏勘，不存在与本项目有关的明显制约因素。综上所述，本项目基本 可行。</w:t>
      </w:r>
    </w:p>
    <w:p>
      <w:pPr>
        <w:pStyle w:val="4"/>
        <w:keepNext w:val="0"/>
        <w:keepLines w:val="0"/>
        <w:widowControl w:val="0"/>
      </w:pPr>
      <w:bookmarkStart w:id="366" w:name="_Toc194481286"/>
      <w:r>
        <w:t>10.1.</w:t>
      </w:r>
      <w:r>
        <w:rPr>
          <w:rFonts w:hint="eastAsia"/>
        </w:rPr>
        <w:t>9</w:t>
      </w:r>
      <w:r>
        <w:t xml:space="preserve"> </w:t>
      </w:r>
      <w:r>
        <w:rPr>
          <w:rFonts w:hint="eastAsia"/>
        </w:rPr>
        <w:t>综合评价结论</w:t>
      </w:r>
      <w:bookmarkEnd w:id="366"/>
    </w:p>
    <w:p>
      <w:pPr>
        <w:pStyle w:val="49"/>
        <w:ind w:firstLine="480"/>
        <w:rPr>
          <w:rFonts w:hint="eastAsia" w:ascii="宋体" w:hAnsi="宋体"/>
        </w:rPr>
      </w:pPr>
      <w:r>
        <w:rPr>
          <w:rFonts w:hint="eastAsia"/>
        </w:rPr>
        <w:t>综上所述，湖南湘五永兴农业发展有限公司湘五永兴120万羽智能化蛋鸡养殖场项目符合国家产业政策，选址可行。项目建设和运营过程中，在严格落实环评中提出的各项污染治理措施的前提下，废气、废水、噪声等均可达标排放，固体废物能得到有效、安全的处置，项目产生的污染物对周围环境产生的影响在可接</w:t>
      </w:r>
      <w:r>
        <w:rPr>
          <w:rFonts w:hint="eastAsia" w:ascii="宋体" w:hAnsi="宋体"/>
        </w:rPr>
        <w:t>受的范围内。因此，本评价认为该建设项目从环保角度出发是合理可行的。</w:t>
      </w:r>
    </w:p>
    <w:p>
      <w:pPr>
        <w:pStyle w:val="3"/>
        <w:keepNext w:val="0"/>
        <w:keepLines w:val="0"/>
        <w:widowControl w:val="0"/>
        <w:jc w:val="both"/>
      </w:pPr>
      <w:bookmarkStart w:id="367" w:name="_Toc194481287"/>
      <w:r>
        <w:t xml:space="preserve">10.2 </w:t>
      </w:r>
      <w:r>
        <w:rPr>
          <w:rFonts w:hint="eastAsia"/>
        </w:rPr>
        <w:t>建议</w:t>
      </w:r>
      <w:bookmarkEnd w:id="367"/>
    </w:p>
    <w:p>
      <w:pPr>
        <w:pStyle w:val="49"/>
        <w:ind w:firstLine="480"/>
      </w:pPr>
      <w:r>
        <w:rPr>
          <w:rFonts w:hint="eastAsia"/>
        </w:rPr>
        <w:t xml:space="preserve">1、企业应加强管理，建立相关的规章制度及档案，严防污染事故的发生。加强场内区环保设施的日常管理，对各种污染物排放点进行实时监控和调整。 </w:t>
      </w:r>
    </w:p>
    <w:p>
      <w:pPr>
        <w:pStyle w:val="49"/>
        <w:ind w:firstLine="480"/>
      </w:pPr>
      <w:r>
        <w:rPr>
          <w:rFonts w:hint="eastAsia"/>
        </w:rPr>
        <w:t xml:space="preserve">2、认真树立环保意识，不得乱排乱放，不得随意倾倒和焚烧垃圾。 </w:t>
      </w:r>
    </w:p>
    <w:p>
      <w:pPr>
        <w:pStyle w:val="49"/>
        <w:ind w:firstLine="480"/>
      </w:pPr>
      <w:r>
        <w:rPr>
          <w:rFonts w:hint="eastAsia"/>
        </w:rPr>
        <w:t xml:space="preserve">3、积极做好场区内绿化、美化工作，在进场道路两侧、厂房周围及场区空地、围墙、办公管理区等场所，种植大量对硫化氢、氨等刺激性气体有吸收作用或抗性作用的花草树木。 </w:t>
      </w:r>
    </w:p>
    <w:p>
      <w:pPr>
        <w:pStyle w:val="49"/>
        <w:ind w:firstLine="480"/>
      </w:pPr>
      <w:r>
        <w:rPr>
          <w:rFonts w:hint="eastAsia"/>
        </w:rPr>
        <w:t xml:space="preserve">4、加强环境管理和宣传教育，提高全厂工作人员环保意识. </w:t>
      </w:r>
    </w:p>
    <w:p>
      <w:pPr>
        <w:pStyle w:val="49"/>
        <w:ind w:firstLine="480"/>
      </w:pPr>
      <w:r>
        <w:rPr>
          <w:rFonts w:hint="eastAsia"/>
        </w:rPr>
        <w:t xml:space="preserve">5、深挖企业节能降耗潜力，学习国内外同行业先进技术、管理经验，不断提高清洁生产水平，积极开展清洁生产审计。 </w:t>
      </w:r>
    </w:p>
    <w:p>
      <w:pPr>
        <w:pStyle w:val="49"/>
        <w:ind w:firstLine="480"/>
      </w:pPr>
      <w:r>
        <w:rPr>
          <w:rFonts w:hint="eastAsia"/>
        </w:rPr>
        <w:t xml:space="preserve">6、加强对设备的日常维护、检查，及时发现事故隐患。 </w:t>
      </w:r>
    </w:p>
    <w:p>
      <w:pPr>
        <w:pStyle w:val="49"/>
        <w:ind w:firstLine="480"/>
      </w:pPr>
      <w:r>
        <w:rPr>
          <w:rFonts w:hint="eastAsia"/>
        </w:rPr>
        <w:t>7、项目应落实环境管理和监测计划，及时发现并处理环境污染问题，避免污染事故的发生。</w:t>
      </w:r>
    </w:p>
    <w:p>
      <w:pPr>
        <w:pStyle w:val="49"/>
        <w:ind w:firstLine="480"/>
      </w:pPr>
      <w:r>
        <w:rPr>
          <w:rFonts w:hint="eastAsia"/>
        </w:rPr>
        <w:t xml:space="preserve">8、建设单位应处理好与周边居民、单位的关系问题，对于由本项目建设和营运引起的问题应积极应对、及时沟通协调解决，避免引发社会矛盾。 </w:t>
      </w:r>
    </w:p>
    <w:p>
      <w:pPr>
        <w:pStyle w:val="49"/>
        <w:ind w:firstLine="480"/>
      </w:pPr>
      <w:r>
        <w:rPr>
          <w:rFonts w:hint="eastAsia"/>
        </w:rPr>
        <w:t>9、根据环保竣工验收的要求，建设项目污染物处理设施的设计、施工必须与主体建筑的设计、施工同步进行，竣工时能同时投入使用，做到社会效益，环境效益和经济效益相统一。</w:t>
      </w:r>
      <w:bookmarkStart w:id="368" w:name="_GoBack"/>
      <w:bookmarkEnd w:id="36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等线 Light">
    <w:altName w:val="华文仿宋"/>
    <w:panose1 w:val="02010600030101010101"/>
    <w:charset w:val="86"/>
    <w:family w:val="auto"/>
    <w:pitch w:val="default"/>
    <w:sig w:usb0="00000000" w:usb1="00000000" w:usb2="00000016" w:usb3="00000000" w:csb0="0004000F" w:csb1="00000000"/>
  </w:font>
  <w:font w:name="Arial">
    <w:altName w:val="Nimbus Roman No9 L"/>
    <w:panose1 w:val="020B0604020202020204"/>
    <w:charset w:val="00"/>
    <w:family w:val="swiss"/>
    <w:pitch w:val="default"/>
    <w:sig w:usb0="00000000" w:usb1="00000000" w:usb2="00000009" w:usb3="00000000" w:csb0="000001FF" w:csb1="00000000"/>
  </w:font>
  <w:font w:name="Courier New">
    <w:altName w:val="DejaVu Sans"/>
    <w:panose1 w:val="02070309020205020404"/>
    <w:charset w:val="00"/>
    <w:family w:val="modern"/>
    <w:pitch w:val="default"/>
    <w:sig w:usb0="00000000" w:usb1="00000000" w:usb2="00000009" w:usb3="00000000" w:csb0="000001FF" w:csb1="00000000"/>
  </w:font>
  <w:font w:name="楷体_GB2312">
    <w:altName w:val="楷体"/>
    <w:panose1 w:val="02010609030101010101"/>
    <w:charset w:val="86"/>
    <w:family w:val="modern"/>
    <w:pitch w:val="default"/>
    <w:sig w:usb0="00000000" w:usb1="00000000" w:usb2="0000001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imesNewRomanPSMT">
    <w:altName w:val="Nimbus Roman No9 L"/>
    <w:panose1 w:val="00000000000000000000"/>
    <w:charset w:val="00"/>
    <w:family w:val="roman"/>
    <w:pitch w:val="default"/>
    <w:sig w:usb0="00000000" w:usb1="00000000" w:usb2="00000010" w:usb3="00000000" w:csb0="00060001" w:csb1="00000000"/>
  </w:font>
  <w:font w:name="Cambria Math">
    <w:altName w:val="DejaVu Math TeX Gyre"/>
    <w:panose1 w:val="02040503050406030204"/>
    <w:charset w:val="00"/>
    <w:family w:val="roman"/>
    <w:pitch w:val="default"/>
    <w:sig w:usb0="00000000" w:usb1="00000000" w:usb2="02000000" w:usb3="00000000" w:csb0="0000019F" w:csb1="00000000"/>
  </w:font>
  <w:font w:name="TimesNewRomanPS-BoldMT">
    <w:altName w:val="Nimbus Roman No9 L"/>
    <w:panose1 w:val="00000000000000000000"/>
    <w:charset w:val="00"/>
    <w:family w:val="roman"/>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Nimbus Roman No9 L">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DejaVu Math TeX Gyre">
    <w:panose1 w:val="02000503000000000000"/>
    <w:charset w:val="00"/>
    <w:family w:val="auto"/>
    <w:pitch w:val="default"/>
    <w:sig w:usb0="A10000EF" w:usb1="4201F9EE" w:usb2="02000000" w:usb3="00000000" w:csb0="60000193" w:csb1="0DD40000"/>
  </w:font>
  <w:font w:name="等线 Light">
    <w:altName w:val="汉仪仿宋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p>
  <w:p>
    <w:pPr>
      <w:pStyle w:val="2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8711463"/>
      <w:docPartObj>
        <w:docPartGallery w:val="AutoText"/>
      </w:docPartObj>
    </w:sdtPr>
    <w:sdtEndPr>
      <w:rPr>
        <w:rFonts w:ascii="Times New Roman" w:hAnsi="Times New Roman" w:cs="Times New Roman"/>
      </w:rPr>
    </w:sdtEndPr>
    <w:sdtContent>
      <w:p>
        <w:pPr>
          <w:pStyle w:val="2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147</w:t>
        </w:r>
        <w:r>
          <w:rPr>
            <w:rFonts w:ascii="Times New Roman" w:hAnsi="Times New Roman" w:cs="Times New Roman"/>
          </w:rPr>
          <w:fldChar w:fldCharType="end"/>
        </w:r>
      </w:p>
    </w:sdtContent>
  </w:sdt>
  <w:p>
    <w:pPr>
      <w:pStyle w:val="25"/>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7604670"/>
      <w:docPartObj>
        <w:docPartGallery w:val="AutoText"/>
      </w:docPartObj>
    </w:sdtPr>
    <w:sdtEndPr>
      <w:rPr>
        <w:rFonts w:ascii="Times New Roman" w:hAnsi="Times New Roman" w:cs="Times New Roman"/>
      </w:rPr>
    </w:sdtEndPr>
    <w:sdtContent>
      <w:p>
        <w:pPr>
          <w:pStyle w:val="2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171</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single" w:color="auto" w:sz="4" w:space="1"/>
      </w:pBdr>
      <w:rPr>
        <w:sz w:val="18"/>
        <w:szCs w:val="20"/>
      </w:rPr>
    </w:pPr>
    <w:r>
      <w:rPr>
        <w:rFonts w:hint="eastAsia"/>
        <w:sz w:val="18"/>
        <w:szCs w:val="20"/>
      </w:rPr>
      <w:t>湘五永兴120万羽智能化蛋鸡养殖场项目环境影响报告书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single" w:color="auto" w:sz="4" w:space="1"/>
      </w:pBdr>
      <w:rPr>
        <w:sz w:val="18"/>
        <w:szCs w:val="20"/>
      </w:rPr>
    </w:pPr>
    <w:r>
      <w:rPr>
        <w:rFonts w:hint="eastAsia"/>
        <w:sz w:val="18"/>
        <w:szCs w:val="20"/>
      </w:rPr>
      <w:t>湘五永兴120万羽智能化蛋鸡养殖场项目环境影响报告书</w:t>
    </w:r>
  </w:p>
  <w:p>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4"/>
      <w:lvlText w:val="%1."/>
      <w:lvlJc w:val="left"/>
      <w:pPr>
        <w:tabs>
          <w:tab w:val="left" w:pos="360"/>
        </w:tabs>
        <w:ind w:left="360" w:hanging="360" w:hangingChars="200"/>
      </w:pPr>
    </w:lvl>
  </w:abstractNum>
  <w:abstractNum w:abstractNumId="1">
    <w:nsid w:val="0000000B"/>
    <w:multiLevelType w:val="multilevel"/>
    <w:tmpl w:val="0000000B"/>
    <w:lvl w:ilvl="0" w:tentative="0">
      <w:start w:val="1"/>
      <w:numFmt w:val="decimal"/>
      <w:lvlText w:val="%1"/>
      <w:lvlJc w:val="left"/>
      <w:pPr>
        <w:tabs>
          <w:tab w:val="left" w:pos="716"/>
        </w:tabs>
        <w:ind w:left="716" w:hanging="432"/>
      </w:pPr>
      <w:rPr>
        <w:rFonts w:hint="default" w:ascii="Times New Roman" w:hAnsi="Times New Roman" w:eastAsia="黑体" w:cs="Times New Roman"/>
        <w:b w:val="0"/>
        <w:color w:val="auto"/>
        <w:sz w:val="36"/>
        <w:szCs w:val="36"/>
      </w:rPr>
    </w:lvl>
    <w:lvl w:ilvl="1" w:tentative="0">
      <w:start w:val="1"/>
      <w:numFmt w:val="decimal"/>
      <w:lvlText w:val="%1.%2"/>
      <w:lvlJc w:val="left"/>
      <w:pPr>
        <w:tabs>
          <w:tab w:val="left" w:pos="1002"/>
        </w:tabs>
        <w:ind w:left="1002" w:hanging="576"/>
      </w:pPr>
      <w:rPr>
        <w:rFonts w:hint="default" w:ascii="Times New Roman" w:hAnsi="Times New Roman" w:cs="Times New Roman"/>
        <w:b w:val="0"/>
        <w:color w:val="auto"/>
        <w:sz w:val="28"/>
        <w:szCs w:val="28"/>
      </w:rPr>
    </w:lvl>
    <w:lvl w:ilvl="2" w:tentative="0">
      <w:start w:val="1"/>
      <w:numFmt w:val="decimal"/>
      <w:lvlText w:val="%1.%2.%3"/>
      <w:lvlJc w:val="left"/>
      <w:pPr>
        <w:tabs>
          <w:tab w:val="left" w:pos="720"/>
        </w:tabs>
        <w:ind w:left="510" w:hanging="510"/>
      </w:pPr>
      <w:rPr>
        <w:rFonts w:hint="default" w:ascii="Times New Roman" w:hAnsi="Times New Roman" w:eastAsia="宋体" w:cs="Times New Roman"/>
        <w:b w:val="0"/>
        <w:i w:val="0"/>
        <w:color w:val="auto"/>
        <w:sz w:val="24"/>
        <w:szCs w:val="24"/>
      </w:rPr>
    </w:lvl>
    <w:lvl w:ilvl="3" w:tentative="0">
      <w:start w:val="1"/>
      <w:numFmt w:val="decimal"/>
      <w:lvlText w:val="%1.%2.%3.%4"/>
      <w:lvlJc w:val="left"/>
      <w:pPr>
        <w:tabs>
          <w:tab w:val="left" w:pos="864"/>
        </w:tabs>
        <w:ind w:left="864" w:hanging="864"/>
      </w:pPr>
      <w:rPr>
        <w:rFonts w:hint="eastAsia"/>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true"/>
  <w:bordersDoNotSurroundFooter w:val="true"/>
  <w:documentProtection w:enforcement="0"/>
  <w:defaultTabStop w:val="420"/>
  <w:drawingGridHorizontalSpacing w:val="120"/>
  <w:drawingGridVerticalSpacing w:val="163"/>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435"/>
    <w:rsid w:val="0000063F"/>
    <w:rsid w:val="000008A9"/>
    <w:rsid w:val="00000E6C"/>
    <w:rsid w:val="000016CB"/>
    <w:rsid w:val="00003526"/>
    <w:rsid w:val="00003874"/>
    <w:rsid w:val="0000759B"/>
    <w:rsid w:val="00007CB7"/>
    <w:rsid w:val="00010D3E"/>
    <w:rsid w:val="000110A0"/>
    <w:rsid w:val="00011247"/>
    <w:rsid w:val="000119A9"/>
    <w:rsid w:val="00011B55"/>
    <w:rsid w:val="00011E70"/>
    <w:rsid w:val="0001279A"/>
    <w:rsid w:val="00013744"/>
    <w:rsid w:val="00013925"/>
    <w:rsid w:val="00013E2A"/>
    <w:rsid w:val="00015768"/>
    <w:rsid w:val="00016219"/>
    <w:rsid w:val="000164E3"/>
    <w:rsid w:val="00017485"/>
    <w:rsid w:val="000203C7"/>
    <w:rsid w:val="000209B6"/>
    <w:rsid w:val="00020FF5"/>
    <w:rsid w:val="00023E84"/>
    <w:rsid w:val="000240A5"/>
    <w:rsid w:val="00025130"/>
    <w:rsid w:val="000253DF"/>
    <w:rsid w:val="000256FD"/>
    <w:rsid w:val="00025D3B"/>
    <w:rsid w:val="00026021"/>
    <w:rsid w:val="0002647B"/>
    <w:rsid w:val="00026657"/>
    <w:rsid w:val="000269BA"/>
    <w:rsid w:val="00026BBC"/>
    <w:rsid w:val="00026C7E"/>
    <w:rsid w:val="00027121"/>
    <w:rsid w:val="000274F8"/>
    <w:rsid w:val="00027914"/>
    <w:rsid w:val="00027D56"/>
    <w:rsid w:val="0003098F"/>
    <w:rsid w:val="00030B3F"/>
    <w:rsid w:val="000316BE"/>
    <w:rsid w:val="00032A42"/>
    <w:rsid w:val="000331CC"/>
    <w:rsid w:val="00033752"/>
    <w:rsid w:val="000347AE"/>
    <w:rsid w:val="00034D4A"/>
    <w:rsid w:val="00034DAF"/>
    <w:rsid w:val="00035E55"/>
    <w:rsid w:val="000362A7"/>
    <w:rsid w:val="00036607"/>
    <w:rsid w:val="00036AC5"/>
    <w:rsid w:val="000375A6"/>
    <w:rsid w:val="00037B04"/>
    <w:rsid w:val="00037B62"/>
    <w:rsid w:val="000413EE"/>
    <w:rsid w:val="0004221D"/>
    <w:rsid w:val="0004225F"/>
    <w:rsid w:val="00045033"/>
    <w:rsid w:val="00045290"/>
    <w:rsid w:val="00045A03"/>
    <w:rsid w:val="000479B0"/>
    <w:rsid w:val="00051351"/>
    <w:rsid w:val="000526C9"/>
    <w:rsid w:val="000536F1"/>
    <w:rsid w:val="000547E0"/>
    <w:rsid w:val="000550F1"/>
    <w:rsid w:val="00055237"/>
    <w:rsid w:val="00056CAE"/>
    <w:rsid w:val="00057A59"/>
    <w:rsid w:val="000607A8"/>
    <w:rsid w:val="00061DB6"/>
    <w:rsid w:val="00063097"/>
    <w:rsid w:val="00064119"/>
    <w:rsid w:val="00064182"/>
    <w:rsid w:val="0006578B"/>
    <w:rsid w:val="00065F4E"/>
    <w:rsid w:val="000668C6"/>
    <w:rsid w:val="00066F07"/>
    <w:rsid w:val="00067D6E"/>
    <w:rsid w:val="00067E3A"/>
    <w:rsid w:val="00070649"/>
    <w:rsid w:val="000707B0"/>
    <w:rsid w:val="00071F48"/>
    <w:rsid w:val="00072036"/>
    <w:rsid w:val="00073026"/>
    <w:rsid w:val="000744DF"/>
    <w:rsid w:val="00075C38"/>
    <w:rsid w:val="00080882"/>
    <w:rsid w:val="0008091E"/>
    <w:rsid w:val="00081044"/>
    <w:rsid w:val="000810E8"/>
    <w:rsid w:val="000813D5"/>
    <w:rsid w:val="000824B8"/>
    <w:rsid w:val="00082E1E"/>
    <w:rsid w:val="00082F47"/>
    <w:rsid w:val="00083787"/>
    <w:rsid w:val="00083BB2"/>
    <w:rsid w:val="000847DB"/>
    <w:rsid w:val="000853FA"/>
    <w:rsid w:val="00086769"/>
    <w:rsid w:val="00086C15"/>
    <w:rsid w:val="00087297"/>
    <w:rsid w:val="00087A2D"/>
    <w:rsid w:val="00091D63"/>
    <w:rsid w:val="00092D01"/>
    <w:rsid w:val="00094064"/>
    <w:rsid w:val="000959D4"/>
    <w:rsid w:val="00097758"/>
    <w:rsid w:val="000A00F1"/>
    <w:rsid w:val="000A1200"/>
    <w:rsid w:val="000A1469"/>
    <w:rsid w:val="000A1DF0"/>
    <w:rsid w:val="000A2D14"/>
    <w:rsid w:val="000A3C0E"/>
    <w:rsid w:val="000A403F"/>
    <w:rsid w:val="000A5C0D"/>
    <w:rsid w:val="000A6E8E"/>
    <w:rsid w:val="000A74A4"/>
    <w:rsid w:val="000A7D37"/>
    <w:rsid w:val="000B23B1"/>
    <w:rsid w:val="000B25DF"/>
    <w:rsid w:val="000B2A17"/>
    <w:rsid w:val="000B2F1D"/>
    <w:rsid w:val="000B3057"/>
    <w:rsid w:val="000B43C0"/>
    <w:rsid w:val="000B45EC"/>
    <w:rsid w:val="000B4811"/>
    <w:rsid w:val="000B57A1"/>
    <w:rsid w:val="000B5B61"/>
    <w:rsid w:val="000B6378"/>
    <w:rsid w:val="000B6949"/>
    <w:rsid w:val="000C247D"/>
    <w:rsid w:val="000C2BAB"/>
    <w:rsid w:val="000C333D"/>
    <w:rsid w:val="000C3A5E"/>
    <w:rsid w:val="000C4B39"/>
    <w:rsid w:val="000C5C07"/>
    <w:rsid w:val="000C5D73"/>
    <w:rsid w:val="000C71D3"/>
    <w:rsid w:val="000C789A"/>
    <w:rsid w:val="000D142E"/>
    <w:rsid w:val="000D1C33"/>
    <w:rsid w:val="000D204F"/>
    <w:rsid w:val="000D23DF"/>
    <w:rsid w:val="000D2CAD"/>
    <w:rsid w:val="000D3090"/>
    <w:rsid w:val="000D3B6F"/>
    <w:rsid w:val="000D4A1A"/>
    <w:rsid w:val="000D53E4"/>
    <w:rsid w:val="000E056B"/>
    <w:rsid w:val="000E0700"/>
    <w:rsid w:val="000E0B8A"/>
    <w:rsid w:val="000E1DF6"/>
    <w:rsid w:val="000E1F9C"/>
    <w:rsid w:val="000E22F8"/>
    <w:rsid w:val="000E2630"/>
    <w:rsid w:val="000E40EC"/>
    <w:rsid w:val="000E4651"/>
    <w:rsid w:val="000E4A0E"/>
    <w:rsid w:val="000E66DE"/>
    <w:rsid w:val="000E6AFB"/>
    <w:rsid w:val="000E75EA"/>
    <w:rsid w:val="000F2988"/>
    <w:rsid w:val="000F3624"/>
    <w:rsid w:val="000F5D5E"/>
    <w:rsid w:val="000F6537"/>
    <w:rsid w:val="000F76C8"/>
    <w:rsid w:val="001011E7"/>
    <w:rsid w:val="00101340"/>
    <w:rsid w:val="00101EFA"/>
    <w:rsid w:val="00102284"/>
    <w:rsid w:val="00102370"/>
    <w:rsid w:val="001035FA"/>
    <w:rsid w:val="00103EB3"/>
    <w:rsid w:val="001069B4"/>
    <w:rsid w:val="001102DB"/>
    <w:rsid w:val="00110F82"/>
    <w:rsid w:val="00111070"/>
    <w:rsid w:val="0011117A"/>
    <w:rsid w:val="00111CB3"/>
    <w:rsid w:val="00111F7C"/>
    <w:rsid w:val="00111F7E"/>
    <w:rsid w:val="0011208C"/>
    <w:rsid w:val="001132FC"/>
    <w:rsid w:val="00114498"/>
    <w:rsid w:val="00115059"/>
    <w:rsid w:val="0011572B"/>
    <w:rsid w:val="00115F43"/>
    <w:rsid w:val="0011753D"/>
    <w:rsid w:val="00120133"/>
    <w:rsid w:val="00120253"/>
    <w:rsid w:val="001244B7"/>
    <w:rsid w:val="001265A0"/>
    <w:rsid w:val="001267A9"/>
    <w:rsid w:val="00126B52"/>
    <w:rsid w:val="00126FB4"/>
    <w:rsid w:val="00127018"/>
    <w:rsid w:val="0012783D"/>
    <w:rsid w:val="00127E32"/>
    <w:rsid w:val="001309CC"/>
    <w:rsid w:val="00131196"/>
    <w:rsid w:val="00131D1A"/>
    <w:rsid w:val="00132E45"/>
    <w:rsid w:val="00134BED"/>
    <w:rsid w:val="00134F54"/>
    <w:rsid w:val="001362DB"/>
    <w:rsid w:val="00140BA3"/>
    <w:rsid w:val="00140F7A"/>
    <w:rsid w:val="00142B5C"/>
    <w:rsid w:val="001437D8"/>
    <w:rsid w:val="001437FA"/>
    <w:rsid w:val="00143CC9"/>
    <w:rsid w:val="00144B36"/>
    <w:rsid w:val="00145445"/>
    <w:rsid w:val="00147978"/>
    <w:rsid w:val="00147AA8"/>
    <w:rsid w:val="00147B75"/>
    <w:rsid w:val="00151526"/>
    <w:rsid w:val="00152424"/>
    <w:rsid w:val="001524C6"/>
    <w:rsid w:val="001529CB"/>
    <w:rsid w:val="00152F76"/>
    <w:rsid w:val="00153A06"/>
    <w:rsid w:val="001540A7"/>
    <w:rsid w:val="0015444F"/>
    <w:rsid w:val="001554BB"/>
    <w:rsid w:val="001556B3"/>
    <w:rsid w:val="00155E9B"/>
    <w:rsid w:val="00155F9C"/>
    <w:rsid w:val="001562B4"/>
    <w:rsid w:val="0015682B"/>
    <w:rsid w:val="00156948"/>
    <w:rsid w:val="0016103B"/>
    <w:rsid w:val="0016129D"/>
    <w:rsid w:val="001615DD"/>
    <w:rsid w:val="00161856"/>
    <w:rsid w:val="00161A4B"/>
    <w:rsid w:val="0016268E"/>
    <w:rsid w:val="00162CB3"/>
    <w:rsid w:val="001633B9"/>
    <w:rsid w:val="00163EED"/>
    <w:rsid w:val="00164896"/>
    <w:rsid w:val="00164A64"/>
    <w:rsid w:val="00165212"/>
    <w:rsid w:val="0016588A"/>
    <w:rsid w:val="00165AAC"/>
    <w:rsid w:val="0016725B"/>
    <w:rsid w:val="001674A9"/>
    <w:rsid w:val="00167F92"/>
    <w:rsid w:val="00171E5E"/>
    <w:rsid w:val="00172205"/>
    <w:rsid w:val="001723C6"/>
    <w:rsid w:val="001724A8"/>
    <w:rsid w:val="00172E52"/>
    <w:rsid w:val="00173DDC"/>
    <w:rsid w:val="00173E3C"/>
    <w:rsid w:val="00173EC5"/>
    <w:rsid w:val="001742D3"/>
    <w:rsid w:val="00174500"/>
    <w:rsid w:val="00175371"/>
    <w:rsid w:val="00175527"/>
    <w:rsid w:val="00175683"/>
    <w:rsid w:val="00175852"/>
    <w:rsid w:val="0017799A"/>
    <w:rsid w:val="00177A7A"/>
    <w:rsid w:val="00180126"/>
    <w:rsid w:val="001809B7"/>
    <w:rsid w:val="001809F4"/>
    <w:rsid w:val="00182197"/>
    <w:rsid w:val="00182396"/>
    <w:rsid w:val="0018248D"/>
    <w:rsid w:val="00182FAF"/>
    <w:rsid w:val="00183B32"/>
    <w:rsid w:val="00183E7A"/>
    <w:rsid w:val="0018467C"/>
    <w:rsid w:val="00184801"/>
    <w:rsid w:val="0018481A"/>
    <w:rsid w:val="00184B35"/>
    <w:rsid w:val="00184E71"/>
    <w:rsid w:val="00185CBA"/>
    <w:rsid w:val="00185DDA"/>
    <w:rsid w:val="00186410"/>
    <w:rsid w:val="0018770B"/>
    <w:rsid w:val="001877C2"/>
    <w:rsid w:val="00187FD7"/>
    <w:rsid w:val="00190347"/>
    <w:rsid w:val="00190A86"/>
    <w:rsid w:val="00190D0F"/>
    <w:rsid w:val="00193057"/>
    <w:rsid w:val="00193EE7"/>
    <w:rsid w:val="0019421A"/>
    <w:rsid w:val="00194BED"/>
    <w:rsid w:val="001955DD"/>
    <w:rsid w:val="0019585E"/>
    <w:rsid w:val="001968D7"/>
    <w:rsid w:val="001974E4"/>
    <w:rsid w:val="00197E2C"/>
    <w:rsid w:val="001A15F9"/>
    <w:rsid w:val="001A2090"/>
    <w:rsid w:val="001A22B7"/>
    <w:rsid w:val="001A3648"/>
    <w:rsid w:val="001A3D6A"/>
    <w:rsid w:val="001A4989"/>
    <w:rsid w:val="001A4B09"/>
    <w:rsid w:val="001A6E1B"/>
    <w:rsid w:val="001B0071"/>
    <w:rsid w:val="001B0563"/>
    <w:rsid w:val="001B0A71"/>
    <w:rsid w:val="001B1C67"/>
    <w:rsid w:val="001B3998"/>
    <w:rsid w:val="001B3D7A"/>
    <w:rsid w:val="001B4335"/>
    <w:rsid w:val="001B455F"/>
    <w:rsid w:val="001B4DFA"/>
    <w:rsid w:val="001B500F"/>
    <w:rsid w:val="001B575C"/>
    <w:rsid w:val="001B5FB7"/>
    <w:rsid w:val="001B6225"/>
    <w:rsid w:val="001B6AB6"/>
    <w:rsid w:val="001B6CE8"/>
    <w:rsid w:val="001B734F"/>
    <w:rsid w:val="001B7726"/>
    <w:rsid w:val="001B781F"/>
    <w:rsid w:val="001B7CF7"/>
    <w:rsid w:val="001C0AAC"/>
    <w:rsid w:val="001C2970"/>
    <w:rsid w:val="001C2E09"/>
    <w:rsid w:val="001C2FFE"/>
    <w:rsid w:val="001C4AA5"/>
    <w:rsid w:val="001C5C85"/>
    <w:rsid w:val="001C606D"/>
    <w:rsid w:val="001C6494"/>
    <w:rsid w:val="001C67C8"/>
    <w:rsid w:val="001C7984"/>
    <w:rsid w:val="001D043F"/>
    <w:rsid w:val="001D15C1"/>
    <w:rsid w:val="001D1BAC"/>
    <w:rsid w:val="001D2378"/>
    <w:rsid w:val="001D3A25"/>
    <w:rsid w:val="001D3B84"/>
    <w:rsid w:val="001D3BB2"/>
    <w:rsid w:val="001D429F"/>
    <w:rsid w:val="001D4ED2"/>
    <w:rsid w:val="001D4F5B"/>
    <w:rsid w:val="001D51C1"/>
    <w:rsid w:val="001D542D"/>
    <w:rsid w:val="001D5BFB"/>
    <w:rsid w:val="001D5E7E"/>
    <w:rsid w:val="001D754B"/>
    <w:rsid w:val="001D7CB1"/>
    <w:rsid w:val="001E0046"/>
    <w:rsid w:val="001E26B0"/>
    <w:rsid w:val="001E354F"/>
    <w:rsid w:val="001E4032"/>
    <w:rsid w:val="001E4680"/>
    <w:rsid w:val="001E4DE6"/>
    <w:rsid w:val="001E5104"/>
    <w:rsid w:val="001E5196"/>
    <w:rsid w:val="001E56CF"/>
    <w:rsid w:val="001E5ABF"/>
    <w:rsid w:val="001E5CB1"/>
    <w:rsid w:val="001E61AD"/>
    <w:rsid w:val="001E6DA4"/>
    <w:rsid w:val="001E76E9"/>
    <w:rsid w:val="001F00E1"/>
    <w:rsid w:val="001F16E5"/>
    <w:rsid w:val="001F1FAD"/>
    <w:rsid w:val="001F234A"/>
    <w:rsid w:val="001F2C5F"/>
    <w:rsid w:val="001F3C08"/>
    <w:rsid w:val="001F3C93"/>
    <w:rsid w:val="001F48C8"/>
    <w:rsid w:val="001F4DCD"/>
    <w:rsid w:val="001F595E"/>
    <w:rsid w:val="001F685C"/>
    <w:rsid w:val="00200200"/>
    <w:rsid w:val="00200A5B"/>
    <w:rsid w:val="00201863"/>
    <w:rsid w:val="0020208D"/>
    <w:rsid w:val="002025AE"/>
    <w:rsid w:val="00202E9F"/>
    <w:rsid w:val="00204724"/>
    <w:rsid w:val="00204D7B"/>
    <w:rsid w:val="0020509C"/>
    <w:rsid w:val="00206232"/>
    <w:rsid w:val="00206A45"/>
    <w:rsid w:val="00206E4C"/>
    <w:rsid w:val="00210B93"/>
    <w:rsid w:val="0021162B"/>
    <w:rsid w:val="00211C78"/>
    <w:rsid w:val="00211CFF"/>
    <w:rsid w:val="00213732"/>
    <w:rsid w:val="00213CE1"/>
    <w:rsid w:val="0021534E"/>
    <w:rsid w:val="00215742"/>
    <w:rsid w:val="00216F28"/>
    <w:rsid w:val="0022062B"/>
    <w:rsid w:val="002221DC"/>
    <w:rsid w:val="0022268B"/>
    <w:rsid w:val="00223034"/>
    <w:rsid w:val="002237D8"/>
    <w:rsid w:val="002246B7"/>
    <w:rsid w:val="00224974"/>
    <w:rsid w:val="00225368"/>
    <w:rsid w:val="00225434"/>
    <w:rsid w:val="002257C1"/>
    <w:rsid w:val="00226C7E"/>
    <w:rsid w:val="00226F9D"/>
    <w:rsid w:val="00227FD7"/>
    <w:rsid w:val="0023140E"/>
    <w:rsid w:val="00231A8A"/>
    <w:rsid w:val="0023330D"/>
    <w:rsid w:val="0023360A"/>
    <w:rsid w:val="00233654"/>
    <w:rsid w:val="002342DE"/>
    <w:rsid w:val="002349FF"/>
    <w:rsid w:val="00234AE3"/>
    <w:rsid w:val="00235048"/>
    <w:rsid w:val="00235D2B"/>
    <w:rsid w:val="00235E4D"/>
    <w:rsid w:val="00236478"/>
    <w:rsid w:val="00236CDC"/>
    <w:rsid w:val="00237104"/>
    <w:rsid w:val="002371BE"/>
    <w:rsid w:val="00237FA2"/>
    <w:rsid w:val="00240409"/>
    <w:rsid w:val="0024075D"/>
    <w:rsid w:val="002407FE"/>
    <w:rsid w:val="00241544"/>
    <w:rsid w:val="002428C6"/>
    <w:rsid w:val="002434F7"/>
    <w:rsid w:val="00243E24"/>
    <w:rsid w:val="0024434C"/>
    <w:rsid w:val="00244D5B"/>
    <w:rsid w:val="00245413"/>
    <w:rsid w:val="00245812"/>
    <w:rsid w:val="002469A1"/>
    <w:rsid w:val="002472C3"/>
    <w:rsid w:val="002473EA"/>
    <w:rsid w:val="002505DE"/>
    <w:rsid w:val="00250AD5"/>
    <w:rsid w:val="00251714"/>
    <w:rsid w:val="002534FB"/>
    <w:rsid w:val="00254428"/>
    <w:rsid w:val="002549BE"/>
    <w:rsid w:val="0025663F"/>
    <w:rsid w:val="002573BE"/>
    <w:rsid w:val="00257F51"/>
    <w:rsid w:val="002620C7"/>
    <w:rsid w:val="00262305"/>
    <w:rsid w:val="00262A3C"/>
    <w:rsid w:val="002634AC"/>
    <w:rsid w:val="00263997"/>
    <w:rsid w:val="00263C32"/>
    <w:rsid w:val="002643BE"/>
    <w:rsid w:val="002649EE"/>
    <w:rsid w:val="00265481"/>
    <w:rsid w:val="00265A01"/>
    <w:rsid w:val="00265C5F"/>
    <w:rsid w:val="00266A6B"/>
    <w:rsid w:val="00266B22"/>
    <w:rsid w:val="00266D11"/>
    <w:rsid w:val="00270192"/>
    <w:rsid w:val="00270896"/>
    <w:rsid w:val="00270AF8"/>
    <w:rsid w:val="00272093"/>
    <w:rsid w:val="002730C5"/>
    <w:rsid w:val="002741A1"/>
    <w:rsid w:val="002754E9"/>
    <w:rsid w:val="00277247"/>
    <w:rsid w:val="002777FF"/>
    <w:rsid w:val="002802EE"/>
    <w:rsid w:val="0028115E"/>
    <w:rsid w:val="00281F8A"/>
    <w:rsid w:val="002826B1"/>
    <w:rsid w:val="00282929"/>
    <w:rsid w:val="00282AA6"/>
    <w:rsid w:val="00282FFE"/>
    <w:rsid w:val="002837B5"/>
    <w:rsid w:val="00283F7E"/>
    <w:rsid w:val="00284266"/>
    <w:rsid w:val="0028494E"/>
    <w:rsid w:val="00285088"/>
    <w:rsid w:val="00286768"/>
    <w:rsid w:val="00286ECC"/>
    <w:rsid w:val="002877A0"/>
    <w:rsid w:val="00287999"/>
    <w:rsid w:val="00287A3B"/>
    <w:rsid w:val="00287DDA"/>
    <w:rsid w:val="00290E3B"/>
    <w:rsid w:val="00291091"/>
    <w:rsid w:val="0029318E"/>
    <w:rsid w:val="00293D2C"/>
    <w:rsid w:val="002941DF"/>
    <w:rsid w:val="002956F3"/>
    <w:rsid w:val="0029611D"/>
    <w:rsid w:val="00296EFB"/>
    <w:rsid w:val="00296FDB"/>
    <w:rsid w:val="0029773C"/>
    <w:rsid w:val="0029774D"/>
    <w:rsid w:val="002A0DF8"/>
    <w:rsid w:val="002A215D"/>
    <w:rsid w:val="002A21F9"/>
    <w:rsid w:val="002A2463"/>
    <w:rsid w:val="002A3ED3"/>
    <w:rsid w:val="002A4FCE"/>
    <w:rsid w:val="002A5381"/>
    <w:rsid w:val="002A5EA3"/>
    <w:rsid w:val="002A764F"/>
    <w:rsid w:val="002A7B1D"/>
    <w:rsid w:val="002B019E"/>
    <w:rsid w:val="002B0235"/>
    <w:rsid w:val="002B06AF"/>
    <w:rsid w:val="002B0A00"/>
    <w:rsid w:val="002B3B53"/>
    <w:rsid w:val="002B3DCF"/>
    <w:rsid w:val="002B3E0C"/>
    <w:rsid w:val="002B57B5"/>
    <w:rsid w:val="002B6341"/>
    <w:rsid w:val="002B65CA"/>
    <w:rsid w:val="002B6EF8"/>
    <w:rsid w:val="002C03DD"/>
    <w:rsid w:val="002C042F"/>
    <w:rsid w:val="002C0D30"/>
    <w:rsid w:val="002C136C"/>
    <w:rsid w:val="002C1587"/>
    <w:rsid w:val="002C2363"/>
    <w:rsid w:val="002C244F"/>
    <w:rsid w:val="002C288A"/>
    <w:rsid w:val="002C28B1"/>
    <w:rsid w:val="002C2F72"/>
    <w:rsid w:val="002C41E1"/>
    <w:rsid w:val="002C4ADB"/>
    <w:rsid w:val="002C4AE4"/>
    <w:rsid w:val="002C54FB"/>
    <w:rsid w:val="002C6C0B"/>
    <w:rsid w:val="002C70D0"/>
    <w:rsid w:val="002D0EAE"/>
    <w:rsid w:val="002D0EC6"/>
    <w:rsid w:val="002D22CF"/>
    <w:rsid w:val="002D300E"/>
    <w:rsid w:val="002D3307"/>
    <w:rsid w:val="002D43D7"/>
    <w:rsid w:val="002E07B6"/>
    <w:rsid w:val="002E1495"/>
    <w:rsid w:val="002E1C5F"/>
    <w:rsid w:val="002E1C97"/>
    <w:rsid w:val="002E341F"/>
    <w:rsid w:val="002E4188"/>
    <w:rsid w:val="002E561A"/>
    <w:rsid w:val="002E613D"/>
    <w:rsid w:val="002E7707"/>
    <w:rsid w:val="002E7DB8"/>
    <w:rsid w:val="002F025E"/>
    <w:rsid w:val="002F09B0"/>
    <w:rsid w:val="002F11F5"/>
    <w:rsid w:val="002F16F6"/>
    <w:rsid w:val="002F1931"/>
    <w:rsid w:val="002F1BD4"/>
    <w:rsid w:val="002F3718"/>
    <w:rsid w:val="002F3EB8"/>
    <w:rsid w:val="002F47E0"/>
    <w:rsid w:val="002F57DF"/>
    <w:rsid w:val="002F63ED"/>
    <w:rsid w:val="002F6EE1"/>
    <w:rsid w:val="002F70B1"/>
    <w:rsid w:val="002F7D82"/>
    <w:rsid w:val="002F7EF5"/>
    <w:rsid w:val="0030061C"/>
    <w:rsid w:val="003021B1"/>
    <w:rsid w:val="0030221C"/>
    <w:rsid w:val="00302636"/>
    <w:rsid w:val="00302A3E"/>
    <w:rsid w:val="00302E68"/>
    <w:rsid w:val="00303186"/>
    <w:rsid w:val="00303643"/>
    <w:rsid w:val="00303B4B"/>
    <w:rsid w:val="00304681"/>
    <w:rsid w:val="00304C3C"/>
    <w:rsid w:val="00305186"/>
    <w:rsid w:val="0030668D"/>
    <w:rsid w:val="003073B3"/>
    <w:rsid w:val="0030759B"/>
    <w:rsid w:val="003078EF"/>
    <w:rsid w:val="00310B69"/>
    <w:rsid w:val="00311311"/>
    <w:rsid w:val="00311AD0"/>
    <w:rsid w:val="00313206"/>
    <w:rsid w:val="0031358F"/>
    <w:rsid w:val="00313CB7"/>
    <w:rsid w:val="003148D0"/>
    <w:rsid w:val="0031694A"/>
    <w:rsid w:val="00316A01"/>
    <w:rsid w:val="003172EB"/>
    <w:rsid w:val="00317663"/>
    <w:rsid w:val="0031786A"/>
    <w:rsid w:val="0032030B"/>
    <w:rsid w:val="00320BB9"/>
    <w:rsid w:val="0032176C"/>
    <w:rsid w:val="00321E95"/>
    <w:rsid w:val="0032247C"/>
    <w:rsid w:val="0032283E"/>
    <w:rsid w:val="0032344F"/>
    <w:rsid w:val="003234CB"/>
    <w:rsid w:val="003238B1"/>
    <w:rsid w:val="00323C00"/>
    <w:rsid w:val="00323E74"/>
    <w:rsid w:val="003247AF"/>
    <w:rsid w:val="00324B31"/>
    <w:rsid w:val="00325D8F"/>
    <w:rsid w:val="003279B0"/>
    <w:rsid w:val="00330088"/>
    <w:rsid w:val="003308CE"/>
    <w:rsid w:val="00330F8B"/>
    <w:rsid w:val="00331728"/>
    <w:rsid w:val="00331DB5"/>
    <w:rsid w:val="00332254"/>
    <w:rsid w:val="0033234D"/>
    <w:rsid w:val="00333936"/>
    <w:rsid w:val="0033553C"/>
    <w:rsid w:val="00335910"/>
    <w:rsid w:val="00335B08"/>
    <w:rsid w:val="00336DEB"/>
    <w:rsid w:val="003377CE"/>
    <w:rsid w:val="00337824"/>
    <w:rsid w:val="003400EA"/>
    <w:rsid w:val="003408C9"/>
    <w:rsid w:val="00340904"/>
    <w:rsid w:val="0034144A"/>
    <w:rsid w:val="0034189E"/>
    <w:rsid w:val="00342229"/>
    <w:rsid w:val="00342A8F"/>
    <w:rsid w:val="00342D2B"/>
    <w:rsid w:val="00342F90"/>
    <w:rsid w:val="00343242"/>
    <w:rsid w:val="003447F6"/>
    <w:rsid w:val="00345503"/>
    <w:rsid w:val="0034557C"/>
    <w:rsid w:val="003466CE"/>
    <w:rsid w:val="0034726E"/>
    <w:rsid w:val="00347385"/>
    <w:rsid w:val="00347832"/>
    <w:rsid w:val="00350EEE"/>
    <w:rsid w:val="003513F2"/>
    <w:rsid w:val="00353A72"/>
    <w:rsid w:val="00353BCF"/>
    <w:rsid w:val="00353D15"/>
    <w:rsid w:val="00355014"/>
    <w:rsid w:val="00355757"/>
    <w:rsid w:val="00357784"/>
    <w:rsid w:val="00357D65"/>
    <w:rsid w:val="00361891"/>
    <w:rsid w:val="00361EB6"/>
    <w:rsid w:val="00362126"/>
    <w:rsid w:val="00362D2B"/>
    <w:rsid w:val="0036353D"/>
    <w:rsid w:val="00364F3B"/>
    <w:rsid w:val="00365016"/>
    <w:rsid w:val="00365188"/>
    <w:rsid w:val="00365E5F"/>
    <w:rsid w:val="00366CB8"/>
    <w:rsid w:val="00366CC0"/>
    <w:rsid w:val="0036755F"/>
    <w:rsid w:val="00367EEF"/>
    <w:rsid w:val="00370DEE"/>
    <w:rsid w:val="003713AF"/>
    <w:rsid w:val="00371A0B"/>
    <w:rsid w:val="00373045"/>
    <w:rsid w:val="00373DE9"/>
    <w:rsid w:val="0037475B"/>
    <w:rsid w:val="0037514C"/>
    <w:rsid w:val="00375337"/>
    <w:rsid w:val="003801E1"/>
    <w:rsid w:val="0038075F"/>
    <w:rsid w:val="00381ABB"/>
    <w:rsid w:val="00382B2D"/>
    <w:rsid w:val="0038373F"/>
    <w:rsid w:val="00384108"/>
    <w:rsid w:val="0038721D"/>
    <w:rsid w:val="00387D08"/>
    <w:rsid w:val="0039062B"/>
    <w:rsid w:val="0039155F"/>
    <w:rsid w:val="00392A76"/>
    <w:rsid w:val="00392EB1"/>
    <w:rsid w:val="00393444"/>
    <w:rsid w:val="00393CBC"/>
    <w:rsid w:val="00393D66"/>
    <w:rsid w:val="0039418A"/>
    <w:rsid w:val="00394258"/>
    <w:rsid w:val="00395C78"/>
    <w:rsid w:val="0039674B"/>
    <w:rsid w:val="003970A8"/>
    <w:rsid w:val="00397A47"/>
    <w:rsid w:val="003A07CA"/>
    <w:rsid w:val="003A1780"/>
    <w:rsid w:val="003A2BB7"/>
    <w:rsid w:val="003A377B"/>
    <w:rsid w:val="003A3FE7"/>
    <w:rsid w:val="003A4023"/>
    <w:rsid w:val="003A4477"/>
    <w:rsid w:val="003A480A"/>
    <w:rsid w:val="003A6307"/>
    <w:rsid w:val="003A7C80"/>
    <w:rsid w:val="003B0290"/>
    <w:rsid w:val="003B0417"/>
    <w:rsid w:val="003B0B21"/>
    <w:rsid w:val="003B2ED9"/>
    <w:rsid w:val="003B3694"/>
    <w:rsid w:val="003B38BA"/>
    <w:rsid w:val="003B49C6"/>
    <w:rsid w:val="003B4AA9"/>
    <w:rsid w:val="003B4BD4"/>
    <w:rsid w:val="003B7050"/>
    <w:rsid w:val="003B752D"/>
    <w:rsid w:val="003C0C23"/>
    <w:rsid w:val="003C16B8"/>
    <w:rsid w:val="003C1BDA"/>
    <w:rsid w:val="003C23C9"/>
    <w:rsid w:val="003C25E9"/>
    <w:rsid w:val="003C33B6"/>
    <w:rsid w:val="003C56CF"/>
    <w:rsid w:val="003C5EA0"/>
    <w:rsid w:val="003C6578"/>
    <w:rsid w:val="003D2926"/>
    <w:rsid w:val="003D42BB"/>
    <w:rsid w:val="003D4BDD"/>
    <w:rsid w:val="003D521D"/>
    <w:rsid w:val="003D5FDD"/>
    <w:rsid w:val="003D62AF"/>
    <w:rsid w:val="003D7593"/>
    <w:rsid w:val="003D76A4"/>
    <w:rsid w:val="003E15EE"/>
    <w:rsid w:val="003E1721"/>
    <w:rsid w:val="003E1A23"/>
    <w:rsid w:val="003E40A6"/>
    <w:rsid w:val="003E426B"/>
    <w:rsid w:val="003E49BD"/>
    <w:rsid w:val="003E4EE8"/>
    <w:rsid w:val="003E565E"/>
    <w:rsid w:val="003E591A"/>
    <w:rsid w:val="003E60B0"/>
    <w:rsid w:val="003E6229"/>
    <w:rsid w:val="003E62E4"/>
    <w:rsid w:val="003E7570"/>
    <w:rsid w:val="003F033B"/>
    <w:rsid w:val="003F08F7"/>
    <w:rsid w:val="003F0AE2"/>
    <w:rsid w:val="003F128C"/>
    <w:rsid w:val="003F1B39"/>
    <w:rsid w:val="003F2137"/>
    <w:rsid w:val="003F2A5A"/>
    <w:rsid w:val="003F2C71"/>
    <w:rsid w:val="003F2DDD"/>
    <w:rsid w:val="003F33BF"/>
    <w:rsid w:val="003F3E08"/>
    <w:rsid w:val="003F4024"/>
    <w:rsid w:val="003F44B5"/>
    <w:rsid w:val="003F50F1"/>
    <w:rsid w:val="003F5133"/>
    <w:rsid w:val="003F5F66"/>
    <w:rsid w:val="003F6317"/>
    <w:rsid w:val="003F680F"/>
    <w:rsid w:val="003F6982"/>
    <w:rsid w:val="003F7FA3"/>
    <w:rsid w:val="0040048D"/>
    <w:rsid w:val="004009AE"/>
    <w:rsid w:val="00400D9B"/>
    <w:rsid w:val="00402203"/>
    <w:rsid w:val="00402474"/>
    <w:rsid w:val="00402A9F"/>
    <w:rsid w:val="0040373D"/>
    <w:rsid w:val="004039D1"/>
    <w:rsid w:val="00403F85"/>
    <w:rsid w:val="00403FB3"/>
    <w:rsid w:val="00404560"/>
    <w:rsid w:val="00404568"/>
    <w:rsid w:val="00404A43"/>
    <w:rsid w:val="00405376"/>
    <w:rsid w:val="004056CC"/>
    <w:rsid w:val="00406F6B"/>
    <w:rsid w:val="004071E0"/>
    <w:rsid w:val="00410BF3"/>
    <w:rsid w:val="00410DAE"/>
    <w:rsid w:val="0041150C"/>
    <w:rsid w:val="004117C3"/>
    <w:rsid w:val="00411AD8"/>
    <w:rsid w:val="00411D50"/>
    <w:rsid w:val="00411E05"/>
    <w:rsid w:val="00411ECB"/>
    <w:rsid w:val="00412951"/>
    <w:rsid w:val="0041402B"/>
    <w:rsid w:val="004146DA"/>
    <w:rsid w:val="00416E05"/>
    <w:rsid w:val="00417B89"/>
    <w:rsid w:val="00417E88"/>
    <w:rsid w:val="00420BD6"/>
    <w:rsid w:val="00421D96"/>
    <w:rsid w:val="0042218C"/>
    <w:rsid w:val="0042425D"/>
    <w:rsid w:val="00424D11"/>
    <w:rsid w:val="00426549"/>
    <w:rsid w:val="00427297"/>
    <w:rsid w:val="0042777E"/>
    <w:rsid w:val="00427B05"/>
    <w:rsid w:val="0043019E"/>
    <w:rsid w:val="004301FE"/>
    <w:rsid w:val="004306A3"/>
    <w:rsid w:val="004307A2"/>
    <w:rsid w:val="004315B8"/>
    <w:rsid w:val="0043228A"/>
    <w:rsid w:val="004325C6"/>
    <w:rsid w:val="00432B58"/>
    <w:rsid w:val="004331BC"/>
    <w:rsid w:val="00433AC8"/>
    <w:rsid w:val="00433CB0"/>
    <w:rsid w:val="00433E1B"/>
    <w:rsid w:val="00434CBD"/>
    <w:rsid w:val="004354B3"/>
    <w:rsid w:val="004363E6"/>
    <w:rsid w:val="004371D8"/>
    <w:rsid w:val="00437CC5"/>
    <w:rsid w:val="004402E3"/>
    <w:rsid w:val="0044038B"/>
    <w:rsid w:val="0044076C"/>
    <w:rsid w:val="004410A3"/>
    <w:rsid w:val="004420B1"/>
    <w:rsid w:val="004421EE"/>
    <w:rsid w:val="0044247E"/>
    <w:rsid w:val="00443866"/>
    <w:rsid w:val="00444404"/>
    <w:rsid w:val="0044539B"/>
    <w:rsid w:val="00445F9C"/>
    <w:rsid w:val="00447545"/>
    <w:rsid w:val="00447CF8"/>
    <w:rsid w:val="00450259"/>
    <w:rsid w:val="00450416"/>
    <w:rsid w:val="004505A3"/>
    <w:rsid w:val="00451BCE"/>
    <w:rsid w:val="00453202"/>
    <w:rsid w:val="00453BD5"/>
    <w:rsid w:val="00453E87"/>
    <w:rsid w:val="004553C9"/>
    <w:rsid w:val="00456761"/>
    <w:rsid w:val="00456E9F"/>
    <w:rsid w:val="0045768D"/>
    <w:rsid w:val="00457CEA"/>
    <w:rsid w:val="004619CE"/>
    <w:rsid w:val="00461EB5"/>
    <w:rsid w:val="00461EBD"/>
    <w:rsid w:val="00462C70"/>
    <w:rsid w:val="00463EFE"/>
    <w:rsid w:val="00465A50"/>
    <w:rsid w:val="00467608"/>
    <w:rsid w:val="004707D7"/>
    <w:rsid w:val="00470E91"/>
    <w:rsid w:val="004710FF"/>
    <w:rsid w:val="004713A3"/>
    <w:rsid w:val="00472459"/>
    <w:rsid w:val="004724DD"/>
    <w:rsid w:val="00472ED8"/>
    <w:rsid w:val="0047318E"/>
    <w:rsid w:val="00473984"/>
    <w:rsid w:val="00474123"/>
    <w:rsid w:val="004746D7"/>
    <w:rsid w:val="004754E3"/>
    <w:rsid w:val="00475528"/>
    <w:rsid w:val="00476451"/>
    <w:rsid w:val="00476786"/>
    <w:rsid w:val="00476FD5"/>
    <w:rsid w:val="00477393"/>
    <w:rsid w:val="00477E37"/>
    <w:rsid w:val="00480136"/>
    <w:rsid w:val="0048069B"/>
    <w:rsid w:val="00480799"/>
    <w:rsid w:val="00481B6C"/>
    <w:rsid w:val="00481E1B"/>
    <w:rsid w:val="004826F2"/>
    <w:rsid w:val="00483E01"/>
    <w:rsid w:val="004850F0"/>
    <w:rsid w:val="00485307"/>
    <w:rsid w:val="00485B4A"/>
    <w:rsid w:val="00485EFA"/>
    <w:rsid w:val="00485F7D"/>
    <w:rsid w:val="0048600A"/>
    <w:rsid w:val="00486B2C"/>
    <w:rsid w:val="00490028"/>
    <w:rsid w:val="004901FB"/>
    <w:rsid w:val="004917CA"/>
    <w:rsid w:val="00491F4C"/>
    <w:rsid w:val="0049206E"/>
    <w:rsid w:val="00492D57"/>
    <w:rsid w:val="0049314B"/>
    <w:rsid w:val="004960F7"/>
    <w:rsid w:val="00497BA6"/>
    <w:rsid w:val="004A0057"/>
    <w:rsid w:val="004A03DC"/>
    <w:rsid w:val="004A0EF8"/>
    <w:rsid w:val="004A1F2B"/>
    <w:rsid w:val="004A23EC"/>
    <w:rsid w:val="004A369B"/>
    <w:rsid w:val="004A37FE"/>
    <w:rsid w:val="004A474B"/>
    <w:rsid w:val="004A494A"/>
    <w:rsid w:val="004A4C3A"/>
    <w:rsid w:val="004A4E7F"/>
    <w:rsid w:val="004A4EC3"/>
    <w:rsid w:val="004A7CDB"/>
    <w:rsid w:val="004A7FE7"/>
    <w:rsid w:val="004B018B"/>
    <w:rsid w:val="004B0212"/>
    <w:rsid w:val="004B1A1A"/>
    <w:rsid w:val="004B2362"/>
    <w:rsid w:val="004B2726"/>
    <w:rsid w:val="004B3B72"/>
    <w:rsid w:val="004B55E9"/>
    <w:rsid w:val="004B59E3"/>
    <w:rsid w:val="004B5E83"/>
    <w:rsid w:val="004B617F"/>
    <w:rsid w:val="004B6B8F"/>
    <w:rsid w:val="004C148C"/>
    <w:rsid w:val="004C3C82"/>
    <w:rsid w:val="004C44EA"/>
    <w:rsid w:val="004C46C7"/>
    <w:rsid w:val="004C48F0"/>
    <w:rsid w:val="004C5355"/>
    <w:rsid w:val="004C5D76"/>
    <w:rsid w:val="004C6CD9"/>
    <w:rsid w:val="004C753C"/>
    <w:rsid w:val="004C7A8F"/>
    <w:rsid w:val="004C7E7E"/>
    <w:rsid w:val="004D0B62"/>
    <w:rsid w:val="004D206A"/>
    <w:rsid w:val="004D291D"/>
    <w:rsid w:val="004D34C6"/>
    <w:rsid w:val="004D402B"/>
    <w:rsid w:val="004D458A"/>
    <w:rsid w:val="004D4A59"/>
    <w:rsid w:val="004D4FD3"/>
    <w:rsid w:val="004D568E"/>
    <w:rsid w:val="004D5D09"/>
    <w:rsid w:val="004D60A6"/>
    <w:rsid w:val="004D679F"/>
    <w:rsid w:val="004E0458"/>
    <w:rsid w:val="004E31DF"/>
    <w:rsid w:val="004E378D"/>
    <w:rsid w:val="004E3CC0"/>
    <w:rsid w:val="004E4615"/>
    <w:rsid w:val="004E48E8"/>
    <w:rsid w:val="004E6F2B"/>
    <w:rsid w:val="004E7241"/>
    <w:rsid w:val="004F107F"/>
    <w:rsid w:val="004F1351"/>
    <w:rsid w:val="004F1BF8"/>
    <w:rsid w:val="004F2375"/>
    <w:rsid w:val="004F2E7E"/>
    <w:rsid w:val="004F3296"/>
    <w:rsid w:val="004F4A12"/>
    <w:rsid w:val="004F67A1"/>
    <w:rsid w:val="004F796E"/>
    <w:rsid w:val="004F7B3C"/>
    <w:rsid w:val="00501E4E"/>
    <w:rsid w:val="00502756"/>
    <w:rsid w:val="00503038"/>
    <w:rsid w:val="0050374A"/>
    <w:rsid w:val="00503ACD"/>
    <w:rsid w:val="00503F51"/>
    <w:rsid w:val="005046F0"/>
    <w:rsid w:val="00504D39"/>
    <w:rsid w:val="00504D6E"/>
    <w:rsid w:val="00504F86"/>
    <w:rsid w:val="0050524A"/>
    <w:rsid w:val="0050567A"/>
    <w:rsid w:val="005058FD"/>
    <w:rsid w:val="00505D35"/>
    <w:rsid w:val="00505FEE"/>
    <w:rsid w:val="00510B20"/>
    <w:rsid w:val="00510D53"/>
    <w:rsid w:val="0051205B"/>
    <w:rsid w:val="005128E8"/>
    <w:rsid w:val="0051310F"/>
    <w:rsid w:val="0051346C"/>
    <w:rsid w:val="00515699"/>
    <w:rsid w:val="00515F7E"/>
    <w:rsid w:val="00516B8A"/>
    <w:rsid w:val="005202D2"/>
    <w:rsid w:val="00520DF6"/>
    <w:rsid w:val="00522F75"/>
    <w:rsid w:val="00523545"/>
    <w:rsid w:val="0052455A"/>
    <w:rsid w:val="005250C4"/>
    <w:rsid w:val="00525535"/>
    <w:rsid w:val="005264CB"/>
    <w:rsid w:val="00526746"/>
    <w:rsid w:val="005267BB"/>
    <w:rsid w:val="00526FB7"/>
    <w:rsid w:val="00530E1F"/>
    <w:rsid w:val="00532664"/>
    <w:rsid w:val="00534069"/>
    <w:rsid w:val="00534278"/>
    <w:rsid w:val="00535912"/>
    <w:rsid w:val="005365CD"/>
    <w:rsid w:val="00536FDA"/>
    <w:rsid w:val="005376DE"/>
    <w:rsid w:val="0054023B"/>
    <w:rsid w:val="00540A5F"/>
    <w:rsid w:val="00540BB8"/>
    <w:rsid w:val="00540EC6"/>
    <w:rsid w:val="00541436"/>
    <w:rsid w:val="0054148D"/>
    <w:rsid w:val="00541FFD"/>
    <w:rsid w:val="00542122"/>
    <w:rsid w:val="005429FC"/>
    <w:rsid w:val="00543CDA"/>
    <w:rsid w:val="00543F78"/>
    <w:rsid w:val="00543FAE"/>
    <w:rsid w:val="00544AD4"/>
    <w:rsid w:val="00544E00"/>
    <w:rsid w:val="00545782"/>
    <w:rsid w:val="00546C5F"/>
    <w:rsid w:val="00547C6C"/>
    <w:rsid w:val="00547D4C"/>
    <w:rsid w:val="00550BBC"/>
    <w:rsid w:val="00551382"/>
    <w:rsid w:val="00551B52"/>
    <w:rsid w:val="0055271C"/>
    <w:rsid w:val="00553060"/>
    <w:rsid w:val="00553718"/>
    <w:rsid w:val="00553B94"/>
    <w:rsid w:val="00554220"/>
    <w:rsid w:val="005544F5"/>
    <w:rsid w:val="00554950"/>
    <w:rsid w:val="00554DDB"/>
    <w:rsid w:val="00554E0F"/>
    <w:rsid w:val="0055631B"/>
    <w:rsid w:val="005567E9"/>
    <w:rsid w:val="00556BE7"/>
    <w:rsid w:val="005575C3"/>
    <w:rsid w:val="00557651"/>
    <w:rsid w:val="005577C2"/>
    <w:rsid w:val="00561177"/>
    <w:rsid w:val="00561605"/>
    <w:rsid w:val="00561DA4"/>
    <w:rsid w:val="005639E0"/>
    <w:rsid w:val="00563E6E"/>
    <w:rsid w:val="00564C21"/>
    <w:rsid w:val="00565C95"/>
    <w:rsid w:val="00566B04"/>
    <w:rsid w:val="00567165"/>
    <w:rsid w:val="005672A5"/>
    <w:rsid w:val="00567A86"/>
    <w:rsid w:val="00570AF1"/>
    <w:rsid w:val="00570EF0"/>
    <w:rsid w:val="005711F3"/>
    <w:rsid w:val="00571F7F"/>
    <w:rsid w:val="0057283B"/>
    <w:rsid w:val="00574731"/>
    <w:rsid w:val="00575423"/>
    <w:rsid w:val="00575956"/>
    <w:rsid w:val="00575E24"/>
    <w:rsid w:val="005760DE"/>
    <w:rsid w:val="005763B1"/>
    <w:rsid w:val="00576473"/>
    <w:rsid w:val="00577133"/>
    <w:rsid w:val="00577FBB"/>
    <w:rsid w:val="00580354"/>
    <w:rsid w:val="0058058F"/>
    <w:rsid w:val="005805AB"/>
    <w:rsid w:val="005819A1"/>
    <w:rsid w:val="00581FA4"/>
    <w:rsid w:val="00582527"/>
    <w:rsid w:val="00583023"/>
    <w:rsid w:val="0058305D"/>
    <w:rsid w:val="005838B0"/>
    <w:rsid w:val="00583CBD"/>
    <w:rsid w:val="005844C1"/>
    <w:rsid w:val="00584D0D"/>
    <w:rsid w:val="00585599"/>
    <w:rsid w:val="005868EA"/>
    <w:rsid w:val="005879A9"/>
    <w:rsid w:val="00590A76"/>
    <w:rsid w:val="00590B1D"/>
    <w:rsid w:val="00595FC7"/>
    <w:rsid w:val="00596311"/>
    <w:rsid w:val="00596A68"/>
    <w:rsid w:val="00596B8E"/>
    <w:rsid w:val="00596F0D"/>
    <w:rsid w:val="005978DA"/>
    <w:rsid w:val="005A098A"/>
    <w:rsid w:val="005A1197"/>
    <w:rsid w:val="005A1E9E"/>
    <w:rsid w:val="005A203F"/>
    <w:rsid w:val="005A264D"/>
    <w:rsid w:val="005A2E57"/>
    <w:rsid w:val="005A343E"/>
    <w:rsid w:val="005A4080"/>
    <w:rsid w:val="005A410B"/>
    <w:rsid w:val="005A4177"/>
    <w:rsid w:val="005A442C"/>
    <w:rsid w:val="005A5643"/>
    <w:rsid w:val="005A6E0D"/>
    <w:rsid w:val="005A730A"/>
    <w:rsid w:val="005A771C"/>
    <w:rsid w:val="005A7E40"/>
    <w:rsid w:val="005B0F07"/>
    <w:rsid w:val="005B2603"/>
    <w:rsid w:val="005B30D9"/>
    <w:rsid w:val="005B4EBF"/>
    <w:rsid w:val="005B5117"/>
    <w:rsid w:val="005B51FD"/>
    <w:rsid w:val="005B68C5"/>
    <w:rsid w:val="005B6F93"/>
    <w:rsid w:val="005B7369"/>
    <w:rsid w:val="005B7601"/>
    <w:rsid w:val="005B7E0B"/>
    <w:rsid w:val="005B7E21"/>
    <w:rsid w:val="005C0623"/>
    <w:rsid w:val="005C1060"/>
    <w:rsid w:val="005C1F68"/>
    <w:rsid w:val="005C21A5"/>
    <w:rsid w:val="005C2DF0"/>
    <w:rsid w:val="005C2E51"/>
    <w:rsid w:val="005C32D8"/>
    <w:rsid w:val="005C37AC"/>
    <w:rsid w:val="005C3F29"/>
    <w:rsid w:val="005C44E3"/>
    <w:rsid w:val="005C4551"/>
    <w:rsid w:val="005C4640"/>
    <w:rsid w:val="005C47FE"/>
    <w:rsid w:val="005C654D"/>
    <w:rsid w:val="005C7F03"/>
    <w:rsid w:val="005D0384"/>
    <w:rsid w:val="005D0B5D"/>
    <w:rsid w:val="005D0D6C"/>
    <w:rsid w:val="005D171B"/>
    <w:rsid w:val="005D1C86"/>
    <w:rsid w:val="005D3D0E"/>
    <w:rsid w:val="005D4DE0"/>
    <w:rsid w:val="005D4EFE"/>
    <w:rsid w:val="005D5A67"/>
    <w:rsid w:val="005D604E"/>
    <w:rsid w:val="005D62DF"/>
    <w:rsid w:val="005D6655"/>
    <w:rsid w:val="005D70AD"/>
    <w:rsid w:val="005D7A4A"/>
    <w:rsid w:val="005E070F"/>
    <w:rsid w:val="005E1D80"/>
    <w:rsid w:val="005E306A"/>
    <w:rsid w:val="005E31CB"/>
    <w:rsid w:val="005E333F"/>
    <w:rsid w:val="005E4082"/>
    <w:rsid w:val="005E4131"/>
    <w:rsid w:val="005E7AE3"/>
    <w:rsid w:val="005F14F8"/>
    <w:rsid w:val="005F152D"/>
    <w:rsid w:val="005F1760"/>
    <w:rsid w:val="005F1AA0"/>
    <w:rsid w:val="005F1E57"/>
    <w:rsid w:val="005F1FA5"/>
    <w:rsid w:val="005F2B2E"/>
    <w:rsid w:val="005F474B"/>
    <w:rsid w:val="005F4A23"/>
    <w:rsid w:val="005F4CA3"/>
    <w:rsid w:val="005F5C9D"/>
    <w:rsid w:val="005F71D2"/>
    <w:rsid w:val="005F725B"/>
    <w:rsid w:val="005F75F7"/>
    <w:rsid w:val="0060155F"/>
    <w:rsid w:val="00601B65"/>
    <w:rsid w:val="006020AC"/>
    <w:rsid w:val="006021A7"/>
    <w:rsid w:val="00603043"/>
    <w:rsid w:val="0060384B"/>
    <w:rsid w:val="006041CC"/>
    <w:rsid w:val="006058DE"/>
    <w:rsid w:val="006066AC"/>
    <w:rsid w:val="00606AC3"/>
    <w:rsid w:val="0061049A"/>
    <w:rsid w:val="00611C43"/>
    <w:rsid w:val="006128C9"/>
    <w:rsid w:val="006139C1"/>
    <w:rsid w:val="00613ECE"/>
    <w:rsid w:val="00614464"/>
    <w:rsid w:val="006156C9"/>
    <w:rsid w:val="006157FD"/>
    <w:rsid w:val="00615B90"/>
    <w:rsid w:val="00615E0A"/>
    <w:rsid w:val="00616218"/>
    <w:rsid w:val="00616314"/>
    <w:rsid w:val="00616B92"/>
    <w:rsid w:val="00616CB7"/>
    <w:rsid w:val="00616FEA"/>
    <w:rsid w:val="00617B9A"/>
    <w:rsid w:val="00622A6C"/>
    <w:rsid w:val="00624421"/>
    <w:rsid w:val="006244D9"/>
    <w:rsid w:val="0062533C"/>
    <w:rsid w:val="0062542C"/>
    <w:rsid w:val="00625C64"/>
    <w:rsid w:val="0062604D"/>
    <w:rsid w:val="00627453"/>
    <w:rsid w:val="00627804"/>
    <w:rsid w:val="00627983"/>
    <w:rsid w:val="00627E04"/>
    <w:rsid w:val="00631849"/>
    <w:rsid w:val="00631CD2"/>
    <w:rsid w:val="00632FD2"/>
    <w:rsid w:val="006342AD"/>
    <w:rsid w:val="00634677"/>
    <w:rsid w:val="0063520C"/>
    <w:rsid w:val="006353D1"/>
    <w:rsid w:val="006363B9"/>
    <w:rsid w:val="006372E9"/>
    <w:rsid w:val="006378AC"/>
    <w:rsid w:val="006401E3"/>
    <w:rsid w:val="006408D9"/>
    <w:rsid w:val="00640BB5"/>
    <w:rsid w:val="00640C1F"/>
    <w:rsid w:val="00640C8A"/>
    <w:rsid w:val="0064132D"/>
    <w:rsid w:val="00641330"/>
    <w:rsid w:val="00641A9C"/>
    <w:rsid w:val="00641E8B"/>
    <w:rsid w:val="00642C8F"/>
    <w:rsid w:val="00642EA7"/>
    <w:rsid w:val="0064372B"/>
    <w:rsid w:val="006442E4"/>
    <w:rsid w:val="00646149"/>
    <w:rsid w:val="006464A3"/>
    <w:rsid w:val="00646825"/>
    <w:rsid w:val="006478A2"/>
    <w:rsid w:val="00650B47"/>
    <w:rsid w:val="006524EC"/>
    <w:rsid w:val="0065308D"/>
    <w:rsid w:val="006534F9"/>
    <w:rsid w:val="0065374B"/>
    <w:rsid w:val="00653C6B"/>
    <w:rsid w:val="006542C3"/>
    <w:rsid w:val="0065450D"/>
    <w:rsid w:val="00654B8F"/>
    <w:rsid w:val="006551E7"/>
    <w:rsid w:val="00655240"/>
    <w:rsid w:val="006553B0"/>
    <w:rsid w:val="00655CF5"/>
    <w:rsid w:val="006561EA"/>
    <w:rsid w:val="006572C8"/>
    <w:rsid w:val="00660741"/>
    <w:rsid w:val="00660E64"/>
    <w:rsid w:val="00661963"/>
    <w:rsid w:val="006634A0"/>
    <w:rsid w:val="006636D9"/>
    <w:rsid w:val="00664558"/>
    <w:rsid w:val="00664695"/>
    <w:rsid w:val="0066480C"/>
    <w:rsid w:val="00665A69"/>
    <w:rsid w:val="006668C7"/>
    <w:rsid w:val="006676B0"/>
    <w:rsid w:val="00667AC7"/>
    <w:rsid w:val="00667F94"/>
    <w:rsid w:val="0067014D"/>
    <w:rsid w:val="00671094"/>
    <w:rsid w:val="0067113C"/>
    <w:rsid w:val="00671AAE"/>
    <w:rsid w:val="0067273D"/>
    <w:rsid w:val="00672911"/>
    <w:rsid w:val="00673848"/>
    <w:rsid w:val="006745D6"/>
    <w:rsid w:val="00674857"/>
    <w:rsid w:val="00674E5C"/>
    <w:rsid w:val="00675344"/>
    <w:rsid w:val="00675633"/>
    <w:rsid w:val="00675814"/>
    <w:rsid w:val="00675DDB"/>
    <w:rsid w:val="00675E54"/>
    <w:rsid w:val="00676343"/>
    <w:rsid w:val="00676841"/>
    <w:rsid w:val="00677159"/>
    <w:rsid w:val="00677B75"/>
    <w:rsid w:val="006805D4"/>
    <w:rsid w:val="00680683"/>
    <w:rsid w:val="00680781"/>
    <w:rsid w:val="006811FA"/>
    <w:rsid w:val="006817A3"/>
    <w:rsid w:val="006819BF"/>
    <w:rsid w:val="00681EE2"/>
    <w:rsid w:val="006845A4"/>
    <w:rsid w:val="00684B60"/>
    <w:rsid w:val="00684B8D"/>
    <w:rsid w:val="00686D1A"/>
    <w:rsid w:val="006874F9"/>
    <w:rsid w:val="006878FA"/>
    <w:rsid w:val="0069158D"/>
    <w:rsid w:val="006936F2"/>
    <w:rsid w:val="00693867"/>
    <w:rsid w:val="006940BA"/>
    <w:rsid w:val="006948ED"/>
    <w:rsid w:val="006953B5"/>
    <w:rsid w:val="006964F0"/>
    <w:rsid w:val="006A184D"/>
    <w:rsid w:val="006A1A93"/>
    <w:rsid w:val="006A1B27"/>
    <w:rsid w:val="006A1CB7"/>
    <w:rsid w:val="006A1CBC"/>
    <w:rsid w:val="006A258E"/>
    <w:rsid w:val="006A2967"/>
    <w:rsid w:val="006A2F93"/>
    <w:rsid w:val="006A3AA4"/>
    <w:rsid w:val="006A4C4C"/>
    <w:rsid w:val="006A5095"/>
    <w:rsid w:val="006A5137"/>
    <w:rsid w:val="006A5FAA"/>
    <w:rsid w:val="006A78D9"/>
    <w:rsid w:val="006B0A58"/>
    <w:rsid w:val="006B246F"/>
    <w:rsid w:val="006B26AD"/>
    <w:rsid w:val="006B3D64"/>
    <w:rsid w:val="006B4089"/>
    <w:rsid w:val="006B4113"/>
    <w:rsid w:val="006B422E"/>
    <w:rsid w:val="006B42F4"/>
    <w:rsid w:val="006B5BC2"/>
    <w:rsid w:val="006B639A"/>
    <w:rsid w:val="006B6ABB"/>
    <w:rsid w:val="006C042C"/>
    <w:rsid w:val="006C1863"/>
    <w:rsid w:val="006C3900"/>
    <w:rsid w:val="006C438D"/>
    <w:rsid w:val="006C622A"/>
    <w:rsid w:val="006C7182"/>
    <w:rsid w:val="006D0259"/>
    <w:rsid w:val="006D125A"/>
    <w:rsid w:val="006D1301"/>
    <w:rsid w:val="006D3122"/>
    <w:rsid w:val="006D32F8"/>
    <w:rsid w:val="006D3815"/>
    <w:rsid w:val="006D3BAD"/>
    <w:rsid w:val="006D3D05"/>
    <w:rsid w:val="006D3F4D"/>
    <w:rsid w:val="006D4792"/>
    <w:rsid w:val="006D4BDD"/>
    <w:rsid w:val="006D4FCB"/>
    <w:rsid w:val="006D5E9A"/>
    <w:rsid w:val="006D614E"/>
    <w:rsid w:val="006D6238"/>
    <w:rsid w:val="006D6BAC"/>
    <w:rsid w:val="006D6C6A"/>
    <w:rsid w:val="006D6DB8"/>
    <w:rsid w:val="006D6E3D"/>
    <w:rsid w:val="006D71FA"/>
    <w:rsid w:val="006D7D15"/>
    <w:rsid w:val="006E01DD"/>
    <w:rsid w:val="006E180C"/>
    <w:rsid w:val="006E2FEA"/>
    <w:rsid w:val="006E36F4"/>
    <w:rsid w:val="006E3FCC"/>
    <w:rsid w:val="006E40F5"/>
    <w:rsid w:val="006E471F"/>
    <w:rsid w:val="006E49FF"/>
    <w:rsid w:val="006E4D0B"/>
    <w:rsid w:val="006E504E"/>
    <w:rsid w:val="006E6165"/>
    <w:rsid w:val="006F06B9"/>
    <w:rsid w:val="006F0824"/>
    <w:rsid w:val="006F0A15"/>
    <w:rsid w:val="006F1201"/>
    <w:rsid w:val="006F1493"/>
    <w:rsid w:val="006F3A01"/>
    <w:rsid w:val="006F45D1"/>
    <w:rsid w:val="006F5434"/>
    <w:rsid w:val="006F59B1"/>
    <w:rsid w:val="006F6706"/>
    <w:rsid w:val="006F6BD7"/>
    <w:rsid w:val="006F7901"/>
    <w:rsid w:val="006F7927"/>
    <w:rsid w:val="00700F2A"/>
    <w:rsid w:val="00701C87"/>
    <w:rsid w:val="007021FB"/>
    <w:rsid w:val="007026CA"/>
    <w:rsid w:val="007028C4"/>
    <w:rsid w:val="00704C2E"/>
    <w:rsid w:val="00704DA4"/>
    <w:rsid w:val="00704F39"/>
    <w:rsid w:val="00705951"/>
    <w:rsid w:val="00706A7D"/>
    <w:rsid w:val="00706C14"/>
    <w:rsid w:val="00706F80"/>
    <w:rsid w:val="007072EC"/>
    <w:rsid w:val="00707B07"/>
    <w:rsid w:val="00710614"/>
    <w:rsid w:val="00710F4A"/>
    <w:rsid w:val="00711A4F"/>
    <w:rsid w:val="00712443"/>
    <w:rsid w:val="00714BCB"/>
    <w:rsid w:val="0071590C"/>
    <w:rsid w:val="00717A7B"/>
    <w:rsid w:val="00717D94"/>
    <w:rsid w:val="00720627"/>
    <w:rsid w:val="00720965"/>
    <w:rsid w:val="00720CF2"/>
    <w:rsid w:val="00721309"/>
    <w:rsid w:val="007216EE"/>
    <w:rsid w:val="007223E1"/>
    <w:rsid w:val="007225CB"/>
    <w:rsid w:val="00723F6E"/>
    <w:rsid w:val="0072409B"/>
    <w:rsid w:val="0072437E"/>
    <w:rsid w:val="00724BF4"/>
    <w:rsid w:val="00726559"/>
    <w:rsid w:val="007277CE"/>
    <w:rsid w:val="007279FB"/>
    <w:rsid w:val="00727B3D"/>
    <w:rsid w:val="00730935"/>
    <w:rsid w:val="00731FEA"/>
    <w:rsid w:val="00733FD8"/>
    <w:rsid w:val="00735068"/>
    <w:rsid w:val="00735B9C"/>
    <w:rsid w:val="00735D4F"/>
    <w:rsid w:val="00736133"/>
    <w:rsid w:val="00736223"/>
    <w:rsid w:val="00736416"/>
    <w:rsid w:val="00737019"/>
    <w:rsid w:val="00737240"/>
    <w:rsid w:val="007376E3"/>
    <w:rsid w:val="00737B84"/>
    <w:rsid w:val="00740DB2"/>
    <w:rsid w:val="00741724"/>
    <w:rsid w:val="00741942"/>
    <w:rsid w:val="00741AB4"/>
    <w:rsid w:val="00741FBA"/>
    <w:rsid w:val="007435B7"/>
    <w:rsid w:val="00743A6D"/>
    <w:rsid w:val="007447BE"/>
    <w:rsid w:val="00745293"/>
    <w:rsid w:val="007456D3"/>
    <w:rsid w:val="0074596D"/>
    <w:rsid w:val="00745D08"/>
    <w:rsid w:val="00746717"/>
    <w:rsid w:val="00750CBA"/>
    <w:rsid w:val="0075167C"/>
    <w:rsid w:val="00751BC8"/>
    <w:rsid w:val="00751F3F"/>
    <w:rsid w:val="007520E4"/>
    <w:rsid w:val="0075452B"/>
    <w:rsid w:val="00755E63"/>
    <w:rsid w:val="00756BFC"/>
    <w:rsid w:val="007570B5"/>
    <w:rsid w:val="0075731C"/>
    <w:rsid w:val="007576CD"/>
    <w:rsid w:val="00761529"/>
    <w:rsid w:val="00761CC6"/>
    <w:rsid w:val="0076276B"/>
    <w:rsid w:val="0076306B"/>
    <w:rsid w:val="0076328D"/>
    <w:rsid w:val="00763736"/>
    <w:rsid w:val="00765AB1"/>
    <w:rsid w:val="00766469"/>
    <w:rsid w:val="007668A4"/>
    <w:rsid w:val="00767367"/>
    <w:rsid w:val="007708E7"/>
    <w:rsid w:val="0077327A"/>
    <w:rsid w:val="007732C2"/>
    <w:rsid w:val="00773AA8"/>
    <w:rsid w:val="00774D87"/>
    <w:rsid w:val="007752C7"/>
    <w:rsid w:val="00775B73"/>
    <w:rsid w:val="00777222"/>
    <w:rsid w:val="00777504"/>
    <w:rsid w:val="00780D58"/>
    <w:rsid w:val="00781A2C"/>
    <w:rsid w:val="00781C2D"/>
    <w:rsid w:val="00781D14"/>
    <w:rsid w:val="00783380"/>
    <w:rsid w:val="0078397A"/>
    <w:rsid w:val="00784243"/>
    <w:rsid w:val="00784FF1"/>
    <w:rsid w:val="00785F57"/>
    <w:rsid w:val="00786907"/>
    <w:rsid w:val="00787E47"/>
    <w:rsid w:val="00790324"/>
    <w:rsid w:val="00790689"/>
    <w:rsid w:val="0079075C"/>
    <w:rsid w:val="00791FAA"/>
    <w:rsid w:val="007922BD"/>
    <w:rsid w:val="00792457"/>
    <w:rsid w:val="00793922"/>
    <w:rsid w:val="0079525C"/>
    <w:rsid w:val="00795B5A"/>
    <w:rsid w:val="007962E3"/>
    <w:rsid w:val="007962F3"/>
    <w:rsid w:val="00797AE4"/>
    <w:rsid w:val="007A0B17"/>
    <w:rsid w:val="007A0B84"/>
    <w:rsid w:val="007A111D"/>
    <w:rsid w:val="007A20B3"/>
    <w:rsid w:val="007A22E8"/>
    <w:rsid w:val="007A25D8"/>
    <w:rsid w:val="007A2674"/>
    <w:rsid w:val="007A3922"/>
    <w:rsid w:val="007A4A2F"/>
    <w:rsid w:val="007A5E6B"/>
    <w:rsid w:val="007A6382"/>
    <w:rsid w:val="007A6CF1"/>
    <w:rsid w:val="007A6F86"/>
    <w:rsid w:val="007A6FDB"/>
    <w:rsid w:val="007A711C"/>
    <w:rsid w:val="007B0373"/>
    <w:rsid w:val="007B127C"/>
    <w:rsid w:val="007B17D6"/>
    <w:rsid w:val="007B1DCE"/>
    <w:rsid w:val="007B28DB"/>
    <w:rsid w:val="007B29F8"/>
    <w:rsid w:val="007B34A6"/>
    <w:rsid w:val="007B47B9"/>
    <w:rsid w:val="007B491C"/>
    <w:rsid w:val="007B4FDB"/>
    <w:rsid w:val="007B503E"/>
    <w:rsid w:val="007B5F4D"/>
    <w:rsid w:val="007B641C"/>
    <w:rsid w:val="007C09A8"/>
    <w:rsid w:val="007C0D9B"/>
    <w:rsid w:val="007C1BBE"/>
    <w:rsid w:val="007C22EB"/>
    <w:rsid w:val="007C4498"/>
    <w:rsid w:val="007C4DF8"/>
    <w:rsid w:val="007C6ECB"/>
    <w:rsid w:val="007C762E"/>
    <w:rsid w:val="007C7771"/>
    <w:rsid w:val="007D161D"/>
    <w:rsid w:val="007D30B7"/>
    <w:rsid w:val="007D35E6"/>
    <w:rsid w:val="007D3B62"/>
    <w:rsid w:val="007D408A"/>
    <w:rsid w:val="007D4E85"/>
    <w:rsid w:val="007D4F54"/>
    <w:rsid w:val="007D543A"/>
    <w:rsid w:val="007D5EF3"/>
    <w:rsid w:val="007D6095"/>
    <w:rsid w:val="007D72F9"/>
    <w:rsid w:val="007E05C0"/>
    <w:rsid w:val="007E1116"/>
    <w:rsid w:val="007E17E8"/>
    <w:rsid w:val="007E1F98"/>
    <w:rsid w:val="007E2308"/>
    <w:rsid w:val="007E2F68"/>
    <w:rsid w:val="007E3CD4"/>
    <w:rsid w:val="007E4848"/>
    <w:rsid w:val="007E7A6E"/>
    <w:rsid w:val="007F00E9"/>
    <w:rsid w:val="007F026B"/>
    <w:rsid w:val="007F0908"/>
    <w:rsid w:val="007F1C3A"/>
    <w:rsid w:val="007F269A"/>
    <w:rsid w:val="007F3B8A"/>
    <w:rsid w:val="007F4098"/>
    <w:rsid w:val="007F42EB"/>
    <w:rsid w:val="007F4E32"/>
    <w:rsid w:val="007F4FEA"/>
    <w:rsid w:val="007F5B7D"/>
    <w:rsid w:val="007F6274"/>
    <w:rsid w:val="007F6D6B"/>
    <w:rsid w:val="007F74A9"/>
    <w:rsid w:val="007F78CB"/>
    <w:rsid w:val="00800125"/>
    <w:rsid w:val="008004E9"/>
    <w:rsid w:val="00801C79"/>
    <w:rsid w:val="00801F80"/>
    <w:rsid w:val="00802F35"/>
    <w:rsid w:val="0080398A"/>
    <w:rsid w:val="00803A7C"/>
    <w:rsid w:val="008041C9"/>
    <w:rsid w:val="008043F5"/>
    <w:rsid w:val="008043F8"/>
    <w:rsid w:val="0080449D"/>
    <w:rsid w:val="008049F4"/>
    <w:rsid w:val="0080588C"/>
    <w:rsid w:val="0080668F"/>
    <w:rsid w:val="0081242D"/>
    <w:rsid w:val="00812AB0"/>
    <w:rsid w:val="00813CD9"/>
    <w:rsid w:val="008148BD"/>
    <w:rsid w:val="008152B1"/>
    <w:rsid w:val="0081585E"/>
    <w:rsid w:val="00816216"/>
    <w:rsid w:val="0081636C"/>
    <w:rsid w:val="00816C81"/>
    <w:rsid w:val="0081793C"/>
    <w:rsid w:val="008201DD"/>
    <w:rsid w:val="008201DF"/>
    <w:rsid w:val="00820C0A"/>
    <w:rsid w:val="00821062"/>
    <w:rsid w:val="008213DB"/>
    <w:rsid w:val="008215D0"/>
    <w:rsid w:val="00821BD3"/>
    <w:rsid w:val="008220DB"/>
    <w:rsid w:val="00823A73"/>
    <w:rsid w:val="00823AD0"/>
    <w:rsid w:val="00824154"/>
    <w:rsid w:val="0082429F"/>
    <w:rsid w:val="00824DE4"/>
    <w:rsid w:val="008271E7"/>
    <w:rsid w:val="008271F6"/>
    <w:rsid w:val="00827505"/>
    <w:rsid w:val="00827936"/>
    <w:rsid w:val="008307F9"/>
    <w:rsid w:val="008324A7"/>
    <w:rsid w:val="00832DE6"/>
    <w:rsid w:val="00833382"/>
    <w:rsid w:val="00833661"/>
    <w:rsid w:val="00833EDC"/>
    <w:rsid w:val="00835029"/>
    <w:rsid w:val="008365D1"/>
    <w:rsid w:val="0083674D"/>
    <w:rsid w:val="008369FF"/>
    <w:rsid w:val="00836EB9"/>
    <w:rsid w:val="00837EFB"/>
    <w:rsid w:val="00840D54"/>
    <w:rsid w:val="00840F97"/>
    <w:rsid w:val="008414B3"/>
    <w:rsid w:val="00842D49"/>
    <w:rsid w:val="00843131"/>
    <w:rsid w:val="0084326E"/>
    <w:rsid w:val="00843272"/>
    <w:rsid w:val="008460AC"/>
    <w:rsid w:val="00846B77"/>
    <w:rsid w:val="00847421"/>
    <w:rsid w:val="00847BC5"/>
    <w:rsid w:val="00852531"/>
    <w:rsid w:val="0085476F"/>
    <w:rsid w:val="00854BA1"/>
    <w:rsid w:val="00854F84"/>
    <w:rsid w:val="00855A1E"/>
    <w:rsid w:val="00855E93"/>
    <w:rsid w:val="00856C8F"/>
    <w:rsid w:val="00857515"/>
    <w:rsid w:val="008600BB"/>
    <w:rsid w:val="00860908"/>
    <w:rsid w:val="00860AC3"/>
    <w:rsid w:val="00860BAB"/>
    <w:rsid w:val="00860CB9"/>
    <w:rsid w:val="0086129F"/>
    <w:rsid w:val="008619BF"/>
    <w:rsid w:val="00862220"/>
    <w:rsid w:val="00862C30"/>
    <w:rsid w:val="00862E59"/>
    <w:rsid w:val="00862FEF"/>
    <w:rsid w:val="0086377C"/>
    <w:rsid w:val="0086442B"/>
    <w:rsid w:val="0086563A"/>
    <w:rsid w:val="008678D8"/>
    <w:rsid w:val="00870F26"/>
    <w:rsid w:val="00871461"/>
    <w:rsid w:val="00871580"/>
    <w:rsid w:val="00871993"/>
    <w:rsid w:val="00871AEC"/>
    <w:rsid w:val="00871FCE"/>
    <w:rsid w:val="00872B48"/>
    <w:rsid w:val="0087487A"/>
    <w:rsid w:val="008752AB"/>
    <w:rsid w:val="008762D5"/>
    <w:rsid w:val="008804F4"/>
    <w:rsid w:val="008807C1"/>
    <w:rsid w:val="0088082C"/>
    <w:rsid w:val="008810A4"/>
    <w:rsid w:val="00881888"/>
    <w:rsid w:val="008826AF"/>
    <w:rsid w:val="00882AEA"/>
    <w:rsid w:val="00883763"/>
    <w:rsid w:val="008859AD"/>
    <w:rsid w:val="00886025"/>
    <w:rsid w:val="0089038B"/>
    <w:rsid w:val="00890DB9"/>
    <w:rsid w:val="00891252"/>
    <w:rsid w:val="00891529"/>
    <w:rsid w:val="00891796"/>
    <w:rsid w:val="00891B94"/>
    <w:rsid w:val="00891BFF"/>
    <w:rsid w:val="0089250D"/>
    <w:rsid w:val="008931CB"/>
    <w:rsid w:val="0089485C"/>
    <w:rsid w:val="0089520E"/>
    <w:rsid w:val="00895812"/>
    <w:rsid w:val="00897BC9"/>
    <w:rsid w:val="008A26C4"/>
    <w:rsid w:val="008A2B85"/>
    <w:rsid w:val="008A39CF"/>
    <w:rsid w:val="008A3E90"/>
    <w:rsid w:val="008A4774"/>
    <w:rsid w:val="008A5066"/>
    <w:rsid w:val="008A6789"/>
    <w:rsid w:val="008A6C5A"/>
    <w:rsid w:val="008A7988"/>
    <w:rsid w:val="008B06FF"/>
    <w:rsid w:val="008B204C"/>
    <w:rsid w:val="008B2BCD"/>
    <w:rsid w:val="008B3958"/>
    <w:rsid w:val="008B5166"/>
    <w:rsid w:val="008B5857"/>
    <w:rsid w:val="008B702F"/>
    <w:rsid w:val="008B76CD"/>
    <w:rsid w:val="008C17D5"/>
    <w:rsid w:val="008C3710"/>
    <w:rsid w:val="008C38F7"/>
    <w:rsid w:val="008C3B60"/>
    <w:rsid w:val="008C44F7"/>
    <w:rsid w:val="008C459A"/>
    <w:rsid w:val="008C4636"/>
    <w:rsid w:val="008C492B"/>
    <w:rsid w:val="008C4A10"/>
    <w:rsid w:val="008C69CC"/>
    <w:rsid w:val="008C74BF"/>
    <w:rsid w:val="008C7ACB"/>
    <w:rsid w:val="008D0196"/>
    <w:rsid w:val="008D056E"/>
    <w:rsid w:val="008D0736"/>
    <w:rsid w:val="008D17FD"/>
    <w:rsid w:val="008D19F0"/>
    <w:rsid w:val="008D1D9A"/>
    <w:rsid w:val="008D2282"/>
    <w:rsid w:val="008D2AA2"/>
    <w:rsid w:val="008D2B55"/>
    <w:rsid w:val="008D3946"/>
    <w:rsid w:val="008D44F3"/>
    <w:rsid w:val="008D48CA"/>
    <w:rsid w:val="008D5534"/>
    <w:rsid w:val="008D630B"/>
    <w:rsid w:val="008D7178"/>
    <w:rsid w:val="008E06F5"/>
    <w:rsid w:val="008E0A00"/>
    <w:rsid w:val="008E0A34"/>
    <w:rsid w:val="008E1351"/>
    <w:rsid w:val="008E1543"/>
    <w:rsid w:val="008E1E33"/>
    <w:rsid w:val="008E28F6"/>
    <w:rsid w:val="008E31EF"/>
    <w:rsid w:val="008E4BE6"/>
    <w:rsid w:val="008E56D2"/>
    <w:rsid w:val="008E5F24"/>
    <w:rsid w:val="008E607B"/>
    <w:rsid w:val="008E68D4"/>
    <w:rsid w:val="008E7BCD"/>
    <w:rsid w:val="008F0202"/>
    <w:rsid w:val="008F0441"/>
    <w:rsid w:val="008F0DCB"/>
    <w:rsid w:val="008F125F"/>
    <w:rsid w:val="008F15BB"/>
    <w:rsid w:val="008F236F"/>
    <w:rsid w:val="008F3818"/>
    <w:rsid w:val="008F3950"/>
    <w:rsid w:val="008F3D38"/>
    <w:rsid w:val="008F4117"/>
    <w:rsid w:val="008F4303"/>
    <w:rsid w:val="008F44C9"/>
    <w:rsid w:val="008F4802"/>
    <w:rsid w:val="008F5A26"/>
    <w:rsid w:val="008F5C51"/>
    <w:rsid w:val="008F6223"/>
    <w:rsid w:val="008F6397"/>
    <w:rsid w:val="008F6C99"/>
    <w:rsid w:val="008F7B65"/>
    <w:rsid w:val="00900028"/>
    <w:rsid w:val="009013D6"/>
    <w:rsid w:val="00901A9D"/>
    <w:rsid w:val="009022B1"/>
    <w:rsid w:val="00902508"/>
    <w:rsid w:val="00902FA5"/>
    <w:rsid w:val="0090311C"/>
    <w:rsid w:val="009032D0"/>
    <w:rsid w:val="00905183"/>
    <w:rsid w:val="00906DBB"/>
    <w:rsid w:val="009075E3"/>
    <w:rsid w:val="0090779F"/>
    <w:rsid w:val="00907D78"/>
    <w:rsid w:val="009106D5"/>
    <w:rsid w:val="009117D6"/>
    <w:rsid w:val="0091332F"/>
    <w:rsid w:val="00913835"/>
    <w:rsid w:val="009138E4"/>
    <w:rsid w:val="009140EA"/>
    <w:rsid w:val="0091461F"/>
    <w:rsid w:val="00914B3A"/>
    <w:rsid w:val="00915098"/>
    <w:rsid w:val="00915A65"/>
    <w:rsid w:val="00915DEA"/>
    <w:rsid w:val="009171EB"/>
    <w:rsid w:val="00917DE3"/>
    <w:rsid w:val="00920D5D"/>
    <w:rsid w:val="00921612"/>
    <w:rsid w:val="00922A8D"/>
    <w:rsid w:val="00924AD1"/>
    <w:rsid w:val="0092524A"/>
    <w:rsid w:val="00925290"/>
    <w:rsid w:val="00925AED"/>
    <w:rsid w:val="009260F9"/>
    <w:rsid w:val="009264DB"/>
    <w:rsid w:val="009269FC"/>
    <w:rsid w:val="00926A6D"/>
    <w:rsid w:val="00926BDD"/>
    <w:rsid w:val="009273F8"/>
    <w:rsid w:val="00930061"/>
    <w:rsid w:val="009309EA"/>
    <w:rsid w:val="00930B6C"/>
    <w:rsid w:val="009320D0"/>
    <w:rsid w:val="00933314"/>
    <w:rsid w:val="0093333D"/>
    <w:rsid w:val="00933374"/>
    <w:rsid w:val="00933B49"/>
    <w:rsid w:val="009340C6"/>
    <w:rsid w:val="009341C7"/>
    <w:rsid w:val="00934D77"/>
    <w:rsid w:val="00934F5F"/>
    <w:rsid w:val="009351F5"/>
    <w:rsid w:val="0093552B"/>
    <w:rsid w:val="0093587C"/>
    <w:rsid w:val="00936806"/>
    <w:rsid w:val="00936CB5"/>
    <w:rsid w:val="009372EC"/>
    <w:rsid w:val="009374F3"/>
    <w:rsid w:val="00940084"/>
    <w:rsid w:val="00940238"/>
    <w:rsid w:val="009406F3"/>
    <w:rsid w:val="00941126"/>
    <w:rsid w:val="0094173F"/>
    <w:rsid w:val="00941CFE"/>
    <w:rsid w:val="00942F2C"/>
    <w:rsid w:val="009433D7"/>
    <w:rsid w:val="00943498"/>
    <w:rsid w:val="0094354B"/>
    <w:rsid w:val="00943B73"/>
    <w:rsid w:val="0094457E"/>
    <w:rsid w:val="00944C83"/>
    <w:rsid w:val="00946083"/>
    <w:rsid w:val="00946AFB"/>
    <w:rsid w:val="00946E99"/>
    <w:rsid w:val="00947222"/>
    <w:rsid w:val="00951186"/>
    <w:rsid w:val="009514DD"/>
    <w:rsid w:val="0095208B"/>
    <w:rsid w:val="009523EE"/>
    <w:rsid w:val="009524FF"/>
    <w:rsid w:val="00952FD6"/>
    <w:rsid w:val="009540A2"/>
    <w:rsid w:val="00954803"/>
    <w:rsid w:val="00955D69"/>
    <w:rsid w:val="00956273"/>
    <w:rsid w:val="0095681D"/>
    <w:rsid w:val="009609EC"/>
    <w:rsid w:val="00960C24"/>
    <w:rsid w:val="00961557"/>
    <w:rsid w:val="0096350F"/>
    <w:rsid w:val="00963A01"/>
    <w:rsid w:val="00963DCC"/>
    <w:rsid w:val="00965BC5"/>
    <w:rsid w:val="0096654C"/>
    <w:rsid w:val="00966C44"/>
    <w:rsid w:val="0096720C"/>
    <w:rsid w:val="00967D99"/>
    <w:rsid w:val="0097026D"/>
    <w:rsid w:val="009706A3"/>
    <w:rsid w:val="00970D7F"/>
    <w:rsid w:val="009714CE"/>
    <w:rsid w:val="009725D3"/>
    <w:rsid w:val="00973117"/>
    <w:rsid w:val="009736E7"/>
    <w:rsid w:val="00973E31"/>
    <w:rsid w:val="00974010"/>
    <w:rsid w:val="00974169"/>
    <w:rsid w:val="00976CA3"/>
    <w:rsid w:val="00977555"/>
    <w:rsid w:val="009776E7"/>
    <w:rsid w:val="00980A85"/>
    <w:rsid w:val="009812FA"/>
    <w:rsid w:val="00981E5B"/>
    <w:rsid w:val="00982EA9"/>
    <w:rsid w:val="00984B5D"/>
    <w:rsid w:val="009911C3"/>
    <w:rsid w:val="0099144C"/>
    <w:rsid w:val="00995784"/>
    <w:rsid w:val="009967D9"/>
    <w:rsid w:val="00997068"/>
    <w:rsid w:val="009978BA"/>
    <w:rsid w:val="00997E48"/>
    <w:rsid w:val="009A04D8"/>
    <w:rsid w:val="009A0D56"/>
    <w:rsid w:val="009A2BEB"/>
    <w:rsid w:val="009A309B"/>
    <w:rsid w:val="009A3BD9"/>
    <w:rsid w:val="009A40BE"/>
    <w:rsid w:val="009A48D5"/>
    <w:rsid w:val="009A510B"/>
    <w:rsid w:val="009A5CC5"/>
    <w:rsid w:val="009A7619"/>
    <w:rsid w:val="009B078E"/>
    <w:rsid w:val="009B124E"/>
    <w:rsid w:val="009B1BC5"/>
    <w:rsid w:val="009B1C91"/>
    <w:rsid w:val="009B1DB7"/>
    <w:rsid w:val="009B2918"/>
    <w:rsid w:val="009B2E83"/>
    <w:rsid w:val="009B3A34"/>
    <w:rsid w:val="009B5B23"/>
    <w:rsid w:val="009B60FD"/>
    <w:rsid w:val="009B65F4"/>
    <w:rsid w:val="009B693B"/>
    <w:rsid w:val="009B6F2C"/>
    <w:rsid w:val="009B77C7"/>
    <w:rsid w:val="009C05AC"/>
    <w:rsid w:val="009C25E1"/>
    <w:rsid w:val="009C2600"/>
    <w:rsid w:val="009C261C"/>
    <w:rsid w:val="009C344D"/>
    <w:rsid w:val="009C66C3"/>
    <w:rsid w:val="009C6B4D"/>
    <w:rsid w:val="009C7DC6"/>
    <w:rsid w:val="009C7EE9"/>
    <w:rsid w:val="009D0748"/>
    <w:rsid w:val="009D0AD4"/>
    <w:rsid w:val="009D111C"/>
    <w:rsid w:val="009D2D2B"/>
    <w:rsid w:val="009D359F"/>
    <w:rsid w:val="009D38AB"/>
    <w:rsid w:val="009D3A2B"/>
    <w:rsid w:val="009D3B98"/>
    <w:rsid w:val="009D3CC4"/>
    <w:rsid w:val="009D45FF"/>
    <w:rsid w:val="009D4BAC"/>
    <w:rsid w:val="009D62A4"/>
    <w:rsid w:val="009D6358"/>
    <w:rsid w:val="009D78A4"/>
    <w:rsid w:val="009E044C"/>
    <w:rsid w:val="009E077E"/>
    <w:rsid w:val="009E10CB"/>
    <w:rsid w:val="009E1749"/>
    <w:rsid w:val="009E1792"/>
    <w:rsid w:val="009E1948"/>
    <w:rsid w:val="009E199D"/>
    <w:rsid w:val="009E20D1"/>
    <w:rsid w:val="009E2AF6"/>
    <w:rsid w:val="009E30E1"/>
    <w:rsid w:val="009E360C"/>
    <w:rsid w:val="009E53FA"/>
    <w:rsid w:val="009E59BE"/>
    <w:rsid w:val="009E6D80"/>
    <w:rsid w:val="009E7DC5"/>
    <w:rsid w:val="009F05F1"/>
    <w:rsid w:val="009F1365"/>
    <w:rsid w:val="009F4F02"/>
    <w:rsid w:val="009F523E"/>
    <w:rsid w:val="009F565B"/>
    <w:rsid w:val="009F7982"/>
    <w:rsid w:val="009F7B85"/>
    <w:rsid w:val="009F7BC5"/>
    <w:rsid w:val="009F7F47"/>
    <w:rsid w:val="00A0015C"/>
    <w:rsid w:val="00A00CC0"/>
    <w:rsid w:val="00A01F75"/>
    <w:rsid w:val="00A020BD"/>
    <w:rsid w:val="00A020C2"/>
    <w:rsid w:val="00A0289B"/>
    <w:rsid w:val="00A0334F"/>
    <w:rsid w:val="00A03CBB"/>
    <w:rsid w:val="00A0536A"/>
    <w:rsid w:val="00A06641"/>
    <w:rsid w:val="00A066B9"/>
    <w:rsid w:val="00A07BB3"/>
    <w:rsid w:val="00A10278"/>
    <w:rsid w:val="00A12268"/>
    <w:rsid w:val="00A12B59"/>
    <w:rsid w:val="00A1336B"/>
    <w:rsid w:val="00A135E7"/>
    <w:rsid w:val="00A14AA2"/>
    <w:rsid w:val="00A1512A"/>
    <w:rsid w:val="00A15266"/>
    <w:rsid w:val="00A15B4E"/>
    <w:rsid w:val="00A161C1"/>
    <w:rsid w:val="00A164B0"/>
    <w:rsid w:val="00A16A24"/>
    <w:rsid w:val="00A16F50"/>
    <w:rsid w:val="00A1721B"/>
    <w:rsid w:val="00A17A6B"/>
    <w:rsid w:val="00A212CE"/>
    <w:rsid w:val="00A22155"/>
    <w:rsid w:val="00A2270B"/>
    <w:rsid w:val="00A24327"/>
    <w:rsid w:val="00A24684"/>
    <w:rsid w:val="00A24732"/>
    <w:rsid w:val="00A250B4"/>
    <w:rsid w:val="00A271AC"/>
    <w:rsid w:val="00A273C0"/>
    <w:rsid w:val="00A27C19"/>
    <w:rsid w:val="00A31230"/>
    <w:rsid w:val="00A31A7B"/>
    <w:rsid w:val="00A31A82"/>
    <w:rsid w:val="00A331D2"/>
    <w:rsid w:val="00A33789"/>
    <w:rsid w:val="00A33F7E"/>
    <w:rsid w:val="00A356B7"/>
    <w:rsid w:val="00A36F7B"/>
    <w:rsid w:val="00A3710A"/>
    <w:rsid w:val="00A3721E"/>
    <w:rsid w:val="00A3787F"/>
    <w:rsid w:val="00A403CD"/>
    <w:rsid w:val="00A418A6"/>
    <w:rsid w:val="00A43145"/>
    <w:rsid w:val="00A43449"/>
    <w:rsid w:val="00A436BA"/>
    <w:rsid w:val="00A4379E"/>
    <w:rsid w:val="00A43B7E"/>
    <w:rsid w:val="00A4506B"/>
    <w:rsid w:val="00A45D94"/>
    <w:rsid w:val="00A46AC6"/>
    <w:rsid w:val="00A47BAB"/>
    <w:rsid w:val="00A50F05"/>
    <w:rsid w:val="00A5156C"/>
    <w:rsid w:val="00A517F2"/>
    <w:rsid w:val="00A52738"/>
    <w:rsid w:val="00A528CF"/>
    <w:rsid w:val="00A53DD6"/>
    <w:rsid w:val="00A542DE"/>
    <w:rsid w:val="00A55653"/>
    <w:rsid w:val="00A56556"/>
    <w:rsid w:val="00A56685"/>
    <w:rsid w:val="00A56D45"/>
    <w:rsid w:val="00A56F52"/>
    <w:rsid w:val="00A62B30"/>
    <w:rsid w:val="00A64EC7"/>
    <w:rsid w:val="00A659BC"/>
    <w:rsid w:val="00A661EE"/>
    <w:rsid w:val="00A67C0B"/>
    <w:rsid w:val="00A67E19"/>
    <w:rsid w:val="00A70127"/>
    <w:rsid w:val="00A7077F"/>
    <w:rsid w:val="00A70AA5"/>
    <w:rsid w:val="00A717F7"/>
    <w:rsid w:val="00A71CAD"/>
    <w:rsid w:val="00A71FB0"/>
    <w:rsid w:val="00A72235"/>
    <w:rsid w:val="00A72B33"/>
    <w:rsid w:val="00A73A8A"/>
    <w:rsid w:val="00A73FF6"/>
    <w:rsid w:val="00A74DAE"/>
    <w:rsid w:val="00A7505B"/>
    <w:rsid w:val="00A753E5"/>
    <w:rsid w:val="00A75F19"/>
    <w:rsid w:val="00A75F2C"/>
    <w:rsid w:val="00A75F56"/>
    <w:rsid w:val="00A77293"/>
    <w:rsid w:val="00A7775C"/>
    <w:rsid w:val="00A77CDB"/>
    <w:rsid w:val="00A80EE5"/>
    <w:rsid w:val="00A81340"/>
    <w:rsid w:val="00A83F54"/>
    <w:rsid w:val="00A83F5E"/>
    <w:rsid w:val="00A84E81"/>
    <w:rsid w:val="00A84E9D"/>
    <w:rsid w:val="00A85106"/>
    <w:rsid w:val="00A85D7F"/>
    <w:rsid w:val="00A86030"/>
    <w:rsid w:val="00A87793"/>
    <w:rsid w:val="00A87AA4"/>
    <w:rsid w:val="00A90C9D"/>
    <w:rsid w:val="00A92758"/>
    <w:rsid w:val="00A92A75"/>
    <w:rsid w:val="00A92F49"/>
    <w:rsid w:val="00A93329"/>
    <w:rsid w:val="00A93CF0"/>
    <w:rsid w:val="00A9409C"/>
    <w:rsid w:val="00A953A0"/>
    <w:rsid w:val="00A9718B"/>
    <w:rsid w:val="00AA0569"/>
    <w:rsid w:val="00AA0E5F"/>
    <w:rsid w:val="00AA1E08"/>
    <w:rsid w:val="00AA3FE7"/>
    <w:rsid w:val="00AA4BA5"/>
    <w:rsid w:val="00AA543D"/>
    <w:rsid w:val="00AA67B3"/>
    <w:rsid w:val="00AA6F80"/>
    <w:rsid w:val="00AA7F81"/>
    <w:rsid w:val="00AB09DF"/>
    <w:rsid w:val="00AB17CE"/>
    <w:rsid w:val="00AB1D7D"/>
    <w:rsid w:val="00AB274E"/>
    <w:rsid w:val="00AB2E92"/>
    <w:rsid w:val="00AB597A"/>
    <w:rsid w:val="00AB68C5"/>
    <w:rsid w:val="00AB7032"/>
    <w:rsid w:val="00AB722C"/>
    <w:rsid w:val="00AB7750"/>
    <w:rsid w:val="00AC0A46"/>
    <w:rsid w:val="00AC0BA8"/>
    <w:rsid w:val="00AC15C5"/>
    <w:rsid w:val="00AC1AF6"/>
    <w:rsid w:val="00AC3419"/>
    <w:rsid w:val="00AC342E"/>
    <w:rsid w:val="00AC3E48"/>
    <w:rsid w:val="00AC49BD"/>
    <w:rsid w:val="00AC63FF"/>
    <w:rsid w:val="00AC65E5"/>
    <w:rsid w:val="00AC6905"/>
    <w:rsid w:val="00AC710E"/>
    <w:rsid w:val="00AC711D"/>
    <w:rsid w:val="00AC73CA"/>
    <w:rsid w:val="00AC7809"/>
    <w:rsid w:val="00AC7949"/>
    <w:rsid w:val="00AC79DF"/>
    <w:rsid w:val="00AD0342"/>
    <w:rsid w:val="00AD0E16"/>
    <w:rsid w:val="00AD2058"/>
    <w:rsid w:val="00AD205C"/>
    <w:rsid w:val="00AD25F3"/>
    <w:rsid w:val="00AD2971"/>
    <w:rsid w:val="00AD41C7"/>
    <w:rsid w:val="00AD7BA1"/>
    <w:rsid w:val="00AD7CAF"/>
    <w:rsid w:val="00AE1B5C"/>
    <w:rsid w:val="00AE3433"/>
    <w:rsid w:val="00AE3B8F"/>
    <w:rsid w:val="00AE42AE"/>
    <w:rsid w:val="00AE5A15"/>
    <w:rsid w:val="00AE6D84"/>
    <w:rsid w:val="00AE73D4"/>
    <w:rsid w:val="00AE778E"/>
    <w:rsid w:val="00AF0B89"/>
    <w:rsid w:val="00AF0D9C"/>
    <w:rsid w:val="00AF0F82"/>
    <w:rsid w:val="00AF2627"/>
    <w:rsid w:val="00AF2EFE"/>
    <w:rsid w:val="00AF2F6D"/>
    <w:rsid w:val="00AF31BE"/>
    <w:rsid w:val="00AF37DD"/>
    <w:rsid w:val="00AF3BE6"/>
    <w:rsid w:val="00AF4435"/>
    <w:rsid w:val="00AF576A"/>
    <w:rsid w:val="00AF596F"/>
    <w:rsid w:val="00AF6F88"/>
    <w:rsid w:val="00AF7A90"/>
    <w:rsid w:val="00AF7CBD"/>
    <w:rsid w:val="00B0101E"/>
    <w:rsid w:val="00B016F6"/>
    <w:rsid w:val="00B01D68"/>
    <w:rsid w:val="00B02621"/>
    <w:rsid w:val="00B02790"/>
    <w:rsid w:val="00B02B02"/>
    <w:rsid w:val="00B03915"/>
    <w:rsid w:val="00B03C25"/>
    <w:rsid w:val="00B041C3"/>
    <w:rsid w:val="00B0452A"/>
    <w:rsid w:val="00B04E99"/>
    <w:rsid w:val="00B0712F"/>
    <w:rsid w:val="00B07915"/>
    <w:rsid w:val="00B1093E"/>
    <w:rsid w:val="00B11D05"/>
    <w:rsid w:val="00B14BF1"/>
    <w:rsid w:val="00B14C85"/>
    <w:rsid w:val="00B151D5"/>
    <w:rsid w:val="00B1713A"/>
    <w:rsid w:val="00B20EE2"/>
    <w:rsid w:val="00B2187A"/>
    <w:rsid w:val="00B21CE4"/>
    <w:rsid w:val="00B237E5"/>
    <w:rsid w:val="00B246A6"/>
    <w:rsid w:val="00B24942"/>
    <w:rsid w:val="00B257D5"/>
    <w:rsid w:val="00B26B23"/>
    <w:rsid w:val="00B27F7C"/>
    <w:rsid w:val="00B30B0D"/>
    <w:rsid w:val="00B30D34"/>
    <w:rsid w:val="00B31673"/>
    <w:rsid w:val="00B316CF"/>
    <w:rsid w:val="00B32157"/>
    <w:rsid w:val="00B3468C"/>
    <w:rsid w:val="00B355D5"/>
    <w:rsid w:val="00B35A63"/>
    <w:rsid w:val="00B35FC0"/>
    <w:rsid w:val="00B37205"/>
    <w:rsid w:val="00B37984"/>
    <w:rsid w:val="00B402AA"/>
    <w:rsid w:val="00B40F55"/>
    <w:rsid w:val="00B41703"/>
    <w:rsid w:val="00B429ED"/>
    <w:rsid w:val="00B431F3"/>
    <w:rsid w:val="00B4459E"/>
    <w:rsid w:val="00B45278"/>
    <w:rsid w:val="00B456F5"/>
    <w:rsid w:val="00B45A53"/>
    <w:rsid w:val="00B4673A"/>
    <w:rsid w:val="00B47189"/>
    <w:rsid w:val="00B47515"/>
    <w:rsid w:val="00B4752A"/>
    <w:rsid w:val="00B4778D"/>
    <w:rsid w:val="00B47D1C"/>
    <w:rsid w:val="00B50633"/>
    <w:rsid w:val="00B51404"/>
    <w:rsid w:val="00B51953"/>
    <w:rsid w:val="00B51BAF"/>
    <w:rsid w:val="00B51FBE"/>
    <w:rsid w:val="00B521AE"/>
    <w:rsid w:val="00B526D2"/>
    <w:rsid w:val="00B52FB5"/>
    <w:rsid w:val="00B5485A"/>
    <w:rsid w:val="00B55711"/>
    <w:rsid w:val="00B55A03"/>
    <w:rsid w:val="00B55A42"/>
    <w:rsid w:val="00B57860"/>
    <w:rsid w:val="00B60B5E"/>
    <w:rsid w:val="00B60CF3"/>
    <w:rsid w:val="00B60D23"/>
    <w:rsid w:val="00B61048"/>
    <w:rsid w:val="00B6295F"/>
    <w:rsid w:val="00B62BA4"/>
    <w:rsid w:val="00B62DA5"/>
    <w:rsid w:val="00B62DE1"/>
    <w:rsid w:val="00B63772"/>
    <w:rsid w:val="00B6459C"/>
    <w:rsid w:val="00B66A77"/>
    <w:rsid w:val="00B7011A"/>
    <w:rsid w:val="00B703AB"/>
    <w:rsid w:val="00B70BD5"/>
    <w:rsid w:val="00B71330"/>
    <w:rsid w:val="00B715D9"/>
    <w:rsid w:val="00B728B1"/>
    <w:rsid w:val="00B72C15"/>
    <w:rsid w:val="00B7365E"/>
    <w:rsid w:val="00B73890"/>
    <w:rsid w:val="00B76232"/>
    <w:rsid w:val="00B765F5"/>
    <w:rsid w:val="00B77BB9"/>
    <w:rsid w:val="00B77F89"/>
    <w:rsid w:val="00B804B1"/>
    <w:rsid w:val="00B81382"/>
    <w:rsid w:val="00B81414"/>
    <w:rsid w:val="00B823BE"/>
    <w:rsid w:val="00B825DB"/>
    <w:rsid w:val="00B8302F"/>
    <w:rsid w:val="00B84492"/>
    <w:rsid w:val="00B851B4"/>
    <w:rsid w:val="00B856CB"/>
    <w:rsid w:val="00B864C5"/>
    <w:rsid w:val="00B8650E"/>
    <w:rsid w:val="00B867FC"/>
    <w:rsid w:val="00B877FE"/>
    <w:rsid w:val="00B87A6B"/>
    <w:rsid w:val="00B915AB"/>
    <w:rsid w:val="00B918B9"/>
    <w:rsid w:val="00B93115"/>
    <w:rsid w:val="00B9396B"/>
    <w:rsid w:val="00B94214"/>
    <w:rsid w:val="00B94924"/>
    <w:rsid w:val="00B949A6"/>
    <w:rsid w:val="00B949D0"/>
    <w:rsid w:val="00B94BC1"/>
    <w:rsid w:val="00B964F5"/>
    <w:rsid w:val="00B96D6C"/>
    <w:rsid w:val="00BA0E80"/>
    <w:rsid w:val="00BA1DF4"/>
    <w:rsid w:val="00BA26EC"/>
    <w:rsid w:val="00BA289D"/>
    <w:rsid w:val="00BA48CB"/>
    <w:rsid w:val="00BA50E5"/>
    <w:rsid w:val="00BA50F5"/>
    <w:rsid w:val="00BA599E"/>
    <w:rsid w:val="00BA5EF5"/>
    <w:rsid w:val="00BA72BA"/>
    <w:rsid w:val="00BA7B27"/>
    <w:rsid w:val="00BB0111"/>
    <w:rsid w:val="00BB0800"/>
    <w:rsid w:val="00BB16D1"/>
    <w:rsid w:val="00BB2600"/>
    <w:rsid w:val="00BB2AEA"/>
    <w:rsid w:val="00BB3E93"/>
    <w:rsid w:val="00BB3FB3"/>
    <w:rsid w:val="00BB44ED"/>
    <w:rsid w:val="00BB55F4"/>
    <w:rsid w:val="00BB5EE3"/>
    <w:rsid w:val="00BB6CC5"/>
    <w:rsid w:val="00BB7226"/>
    <w:rsid w:val="00BC008A"/>
    <w:rsid w:val="00BC0463"/>
    <w:rsid w:val="00BC239A"/>
    <w:rsid w:val="00BC23BC"/>
    <w:rsid w:val="00BC25EC"/>
    <w:rsid w:val="00BC2AA9"/>
    <w:rsid w:val="00BC34BA"/>
    <w:rsid w:val="00BC4003"/>
    <w:rsid w:val="00BC4791"/>
    <w:rsid w:val="00BC5294"/>
    <w:rsid w:val="00BC5CF1"/>
    <w:rsid w:val="00BC5E18"/>
    <w:rsid w:val="00BC66D7"/>
    <w:rsid w:val="00BD1F4C"/>
    <w:rsid w:val="00BD22BC"/>
    <w:rsid w:val="00BD278C"/>
    <w:rsid w:val="00BD281C"/>
    <w:rsid w:val="00BD2AF2"/>
    <w:rsid w:val="00BD369E"/>
    <w:rsid w:val="00BD3859"/>
    <w:rsid w:val="00BD500D"/>
    <w:rsid w:val="00BD698D"/>
    <w:rsid w:val="00BD7D52"/>
    <w:rsid w:val="00BD7DE3"/>
    <w:rsid w:val="00BE13CF"/>
    <w:rsid w:val="00BE1AC5"/>
    <w:rsid w:val="00BE1B88"/>
    <w:rsid w:val="00BE1EB1"/>
    <w:rsid w:val="00BE2E41"/>
    <w:rsid w:val="00BE303D"/>
    <w:rsid w:val="00BE3046"/>
    <w:rsid w:val="00BE5037"/>
    <w:rsid w:val="00BE5618"/>
    <w:rsid w:val="00BE673E"/>
    <w:rsid w:val="00BE68CD"/>
    <w:rsid w:val="00BE7252"/>
    <w:rsid w:val="00BF0FD1"/>
    <w:rsid w:val="00BF12D9"/>
    <w:rsid w:val="00BF1388"/>
    <w:rsid w:val="00BF1500"/>
    <w:rsid w:val="00BF1A67"/>
    <w:rsid w:val="00BF2E58"/>
    <w:rsid w:val="00BF2EF7"/>
    <w:rsid w:val="00BF4A87"/>
    <w:rsid w:val="00BF4CE5"/>
    <w:rsid w:val="00BF5EB0"/>
    <w:rsid w:val="00BF60E5"/>
    <w:rsid w:val="00BF6DE4"/>
    <w:rsid w:val="00BF7515"/>
    <w:rsid w:val="00BF77AE"/>
    <w:rsid w:val="00BF7F91"/>
    <w:rsid w:val="00C0131A"/>
    <w:rsid w:val="00C01A6E"/>
    <w:rsid w:val="00C02216"/>
    <w:rsid w:val="00C02E86"/>
    <w:rsid w:val="00C038E2"/>
    <w:rsid w:val="00C04014"/>
    <w:rsid w:val="00C051BD"/>
    <w:rsid w:val="00C052A9"/>
    <w:rsid w:val="00C05887"/>
    <w:rsid w:val="00C078D2"/>
    <w:rsid w:val="00C079CF"/>
    <w:rsid w:val="00C07EDD"/>
    <w:rsid w:val="00C112DF"/>
    <w:rsid w:val="00C128DE"/>
    <w:rsid w:val="00C13A8C"/>
    <w:rsid w:val="00C143DA"/>
    <w:rsid w:val="00C1444C"/>
    <w:rsid w:val="00C14CC9"/>
    <w:rsid w:val="00C15C2F"/>
    <w:rsid w:val="00C17218"/>
    <w:rsid w:val="00C17601"/>
    <w:rsid w:val="00C210C4"/>
    <w:rsid w:val="00C21A79"/>
    <w:rsid w:val="00C23226"/>
    <w:rsid w:val="00C2622F"/>
    <w:rsid w:val="00C26B0D"/>
    <w:rsid w:val="00C27A61"/>
    <w:rsid w:val="00C27B30"/>
    <w:rsid w:val="00C304B8"/>
    <w:rsid w:val="00C30B42"/>
    <w:rsid w:val="00C34323"/>
    <w:rsid w:val="00C34EB3"/>
    <w:rsid w:val="00C3646F"/>
    <w:rsid w:val="00C42128"/>
    <w:rsid w:val="00C4266A"/>
    <w:rsid w:val="00C43818"/>
    <w:rsid w:val="00C438C7"/>
    <w:rsid w:val="00C43B9F"/>
    <w:rsid w:val="00C4427A"/>
    <w:rsid w:val="00C44E79"/>
    <w:rsid w:val="00C46181"/>
    <w:rsid w:val="00C461D2"/>
    <w:rsid w:val="00C46394"/>
    <w:rsid w:val="00C47761"/>
    <w:rsid w:val="00C50334"/>
    <w:rsid w:val="00C509A7"/>
    <w:rsid w:val="00C50AE2"/>
    <w:rsid w:val="00C50D9F"/>
    <w:rsid w:val="00C51C6E"/>
    <w:rsid w:val="00C52235"/>
    <w:rsid w:val="00C5245F"/>
    <w:rsid w:val="00C52FA6"/>
    <w:rsid w:val="00C539F1"/>
    <w:rsid w:val="00C53B32"/>
    <w:rsid w:val="00C558DE"/>
    <w:rsid w:val="00C567C0"/>
    <w:rsid w:val="00C5684C"/>
    <w:rsid w:val="00C577AE"/>
    <w:rsid w:val="00C57AD4"/>
    <w:rsid w:val="00C6004D"/>
    <w:rsid w:val="00C60FEB"/>
    <w:rsid w:val="00C62B49"/>
    <w:rsid w:val="00C62DDB"/>
    <w:rsid w:val="00C634AE"/>
    <w:rsid w:val="00C635EA"/>
    <w:rsid w:val="00C64C32"/>
    <w:rsid w:val="00C65118"/>
    <w:rsid w:val="00C671C8"/>
    <w:rsid w:val="00C67AA5"/>
    <w:rsid w:val="00C67E04"/>
    <w:rsid w:val="00C70427"/>
    <w:rsid w:val="00C70646"/>
    <w:rsid w:val="00C71CA6"/>
    <w:rsid w:val="00C724C7"/>
    <w:rsid w:val="00C731D0"/>
    <w:rsid w:val="00C731FD"/>
    <w:rsid w:val="00C734F5"/>
    <w:rsid w:val="00C73E9A"/>
    <w:rsid w:val="00C74BC9"/>
    <w:rsid w:val="00C76C64"/>
    <w:rsid w:val="00C76FDD"/>
    <w:rsid w:val="00C77C14"/>
    <w:rsid w:val="00C80808"/>
    <w:rsid w:val="00C80AF7"/>
    <w:rsid w:val="00C80FB8"/>
    <w:rsid w:val="00C81CAB"/>
    <w:rsid w:val="00C81E71"/>
    <w:rsid w:val="00C82634"/>
    <w:rsid w:val="00C837A1"/>
    <w:rsid w:val="00C83D98"/>
    <w:rsid w:val="00C84106"/>
    <w:rsid w:val="00C84E4D"/>
    <w:rsid w:val="00C853E5"/>
    <w:rsid w:val="00C8575D"/>
    <w:rsid w:val="00C85C51"/>
    <w:rsid w:val="00C90759"/>
    <w:rsid w:val="00C90BCA"/>
    <w:rsid w:val="00C91039"/>
    <w:rsid w:val="00C93304"/>
    <w:rsid w:val="00C933EC"/>
    <w:rsid w:val="00C94480"/>
    <w:rsid w:val="00C94670"/>
    <w:rsid w:val="00C94B1C"/>
    <w:rsid w:val="00C96A7E"/>
    <w:rsid w:val="00C974C5"/>
    <w:rsid w:val="00C97C24"/>
    <w:rsid w:val="00CA0F1A"/>
    <w:rsid w:val="00CA25FE"/>
    <w:rsid w:val="00CA29FA"/>
    <w:rsid w:val="00CA3051"/>
    <w:rsid w:val="00CA364D"/>
    <w:rsid w:val="00CA36F8"/>
    <w:rsid w:val="00CA3C65"/>
    <w:rsid w:val="00CA46BC"/>
    <w:rsid w:val="00CA5442"/>
    <w:rsid w:val="00CA5CAD"/>
    <w:rsid w:val="00CA75D1"/>
    <w:rsid w:val="00CA7C6C"/>
    <w:rsid w:val="00CB246D"/>
    <w:rsid w:val="00CB3D91"/>
    <w:rsid w:val="00CB414A"/>
    <w:rsid w:val="00CB429A"/>
    <w:rsid w:val="00CB4AAA"/>
    <w:rsid w:val="00CB529C"/>
    <w:rsid w:val="00CB5D61"/>
    <w:rsid w:val="00CB6F5D"/>
    <w:rsid w:val="00CB75F5"/>
    <w:rsid w:val="00CC060D"/>
    <w:rsid w:val="00CC0657"/>
    <w:rsid w:val="00CC0F32"/>
    <w:rsid w:val="00CC12D5"/>
    <w:rsid w:val="00CC32EA"/>
    <w:rsid w:val="00CC4795"/>
    <w:rsid w:val="00CC47D1"/>
    <w:rsid w:val="00CC51FC"/>
    <w:rsid w:val="00CC5BC2"/>
    <w:rsid w:val="00CC6806"/>
    <w:rsid w:val="00CC6A92"/>
    <w:rsid w:val="00CC6F11"/>
    <w:rsid w:val="00CC72DC"/>
    <w:rsid w:val="00CC7B4F"/>
    <w:rsid w:val="00CD04E2"/>
    <w:rsid w:val="00CD0791"/>
    <w:rsid w:val="00CD13C1"/>
    <w:rsid w:val="00CD212E"/>
    <w:rsid w:val="00CD2C29"/>
    <w:rsid w:val="00CD5420"/>
    <w:rsid w:val="00CD759C"/>
    <w:rsid w:val="00CD7C94"/>
    <w:rsid w:val="00CD7E2B"/>
    <w:rsid w:val="00CD7F8C"/>
    <w:rsid w:val="00CE02E0"/>
    <w:rsid w:val="00CE0E59"/>
    <w:rsid w:val="00CE0FDD"/>
    <w:rsid w:val="00CE1CE2"/>
    <w:rsid w:val="00CE37BA"/>
    <w:rsid w:val="00CE3EC7"/>
    <w:rsid w:val="00CE42A0"/>
    <w:rsid w:val="00CE62F6"/>
    <w:rsid w:val="00CE6FC8"/>
    <w:rsid w:val="00CE7405"/>
    <w:rsid w:val="00CE7D0B"/>
    <w:rsid w:val="00CF0D3C"/>
    <w:rsid w:val="00CF101F"/>
    <w:rsid w:val="00CF14A8"/>
    <w:rsid w:val="00CF2828"/>
    <w:rsid w:val="00CF36AA"/>
    <w:rsid w:val="00CF430E"/>
    <w:rsid w:val="00CF467D"/>
    <w:rsid w:val="00CF47E8"/>
    <w:rsid w:val="00CF51AF"/>
    <w:rsid w:val="00CF55FE"/>
    <w:rsid w:val="00CF5C78"/>
    <w:rsid w:val="00CF61A1"/>
    <w:rsid w:val="00D01CC4"/>
    <w:rsid w:val="00D02445"/>
    <w:rsid w:val="00D029B8"/>
    <w:rsid w:val="00D03071"/>
    <w:rsid w:val="00D0316C"/>
    <w:rsid w:val="00D03333"/>
    <w:rsid w:val="00D03781"/>
    <w:rsid w:val="00D04C86"/>
    <w:rsid w:val="00D054B1"/>
    <w:rsid w:val="00D106FF"/>
    <w:rsid w:val="00D10C0D"/>
    <w:rsid w:val="00D1195C"/>
    <w:rsid w:val="00D11D26"/>
    <w:rsid w:val="00D11ED8"/>
    <w:rsid w:val="00D11FE4"/>
    <w:rsid w:val="00D130F4"/>
    <w:rsid w:val="00D13753"/>
    <w:rsid w:val="00D137D2"/>
    <w:rsid w:val="00D145C1"/>
    <w:rsid w:val="00D148AF"/>
    <w:rsid w:val="00D14DCB"/>
    <w:rsid w:val="00D155CE"/>
    <w:rsid w:val="00D156C3"/>
    <w:rsid w:val="00D156CB"/>
    <w:rsid w:val="00D17769"/>
    <w:rsid w:val="00D17F30"/>
    <w:rsid w:val="00D20091"/>
    <w:rsid w:val="00D205F1"/>
    <w:rsid w:val="00D21AA1"/>
    <w:rsid w:val="00D222B5"/>
    <w:rsid w:val="00D22409"/>
    <w:rsid w:val="00D22DEB"/>
    <w:rsid w:val="00D23D83"/>
    <w:rsid w:val="00D25160"/>
    <w:rsid w:val="00D265C3"/>
    <w:rsid w:val="00D27522"/>
    <w:rsid w:val="00D2760A"/>
    <w:rsid w:val="00D27B3C"/>
    <w:rsid w:val="00D27FDC"/>
    <w:rsid w:val="00D3098E"/>
    <w:rsid w:val="00D31AAE"/>
    <w:rsid w:val="00D32999"/>
    <w:rsid w:val="00D32C43"/>
    <w:rsid w:val="00D33484"/>
    <w:rsid w:val="00D334D8"/>
    <w:rsid w:val="00D335F8"/>
    <w:rsid w:val="00D34C74"/>
    <w:rsid w:val="00D34F66"/>
    <w:rsid w:val="00D36CE1"/>
    <w:rsid w:val="00D377BB"/>
    <w:rsid w:val="00D41143"/>
    <w:rsid w:val="00D426E2"/>
    <w:rsid w:val="00D4282B"/>
    <w:rsid w:val="00D43CC2"/>
    <w:rsid w:val="00D45408"/>
    <w:rsid w:val="00D46B4F"/>
    <w:rsid w:val="00D46B76"/>
    <w:rsid w:val="00D46D17"/>
    <w:rsid w:val="00D46EE1"/>
    <w:rsid w:val="00D47106"/>
    <w:rsid w:val="00D52658"/>
    <w:rsid w:val="00D52A33"/>
    <w:rsid w:val="00D52A7B"/>
    <w:rsid w:val="00D537C4"/>
    <w:rsid w:val="00D53DF8"/>
    <w:rsid w:val="00D55547"/>
    <w:rsid w:val="00D558B3"/>
    <w:rsid w:val="00D55C86"/>
    <w:rsid w:val="00D56599"/>
    <w:rsid w:val="00D568B0"/>
    <w:rsid w:val="00D56D58"/>
    <w:rsid w:val="00D57048"/>
    <w:rsid w:val="00D5717B"/>
    <w:rsid w:val="00D600BF"/>
    <w:rsid w:val="00D61286"/>
    <w:rsid w:val="00D65A26"/>
    <w:rsid w:val="00D65A8E"/>
    <w:rsid w:val="00D70630"/>
    <w:rsid w:val="00D70942"/>
    <w:rsid w:val="00D722AD"/>
    <w:rsid w:val="00D7236A"/>
    <w:rsid w:val="00D724A0"/>
    <w:rsid w:val="00D7251A"/>
    <w:rsid w:val="00D73716"/>
    <w:rsid w:val="00D7410C"/>
    <w:rsid w:val="00D76DFF"/>
    <w:rsid w:val="00D809A3"/>
    <w:rsid w:val="00D819B3"/>
    <w:rsid w:val="00D83B70"/>
    <w:rsid w:val="00D83EC9"/>
    <w:rsid w:val="00D840F4"/>
    <w:rsid w:val="00D849AE"/>
    <w:rsid w:val="00D84AE0"/>
    <w:rsid w:val="00D85740"/>
    <w:rsid w:val="00D86E72"/>
    <w:rsid w:val="00D91396"/>
    <w:rsid w:val="00D91E9B"/>
    <w:rsid w:val="00D92A3B"/>
    <w:rsid w:val="00D92C48"/>
    <w:rsid w:val="00D930A4"/>
    <w:rsid w:val="00D93830"/>
    <w:rsid w:val="00D93896"/>
    <w:rsid w:val="00D93E53"/>
    <w:rsid w:val="00D941F7"/>
    <w:rsid w:val="00D94BE9"/>
    <w:rsid w:val="00D964E6"/>
    <w:rsid w:val="00D96973"/>
    <w:rsid w:val="00D96C9A"/>
    <w:rsid w:val="00D96FD6"/>
    <w:rsid w:val="00D9795A"/>
    <w:rsid w:val="00DA0A53"/>
    <w:rsid w:val="00DA0EEF"/>
    <w:rsid w:val="00DA1EDF"/>
    <w:rsid w:val="00DA2C0B"/>
    <w:rsid w:val="00DA33B0"/>
    <w:rsid w:val="00DA3A7F"/>
    <w:rsid w:val="00DA3D72"/>
    <w:rsid w:val="00DA4145"/>
    <w:rsid w:val="00DA52DE"/>
    <w:rsid w:val="00DA5362"/>
    <w:rsid w:val="00DA57B9"/>
    <w:rsid w:val="00DA6834"/>
    <w:rsid w:val="00DA710B"/>
    <w:rsid w:val="00DB0181"/>
    <w:rsid w:val="00DB2850"/>
    <w:rsid w:val="00DB4169"/>
    <w:rsid w:val="00DB5855"/>
    <w:rsid w:val="00DB6D4D"/>
    <w:rsid w:val="00DB7DA9"/>
    <w:rsid w:val="00DC00AA"/>
    <w:rsid w:val="00DC13F8"/>
    <w:rsid w:val="00DC31C7"/>
    <w:rsid w:val="00DC3A19"/>
    <w:rsid w:val="00DC3E56"/>
    <w:rsid w:val="00DC3ED1"/>
    <w:rsid w:val="00DC471F"/>
    <w:rsid w:val="00DC54D2"/>
    <w:rsid w:val="00DC5698"/>
    <w:rsid w:val="00DC6C84"/>
    <w:rsid w:val="00DC71AB"/>
    <w:rsid w:val="00DD0CCB"/>
    <w:rsid w:val="00DD0CD1"/>
    <w:rsid w:val="00DD16FC"/>
    <w:rsid w:val="00DD1CB8"/>
    <w:rsid w:val="00DD1FB5"/>
    <w:rsid w:val="00DD3627"/>
    <w:rsid w:val="00DD3E1D"/>
    <w:rsid w:val="00DD4902"/>
    <w:rsid w:val="00DD59C8"/>
    <w:rsid w:val="00DD74C1"/>
    <w:rsid w:val="00DE0045"/>
    <w:rsid w:val="00DE0385"/>
    <w:rsid w:val="00DE20CE"/>
    <w:rsid w:val="00DE2FC2"/>
    <w:rsid w:val="00DE4D82"/>
    <w:rsid w:val="00DE5B4C"/>
    <w:rsid w:val="00DE63E2"/>
    <w:rsid w:val="00DE6A74"/>
    <w:rsid w:val="00DE6D7A"/>
    <w:rsid w:val="00DE7857"/>
    <w:rsid w:val="00DE7C6D"/>
    <w:rsid w:val="00DF0B2E"/>
    <w:rsid w:val="00DF13CB"/>
    <w:rsid w:val="00DF15FB"/>
    <w:rsid w:val="00DF1D12"/>
    <w:rsid w:val="00DF2858"/>
    <w:rsid w:val="00DF2A7A"/>
    <w:rsid w:val="00DF2B20"/>
    <w:rsid w:val="00DF4365"/>
    <w:rsid w:val="00DF4CD5"/>
    <w:rsid w:val="00DF60B6"/>
    <w:rsid w:val="00DF64DF"/>
    <w:rsid w:val="00DF6FE2"/>
    <w:rsid w:val="00DF786A"/>
    <w:rsid w:val="00DF7AFB"/>
    <w:rsid w:val="00E003D0"/>
    <w:rsid w:val="00E006CD"/>
    <w:rsid w:val="00E013D0"/>
    <w:rsid w:val="00E01517"/>
    <w:rsid w:val="00E015C9"/>
    <w:rsid w:val="00E01608"/>
    <w:rsid w:val="00E02CAE"/>
    <w:rsid w:val="00E03D35"/>
    <w:rsid w:val="00E03D49"/>
    <w:rsid w:val="00E0406F"/>
    <w:rsid w:val="00E05ACF"/>
    <w:rsid w:val="00E05D6A"/>
    <w:rsid w:val="00E060E7"/>
    <w:rsid w:val="00E11250"/>
    <w:rsid w:val="00E11AAF"/>
    <w:rsid w:val="00E123A7"/>
    <w:rsid w:val="00E135DD"/>
    <w:rsid w:val="00E137FB"/>
    <w:rsid w:val="00E14137"/>
    <w:rsid w:val="00E15562"/>
    <w:rsid w:val="00E16F93"/>
    <w:rsid w:val="00E16FE8"/>
    <w:rsid w:val="00E20039"/>
    <w:rsid w:val="00E20066"/>
    <w:rsid w:val="00E202BC"/>
    <w:rsid w:val="00E20F46"/>
    <w:rsid w:val="00E21BC3"/>
    <w:rsid w:val="00E22797"/>
    <w:rsid w:val="00E22CCB"/>
    <w:rsid w:val="00E2313C"/>
    <w:rsid w:val="00E2343B"/>
    <w:rsid w:val="00E270D2"/>
    <w:rsid w:val="00E271D4"/>
    <w:rsid w:val="00E27B9C"/>
    <w:rsid w:val="00E27DC0"/>
    <w:rsid w:val="00E30EBA"/>
    <w:rsid w:val="00E3167C"/>
    <w:rsid w:val="00E31EB1"/>
    <w:rsid w:val="00E327EE"/>
    <w:rsid w:val="00E34124"/>
    <w:rsid w:val="00E35625"/>
    <w:rsid w:val="00E36E37"/>
    <w:rsid w:val="00E37E7E"/>
    <w:rsid w:val="00E404FC"/>
    <w:rsid w:val="00E40A2F"/>
    <w:rsid w:val="00E41471"/>
    <w:rsid w:val="00E41749"/>
    <w:rsid w:val="00E41A32"/>
    <w:rsid w:val="00E4348D"/>
    <w:rsid w:val="00E43A74"/>
    <w:rsid w:val="00E44CAF"/>
    <w:rsid w:val="00E44DB8"/>
    <w:rsid w:val="00E45231"/>
    <w:rsid w:val="00E46464"/>
    <w:rsid w:val="00E46CA4"/>
    <w:rsid w:val="00E522E7"/>
    <w:rsid w:val="00E5475F"/>
    <w:rsid w:val="00E54F79"/>
    <w:rsid w:val="00E550AA"/>
    <w:rsid w:val="00E5562C"/>
    <w:rsid w:val="00E56518"/>
    <w:rsid w:val="00E5791F"/>
    <w:rsid w:val="00E57D5D"/>
    <w:rsid w:val="00E57E01"/>
    <w:rsid w:val="00E60A4F"/>
    <w:rsid w:val="00E60B60"/>
    <w:rsid w:val="00E610D1"/>
    <w:rsid w:val="00E61A1C"/>
    <w:rsid w:val="00E61BC1"/>
    <w:rsid w:val="00E61C59"/>
    <w:rsid w:val="00E63147"/>
    <w:rsid w:val="00E631BB"/>
    <w:rsid w:val="00E63672"/>
    <w:rsid w:val="00E641B8"/>
    <w:rsid w:val="00E646AF"/>
    <w:rsid w:val="00E6482A"/>
    <w:rsid w:val="00E64F0A"/>
    <w:rsid w:val="00E64F82"/>
    <w:rsid w:val="00E657B0"/>
    <w:rsid w:val="00E65AEF"/>
    <w:rsid w:val="00E6659F"/>
    <w:rsid w:val="00E671E6"/>
    <w:rsid w:val="00E676DD"/>
    <w:rsid w:val="00E706B1"/>
    <w:rsid w:val="00E714CB"/>
    <w:rsid w:val="00E71883"/>
    <w:rsid w:val="00E7562A"/>
    <w:rsid w:val="00E76273"/>
    <w:rsid w:val="00E779CE"/>
    <w:rsid w:val="00E77A01"/>
    <w:rsid w:val="00E800C1"/>
    <w:rsid w:val="00E80A8B"/>
    <w:rsid w:val="00E8180F"/>
    <w:rsid w:val="00E81DE0"/>
    <w:rsid w:val="00E82221"/>
    <w:rsid w:val="00E82C48"/>
    <w:rsid w:val="00E8318E"/>
    <w:rsid w:val="00E858D0"/>
    <w:rsid w:val="00E87027"/>
    <w:rsid w:val="00E873B2"/>
    <w:rsid w:val="00E87E32"/>
    <w:rsid w:val="00E90635"/>
    <w:rsid w:val="00E914F7"/>
    <w:rsid w:val="00E918EA"/>
    <w:rsid w:val="00E91DCC"/>
    <w:rsid w:val="00E941D7"/>
    <w:rsid w:val="00E94FC3"/>
    <w:rsid w:val="00E957AE"/>
    <w:rsid w:val="00E96972"/>
    <w:rsid w:val="00E97054"/>
    <w:rsid w:val="00E97074"/>
    <w:rsid w:val="00E9780F"/>
    <w:rsid w:val="00E97850"/>
    <w:rsid w:val="00E97E28"/>
    <w:rsid w:val="00EA06FF"/>
    <w:rsid w:val="00EA0DFC"/>
    <w:rsid w:val="00EA1065"/>
    <w:rsid w:val="00EA130A"/>
    <w:rsid w:val="00EA2FB0"/>
    <w:rsid w:val="00EA3021"/>
    <w:rsid w:val="00EA3553"/>
    <w:rsid w:val="00EA3D50"/>
    <w:rsid w:val="00EA470D"/>
    <w:rsid w:val="00EA5352"/>
    <w:rsid w:val="00EB041C"/>
    <w:rsid w:val="00EB1021"/>
    <w:rsid w:val="00EB12EC"/>
    <w:rsid w:val="00EB15D7"/>
    <w:rsid w:val="00EB1628"/>
    <w:rsid w:val="00EB228B"/>
    <w:rsid w:val="00EB36C8"/>
    <w:rsid w:val="00EB440A"/>
    <w:rsid w:val="00EB52AE"/>
    <w:rsid w:val="00EB56D9"/>
    <w:rsid w:val="00EB5946"/>
    <w:rsid w:val="00EB59C3"/>
    <w:rsid w:val="00EB6693"/>
    <w:rsid w:val="00EB6956"/>
    <w:rsid w:val="00EB6AEE"/>
    <w:rsid w:val="00EB6BEB"/>
    <w:rsid w:val="00EC041B"/>
    <w:rsid w:val="00EC1EF1"/>
    <w:rsid w:val="00EC2BF1"/>
    <w:rsid w:val="00EC3CAB"/>
    <w:rsid w:val="00EC3F1A"/>
    <w:rsid w:val="00EC57F8"/>
    <w:rsid w:val="00EC6154"/>
    <w:rsid w:val="00EC67A1"/>
    <w:rsid w:val="00EC6CEF"/>
    <w:rsid w:val="00EC7A94"/>
    <w:rsid w:val="00EC7C19"/>
    <w:rsid w:val="00EC7D85"/>
    <w:rsid w:val="00EC7F76"/>
    <w:rsid w:val="00ED34F2"/>
    <w:rsid w:val="00ED3575"/>
    <w:rsid w:val="00ED3A07"/>
    <w:rsid w:val="00ED591B"/>
    <w:rsid w:val="00ED6354"/>
    <w:rsid w:val="00ED6707"/>
    <w:rsid w:val="00ED694B"/>
    <w:rsid w:val="00ED6ABF"/>
    <w:rsid w:val="00ED7CAB"/>
    <w:rsid w:val="00EE0788"/>
    <w:rsid w:val="00EE28F9"/>
    <w:rsid w:val="00EE3F6F"/>
    <w:rsid w:val="00EE4885"/>
    <w:rsid w:val="00EE4E7D"/>
    <w:rsid w:val="00EE5A82"/>
    <w:rsid w:val="00EE5E84"/>
    <w:rsid w:val="00EE613E"/>
    <w:rsid w:val="00EF02CD"/>
    <w:rsid w:val="00EF0354"/>
    <w:rsid w:val="00EF051E"/>
    <w:rsid w:val="00EF0C7A"/>
    <w:rsid w:val="00EF128F"/>
    <w:rsid w:val="00EF1A58"/>
    <w:rsid w:val="00EF26DA"/>
    <w:rsid w:val="00EF33A0"/>
    <w:rsid w:val="00EF3B6C"/>
    <w:rsid w:val="00EF3D70"/>
    <w:rsid w:val="00EF3F71"/>
    <w:rsid w:val="00EF4D59"/>
    <w:rsid w:val="00EF4EBF"/>
    <w:rsid w:val="00EF50EA"/>
    <w:rsid w:val="00EF5147"/>
    <w:rsid w:val="00EF626E"/>
    <w:rsid w:val="00F008EB"/>
    <w:rsid w:val="00F017F3"/>
    <w:rsid w:val="00F02AD4"/>
    <w:rsid w:val="00F03079"/>
    <w:rsid w:val="00F0421C"/>
    <w:rsid w:val="00F04A79"/>
    <w:rsid w:val="00F0501E"/>
    <w:rsid w:val="00F051F3"/>
    <w:rsid w:val="00F05C96"/>
    <w:rsid w:val="00F0716F"/>
    <w:rsid w:val="00F07414"/>
    <w:rsid w:val="00F07F7C"/>
    <w:rsid w:val="00F11312"/>
    <w:rsid w:val="00F1252A"/>
    <w:rsid w:val="00F13EB5"/>
    <w:rsid w:val="00F14189"/>
    <w:rsid w:val="00F15570"/>
    <w:rsid w:val="00F15DE0"/>
    <w:rsid w:val="00F16957"/>
    <w:rsid w:val="00F17B19"/>
    <w:rsid w:val="00F2166D"/>
    <w:rsid w:val="00F22780"/>
    <w:rsid w:val="00F2290F"/>
    <w:rsid w:val="00F24311"/>
    <w:rsid w:val="00F244CD"/>
    <w:rsid w:val="00F244FF"/>
    <w:rsid w:val="00F2491D"/>
    <w:rsid w:val="00F24AAD"/>
    <w:rsid w:val="00F25271"/>
    <w:rsid w:val="00F253F8"/>
    <w:rsid w:val="00F25A86"/>
    <w:rsid w:val="00F26F5F"/>
    <w:rsid w:val="00F27859"/>
    <w:rsid w:val="00F27957"/>
    <w:rsid w:val="00F30414"/>
    <w:rsid w:val="00F309ED"/>
    <w:rsid w:val="00F30F36"/>
    <w:rsid w:val="00F315A6"/>
    <w:rsid w:val="00F317CC"/>
    <w:rsid w:val="00F320DE"/>
    <w:rsid w:val="00F328DB"/>
    <w:rsid w:val="00F3304D"/>
    <w:rsid w:val="00F33077"/>
    <w:rsid w:val="00F333CD"/>
    <w:rsid w:val="00F34A52"/>
    <w:rsid w:val="00F3549A"/>
    <w:rsid w:val="00F35989"/>
    <w:rsid w:val="00F35C79"/>
    <w:rsid w:val="00F35E03"/>
    <w:rsid w:val="00F3752D"/>
    <w:rsid w:val="00F375CA"/>
    <w:rsid w:val="00F37768"/>
    <w:rsid w:val="00F40EDB"/>
    <w:rsid w:val="00F4149D"/>
    <w:rsid w:val="00F41965"/>
    <w:rsid w:val="00F41ABD"/>
    <w:rsid w:val="00F41B2C"/>
    <w:rsid w:val="00F41CA4"/>
    <w:rsid w:val="00F42F15"/>
    <w:rsid w:val="00F4422B"/>
    <w:rsid w:val="00F4427B"/>
    <w:rsid w:val="00F44C20"/>
    <w:rsid w:val="00F455C1"/>
    <w:rsid w:val="00F45B95"/>
    <w:rsid w:val="00F45C8E"/>
    <w:rsid w:val="00F461F8"/>
    <w:rsid w:val="00F474D0"/>
    <w:rsid w:val="00F47C3E"/>
    <w:rsid w:val="00F47FD0"/>
    <w:rsid w:val="00F50213"/>
    <w:rsid w:val="00F509DC"/>
    <w:rsid w:val="00F50C13"/>
    <w:rsid w:val="00F50CD9"/>
    <w:rsid w:val="00F512F5"/>
    <w:rsid w:val="00F5162B"/>
    <w:rsid w:val="00F51CEB"/>
    <w:rsid w:val="00F51F6A"/>
    <w:rsid w:val="00F52364"/>
    <w:rsid w:val="00F52399"/>
    <w:rsid w:val="00F537EE"/>
    <w:rsid w:val="00F54672"/>
    <w:rsid w:val="00F56056"/>
    <w:rsid w:val="00F5676C"/>
    <w:rsid w:val="00F56D80"/>
    <w:rsid w:val="00F60886"/>
    <w:rsid w:val="00F6094E"/>
    <w:rsid w:val="00F60DE1"/>
    <w:rsid w:val="00F617C3"/>
    <w:rsid w:val="00F61AFD"/>
    <w:rsid w:val="00F62B70"/>
    <w:rsid w:val="00F62C70"/>
    <w:rsid w:val="00F62E25"/>
    <w:rsid w:val="00F63366"/>
    <w:rsid w:val="00F63CE3"/>
    <w:rsid w:val="00F64AC8"/>
    <w:rsid w:val="00F65B9B"/>
    <w:rsid w:val="00F66798"/>
    <w:rsid w:val="00F66F43"/>
    <w:rsid w:val="00F670A7"/>
    <w:rsid w:val="00F70363"/>
    <w:rsid w:val="00F70A26"/>
    <w:rsid w:val="00F70A7D"/>
    <w:rsid w:val="00F70B01"/>
    <w:rsid w:val="00F72DB9"/>
    <w:rsid w:val="00F73EB4"/>
    <w:rsid w:val="00F75555"/>
    <w:rsid w:val="00F76091"/>
    <w:rsid w:val="00F76903"/>
    <w:rsid w:val="00F76D3B"/>
    <w:rsid w:val="00F7747D"/>
    <w:rsid w:val="00F77805"/>
    <w:rsid w:val="00F77A8C"/>
    <w:rsid w:val="00F77D3C"/>
    <w:rsid w:val="00F801C7"/>
    <w:rsid w:val="00F80C4B"/>
    <w:rsid w:val="00F82664"/>
    <w:rsid w:val="00F84A59"/>
    <w:rsid w:val="00F84EA2"/>
    <w:rsid w:val="00F85379"/>
    <w:rsid w:val="00F85FB3"/>
    <w:rsid w:val="00F87358"/>
    <w:rsid w:val="00F91157"/>
    <w:rsid w:val="00F927DD"/>
    <w:rsid w:val="00F9383B"/>
    <w:rsid w:val="00F943E6"/>
    <w:rsid w:val="00F9520B"/>
    <w:rsid w:val="00F95971"/>
    <w:rsid w:val="00F95A17"/>
    <w:rsid w:val="00F95F15"/>
    <w:rsid w:val="00F96621"/>
    <w:rsid w:val="00F978C4"/>
    <w:rsid w:val="00FA0CAF"/>
    <w:rsid w:val="00FA1E8A"/>
    <w:rsid w:val="00FA272C"/>
    <w:rsid w:val="00FA38A1"/>
    <w:rsid w:val="00FA3D38"/>
    <w:rsid w:val="00FA4F11"/>
    <w:rsid w:val="00FA51E0"/>
    <w:rsid w:val="00FA596A"/>
    <w:rsid w:val="00FA5E90"/>
    <w:rsid w:val="00FA641F"/>
    <w:rsid w:val="00FA6DEC"/>
    <w:rsid w:val="00FA7155"/>
    <w:rsid w:val="00FA7586"/>
    <w:rsid w:val="00FA7F5E"/>
    <w:rsid w:val="00FB183B"/>
    <w:rsid w:val="00FB1D1A"/>
    <w:rsid w:val="00FB1D8C"/>
    <w:rsid w:val="00FB201E"/>
    <w:rsid w:val="00FB25F9"/>
    <w:rsid w:val="00FB3A21"/>
    <w:rsid w:val="00FB4E3D"/>
    <w:rsid w:val="00FB5ACA"/>
    <w:rsid w:val="00FB5FC2"/>
    <w:rsid w:val="00FB62B5"/>
    <w:rsid w:val="00FB6379"/>
    <w:rsid w:val="00FB6FEE"/>
    <w:rsid w:val="00FC027D"/>
    <w:rsid w:val="00FC0390"/>
    <w:rsid w:val="00FC05C1"/>
    <w:rsid w:val="00FC07A8"/>
    <w:rsid w:val="00FC0BC6"/>
    <w:rsid w:val="00FC12B5"/>
    <w:rsid w:val="00FC1363"/>
    <w:rsid w:val="00FC1DBC"/>
    <w:rsid w:val="00FC2739"/>
    <w:rsid w:val="00FC33AB"/>
    <w:rsid w:val="00FC3402"/>
    <w:rsid w:val="00FC5779"/>
    <w:rsid w:val="00FC61E6"/>
    <w:rsid w:val="00FC7196"/>
    <w:rsid w:val="00FC7C56"/>
    <w:rsid w:val="00FD0C1E"/>
    <w:rsid w:val="00FD12D7"/>
    <w:rsid w:val="00FD1755"/>
    <w:rsid w:val="00FD18CA"/>
    <w:rsid w:val="00FD1F66"/>
    <w:rsid w:val="00FD1FCC"/>
    <w:rsid w:val="00FD2201"/>
    <w:rsid w:val="00FD2594"/>
    <w:rsid w:val="00FD32E8"/>
    <w:rsid w:val="00FD3405"/>
    <w:rsid w:val="00FD3765"/>
    <w:rsid w:val="00FD3D46"/>
    <w:rsid w:val="00FD3FFD"/>
    <w:rsid w:val="00FD52A5"/>
    <w:rsid w:val="00FD55D1"/>
    <w:rsid w:val="00FD58CB"/>
    <w:rsid w:val="00FD5E47"/>
    <w:rsid w:val="00FD60CB"/>
    <w:rsid w:val="00FD6E5A"/>
    <w:rsid w:val="00FD7AD7"/>
    <w:rsid w:val="00FD7E85"/>
    <w:rsid w:val="00FE1804"/>
    <w:rsid w:val="00FE1935"/>
    <w:rsid w:val="00FE1DDB"/>
    <w:rsid w:val="00FE3589"/>
    <w:rsid w:val="00FE595F"/>
    <w:rsid w:val="00FE5C05"/>
    <w:rsid w:val="00FE6E7A"/>
    <w:rsid w:val="00FF07B2"/>
    <w:rsid w:val="00FF173B"/>
    <w:rsid w:val="00FF1B06"/>
    <w:rsid w:val="00FF1BC3"/>
    <w:rsid w:val="00FF24E8"/>
    <w:rsid w:val="00FF2505"/>
    <w:rsid w:val="00FF398A"/>
    <w:rsid w:val="00FF3E35"/>
    <w:rsid w:val="00FF4655"/>
    <w:rsid w:val="00FF61FF"/>
    <w:rsid w:val="76ED0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9" w:semiHidden="0" w:name="heading 4"/>
    <w:lsdException w:qFormat="1" w:unhideWhenUsed="0" w:uiPriority="99" w:semiHidden="0" w:name="heading 5"/>
    <w:lsdException w:qFormat="1" w:uiPriority="99" w:semiHidden="0" w:name="heading 6"/>
    <w:lsdException w:qFormat="1" w:uiPriority="99"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14:ligatures w14:val="standardContextual"/>
    </w:rPr>
  </w:style>
  <w:style w:type="paragraph" w:styleId="2">
    <w:name w:val="heading 1"/>
    <w:basedOn w:val="1"/>
    <w:next w:val="1"/>
    <w:link w:val="56"/>
    <w:qFormat/>
    <w:uiPriority w:val="99"/>
    <w:pPr>
      <w:keepNext/>
      <w:keepLines/>
      <w:spacing w:line="360" w:lineRule="auto"/>
      <w:outlineLvl w:val="0"/>
    </w:pPr>
    <w:rPr>
      <w:rFonts w:ascii="Times New Roman" w:hAnsi="Times New Roman" w:cs="Times New Roman"/>
      <w:b/>
      <w:kern w:val="44"/>
      <w:sz w:val="32"/>
      <w:szCs w:val="44"/>
      <w14:ligatures w14:val="none"/>
    </w:rPr>
  </w:style>
  <w:style w:type="paragraph" w:styleId="3">
    <w:name w:val="heading 2"/>
    <w:basedOn w:val="1"/>
    <w:next w:val="1"/>
    <w:link w:val="57"/>
    <w:unhideWhenUsed/>
    <w:qFormat/>
    <w:uiPriority w:val="99"/>
    <w:pPr>
      <w:keepNext/>
      <w:keepLines/>
      <w:spacing w:line="360" w:lineRule="auto"/>
      <w:outlineLvl w:val="1"/>
    </w:pPr>
    <w:rPr>
      <w:rFonts w:ascii="Times New Roman" w:hAnsi="Times New Roman" w:cstheme="majorBidi"/>
      <w:b/>
      <w:bCs/>
      <w:sz w:val="30"/>
      <w:szCs w:val="32"/>
    </w:rPr>
  </w:style>
  <w:style w:type="paragraph" w:styleId="4">
    <w:name w:val="heading 3"/>
    <w:basedOn w:val="1"/>
    <w:next w:val="1"/>
    <w:link w:val="60"/>
    <w:unhideWhenUsed/>
    <w:qFormat/>
    <w:uiPriority w:val="99"/>
    <w:pPr>
      <w:keepNext/>
      <w:keepLines/>
      <w:spacing w:line="360" w:lineRule="auto"/>
      <w:outlineLvl w:val="2"/>
    </w:pPr>
    <w:rPr>
      <w:rFonts w:ascii="Times New Roman" w:hAnsi="Times New Roman"/>
      <w:b/>
      <w:bCs/>
      <w:sz w:val="28"/>
      <w:szCs w:val="32"/>
    </w:rPr>
  </w:style>
  <w:style w:type="paragraph" w:styleId="5">
    <w:name w:val="heading 4"/>
    <w:basedOn w:val="1"/>
    <w:next w:val="1"/>
    <w:link w:val="62"/>
    <w:unhideWhenUsed/>
    <w:qFormat/>
    <w:uiPriority w:val="99"/>
    <w:pPr>
      <w:keepNext/>
      <w:keepLines/>
      <w:spacing w:line="360" w:lineRule="auto"/>
      <w:outlineLvl w:val="3"/>
    </w:pPr>
    <w:rPr>
      <w:rFonts w:ascii="Times New Roman" w:hAnsi="Times New Roman" w:cstheme="majorBidi"/>
      <w:b/>
      <w:bCs/>
      <w:szCs w:val="28"/>
    </w:rPr>
  </w:style>
  <w:style w:type="paragraph" w:styleId="6">
    <w:name w:val="heading 5"/>
    <w:basedOn w:val="1"/>
    <w:next w:val="7"/>
    <w:link w:val="67"/>
    <w:qFormat/>
    <w:uiPriority w:val="99"/>
    <w:pPr>
      <w:keepNext/>
      <w:keepLines/>
      <w:numPr>
        <w:ilvl w:val="4"/>
        <w:numId w:val="1"/>
      </w:numPr>
      <w:tabs>
        <w:tab w:val="left" w:pos="432"/>
        <w:tab w:val="clear" w:pos="1008"/>
      </w:tabs>
      <w:spacing w:before="280" w:after="290" w:line="376" w:lineRule="auto"/>
      <w:outlineLvl w:val="4"/>
    </w:pPr>
    <w:rPr>
      <w:rFonts w:ascii="Times New Roman" w:hAnsi="Times New Roman" w:cs="Times New Roman"/>
      <w:b/>
      <w:bCs/>
      <w:sz w:val="28"/>
      <w:szCs w:val="28"/>
      <w14:ligatures w14:val="none"/>
    </w:rPr>
  </w:style>
  <w:style w:type="paragraph" w:styleId="9">
    <w:name w:val="heading 6"/>
    <w:basedOn w:val="1"/>
    <w:next w:val="1"/>
    <w:link w:val="87"/>
    <w:unhideWhenUsed/>
    <w:qFormat/>
    <w:uiPriority w:val="99"/>
    <w:pPr>
      <w:keepNext/>
      <w:keepLines/>
      <w:spacing w:before="240" w:after="64" w:line="320" w:lineRule="auto"/>
      <w:outlineLvl w:val="5"/>
    </w:pPr>
    <w:rPr>
      <w:rFonts w:asciiTheme="majorHAnsi" w:hAnsiTheme="majorHAnsi" w:eastAsiaTheme="majorEastAsia" w:cstheme="majorBidi"/>
      <w:b/>
      <w:bCs/>
    </w:rPr>
  </w:style>
  <w:style w:type="paragraph" w:styleId="10">
    <w:name w:val="heading 7"/>
    <w:basedOn w:val="1"/>
    <w:next w:val="1"/>
    <w:link w:val="88"/>
    <w:unhideWhenUsed/>
    <w:qFormat/>
    <w:uiPriority w:val="99"/>
    <w:pPr>
      <w:keepNext/>
      <w:keepLines/>
      <w:spacing w:before="240" w:after="64" w:line="320" w:lineRule="auto"/>
      <w:outlineLvl w:val="6"/>
    </w:pPr>
    <w:rPr>
      <w:b/>
      <w:bCs/>
    </w:rPr>
  </w:style>
  <w:style w:type="paragraph" w:styleId="11">
    <w:name w:val="heading 8"/>
    <w:basedOn w:val="1"/>
    <w:next w:val="1"/>
    <w:link w:val="89"/>
    <w:unhideWhenUsed/>
    <w:qFormat/>
    <w:uiPriority w:val="0"/>
    <w:pPr>
      <w:keepNext/>
      <w:keepLines/>
      <w:spacing w:before="240" w:after="64" w:line="320" w:lineRule="auto"/>
      <w:ind w:firstLine="200" w:firstLineChars="200"/>
      <w:outlineLvl w:val="7"/>
    </w:pPr>
    <w:rPr>
      <w:rFonts w:ascii="等线 Light" w:hAnsi="等线 Light" w:eastAsia="等线 Light" w:cs="Times New Roman"/>
    </w:rPr>
  </w:style>
  <w:style w:type="paragraph" w:styleId="12">
    <w:name w:val="heading 9"/>
    <w:basedOn w:val="1"/>
    <w:next w:val="1"/>
    <w:link w:val="90"/>
    <w:unhideWhenUsed/>
    <w:qFormat/>
    <w:uiPriority w:val="0"/>
    <w:pPr>
      <w:keepNext/>
      <w:keepLines/>
      <w:spacing w:before="240" w:after="64" w:line="320" w:lineRule="auto"/>
      <w:ind w:firstLine="200" w:firstLineChars="200"/>
      <w:outlineLvl w:val="8"/>
    </w:pPr>
    <w:rPr>
      <w:rFonts w:ascii="等线 Light" w:hAnsi="等线 Light" w:eastAsia="等线 Light" w:cs="Times New Roman"/>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Body Text First Indent"/>
    <w:basedOn w:val="8"/>
    <w:link w:val="69"/>
    <w:unhideWhenUsed/>
    <w:qFormat/>
    <w:uiPriority w:val="99"/>
    <w:pPr>
      <w:ind w:firstLine="420" w:firstLineChars="100"/>
    </w:pPr>
  </w:style>
  <w:style w:type="paragraph" w:styleId="8">
    <w:name w:val="Body Text"/>
    <w:basedOn w:val="1"/>
    <w:link w:val="68"/>
    <w:unhideWhenUsed/>
    <w:qFormat/>
    <w:uiPriority w:val="99"/>
    <w:pPr>
      <w:spacing w:after="120"/>
    </w:pPr>
  </w:style>
  <w:style w:type="paragraph" w:styleId="13">
    <w:name w:val="toc 7"/>
    <w:basedOn w:val="1"/>
    <w:next w:val="1"/>
    <w:unhideWhenUsed/>
    <w:qFormat/>
    <w:uiPriority w:val="39"/>
    <w:pPr>
      <w:ind w:left="2520" w:leftChars="1200"/>
    </w:pPr>
    <w:rPr>
      <w:rFonts w:ascii="Calibri" w:hAnsi="Calibri" w:cs="Arial"/>
    </w:rPr>
  </w:style>
  <w:style w:type="paragraph" w:styleId="14">
    <w:name w:val="List Number"/>
    <w:basedOn w:val="1"/>
    <w:semiHidden/>
    <w:unhideWhenUsed/>
    <w:qFormat/>
    <w:uiPriority w:val="99"/>
    <w:pPr>
      <w:numPr>
        <w:ilvl w:val="0"/>
        <w:numId w:val="2"/>
      </w:numPr>
      <w:contextualSpacing/>
    </w:pPr>
  </w:style>
  <w:style w:type="paragraph" w:styleId="15">
    <w:name w:val="Normal Indent"/>
    <w:basedOn w:val="1"/>
    <w:link w:val="66"/>
    <w:qFormat/>
    <w:uiPriority w:val="0"/>
    <w:pPr>
      <w:tabs>
        <w:tab w:val="left" w:pos="1021"/>
      </w:tabs>
      <w:spacing w:line="300" w:lineRule="auto"/>
      <w:ind w:firstLine="420" w:firstLineChars="200"/>
    </w:pPr>
  </w:style>
  <w:style w:type="paragraph" w:styleId="16">
    <w:name w:val="Document Map"/>
    <w:basedOn w:val="1"/>
    <w:link w:val="91"/>
    <w:qFormat/>
    <w:uiPriority w:val="99"/>
    <w:rPr>
      <w:rFonts w:ascii="Times New Roman" w:hAnsi="Times New Roman" w:cs="Times New Roman"/>
    </w:rPr>
  </w:style>
  <w:style w:type="paragraph" w:styleId="17">
    <w:name w:val="toa heading"/>
    <w:basedOn w:val="1"/>
    <w:next w:val="1"/>
    <w:qFormat/>
    <w:uiPriority w:val="0"/>
    <w:pPr>
      <w:spacing w:before="120"/>
    </w:pPr>
    <w:rPr>
      <w:rFonts w:ascii="Arial" w:hAnsi="Arial" w:cs="Arial"/>
    </w:rPr>
  </w:style>
  <w:style w:type="paragraph" w:styleId="18">
    <w:name w:val="annotation text"/>
    <w:basedOn w:val="1"/>
    <w:link w:val="58"/>
    <w:unhideWhenUsed/>
    <w:qFormat/>
    <w:uiPriority w:val="0"/>
  </w:style>
  <w:style w:type="paragraph" w:styleId="19">
    <w:name w:val="Body Text Indent"/>
    <w:basedOn w:val="1"/>
    <w:link w:val="64"/>
    <w:semiHidden/>
    <w:unhideWhenUsed/>
    <w:qFormat/>
    <w:uiPriority w:val="99"/>
    <w:pPr>
      <w:snapToGrid w:val="0"/>
      <w:spacing w:after="120" w:line="360" w:lineRule="auto"/>
      <w:ind w:left="420" w:leftChars="200" w:firstLine="200" w:firstLineChars="200"/>
    </w:pPr>
    <w:rPr>
      <w:rFonts w:ascii="Times New Roman" w:hAnsi="Times New Roman"/>
    </w:rPr>
  </w:style>
  <w:style w:type="paragraph" w:styleId="20">
    <w:name w:val="toc 5"/>
    <w:basedOn w:val="1"/>
    <w:next w:val="1"/>
    <w:unhideWhenUsed/>
    <w:qFormat/>
    <w:uiPriority w:val="39"/>
    <w:pPr>
      <w:ind w:left="1680" w:leftChars="800"/>
    </w:pPr>
    <w:rPr>
      <w:rFonts w:ascii="Calibri" w:hAnsi="Calibri" w:cs="Arial"/>
    </w:rPr>
  </w:style>
  <w:style w:type="paragraph" w:styleId="21">
    <w:name w:val="toc 3"/>
    <w:basedOn w:val="1"/>
    <w:next w:val="1"/>
    <w:unhideWhenUsed/>
    <w:qFormat/>
    <w:uiPriority w:val="39"/>
    <w:pPr>
      <w:ind w:left="840" w:leftChars="400"/>
    </w:pPr>
    <w:rPr>
      <w:rFonts w:ascii="Calibri" w:hAnsi="Calibri" w:cs="Arial"/>
    </w:rPr>
  </w:style>
  <w:style w:type="paragraph" w:styleId="22">
    <w:name w:val="Plain Text"/>
    <w:basedOn w:val="1"/>
    <w:link w:val="81"/>
    <w:qFormat/>
    <w:uiPriority w:val="0"/>
    <w:rPr>
      <w:rFonts w:ascii="Times New Roman" w:hAnsi="Courier New" w:cs="Courier New"/>
      <w:sz w:val="20"/>
      <w:szCs w:val="21"/>
      <w14:ligatures w14:val="none"/>
    </w:rPr>
  </w:style>
  <w:style w:type="paragraph" w:styleId="23">
    <w:name w:val="toc 8"/>
    <w:basedOn w:val="1"/>
    <w:next w:val="1"/>
    <w:unhideWhenUsed/>
    <w:qFormat/>
    <w:uiPriority w:val="39"/>
    <w:pPr>
      <w:ind w:left="2940" w:leftChars="1400"/>
    </w:pPr>
    <w:rPr>
      <w:rFonts w:ascii="Calibri" w:hAnsi="Calibri" w:cs="Arial"/>
    </w:rPr>
  </w:style>
  <w:style w:type="paragraph" w:styleId="24">
    <w:name w:val="Balloon Text"/>
    <w:basedOn w:val="1"/>
    <w:link w:val="92"/>
    <w:unhideWhenUsed/>
    <w:qFormat/>
    <w:uiPriority w:val="99"/>
    <w:pPr>
      <w:ind w:firstLine="200" w:firstLineChars="200"/>
    </w:pPr>
    <w:rPr>
      <w:rFonts w:ascii="Times New Roman" w:hAnsi="Times New Roman" w:cs="Times New Roman"/>
      <w:sz w:val="18"/>
      <w:szCs w:val="18"/>
    </w:rPr>
  </w:style>
  <w:style w:type="paragraph" w:styleId="25">
    <w:name w:val="footer"/>
    <w:basedOn w:val="1"/>
    <w:link w:val="48"/>
    <w:unhideWhenUsed/>
    <w:qFormat/>
    <w:uiPriority w:val="99"/>
    <w:pPr>
      <w:tabs>
        <w:tab w:val="center" w:pos="4153"/>
        <w:tab w:val="right" w:pos="8306"/>
      </w:tabs>
      <w:snapToGrid w:val="0"/>
    </w:pPr>
    <w:rPr>
      <w:sz w:val="18"/>
      <w:szCs w:val="18"/>
    </w:rPr>
  </w:style>
  <w:style w:type="paragraph" w:styleId="26">
    <w:name w:val="header"/>
    <w:basedOn w:val="1"/>
    <w:link w:val="47"/>
    <w:unhideWhenUsed/>
    <w:qFormat/>
    <w:uiPriority w:val="99"/>
    <w:pP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right" w:leader="dot" w:pos="8296"/>
      </w:tabs>
      <w:snapToGrid w:val="0"/>
      <w:jc w:val="center"/>
    </w:pPr>
    <w:rPr>
      <w:rFonts w:ascii="Calibri" w:hAnsi="Calibri" w:cs="Arial"/>
      <w:b/>
    </w:rPr>
  </w:style>
  <w:style w:type="paragraph" w:styleId="28">
    <w:name w:val="toc 4"/>
    <w:basedOn w:val="1"/>
    <w:next w:val="1"/>
    <w:unhideWhenUsed/>
    <w:qFormat/>
    <w:uiPriority w:val="39"/>
    <w:pPr>
      <w:ind w:left="1260" w:leftChars="600"/>
    </w:pPr>
    <w:rPr>
      <w:rFonts w:ascii="Calibri" w:hAnsi="Calibri" w:cs="Arial"/>
    </w:rPr>
  </w:style>
  <w:style w:type="paragraph" w:styleId="29">
    <w:name w:val="Subtitle"/>
    <w:basedOn w:val="1"/>
    <w:next w:val="1"/>
    <w:link w:val="125"/>
    <w:qFormat/>
    <w:uiPriority w:val="11"/>
    <w:pPr>
      <w:snapToGrid w:val="0"/>
      <w:spacing w:line="360" w:lineRule="auto"/>
      <w:ind w:firstLine="200" w:firstLineChars="200"/>
      <w:jc w:val="center"/>
      <w:outlineLvl w:val="4"/>
    </w:pPr>
    <w:rPr>
      <w:rFonts w:ascii="Times New Roman" w:hAnsi="Times New Roman" w:cs="Arial"/>
      <w:b/>
      <w:bCs/>
      <w:kern w:val="28"/>
      <w:szCs w:val="32"/>
    </w:rPr>
  </w:style>
  <w:style w:type="paragraph" w:styleId="30">
    <w:name w:val="List"/>
    <w:basedOn w:val="1"/>
    <w:semiHidden/>
    <w:unhideWhenUsed/>
    <w:qFormat/>
    <w:uiPriority w:val="99"/>
    <w:pPr>
      <w:ind w:left="200" w:hanging="200" w:hangingChars="200"/>
      <w:contextualSpacing/>
    </w:pPr>
  </w:style>
  <w:style w:type="paragraph" w:styleId="31">
    <w:name w:val="toc 6"/>
    <w:basedOn w:val="1"/>
    <w:next w:val="1"/>
    <w:unhideWhenUsed/>
    <w:qFormat/>
    <w:uiPriority w:val="39"/>
    <w:pPr>
      <w:ind w:left="2100" w:leftChars="1000"/>
    </w:pPr>
    <w:rPr>
      <w:rFonts w:ascii="Calibri" w:hAnsi="Calibri" w:cs="Arial"/>
    </w:rPr>
  </w:style>
  <w:style w:type="paragraph" w:styleId="32">
    <w:name w:val="table of figures"/>
    <w:basedOn w:val="1"/>
    <w:next w:val="1"/>
    <w:semiHidden/>
    <w:qFormat/>
    <w:uiPriority w:val="0"/>
    <w:pPr>
      <w:snapToGrid w:val="0"/>
      <w:spacing w:line="300" w:lineRule="auto"/>
      <w:ind w:left="200" w:leftChars="200" w:hanging="200" w:hangingChars="200"/>
    </w:pPr>
    <w:rPr>
      <w:rFonts w:ascii="Times New Roman" w:hAnsi="Times New Roman" w:cs="Times New Roman"/>
    </w:rPr>
  </w:style>
  <w:style w:type="paragraph" w:styleId="33">
    <w:name w:val="toc 2"/>
    <w:basedOn w:val="1"/>
    <w:next w:val="1"/>
    <w:unhideWhenUsed/>
    <w:qFormat/>
    <w:uiPriority w:val="39"/>
    <w:pPr>
      <w:tabs>
        <w:tab w:val="right" w:leader="dot" w:pos="8296"/>
      </w:tabs>
      <w:ind w:left="240" w:leftChars="100"/>
    </w:pPr>
    <w:rPr>
      <w:rFonts w:ascii="Calibri" w:hAnsi="Calibri" w:cs="Arial"/>
    </w:rPr>
  </w:style>
  <w:style w:type="paragraph" w:styleId="34">
    <w:name w:val="toc 9"/>
    <w:basedOn w:val="1"/>
    <w:next w:val="1"/>
    <w:unhideWhenUsed/>
    <w:qFormat/>
    <w:uiPriority w:val="39"/>
    <w:pPr>
      <w:ind w:left="3360" w:leftChars="1600"/>
    </w:pPr>
    <w:rPr>
      <w:rFonts w:ascii="Calibri" w:hAnsi="Calibri" w:cs="Arial"/>
    </w:rPr>
  </w:style>
  <w:style w:type="paragraph" w:styleId="35">
    <w:name w:val="Normal (Web)"/>
    <w:basedOn w:val="1"/>
    <w:unhideWhenUsed/>
    <w:qFormat/>
    <w:uiPriority w:val="99"/>
    <w:pPr>
      <w:spacing w:before="100" w:beforeAutospacing="1" w:after="100" w:afterAutospacing="1"/>
    </w:pPr>
  </w:style>
  <w:style w:type="paragraph" w:styleId="36">
    <w:name w:val="Title"/>
    <w:basedOn w:val="1"/>
    <w:next w:val="1"/>
    <w:link w:val="61"/>
    <w:qFormat/>
    <w:uiPriority w:val="10"/>
    <w:pPr>
      <w:spacing w:line="360" w:lineRule="auto"/>
      <w:jc w:val="center"/>
      <w:outlineLvl w:val="2"/>
    </w:pPr>
    <w:rPr>
      <w:rFonts w:ascii="Times New Roman" w:hAnsi="Times New Roman" w:cstheme="majorBidi"/>
      <w:b/>
      <w:bCs/>
      <w:sz w:val="30"/>
      <w:szCs w:val="32"/>
    </w:rPr>
  </w:style>
  <w:style w:type="paragraph" w:styleId="37">
    <w:name w:val="annotation subject"/>
    <w:basedOn w:val="18"/>
    <w:next w:val="18"/>
    <w:link w:val="59"/>
    <w:unhideWhenUsed/>
    <w:qFormat/>
    <w:uiPriority w:val="99"/>
    <w:rPr>
      <w:b/>
      <w:bCs/>
    </w:rPr>
  </w:style>
  <w:style w:type="paragraph" w:styleId="38">
    <w:name w:val="Body Text First Indent 2"/>
    <w:basedOn w:val="19"/>
    <w:link w:val="86"/>
    <w:semiHidden/>
    <w:unhideWhenUsed/>
    <w:qFormat/>
    <w:uiPriority w:val="99"/>
    <w:pPr>
      <w:snapToGrid/>
      <w:ind w:firstLine="420"/>
    </w:pPr>
    <w:rPr>
      <w:rFonts w:cs="Times New Roman"/>
    </w:rPr>
  </w:style>
  <w:style w:type="table" w:styleId="40">
    <w:name w:val="Table Grid"/>
    <w:basedOn w:val="3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22"/>
    <w:rPr>
      <w:b/>
      <w:bCs/>
    </w:rPr>
  </w:style>
  <w:style w:type="character" w:styleId="43">
    <w:name w:val="FollowedHyperlink"/>
    <w:unhideWhenUsed/>
    <w:qFormat/>
    <w:uiPriority w:val="99"/>
    <w:rPr>
      <w:color w:val="800080"/>
      <w:u w:val="single"/>
    </w:rPr>
  </w:style>
  <w:style w:type="character" w:styleId="44">
    <w:name w:val="Emphasis"/>
    <w:qFormat/>
    <w:uiPriority w:val="20"/>
    <w:rPr>
      <w:i/>
      <w:iCs/>
    </w:rPr>
  </w:style>
  <w:style w:type="character" w:styleId="45">
    <w:name w:val="Hyperlink"/>
    <w:basedOn w:val="41"/>
    <w:unhideWhenUsed/>
    <w:qFormat/>
    <w:uiPriority w:val="99"/>
    <w:rPr>
      <w:color w:val="0563C1" w:themeColor="hyperlink"/>
      <w:u w:val="single"/>
      <w14:textFill>
        <w14:solidFill>
          <w14:schemeClr w14:val="hlink"/>
        </w14:solidFill>
      </w14:textFill>
    </w:rPr>
  </w:style>
  <w:style w:type="character" w:styleId="46">
    <w:name w:val="annotation reference"/>
    <w:basedOn w:val="41"/>
    <w:unhideWhenUsed/>
    <w:qFormat/>
    <w:uiPriority w:val="99"/>
    <w:rPr>
      <w:sz w:val="21"/>
      <w:szCs w:val="21"/>
    </w:rPr>
  </w:style>
  <w:style w:type="character" w:customStyle="1" w:styleId="47">
    <w:name w:val="页眉 字符"/>
    <w:basedOn w:val="41"/>
    <w:link w:val="26"/>
    <w:qFormat/>
    <w:uiPriority w:val="99"/>
    <w:rPr>
      <w:sz w:val="18"/>
      <w:szCs w:val="18"/>
    </w:rPr>
  </w:style>
  <w:style w:type="character" w:customStyle="1" w:styleId="48">
    <w:name w:val="页脚 字符"/>
    <w:basedOn w:val="41"/>
    <w:link w:val="25"/>
    <w:qFormat/>
    <w:uiPriority w:val="99"/>
    <w:rPr>
      <w:sz w:val="18"/>
      <w:szCs w:val="18"/>
    </w:rPr>
  </w:style>
  <w:style w:type="paragraph" w:customStyle="1" w:styleId="49">
    <w:name w:val="报告正文"/>
    <w:basedOn w:val="1"/>
    <w:link w:val="50"/>
    <w:qFormat/>
    <w:uiPriority w:val="0"/>
    <w:pPr>
      <w:widowControl w:val="0"/>
      <w:spacing w:line="360" w:lineRule="auto"/>
      <w:ind w:firstLine="200" w:firstLineChars="200"/>
      <w:jc w:val="both"/>
    </w:pPr>
    <w:rPr>
      <w:rFonts w:ascii="Times New Roman" w:hAnsi="Times New Roman"/>
    </w:rPr>
  </w:style>
  <w:style w:type="character" w:customStyle="1" w:styleId="50">
    <w:name w:val="报告正文 字符"/>
    <w:basedOn w:val="41"/>
    <w:link w:val="49"/>
    <w:qFormat/>
    <w:uiPriority w:val="0"/>
    <w:rPr>
      <w:rFonts w:ascii="Times New Roman" w:hAnsi="Times New Roman" w:eastAsia="宋体" w:cs="宋体"/>
      <w:kern w:val="0"/>
      <w:sz w:val="24"/>
      <w:szCs w:val="24"/>
    </w:rPr>
  </w:style>
  <w:style w:type="paragraph" w:customStyle="1" w:styleId="51">
    <w:name w:val="报告表格"/>
    <w:basedOn w:val="49"/>
    <w:link w:val="52"/>
    <w:qFormat/>
    <w:uiPriority w:val="0"/>
    <w:pPr>
      <w:snapToGrid w:val="0"/>
      <w:spacing w:line="240" w:lineRule="auto"/>
      <w:ind w:firstLine="0" w:firstLineChars="0"/>
      <w:jc w:val="center"/>
    </w:pPr>
    <w:rPr>
      <w:sz w:val="21"/>
    </w:rPr>
  </w:style>
  <w:style w:type="character" w:customStyle="1" w:styleId="52">
    <w:name w:val="报告表格 字符"/>
    <w:basedOn w:val="50"/>
    <w:link w:val="51"/>
    <w:qFormat/>
    <w:uiPriority w:val="0"/>
    <w:rPr>
      <w:rFonts w:ascii="Times New Roman" w:hAnsi="Times New Roman" w:eastAsia="宋体" w:cs="宋体"/>
      <w:kern w:val="0"/>
      <w:sz w:val="24"/>
      <w:szCs w:val="24"/>
    </w:rPr>
  </w:style>
  <w:style w:type="paragraph" w:customStyle="1" w:styleId="53">
    <w:name w:val="表格标题"/>
    <w:basedOn w:val="51"/>
    <w:link w:val="54"/>
    <w:qFormat/>
    <w:uiPriority w:val="0"/>
    <w:pPr>
      <w:snapToGrid/>
      <w:spacing w:line="360" w:lineRule="auto"/>
    </w:pPr>
    <w:rPr>
      <w:b/>
    </w:rPr>
  </w:style>
  <w:style w:type="character" w:customStyle="1" w:styleId="54">
    <w:name w:val="表格标题 字符"/>
    <w:basedOn w:val="52"/>
    <w:link w:val="53"/>
    <w:qFormat/>
    <w:uiPriority w:val="0"/>
    <w:rPr>
      <w:rFonts w:ascii="Times New Roman" w:hAnsi="Times New Roman" w:eastAsia="宋体" w:cs="宋体"/>
      <w:b/>
      <w:kern w:val="0"/>
      <w:sz w:val="24"/>
      <w:szCs w:val="24"/>
    </w:rPr>
  </w:style>
  <w:style w:type="character" w:customStyle="1" w:styleId="55">
    <w:name w:val="标题 1 字符"/>
    <w:basedOn w:val="41"/>
    <w:qFormat/>
    <w:uiPriority w:val="99"/>
    <w:rPr>
      <w:b/>
      <w:bCs/>
      <w:kern w:val="44"/>
      <w:sz w:val="44"/>
      <w:szCs w:val="44"/>
    </w:rPr>
  </w:style>
  <w:style w:type="character" w:customStyle="1" w:styleId="56">
    <w:name w:val="标题 1 字符1"/>
    <w:link w:val="2"/>
    <w:qFormat/>
    <w:uiPriority w:val="0"/>
    <w:rPr>
      <w:rFonts w:ascii="Times New Roman" w:hAnsi="Times New Roman" w:eastAsia="宋体" w:cs="Times New Roman"/>
      <w:b/>
      <w:kern w:val="44"/>
      <w:sz w:val="32"/>
      <w:szCs w:val="44"/>
      <w14:ligatures w14:val="none"/>
    </w:rPr>
  </w:style>
  <w:style w:type="character" w:customStyle="1" w:styleId="57">
    <w:name w:val="标题 2 字符"/>
    <w:basedOn w:val="41"/>
    <w:link w:val="3"/>
    <w:qFormat/>
    <w:uiPriority w:val="99"/>
    <w:rPr>
      <w:rFonts w:ascii="Times New Roman" w:hAnsi="Times New Roman" w:eastAsia="宋体" w:cstheme="majorBidi"/>
      <w:b/>
      <w:bCs/>
      <w:sz w:val="30"/>
      <w:szCs w:val="32"/>
    </w:rPr>
  </w:style>
  <w:style w:type="character" w:customStyle="1" w:styleId="58">
    <w:name w:val="批注文字 字符"/>
    <w:basedOn w:val="41"/>
    <w:link w:val="18"/>
    <w:qFormat/>
    <w:uiPriority w:val="0"/>
  </w:style>
  <w:style w:type="character" w:customStyle="1" w:styleId="59">
    <w:name w:val="批注主题 字符"/>
    <w:basedOn w:val="58"/>
    <w:link w:val="37"/>
    <w:qFormat/>
    <w:uiPriority w:val="99"/>
    <w:rPr>
      <w:b/>
      <w:bCs/>
    </w:rPr>
  </w:style>
  <w:style w:type="character" w:customStyle="1" w:styleId="60">
    <w:name w:val="标题 3 字符"/>
    <w:basedOn w:val="41"/>
    <w:link w:val="4"/>
    <w:qFormat/>
    <w:uiPriority w:val="9"/>
    <w:rPr>
      <w:rFonts w:ascii="Times New Roman" w:hAnsi="Times New Roman" w:eastAsia="宋体"/>
      <w:b/>
      <w:bCs/>
      <w:sz w:val="28"/>
      <w:szCs w:val="32"/>
    </w:rPr>
  </w:style>
  <w:style w:type="character" w:customStyle="1" w:styleId="61">
    <w:name w:val="标题 字符"/>
    <w:basedOn w:val="41"/>
    <w:link w:val="36"/>
    <w:qFormat/>
    <w:uiPriority w:val="10"/>
    <w:rPr>
      <w:rFonts w:ascii="Times New Roman" w:hAnsi="Times New Roman" w:eastAsia="宋体" w:cstheme="majorBidi"/>
      <w:b/>
      <w:bCs/>
      <w:sz w:val="30"/>
      <w:szCs w:val="32"/>
    </w:rPr>
  </w:style>
  <w:style w:type="character" w:customStyle="1" w:styleId="62">
    <w:name w:val="标题 4 字符"/>
    <w:basedOn w:val="41"/>
    <w:link w:val="5"/>
    <w:qFormat/>
    <w:uiPriority w:val="99"/>
    <w:rPr>
      <w:rFonts w:ascii="Times New Roman" w:hAnsi="Times New Roman" w:eastAsia="宋体" w:cstheme="majorBidi"/>
      <w:b/>
      <w:bCs/>
      <w:sz w:val="24"/>
      <w:szCs w:val="28"/>
    </w:rPr>
  </w:style>
  <w:style w:type="paragraph" w:customStyle="1" w:styleId="63">
    <w:name w:val="正文文本缩进1"/>
    <w:basedOn w:val="1"/>
    <w:qFormat/>
    <w:uiPriority w:val="0"/>
    <w:pPr>
      <w:spacing w:line="560" w:lineRule="exact"/>
      <w:ind w:firstLine="560" w:firstLineChars="200"/>
    </w:pPr>
    <w:rPr>
      <w:rFonts w:cs="Times New Roman"/>
      <w:sz w:val="28"/>
      <w14:ligatures w14:val="none"/>
    </w:rPr>
  </w:style>
  <w:style w:type="character" w:customStyle="1" w:styleId="64">
    <w:name w:val="正文文本缩进 字符"/>
    <w:basedOn w:val="41"/>
    <w:link w:val="19"/>
    <w:semiHidden/>
    <w:qFormat/>
    <w:uiPriority w:val="99"/>
    <w:rPr>
      <w:rFonts w:ascii="Times New Roman" w:hAnsi="Times New Roman" w:eastAsia="宋体"/>
      <w:sz w:val="24"/>
    </w:rPr>
  </w:style>
  <w:style w:type="paragraph" w:customStyle="1" w:styleId="65">
    <w:name w:val="表"/>
    <w:basedOn w:val="1"/>
    <w:next w:val="1"/>
    <w:link w:val="102"/>
    <w:qFormat/>
    <w:uiPriority w:val="0"/>
    <w:pPr>
      <w:adjustRightInd w:val="0"/>
      <w:snapToGrid w:val="0"/>
      <w:jc w:val="center"/>
    </w:pPr>
    <w:rPr>
      <w:rFonts w:ascii="Times New Roman" w:hAnsi="Times New Roman"/>
    </w:rPr>
  </w:style>
  <w:style w:type="character" w:customStyle="1" w:styleId="66">
    <w:name w:val="正文缩进 字符"/>
    <w:link w:val="15"/>
    <w:qFormat/>
    <w:uiPriority w:val="0"/>
    <w:rPr>
      <w:rFonts w:eastAsia="宋体"/>
      <w:sz w:val="24"/>
    </w:rPr>
  </w:style>
  <w:style w:type="character" w:customStyle="1" w:styleId="67">
    <w:name w:val="标题 5 字符"/>
    <w:basedOn w:val="41"/>
    <w:link w:val="6"/>
    <w:qFormat/>
    <w:uiPriority w:val="0"/>
    <w:rPr>
      <w:rFonts w:ascii="Times New Roman" w:hAnsi="Times New Roman" w:eastAsia="宋体" w:cs="Times New Roman"/>
      <w:b/>
      <w:bCs/>
      <w:sz w:val="28"/>
      <w:szCs w:val="28"/>
      <w14:ligatures w14:val="none"/>
    </w:rPr>
  </w:style>
  <w:style w:type="character" w:customStyle="1" w:styleId="68">
    <w:name w:val="正文文本 字符"/>
    <w:basedOn w:val="41"/>
    <w:link w:val="8"/>
    <w:qFormat/>
    <w:uiPriority w:val="99"/>
  </w:style>
  <w:style w:type="character" w:customStyle="1" w:styleId="69">
    <w:name w:val="正文文本首行缩进 字符"/>
    <w:basedOn w:val="68"/>
    <w:link w:val="7"/>
    <w:qFormat/>
    <w:uiPriority w:val="99"/>
  </w:style>
  <w:style w:type="paragraph" w:customStyle="1" w:styleId="70">
    <w:name w:val="正 文"/>
    <w:basedOn w:val="1"/>
    <w:qFormat/>
    <w:uiPriority w:val="0"/>
    <w:pPr>
      <w:spacing w:line="360" w:lineRule="auto"/>
      <w:ind w:firstLine="562" w:firstLineChars="200"/>
    </w:pPr>
    <w:rPr>
      <w:rFonts w:ascii="Arial" w:hAnsi="Arial" w:eastAsia="Times New Roman" w:cs="Times New Roman"/>
      <w14:ligatures w14:val="none"/>
    </w:rPr>
  </w:style>
  <w:style w:type="paragraph" w:customStyle="1" w:styleId="71">
    <w:name w:val="Default"/>
    <w:basedOn w:val="1"/>
    <w:next w:val="30"/>
    <w:qFormat/>
    <w:uiPriority w:val="0"/>
    <w:pPr>
      <w:autoSpaceDE w:val="0"/>
      <w:autoSpaceDN w:val="0"/>
      <w:adjustRightInd w:val="0"/>
      <w:textAlignment w:val="baseline"/>
    </w:pPr>
    <w:rPr>
      <w:rFonts w:hAnsi="Courier New" w:cs="Times New Roman"/>
      <w:color w:val="000000"/>
      <w14:ligatures w14:val="none"/>
    </w:rPr>
  </w:style>
  <w:style w:type="character" w:customStyle="1" w:styleId="72">
    <w:name w:val="标题 2 字符1"/>
    <w:qFormat/>
    <w:uiPriority w:val="0"/>
    <w:rPr>
      <w:rFonts w:eastAsia="宋体"/>
      <w:b/>
      <w:bCs/>
      <w:kern w:val="2"/>
      <w:sz w:val="24"/>
      <w:szCs w:val="32"/>
      <w:lang w:val="en-US" w:eastAsia="zh-CN" w:bidi="ar-SA"/>
    </w:rPr>
  </w:style>
  <w:style w:type="character" w:customStyle="1" w:styleId="73">
    <w:name w:val="标题 4 字符1"/>
    <w:qFormat/>
    <w:uiPriority w:val="0"/>
    <w:rPr>
      <w:rFonts w:ascii="Arial" w:hAnsi="Arial" w:eastAsia="黑体"/>
      <w:b/>
      <w:bCs/>
      <w:kern w:val="2"/>
      <w:sz w:val="28"/>
      <w:szCs w:val="28"/>
      <w:lang w:val="en-US" w:eastAsia="zh-CN" w:bidi="ar-SA"/>
    </w:rPr>
  </w:style>
  <w:style w:type="paragraph" w:customStyle="1" w:styleId="74">
    <w:name w:val="正文1"/>
    <w:link w:val="75"/>
    <w:qFormat/>
    <w:uiPriority w:val="0"/>
    <w:pPr>
      <w:widowControl w:val="0"/>
      <w:adjustRightInd w:val="0"/>
      <w:spacing w:line="315" w:lineRule="atLeast"/>
      <w:textAlignment w:val="baseline"/>
    </w:pPr>
    <w:rPr>
      <w:rFonts w:ascii="宋体" w:hAnsi="Times New Roman" w:eastAsia="宋体" w:cs="Times New Roman"/>
      <w:kern w:val="2"/>
      <w:sz w:val="24"/>
      <w:szCs w:val="24"/>
      <w:lang w:val="en-US" w:eastAsia="zh-CN" w:bidi="ar-SA"/>
      <w14:ligatures w14:val="none"/>
    </w:rPr>
  </w:style>
  <w:style w:type="character" w:customStyle="1" w:styleId="75">
    <w:name w:val="正文1 Char"/>
    <w:link w:val="74"/>
    <w:qFormat/>
    <w:locked/>
    <w:uiPriority w:val="0"/>
    <w:rPr>
      <w:rFonts w:ascii="宋体" w:hAnsi="Times New Roman" w:eastAsia="宋体" w:cs="Times New Roman"/>
      <w:sz w:val="24"/>
      <w:szCs w:val="24"/>
      <w14:ligatures w14:val="none"/>
    </w:rPr>
  </w:style>
  <w:style w:type="paragraph" w:customStyle="1" w:styleId="76">
    <w:name w:val="正文 首行缩进:  2 字符"/>
    <w:basedOn w:val="1"/>
    <w:qFormat/>
    <w:uiPriority w:val="0"/>
    <w:pPr>
      <w:ind w:firstLine="579" w:firstLineChars="200"/>
    </w:pPr>
    <w:rPr>
      <w:rFonts w:ascii="Times New Roman" w:hAnsi="Times New Roman" w:cs="Times New Roman"/>
      <w:sz w:val="28"/>
      <w:szCs w:val="20"/>
      <w14:ligatures w14:val="none"/>
    </w:rPr>
  </w:style>
  <w:style w:type="paragraph" w:customStyle="1" w:styleId="77">
    <w:name w:val="Table Paragraph"/>
    <w:basedOn w:val="1"/>
    <w:qFormat/>
    <w:uiPriority w:val="1"/>
    <w:pPr>
      <w:kinsoku w:val="0"/>
      <w:autoSpaceDE w:val="0"/>
      <w:autoSpaceDN w:val="0"/>
      <w:adjustRightInd w:val="0"/>
      <w:snapToGrid w:val="0"/>
      <w:jc w:val="center"/>
      <w:textAlignment w:val="baseline"/>
    </w:pPr>
    <w:rPr>
      <w:rFonts w:ascii="Times New Roman" w:hAnsi="Times New Roman" w:eastAsia="Times New Roman" w:cs="Times New Roman"/>
      <w:snapToGrid w:val="0"/>
      <w:color w:val="000000"/>
      <w:szCs w:val="21"/>
    </w:rPr>
  </w:style>
  <w:style w:type="paragraph" w:customStyle="1" w:styleId="78">
    <w:name w:val="标准正文"/>
    <w:basedOn w:val="1"/>
    <w:qFormat/>
    <w:uiPriority w:val="0"/>
    <w:pPr>
      <w:spacing w:line="360" w:lineRule="auto"/>
      <w:ind w:firstLine="480" w:firstLineChars="200"/>
    </w:pPr>
    <w:rPr>
      <w:rFonts w:ascii="Times New Roman" w:hAnsi="Times New Roman" w:cs="Times New Roman"/>
      <w14:ligatures w14:val="none"/>
    </w:rPr>
  </w:style>
  <w:style w:type="paragraph" w:customStyle="1" w:styleId="79">
    <w:name w:val="正文 32"/>
    <w:basedOn w:val="1"/>
    <w:qFormat/>
    <w:uiPriority w:val="0"/>
    <w:pPr>
      <w:autoSpaceDE w:val="0"/>
      <w:autoSpaceDN w:val="0"/>
      <w:adjustRightInd w:val="0"/>
      <w:spacing w:line="300" w:lineRule="auto"/>
      <w:ind w:firstLine="567"/>
      <w:textAlignment w:val="baseline"/>
    </w:pPr>
    <w:rPr>
      <w:rFonts w:ascii="Times New Roman" w:hAnsi="Times New Roman" w:eastAsia="楷体_GB2312" w:cs="Times New Roman"/>
      <w14:ligatures w14:val="none"/>
    </w:rPr>
  </w:style>
  <w:style w:type="character" w:customStyle="1" w:styleId="80">
    <w:name w:val="纯文本 字符"/>
    <w:basedOn w:val="41"/>
    <w:qFormat/>
    <w:uiPriority w:val="99"/>
    <w:rPr>
      <w:rFonts w:hAnsi="Courier New" w:cs="Courier New" w:asciiTheme="minorEastAsia"/>
    </w:rPr>
  </w:style>
  <w:style w:type="character" w:customStyle="1" w:styleId="81">
    <w:name w:val="纯文本 字符1"/>
    <w:link w:val="22"/>
    <w:qFormat/>
    <w:uiPriority w:val="0"/>
    <w:rPr>
      <w:rFonts w:ascii="Times New Roman" w:hAnsi="Courier New" w:eastAsia="宋体" w:cs="Courier New"/>
      <w:sz w:val="20"/>
      <w:szCs w:val="21"/>
      <w14:ligatures w14:val="none"/>
    </w:rPr>
  </w:style>
  <w:style w:type="paragraph" w:customStyle="1" w:styleId="82">
    <w:name w:val="宋的样式"/>
    <w:basedOn w:val="19"/>
    <w:link w:val="83"/>
    <w:qFormat/>
    <w:uiPriority w:val="0"/>
    <w:pPr>
      <w:snapToGrid/>
      <w:spacing w:after="0"/>
      <w:ind w:left="0" w:leftChars="0"/>
      <w:jc w:val="both"/>
    </w:pPr>
    <w:rPr>
      <w:rFonts w:cs="Times New Roman"/>
      <w:szCs w:val="20"/>
      <w14:ligatures w14:val="none"/>
    </w:rPr>
  </w:style>
  <w:style w:type="character" w:customStyle="1" w:styleId="83">
    <w:name w:val="宋的样式 字符"/>
    <w:basedOn w:val="64"/>
    <w:link w:val="82"/>
    <w:qFormat/>
    <w:uiPriority w:val="0"/>
    <w:rPr>
      <w:rFonts w:ascii="Times New Roman" w:hAnsi="Times New Roman" w:eastAsia="宋体" w:cs="Times New Roman"/>
      <w:kern w:val="0"/>
      <w:sz w:val="24"/>
      <w:szCs w:val="20"/>
      <w14:ligatures w14:val="none"/>
    </w:rPr>
  </w:style>
  <w:style w:type="paragraph" w:customStyle="1" w:styleId="84">
    <w:name w:val="表格文字"/>
    <w:basedOn w:val="8"/>
    <w:link w:val="85"/>
    <w:qFormat/>
    <w:uiPriority w:val="0"/>
    <w:pPr>
      <w:adjustRightInd w:val="0"/>
      <w:jc w:val="center"/>
    </w:pPr>
    <w:rPr>
      <w:rFonts w:ascii="Times New Roman" w:hAnsi="Times New Roman" w:cs="Times New Roman"/>
      <w:szCs w:val="20"/>
      <w14:ligatures w14:val="none"/>
    </w:rPr>
  </w:style>
  <w:style w:type="character" w:customStyle="1" w:styleId="85">
    <w:name w:val="表格文字 Char"/>
    <w:link w:val="84"/>
    <w:qFormat/>
    <w:uiPriority w:val="0"/>
    <w:rPr>
      <w:rFonts w:ascii="Times New Roman" w:hAnsi="Times New Roman" w:eastAsia="宋体" w:cs="Times New Roman"/>
      <w:kern w:val="0"/>
      <w:szCs w:val="20"/>
      <w14:ligatures w14:val="none"/>
    </w:rPr>
  </w:style>
  <w:style w:type="character" w:customStyle="1" w:styleId="86">
    <w:name w:val="正文文本首行缩进 2 字符"/>
    <w:basedOn w:val="64"/>
    <w:link w:val="38"/>
    <w:semiHidden/>
    <w:qFormat/>
    <w:uiPriority w:val="99"/>
    <w:rPr>
      <w:rFonts w:ascii="Times New Roman" w:hAnsi="Times New Roman" w:eastAsia="宋体" w:cs="Times New Roman"/>
      <w:sz w:val="24"/>
      <w:szCs w:val="24"/>
    </w:rPr>
  </w:style>
  <w:style w:type="character" w:customStyle="1" w:styleId="87">
    <w:name w:val="标题 6 字符"/>
    <w:basedOn w:val="41"/>
    <w:link w:val="9"/>
    <w:qFormat/>
    <w:uiPriority w:val="99"/>
    <w:rPr>
      <w:rFonts w:asciiTheme="majorHAnsi" w:hAnsiTheme="majorHAnsi" w:eastAsiaTheme="majorEastAsia" w:cstheme="majorBidi"/>
      <w:b/>
      <w:bCs/>
      <w:sz w:val="24"/>
      <w:szCs w:val="24"/>
    </w:rPr>
  </w:style>
  <w:style w:type="character" w:customStyle="1" w:styleId="88">
    <w:name w:val="标题 7 字符"/>
    <w:basedOn w:val="41"/>
    <w:link w:val="10"/>
    <w:qFormat/>
    <w:uiPriority w:val="9"/>
    <w:rPr>
      <w:b/>
      <w:bCs/>
      <w:sz w:val="24"/>
      <w:szCs w:val="24"/>
    </w:rPr>
  </w:style>
  <w:style w:type="character" w:customStyle="1" w:styleId="89">
    <w:name w:val="标题 8 字符"/>
    <w:basedOn w:val="41"/>
    <w:link w:val="11"/>
    <w:qFormat/>
    <w:uiPriority w:val="0"/>
    <w:rPr>
      <w:rFonts w:ascii="等线 Light" w:hAnsi="等线 Light" w:eastAsia="等线 Light" w:cs="Times New Roman"/>
      <w:sz w:val="24"/>
      <w:szCs w:val="24"/>
    </w:rPr>
  </w:style>
  <w:style w:type="character" w:customStyle="1" w:styleId="90">
    <w:name w:val="标题 9 字符"/>
    <w:basedOn w:val="41"/>
    <w:link w:val="12"/>
    <w:qFormat/>
    <w:uiPriority w:val="0"/>
    <w:rPr>
      <w:rFonts w:ascii="等线 Light" w:hAnsi="等线 Light" w:eastAsia="等线 Light" w:cs="Times New Roman"/>
      <w:szCs w:val="21"/>
    </w:rPr>
  </w:style>
  <w:style w:type="character" w:customStyle="1" w:styleId="91">
    <w:name w:val="文档结构图 字符"/>
    <w:basedOn w:val="41"/>
    <w:link w:val="16"/>
    <w:qFormat/>
    <w:uiPriority w:val="99"/>
    <w:rPr>
      <w:rFonts w:ascii="Times New Roman" w:hAnsi="Times New Roman" w:eastAsia="宋体" w:cs="Times New Roman"/>
      <w:sz w:val="24"/>
      <w:szCs w:val="24"/>
    </w:rPr>
  </w:style>
  <w:style w:type="character" w:customStyle="1" w:styleId="92">
    <w:name w:val="批注框文本 字符"/>
    <w:basedOn w:val="41"/>
    <w:link w:val="24"/>
    <w:qFormat/>
    <w:uiPriority w:val="99"/>
    <w:rPr>
      <w:rFonts w:ascii="Times New Roman" w:hAnsi="Times New Roman" w:eastAsia="宋体" w:cs="Times New Roman"/>
      <w:sz w:val="18"/>
      <w:szCs w:val="18"/>
    </w:rPr>
  </w:style>
  <w:style w:type="character" w:customStyle="1" w:styleId="93">
    <w:name w:val="副标题 字符"/>
    <w:basedOn w:val="41"/>
    <w:qFormat/>
    <w:uiPriority w:val="11"/>
    <w:rPr>
      <w:b/>
      <w:bCs/>
      <w:kern w:val="28"/>
      <w:sz w:val="32"/>
      <w:szCs w:val="32"/>
    </w:rPr>
  </w:style>
  <w:style w:type="character" w:customStyle="1" w:styleId="94">
    <w:name w:val="标题 7 字符1"/>
    <w:qFormat/>
    <w:uiPriority w:val="99"/>
    <w:rPr>
      <w:rFonts w:ascii="Times New Roman" w:hAnsi="Times New Roman" w:eastAsia="宋体"/>
      <w:kern w:val="24"/>
      <w:sz w:val="21"/>
      <w:szCs w:val="21"/>
    </w:rPr>
  </w:style>
  <w:style w:type="paragraph" w:customStyle="1" w:styleId="95">
    <w:name w:val="！正文ctrl-4"/>
    <w:basedOn w:val="1"/>
    <w:qFormat/>
    <w:uiPriority w:val="0"/>
    <w:pPr>
      <w:adjustRightInd w:val="0"/>
      <w:snapToGrid w:val="0"/>
      <w:spacing w:beforeLines="50" w:after="100" w:afterAutospacing="1" w:line="360" w:lineRule="auto"/>
      <w:ind w:firstLine="200" w:firstLineChars="200"/>
      <w:contextualSpacing/>
    </w:pPr>
    <w:rPr>
      <w:rFonts w:ascii="Times New Roman" w:hAnsi="Times New Roman" w:cs="Times New Roman"/>
    </w:rPr>
  </w:style>
  <w:style w:type="paragraph" w:customStyle="1" w:styleId="96">
    <w:name w:val="列出段落1"/>
    <w:basedOn w:val="1"/>
    <w:semiHidden/>
    <w:qFormat/>
    <w:uiPriority w:val="0"/>
    <w:pPr>
      <w:spacing w:line="360" w:lineRule="auto"/>
      <w:ind w:firstLine="420" w:firstLineChars="200"/>
    </w:pPr>
    <w:rPr>
      <w:rFonts w:ascii="Times New Roman" w:hAnsi="Times New Roman" w:cs="Times New Roman"/>
    </w:rPr>
  </w:style>
  <w:style w:type="paragraph" w:styleId="97">
    <w:name w:val="List Paragraph"/>
    <w:basedOn w:val="1"/>
    <w:qFormat/>
    <w:uiPriority w:val="34"/>
    <w:pPr>
      <w:spacing w:line="360" w:lineRule="auto"/>
      <w:ind w:firstLine="420" w:firstLineChars="200"/>
    </w:pPr>
    <w:rPr>
      <w:rFonts w:ascii="Times New Roman" w:hAnsi="Times New Roman" w:cs="Times New Roman"/>
    </w:rPr>
  </w:style>
  <w:style w:type="paragraph" w:customStyle="1" w:styleId="98">
    <w:name w:val="列出段落11"/>
    <w:basedOn w:val="1"/>
    <w:qFormat/>
    <w:uiPriority w:val="0"/>
    <w:pPr>
      <w:spacing w:line="360" w:lineRule="auto"/>
      <w:ind w:firstLine="420" w:firstLineChars="200"/>
    </w:pPr>
    <w:rPr>
      <w:rFonts w:ascii="Times New Roman" w:hAnsi="Times New Roman" w:cs="Times New Roman"/>
    </w:rPr>
  </w:style>
  <w:style w:type="paragraph" w:customStyle="1" w:styleId="99">
    <w:name w:val="7表格文字"/>
    <w:basedOn w:val="1"/>
    <w:link w:val="100"/>
    <w:qFormat/>
    <w:uiPriority w:val="0"/>
    <w:pPr>
      <w:jc w:val="center"/>
    </w:pPr>
    <w:rPr>
      <w:rFonts w:ascii="Times New Roman" w:hAnsi="Times New Roman" w:cs="Times New Roman"/>
      <w:szCs w:val="21"/>
    </w:rPr>
  </w:style>
  <w:style w:type="character" w:customStyle="1" w:styleId="100">
    <w:name w:val="7表格文字 Char"/>
    <w:link w:val="99"/>
    <w:qFormat/>
    <w:uiPriority w:val="0"/>
    <w:rPr>
      <w:rFonts w:ascii="Times New Roman" w:hAnsi="Times New Roman" w:eastAsia="宋体" w:cs="Times New Roman"/>
      <w:szCs w:val="21"/>
    </w:rPr>
  </w:style>
  <w:style w:type="table" w:customStyle="1" w:styleId="101">
    <w:name w:val="毛的表格"/>
    <w:basedOn w:val="39"/>
    <w:qFormat/>
    <w:uiPriority w:val="0"/>
    <w:pPr>
      <w:jc w:val="center"/>
    </w:pPr>
    <w:rPr>
      <w:rFonts w:ascii="Times New Roman" w:hAnsi="Times New Roman" w:eastAsia="宋体" w:cs="Times New Roman"/>
      <w:kern w:val="0"/>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102">
    <w:name w:val="表 Char"/>
    <w:link w:val="65"/>
    <w:qFormat/>
    <w:uiPriority w:val="0"/>
    <w:rPr>
      <w:rFonts w:ascii="Times New Roman" w:hAnsi="Times New Roman" w:eastAsia="宋体"/>
    </w:rPr>
  </w:style>
  <w:style w:type="paragraph" w:customStyle="1" w:styleId="103">
    <w:name w:val="正文11"/>
    <w:basedOn w:val="1"/>
    <w:qFormat/>
    <w:uiPriority w:val="0"/>
    <w:rPr>
      <w:rFonts w:ascii="Times New Roman" w:hAnsi="Times New Roman" w:cs="Times New Roman"/>
      <w:szCs w:val="21"/>
    </w:rPr>
  </w:style>
  <w:style w:type="paragraph" w:customStyle="1" w:styleId="104">
    <w:name w:val="msonormal"/>
    <w:basedOn w:val="1"/>
    <w:qFormat/>
    <w:uiPriority w:val="0"/>
    <w:pPr>
      <w:spacing w:before="100" w:beforeAutospacing="1" w:after="100" w:afterAutospacing="1"/>
    </w:pPr>
  </w:style>
  <w:style w:type="table" w:customStyle="1" w:styleId="105">
    <w:name w:val="样式3"/>
    <w:basedOn w:val="39"/>
    <w:qFormat/>
    <w:uiPriority w:val="0"/>
    <w:pPr>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paragraph" w:customStyle="1" w:styleId="106">
    <w:name w:val="正文首行缩进 2 + Times New Roman"/>
    <w:basedOn w:val="1"/>
    <w:qFormat/>
    <w:uiPriority w:val="0"/>
    <w:pPr>
      <w:tabs>
        <w:tab w:val="left" w:pos="0"/>
        <w:tab w:val="left" w:pos="870"/>
        <w:tab w:val="left" w:pos="3150"/>
      </w:tabs>
      <w:autoSpaceDE w:val="0"/>
      <w:autoSpaceDN w:val="0"/>
      <w:snapToGrid w:val="0"/>
      <w:spacing w:line="460" w:lineRule="exact"/>
      <w:ind w:firstLine="480" w:firstLineChars="200"/>
    </w:pPr>
    <w:rPr>
      <w:rFonts w:ascii="Calibri" w:hAnsi="Calibri" w:cs="Arial"/>
    </w:rPr>
  </w:style>
  <w:style w:type="paragraph" w:customStyle="1" w:styleId="107">
    <w:name w:val="（正文）"/>
    <w:basedOn w:val="1"/>
    <w:qFormat/>
    <w:uiPriority w:val="0"/>
    <w:pPr>
      <w:spacing w:line="360" w:lineRule="auto"/>
      <w:ind w:firstLine="200" w:firstLineChars="200"/>
    </w:pPr>
    <w:rPr>
      <w:rFonts w:ascii="等线" w:hAnsi="等线" w:eastAsia="等线" w:cs="Times New Roman"/>
    </w:rPr>
  </w:style>
  <w:style w:type="paragraph" w:customStyle="1" w:styleId="108">
    <w:name w:val="无间隔1"/>
    <w:basedOn w:val="1"/>
    <w:next w:val="1"/>
    <w:qFormat/>
    <w:uiPriority w:val="0"/>
    <w:rPr>
      <w:rFonts w:ascii="Calibri" w:hAnsi="Calibri" w:cs="Times New Roman"/>
      <w:sz w:val="28"/>
      <w:szCs w:val="28"/>
    </w:rPr>
  </w:style>
  <w:style w:type="character" w:customStyle="1" w:styleId="109">
    <w:name w:val="标题 1 Char"/>
    <w:qFormat/>
    <w:uiPriority w:val="99"/>
    <w:rPr>
      <w:rFonts w:ascii="Calibri" w:hAnsi="Calibri" w:eastAsia="宋体" w:cs="Arial"/>
      <w:b/>
      <w:bCs/>
      <w:kern w:val="44"/>
      <w:sz w:val="32"/>
      <w:szCs w:val="32"/>
    </w:rPr>
  </w:style>
  <w:style w:type="character" w:customStyle="1" w:styleId="110">
    <w:name w:val="标题 2 Char"/>
    <w:qFormat/>
    <w:uiPriority w:val="99"/>
    <w:rPr>
      <w:rFonts w:ascii="Cambria" w:hAnsi="Cambria" w:eastAsia="宋体"/>
      <w:b/>
      <w:bCs/>
      <w:kern w:val="2"/>
      <w:sz w:val="30"/>
      <w:szCs w:val="30"/>
    </w:rPr>
  </w:style>
  <w:style w:type="character" w:customStyle="1" w:styleId="111">
    <w:name w:val="标题 3 Char"/>
    <w:qFormat/>
    <w:uiPriority w:val="99"/>
    <w:rPr>
      <w:rFonts w:ascii="Calibri" w:hAnsi="Calibri" w:eastAsia="宋体" w:cs="Arial"/>
      <w:b/>
      <w:bCs/>
      <w:kern w:val="2"/>
      <w:sz w:val="28"/>
      <w:szCs w:val="28"/>
    </w:rPr>
  </w:style>
  <w:style w:type="character" w:customStyle="1" w:styleId="112">
    <w:name w:val="标题 4 Char"/>
    <w:qFormat/>
    <w:uiPriority w:val="99"/>
    <w:rPr>
      <w:rFonts w:ascii="Cambria" w:hAnsi="Cambria" w:eastAsia="宋体"/>
      <w:b/>
      <w:bCs/>
      <w:kern w:val="2"/>
      <w:sz w:val="24"/>
      <w:szCs w:val="24"/>
    </w:rPr>
  </w:style>
  <w:style w:type="character" w:customStyle="1" w:styleId="113">
    <w:name w:val="标题 5 Char"/>
    <w:qFormat/>
    <w:uiPriority w:val="99"/>
    <w:rPr>
      <w:rFonts w:ascii="Calibri" w:hAnsi="Calibri" w:eastAsia="宋体" w:cs="Arial"/>
      <w:b/>
      <w:bCs/>
      <w:kern w:val="2"/>
      <w:sz w:val="24"/>
      <w:szCs w:val="24"/>
    </w:rPr>
  </w:style>
  <w:style w:type="paragraph" w:customStyle="1" w:styleId="114">
    <w:name w:val="Table Text"/>
    <w:basedOn w:val="1"/>
    <w:semiHidden/>
    <w:qFormat/>
    <w:uiPriority w:val="0"/>
    <w:pPr>
      <w:kinsoku w:val="0"/>
      <w:autoSpaceDE w:val="0"/>
      <w:autoSpaceDN w:val="0"/>
      <w:adjustRightInd w:val="0"/>
      <w:snapToGrid w:val="0"/>
      <w:textAlignment w:val="baseline"/>
    </w:pPr>
    <w:rPr>
      <w:rFonts w:ascii="仿宋" w:hAnsi="仿宋" w:eastAsia="仿宋"/>
      <w:color w:val="000000"/>
      <w:sz w:val="20"/>
      <w:szCs w:val="20"/>
    </w:rPr>
  </w:style>
  <w:style w:type="table" w:customStyle="1" w:styleId="115">
    <w:name w:val="Table Normal"/>
    <w:basedOn w:val="39"/>
    <w:qFormat/>
    <w:uiPriority w:val="2"/>
    <w:rPr>
      <w:rFonts w:ascii="Times New Roman" w:hAnsi="Times New Roman" w:eastAsia="Times New Roman" w:cs="Times New Roman"/>
      <w:kern w:val="0"/>
      <w:sz w:val="20"/>
      <w:szCs w:val="20"/>
    </w:rPr>
    <w:tblPr>
      <w:tblCellMar>
        <w:left w:w="0" w:type="dxa"/>
        <w:right w:w="0" w:type="dxa"/>
      </w:tblCellMar>
    </w:tblPr>
  </w:style>
  <w:style w:type="table" w:customStyle="1" w:styleId="116">
    <w:name w:val="毛的表格4"/>
    <w:basedOn w:val="39"/>
    <w:qFormat/>
    <w:uiPriority w:val="0"/>
    <w:pPr>
      <w:jc w:val="center"/>
    </w:pPr>
    <w:rPr>
      <w:rFonts w:ascii="Times New Roman" w:hAnsi="Times New Roman" w:eastAsia="宋体" w:cs="Times New Roman"/>
      <w:kern w:val="0"/>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117">
    <w:name w:val="15"/>
    <w:qFormat/>
    <w:uiPriority w:val="0"/>
    <w:rPr>
      <w:rFonts w:hint="default" w:ascii="Times New Roman" w:hAnsi="Times New Roman" w:cs="Times New Roman"/>
      <w:b/>
      <w:bCs/>
      <w:sz w:val="28"/>
      <w:szCs w:val="28"/>
    </w:rPr>
  </w:style>
  <w:style w:type="character" w:customStyle="1" w:styleId="118">
    <w:name w:val="16"/>
    <w:qFormat/>
    <w:uiPriority w:val="0"/>
    <w:rPr>
      <w:rFonts w:hint="eastAsia" w:ascii="宋体" w:hAnsi="宋体" w:eastAsia="宋体"/>
      <w:color w:val="000000"/>
      <w:sz w:val="32"/>
      <w:szCs w:val="32"/>
    </w:rPr>
  </w:style>
  <w:style w:type="table" w:customStyle="1" w:styleId="119">
    <w:name w:val="Table Normal1"/>
    <w:semiHidden/>
    <w:unhideWhenUsed/>
    <w:qFormat/>
    <w:uiPriority w:val="2"/>
    <w:rPr>
      <w:rFonts w:ascii="Arial" w:hAnsi="Arial" w:eastAsia="宋体" w:cs="Arial"/>
      <w:kern w:val="0"/>
      <w:sz w:val="20"/>
      <w:szCs w:val="20"/>
    </w:rPr>
    <w:tblPr>
      <w:tblCellMar>
        <w:top w:w="0" w:type="dxa"/>
        <w:left w:w="0" w:type="dxa"/>
        <w:bottom w:w="0" w:type="dxa"/>
        <w:right w:w="0" w:type="dxa"/>
      </w:tblCellMar>
    </w:tblPr>
  </w:style>
  <w:style w:type="table" w:customStyle="1" w:styleId="120">
    <w:name w:val="Table Normal2"/>
    <w:semiHidden/>
    <w:unhideWhenUsed/>
    <w:qFormat/>
    <w:uiPriority w:val="0"/>
    <w:rPr>
      <w:rFonts w:ascii="Arial" w:hAnsi="Arial" w:eastAsia="宋体" w:cs="Arial"/>
      <w:kern w:val="0"/>
      <w:sz w:val="20"/>
      <w:szCs w:val="20"/>
    </w:rPr>
    <w:tblPr>
      <w:tblCellMar>
        <w:top w:w="0" w:type="dxa"/>
        <w:left w:w="0" w:type="dxa"/>
        <w:bottom w:w="0" w:type="dxa"/>
        <w:right w:w="0" w:type="dxa"/>
      </w:tblCellMar>
    </w:tblPr>
  </w:style>
  <w:style w:type="table" w:customStyle="1" w:styleId="121">
    <w:name w:val="Table Normal3"/>
    <w:semiHidden/>
    <w:unhideWhenUsed/>
    <w:qFormat/>
    <w:uiPriority w:val="0"/>
    <w:rPr>
      <w:rFonts w:ascii="Arial" w:hAnsi="Arial" w:eastAsia="宋体" w:cs="Arial"/>
      <w:kern w:val="0"/>
      <w:sz w:val="20"/>
      <w:szCs w:val="20"/>
    </w:rPr>
    <w:tblPr>
      <w:tblCellMar>
        <w:top w:w="0" w:type="dxa"/>
        <w:left w:w="0" w:type="dxa"/>
        <w:bottom w:w="0" w:type="dxa"/>
        <w:right w:w="0" w:type="dxa"/>
      </w:tblCellMar>
    </w:tblPr>
  </w:style>
  <w:style w:type="table" w:customStyle="1" w:styleId="122">
    <w:name w:val="Table Normal4"/>
    <w:semiHidden/>
    <w:unhideWhenUsed/>
    <w:qFormat/>
    <w:uiPriority w:val="0"/>
    <w:rPr>
      <w:rFonts w:ascii="Arial" w:hAnsi="Arial" w:eastAsia="宋体" w:cs="Arial"/>
      <w:kern w:val="0"/>
      <w:sz w:val="20"/>
      <w:szCs w:val="20"/>
    </w:rPr>
    <w:tblPr>
      <w:tblCellMar>
        <w:top w:w="0" w:type="dxa"/>
        <w:left w:w="0" w:type="dxa"/>
        <w:bottom w:w="0" w:type="dxa"/>
        <w:right w:w="0" w:type="dxa"/>
      </w:tblCellMar>
    </w:tblPr>
  </w:style>
  <w:style w:type="table" w:customStyle="1" w:styleId="123">
    <w:name w:val="Table Normal5"/>
    <w:semiHidden/>
    <w:unhideWhenUsed/>
    <w:qFormat/>
    <w:uiPriority w:val="0"/>
    <w:rPr>
      <w:rFonts w:ascii="Arial" w:hAnsi="Arial" w:eastAsia="宋体" w:cs="Arial"/>
      <w:kern w:val="0"/>
      <w:sz w:val="20"/>
      <w:szCs w:val="20"/>
    </w:rPr>
    <w:tblPr>
      <w:tblCellMar>
        <w:top w:w="0" w:type="dxa"/>
        <w:left w:w="0" w:type="dxa"/>
        <w:bottom w:w="0" w:type="dxa"/>
        <w:right w:w="0" w:type="dxa"/>
      </w:tblCellMar>
    </w:tblPr>
  </w:style>
  <w:style w:type="paragraph" w:customStyle="1" w:styleId="124">
    <w:name w:val="正文4"/>
    <w:qFormat/>
    <w:uiPriority w:val="0"/>
    <w:pPr>
      <w:jc w:val="both"/>
    </w:pPr>
    <w:rPr>
      <w:rFonts w:ascii="Calibri" w:hAnsi="Calibri" w:eastAsia="宋体" w:cs="宋体"/>
      <w:kern w:val="2"/>
      <w:sz w:val="21"/>
      <w:szCs w:val="21"/>
      <w:lang w:val="en-US" w:eastAsia="zh-CN" w:bidi="ar-SA"/>
      <w14:ligatures w14:val="standardContextual"/>
    </w:rPr>
  </w:style>
  <w:style w:type="character" w:customStyle="1" w:styleId="125">
    <w:name w:val="副标题 字符1"/>
    <w:link w:val="29"/>
    <w:qFormat/>
    <w:uiPriority w:val="11"/>
    <w:rPr>
      <w:rFonts w:ascii="Times New Roman" w:hAnsi="Times New Roman" w:eastAsia="宋体" w:cs="Arial"/>
      <w:b/>
      <w:bCs/>
      <w:kern w:val="28"/>
      <w:sz w:val="24"/>
      <w:szCs w:val="32"/>
    </w:rPr>
  </w:style>
  <w:style w:type="paragraph" w:customStyle="1" w:styleId="126">
    <w:name w:val="正文3"/>
    <w:qFormat/>
    <w:uiPriority w:val="0"/>
    <w:pPr>
      <w:jc w:val="both"/>
    </w:pPr>
    <w:rPr>
      <w:rFonts w:ascii="Times New Roman" w:hAnsi="Times New Roman" w:eastAsia="宋体" w:cs="Times New Roman"/>
      <w:kern w:val="2"/>
      <w:sz w:val="21"/>
      <w:szCs w:val="21"/>
      <w:lang w:val="en-US" w:eastAsia="zh-CN" w:bidi="ar-SA"/>
      <w14:ligatures w14:val="standardContextual"/>
    </w:rPr>
  </w:style>
  <w:style w:type="paragraph" w:customStyle="1" w:styleId="127">
    <w:name w:val="xl65"/>
    <w:basedOn w:val="1"/>
    <w:qFormat/>
    <w:uiPriority w:val="0"/>
    <w:pPr>
      <w:spacing w:before="100" w:beforeAutospacing="1" w:after="100" w:afterAutospacing="1"/>
    </w:pPr>
  </w:style>
  <w:style w:type="paragraph" w:customStyle="1" w:styleId="128">
    <w:name w:val="xl6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style>
  <w:style w:type="paragraph" w:customStyle="1" w:styleId="129">
    <w:name w:val="xl6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style>
  <w:style w:type="character" w:customStyle="1" w:styleId="130">
    <w:name w:val="书籍标题1"/>
    <w:qFormat/>
    <w:uiPriority w:val="33"/>
    <w:rPr>
      <w:b/>
      <w:bCs/>
      <w:smallCaps/>
      <w:spacing w:val="5"/>
    </w:rPr>
  </w:style>
  <w:style w:type="character" w:customStyle="1" w:styleId="131">
    <w:name w:val="页脚 Char2"/>
    <w:qFormat/>
    <w:uiPriority w:val="99"/>
    <w:rPr>
      <w:rFonts w:ascii="Calibri" w:hAnsi="Calibri" w:eastAsia="宋体" w:cs="Arial"/>
      <w:kern w:val="2"/>
      <w:sz w:val="18"/>
      <w:szCs w:val="18"/>
    </w:rPr>
  </w:style>
  <w:style w:type="character" w:customStyle="1" w:styleId="132">
    <w:name w:val="标题 3 Char1"/>
    <w:qFormat/>
    <w:uiPriority w:val="0"/>
    <w:rPr>
      <w:rFonts w:ascii="Calibri" w:hAnsi="Calibri" w:eastAsia="宋体" w:cs="Arial"/>
      <w:b/>
      <w:bCs/>
      <w:kern w:val="2"/>
      <w:sz w:val="28"/>
      <w:szCs w:val="32"/>
    </w:rPr>
  </w:style>
  <w:style w:type="character" w:customStyle="1" w:styleId="133">
    <w:name w:val="fontstyle01"/>
    <w:qFormat/>
    <w:uiPriority w:val="0"/>
    <w:rPr>
      <w:rFonts w:hint="eastAsia" w:ascii="黑体" w:hAnsi="黑体" w:eastAsia="黑体"/>
      <w:color w:val="000000"/>
      <w:sz w:val="32"/>
      <w:szCs w:val="32"/>
    </w:rPr>
  </w:style>
  <w:style w:type="paragraph" w:customStyle="1" w:styleId="134">
    <w:name w:val="表格"/>
    <w:basedOn w:val="1"/>
    <w:qFormat/>
    <w:uiPriority w:val="0"/>
    <w:pPr>
      <w:snapToGrid w:val="0"/>
      <w:spacing w:line="360" w:lineRule="auto"/>
      <w:ind w:firstLine="200" w:firstLineChars="200"/>
      <w:jc w:val="center"/>
    </w:pPr>
    <w:rPr>
      <w:rFonts w:ascii="Times New Roman" w:hAnsi="Times New Roman" w:cs="Times New Roman"/>
      <w:bCs/>
      <w:szCs w:val="28"/>
    </w:rPr>
  </w:style>
  <w:style w:type="paragraph" w:customStyle="1" w:styleId="135">
    <w:name w:val="表文字"/>
    <w:basedOn w:val="1"/>
    <w:link w:val="136"/>
    <w:qFormat/>
    <w:uiPriority w:val="0"/>
    <w:pPr>
      <w:overflowPunct w:val="0"/>
      <w:autoSpaceDE w:val="0"/>
      <w:autoSpaceDN w:val="0"/>
      <w:adjustRightInd w:val="0"/>
      <w:snapToGrid w:val="0"/>
      <w:spacing w:line="240" w:lineRule="atLeast"/>
      <w:ind w:firstLine="200" w:firstLineChars="200"/>
      <w:jc w:val="center"/>
      <w:textAlignment w:val="baseline"/>
    </w:pPr>
    <w:rPr>
      <w:rFonts w:ascii="Times New Roman" w:hAnsi="Times New Roman" w:eastAsia="仿宋_GB2312" w:cs="Arial"/>
    </w:rPr>
  </w:style>
  <w:style w:type="character" w:customStyle="1" w:styleId="136">
    <w:name w:val="表文字 Char"/>
    <w:link w:val="135"/>
    <w:qFormat/>
    <w:uiPriority w:val="0"/>
    <w:rPr>
      <w:rFonts w:ascii="Times New Roman" w:hAnsi="Times New Roman" w:eastAsia="仿宋_GB2312" w:cs="Arial"/>
      <w:kern w:val="0"/>
      <w:sz w:val="24"/>
    </w:rPr>
  </w:style>
  <w:style w:type="paragraph" w:customStyle="1" w:styleId="137">
    <w:name w:val="表文"/>
    <w:basedOn w:val="1"/>
    <w:qFormat/>
    <w:uiPriority w:val="0"/>
    <w:pPr>
      <w:tabs>
        <w:tab w:val="left" w:pos="1021"/>
      </w:tabs>
      <w:snapToGrid w:val="0"/>
      <w:spacing w:line="360" w:lineRule="auto"/>
      <w:ind w:firstLine="200" w:firstLineChars="200"/>
      <w:jc w:val="center"/>
    </w:pPr>
    <w:rPr>
      <w:rFonts w:ascii="Times New Roman" w:hAnsi="Times New Roman" w:cs="Arial"/>
      <w:position w:val="-24"/>
      <w:szCs w:val="21"/>
    </w:rPr>
  </w:style>
  <w:style w:type="character" w:customStyle="1" w:styleId="138">
    <w:name w:val="fontstyle21"/>
    <w:qFormat/>
    <w:uiPriority w:val="0"/>
    <w:rPr>
      <w:rFonts w:hint="default" w:ascii="TimesNewRomanPSMT" w:hAnsi="TimesNewRomanPSMT"/>
      <w:color w:val="000000"/>
      <w:sz w:val="24"/>
      <w:szCs w:val="24"/>
    </w:rPr>
  </w:style>
  <w:style w:type="paragraph" w:customStyle="1" w:styleId="139">
    <w:name w:val="Char1 Char Char Char"/>
    <w:basedOn w:val="1"/>
    <w:qFormat/>
    <w:uiPriority w:val="0"/>
    <w:pPr>
      <w:snapToGrid w:val="0"/>
      <w:spacing w:line="360" w:lineRule="auto"/>
      <w:ind w:firstLine="200" w:firstLineChars="200"/>
    </w:pPr>
    <w:rPr>
      <w:rFonts w:ascii="Times New Roman" w:hAnsi="Times New Roman" w:cs="Times New Roman"/>
      <w:szCs w:val="20"/>
    </w:rPr>
  </w:style>
  <w:style w:type="paragraph" w:customStyle="1" w:styleId="140">
    <w:name w:val="烟厂正文"/>
    <w:basedOn w:val="1"/>
    <w:qFormat/>
    <w:uiPriority w:val="0"/>
    <w:pPr>
      <w:spacing w:beforeLines="20" w:afterLines="20" w:line="500" w:lineRule="exact"/>
      <w:ind w:firstLine="200" w:firstLineChars="200"/>
    </w:pPr>
    <w:rPr>
      <w:rFonts w:ascii="Times New Roman" w:hAnsi="Times New Roman" w:cs="Times New Roman"/>
      <w:kern w:val="10"/>
    </w:rPr>
  </w:style>
  <w:style w:type="character" w:customStyle="1" w:styleId="141">
    <w:name w:val="font11"/>
    <w:qFormat/>
    <w:uiPriority w:val="0"/>
    <w:rPr>
      <w:rFonts w:hint="default" w:ascii="Times New Roman" w:hAnsi="Times New Roman" w:cs="Times New Roman"/>
      <w:color w:val="000000"/>
      <w:sz w:val="21"/>
      <w:szCs w:val="21"/>
      <w:u w:val="none"/>
    </w:rPr>
  </w:style>
  <w:style w:type="character" w:customStyle="1" w:styleId="142">
    <w:name w:val="font31"/>
    <w:qFormat/>
    <w:uiPriority w:val="0"/>
    <w:rPr>
      <w:rFonts w:hint="default" w:ascii="Times New Roman" w:hAnsi="Times New Roman" w:cs="Times New Roman"/>
      <w:color w:val="000000"/>
      <w:sz w:val="21"/>
      <w:szCs w:val="21"/>
      <w:u w:val="none"/>
      <w:vertAlign w:val="superscript"/>
    </w:rPr>
  </w:style>
  <w:style w:type="character" w:customStyle="1" w:styleId="143">
    <w:name w:val="font21"/>
    <w:qFormat/>
    <w:uiPriority w:val="0"/>
    <w:rPr>
      <w:rFonts w:hint="eastAsia" w:ascii="宋体" w:hAnsi="宋体" w:eastAsia="宋体"/>
      <w:color w:val="000000"/>
      <w:sz w:val="21"/>
      <w:szCs w:val="21"/>
      <w:u w:val="none"/>
    </w:rPr>
  </w:style>
  <w:style w:type="character" w:customStyle="1" w:styleId="144">
    <w:name w:val="font41"/>
    <w:qFormat/>
    <w:uiPriority w:val="0"/>
    <w:rPr>
      <w:rFonts w:hint="default" w:ascii="Times New Roman" w:hAnsi="Times New Roman" w:cs="Times New Roman"/>
      <w:color w:val="000000"/>
      <w:sz w:val="21"/>
      <w:szCs w:val="21"/>
      <w:u w:val="none"/>
    </w:rPr>
  </w:style>
  <w:style w:type="paragraph" w:customStyle="1" w:styleId="145">
    <w:name w:val="正文2"/>
    <w:qFormat/>
    <w:uiPriority w:val="0"/>
    <w:pPr>
      <w:jc w:val="both"/>
    </w:pPr>
    <w:rPr>
      <w:rFonts w:ascii="Arial" w:hAnsi="Arial" w:eastAsia="宋体" w:cs="Arial"/>
      <w:kern w:val="2"/>
      <w:sz w:val="21"/>
      <w:szCs w:val="21"/>
      <w:lang w:val="en-US" w:eastAsia="zh-CN" w:bidi="ar-SA"/>
      <w14:ligatures w14:val="standardContextual"/>
    </w:rPr>
  </w:style>
  <w:style w:type="paragraph" w:styleId="146">
    <w:name w:val="No Spacing"/>
    <w:link w:val="147"/>
    <w:qFormat/>
    <w:uiPriority w:val="99"/>
    <w:pPr>
      <w:widowControl w:val="0"/>
      <w:jc w:val="center"/>
    </w:pPr>
    <w:rPr>
      <w:rFonts w:ascii="Times New Roman" w:hAnsi="Times New Roman" w:eastAsia="宋体" w:cs="Times New Roman"/>
      <w:kern w:val="2"/>
      <w:sz w:val="21"/>
      <w:szCs w:val="22"/>
      <w:lang w:val="en-US" w:eastAsia="zh-CN" w:bidi="ar-SA"/>
      <w14:ligatures w14:val="standardContextual"/>
    </w:rPr>
  </w:style>
  <w:style w:type="character" w:customStyle="1" w:styleId="147">
    <w:name w:val="无间隔 字符"/>
    <w:link w:val="146"/>
    <w:qFormat/>
    <w:uiPriority w:val="99"/>
    <w:rPr>
      <w:rFonts w:ascii="Times New Roman" w:hAnsi="Times New Roman" w:eastAsia="宋体" w:cs="Times New Roman"/>
    </w:rPr>
  </w:style>
  <w:style w:type="paragraph" w:customStyle="1" w:styleId="148">
    <w:name w:val="_Style 3"/>
    <w:qFormat/>
    <w:uiPriority w:val="1"/>
    <w:pPr>
      <w:widowControl w:val="0"/>
      <w:jc w:val="center"/>
    </w:pPr>
    <w:rPr>
      <w:rFonts w:ascii="Calibri" w:hAnsi="Calibri" w:eastAsia="仿宋" w:cs="Times New Roman"/>
      <w:kern w:val="2"/>
      <w:sz w:val="21"/>
      <w:szCs w:val="22"/>
      <w:lang w:val="en-US" w:eastAsia="zh-CN" w:bidi="ar-SA"/>
      <w14:ligatures w14:val="standardContextual"/>
    </w:rPr>
  </w:style>
  <w:style w:type="paragraph" w:customStyle="1" w:styleId="149">
    <w:name w:val="正文魏"/>
    <w:basedOn w:val="1"/>
    <w:qFormat/>
    <w:uiPriority w:val="0"/>
    <w:pPr>
      <w:spacing w:line="360" w:lineRule="auto"/>
      <w:ind w:firstLine="200" w:firstLineChars="200"/>
    </w:pPr>
    <w:rPr>
      <w:rFonts w:ascii="等线" w:hAnsi="等线" w:cs="Times New Roman"/>
    </w:rPr>
  </w:style>
  <w:style w:type="paragraph" w:customStyle="1" w:styleId="150">
    <w:name w:val="图表名"/>
    <w:basedOn w:val="1"/>
    <w:next w:val="1"/>
    <w:qFormat/>
    <w:uiPriority w:val="0"/>
    <w:pPr>
      <w:spacing w:before="50" w:beforeLines="50" w:after="50" w:afterLines="50" w:line="360" w:lineRule="auto"/>
      <w:jc w:val="center"/>
    </w:pPr>
    <w:rPr>
      <w:rFonts w:ascii="Calibri" w:hAnsi="Calibri" w:cs="Arial"/>
      <w:b/>
      <w:szCs w:val="28"/>
    </w:rPr>
  </w:style>
  <w:style w:type="paragraph" w:customStyle="1" w:styleId="151">
    <w:name w:val="p0"/>
    <w:basedOn w:val="1"/>
    <w:qFormat/>
    <w:uiPriority w:val="0"/>
    <w:pPr>
      <w:snapToGrid w:val="0"/>
    </w:pPr>
    <w:rPr>
      <w:rFonts w:ascii="等线" w:hAnsi="等线" w:cs="Courier New"/>
      <w:sz w:val="28"/>
      <w:szCs w:val="28"/>
    </w:rPr>
  </w:style>
  <w:style w:type="paragraph" w:customStyle="1" w:styleId="152">
    <w:name w:val="图表题目"/>
    <w:next w:val="1"/>
    <w:qFormat/>
    <w:uiPriority w:val="0"/>
    <w:pPr>
      <w:spacing w:line="360" w:lineRule="auto"/>
      <w:jc w:val="center"/>
    </w:pPr>
    <w:rPr>
      <w:rFonts w:ascii="Calibri" w:hAnsi="Calibri" w:eastAsia="宋体" w:cs="Times New Roman"/>
      <w:b/>
      <w:kern w:val="2"/>
      <w:sz w:val="24"/>
      <w:szCs w:val="24"/>
      <w:lang w:val="en-US" w:eastAsia="zh-CN" w:bidi="ar-SA"/>
      <w14:ligatures w14:val="standardContextual"/>
    </w:rPr>
  </w:style>
  <w:style w:type="paragraph" w:customStyle="1" w:styleId="153">
    <w:name w:val="表格文字格式（有上下标不合适）"/>
    <w:basedOn w:val="1"/>
    <w:next w:val="1"/>
    <w:qFormat/>
    <w:uiPriority w:val="0"/>
    <w:pPr>
      <w:snapToGrid w:val="0"/>
      <w:jc w:val="center"/>
    </w:pPr>
    <w:rPr>
      <w:rFonts w:ascii="Times New Roman" w:hAnsi="Times New Roman" w:cs="Times New Roman"/>
      <w:szCs w:val="21"/>
    </w:rPr>
  </w:style>
  <w:style w:type="character" w:customStyle="1" w:styleId="154">
    <w:name w:val="表格内容 Char1"/>
    <w:qFormat/>
    <w:locked/>
    <w:uiPriority w:val="0"/>
    <w:rPr>
      <w:szCs w:val="21"/>
    </w:rPr>
  </w:style>
  <w:style w:type="paragraph" w:customStyle="1" w:styleId="155">
    <w:name w:val="正文8"/>
    <w:qFormat/>
    <w:uiPriority w:val="0"/>
    <w:pPr>
      <w:jc w:val="both"/>
    </w:pPr>
    <w:rPr>
      <w:rFonts w:ascii="Times New Roman" w:hAnsi="Times New Roman" w:eastAsia="宋体" w:cs="Times New Roman"/>
      <w:kern w:val="2"/>
      <w:sz w:val="21"/>
      <w:szCs w:val="21"/>
      <w:lang w:val="en-US" w:eastAsia="zh-CN" w:bidi="ar-SA"/>
      <w14:ligatures w14:val="standardContextual"/>
    </w:rPr>
  </w:style>
  <w:style w:type="character" w:customStyle="1" w:styleId="156">
    <w:name w:val="书籍标题2"/>
    <w:qFormat/>
    <w:uiPriority w:val="33"/>
    <w:rPr>
      <w:b/>
      <w:bCs/>
      <w:smallCaps/>
      <w:spacing w:val="5"/>
    </w:rPr>
  </w:style>
  <w:style w:type="paragraph" w:customStyle="1" w:styleId="157">
    <w:name w:val="段落"/>
    <w:basedOn w:val="1"/>
    <w:qFormat/>
    <w:uiPriority w:val="0"/>
    <w:pPr>
      <w:tabs>
        <w:tab w:val="left" w:pos="8820"/>
        <w:tab w:val="left" w:pos="9000"/>
      </w:tabs>
      <w:adjustRightInd w:val="0"/>
      <w:spacing w:line="360" w:lineRule="auto"/>
      <w:ind w:firstLine="482"/>
      <w:jc w:val="center"/>
    </w:pPr>
    <w:rPr>
      <w:rFonts w:cs="Arial"/>
      <w:b/>
      <w:color w:val="000000"/>
    </w:rPr>
  </w:style>
  <w:style w:type="character" w:customStyle="1" w:styleId="158">
    <w:name w:val="批注文字 Char2"/>
    <w:qFormat/>
    <w:uiPriority w:val="99"/>
    <w:rPr>
      <w:rFonts w:ascii="Times New Roman" w:hAnsi="Times New Roman" w:eastAsia="宋体" w:cs="Times New Roman"/>
      <w:szCs w:val="24"/>
    </w:rPr>
  </w:style>
  <w:style w:type="character" w:customStyle="1" w:styleId="159">
    <w:name w:val="10"/>
    <w:qFormat/>
    <w:uiPriority w:val="0"/>
    <w:rPr>
      <w:rFonts w:hint="default" w:ascii="Times New Roman" w:hAnsi="Times New Roman" w:cs="Times New Roman"/>
    </w:rPr>
  </w:style>
  <w:style w:type="paragraph" w:customStyle="1" w:styleId="160">
    <w:name w:val="正文5"/>
    <w:qFormat/>
    <w:uiPriority w:val="0"/>
    <w:pPr>
      <w:jc w:val="both"/>
    </w:pPr>
    <w:rPr>
      <w:rFonts w:ascii="Times New Roman" w:hAnsi="Times New Roman" w:eastAsia="宋体" w:cs="Times New Roman"/>
      <w:kern w:val="2"/>
      <w:sz w:val="21"/>
      <w:szCs w:val="21"/>
      <w:lang w:val="en-US" w:eastAsia="zh-CN" w:bidi="ar-SA"/>
      <w14:ligatures w14:val="standardContextual"/>
    </w:rPr>
  </w:style>
  <w:style w:type="paragraph" w:customStyle="1" w:styleId="161">
    <w:name w:val="正文6"/>
    <w:qFormat/>
    <w:uiPriority w:val="0"/>
    <w:pPr>
      <w:jc w:val="both"/>
    </w:pPr>
    <w:rPr>
      <w:rFonts w:ascii="Times New Roman" w:hAnsi="Times New Roman" w:eastAsia="宋体" w:cs="Times New Roman"/>
      <w:kern w:val="2"/>
      <w:sz w:val="21"/>
      <w:szCs w:val="21"/>
      <w:lang w:val="en-US" w:eastAsia="zh-CN" w:bidi="ar-SA"/>
      <w14:ligatures w14:val="standardContextual"/>
    </w:rPr>
  </w:style>
  <w:style w:type="paragraph" w:customStyle="1" w:styleId="162">
    <w:name w:val="正文7"/>
    <w:qFormat/>
    <w:uiPriority w:val="0"/>
    <w:pPr>
      <w:jc w:val="both"/>
    </w:pPr>
    <w:rPr>
      <w:rFonts w:ascii="Times New Roman" w:hAnsi="Times New Roman" w:eastAsia="宋体" w:cs="Times New Roman"/>
      <w:kern w:val="2"/>
      <w:sz w:val="21"/>
      <w:szCs w:val="21"/>
      <w:lang w:val="en-US" w:eastAsia="zh-CN" w:bidi="ar-SA"/>
      <w14:ligatures w14:val="standardContextual"/>
    </w:rPr>
  </w:style>
  <w:style w:type="paragraph" w:customStyle="1" w:styleId="163">
    <w:name w:val="标题 61"/>
    <w:basedOn w:val="1"/>
    <w:next w:val="1"/>
    <w:unhideWhenUsed/>
    <w:qFormat/>
    <w:uiPriority w:val="9"/>
    <w:pPr>
      <w:keepNext/>
      <w:keepLines/>
      <w:snapToGrid w:val="0"/>
      <w:spacing w:before="240" w:after="64" w:line="320" w:lineRule="auto"/>
      <w:ind w:firstLine="200" w:firstLineChars="200"/>
      <w:outlineLvl w:val="5"/>
    </w:pPr>
    <w:rPr>
      <w:rFonts w:ascii="Cambria" w:hAnsi="Cambria" w:cs="Times New Roman"/>
      <w:b/>
      <w:bCs/>
    </w:rPr>
  </w:style>
  <w:style w:type="paragraph" w:customStyle="1" w:styleId="164">
    <w:name w:val="正文首行缩进1"/>
    <w:basedOn w:val="8"/>
    <w:next w:val="7"/>
    <w:unhideWhenUsed/>
    <w:qFormat/>
    <w:uiPriority w:val="99"/>
    <w:pPr>
      <w:snapToGrid w:val="0"/>
      <w:spacing w:line="360" w:lineRule="auto"/>
      <w:ind w:firstLine="420" w:firstLineChars="100"/>
    </w:pPr>
    <w:rPr>
      <w:rFonts w:ascii="Calibri" w:hAnsi="Calibri" w:cs="Arial"/>
    </w:rPr>
  </w:style>
  <w:style w:type="character" w:customStyle="1" w:styleId="165">
    <w:name w:val="超链接1"/>
    <w:unhideWhenUsed/>
    <w:qFormat/>
    <w:uiPriority w:val="99"/>
    <w:rPr>
      <w:color w:val="0000FF"/>
      <w:u w:val="single"/>
    </w:rPr>
  </w:style>
  <w:style w:type="paragraph" w:customStyle="1" w:styleId="166">
    <w:name w:val="custom_unionstyle"/>
    <w:basedOn w:val="1"/>
    <w:qFormat/>
    <w:uiPriority w:val="0"/>
    <w:pPr>
      <w:spacing w:before="100" w:beforeAutospacing="1" w:after="100" w:afterAutospacing="1"/>
    </w:pPr>
  </w:style>
  <w:style w:type="paragraph" w:customStyle="1" w:styleId="167">
    <w:name w:val="正文9"/>
    <w:qFormat/>
    <w:uiPriority w:val="0"/>
    <w:pPr>
      <w:jc w:val="both"/>
    </w:pPr>
    <w:rPr>
      <w:rFonts w:ascii="Times New Roman" w:hAnsi="Times New Roman" w:eastAsia="宋体" w:cs="Times New Roman"/>
      <w:kern w:val="2"/>
      <w:sz w:val="21"/>
      <w:szCs w:val="21"/>
      <w:lang w:val="en-US" w:eastAsia="zh-CN" w:bidi="ar-SA"/>
      <w14:ligatures w14:val="standardContextual"/>
    </w:rPr>
  </w:style>
  <w:style w:type="paragraph" w:customStyle="1" w:styleId="168">
    <w:name w:val="正文10"/>
    <w:qFormat/>
    <w:uiPriority w:val="0"/>
    <w:pPr>
      <w:jc w:val="both"/>
    </w:pPr>
    <w:rPr>
      <w:rFonts w:ascii="Times New Roman" w:hAnsi="Times New Roman" w:eastAsia="宋体" w:cs="Times New Roman"/>
      <w:kern w:val="2"/>
      <w:sz w:val="21"/>
      <w:szCs w:val="21"/>
      <w:lang w:val="en-US" w:eastAsia="zh-CN" w:bidi="ar-SA"/>
      <w14:ligatures w14:val="standardContextual"/>
    </w:rPr>
  </w:style>
  <w:style w:type="table" w:customStyle="1" w:styleId="169">
    <w:name w:val="网格型382"/>
    <w:basedOn w:val="3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0">
    <w:name w:val="Placeholder Text"/>
    <w:semiHidden/>
    <w:qFormat/>
    <w:uiPriority w:val="99"/>
    <w:rPr>
      <w:color w:val="808080"/>
    </w:rPr>
  </w:style>
  <w:style w:type="table" w:customStyle="1" w:styleId="171">
    <w:name w:val="专业网格6"/>
    <w:basedOn w:val="39"/>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
    <w:name w:val="网格型1"/>
    <w:basedOn w:val="39"/>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网格型3821"/>
    <w:basedOn w:val="3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
    <w:name w:val="专业网格61"/>
    <w:basedOn w:val="39"/>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5">
    <w:name w:val="正文首行缩进 字符1"/>
    <w:semiHidden/>
    <w:qFormat/>
    <w:uiPriority w:val="99"/>
    <w:rPr>
      <w:rFonts w:ascii="Times New Roman" w:hAnsi="Times New Roman" w:eastAsia="宋体" w:cs="Arial"/>
      <w:color w:val="000000"/>
      <w:kern w:val="2"/>
      <w:sz w:val="24"/>
      <w:szCs w:val="24"/>
    </w:rPr>
  </w:style>
  <w:style w:type="character" w:customStyle="1" w:styleId="176">
    <w:name w:val="标题 6 字符1"/>
    <w:semiHidden/>
    <w:qFormat/>
    <w:uiPriority w:val="9"/>
    <w:rPr>
      <w:rFonts w:ascii="等线 Light" w:hAnsi="等线 Light" w:eastAsia="等线 Light" w:cs="Times New Roman"/>
      <w:b/>
      <w:bCs/>
      <w:sz w:val="24"/>
      <w:szCs w:val="24"/>
    </w:rPr>
  </w:style>
  <w:style w:type="paragraph" w:customStyle="1" w:styleId="177">
    <w:name w:val="TOC 标题1"/>
    <w:basedOn w:val="2"/>
    <w:next w:val="1"/>
    <w:unhideWhenUsed/>
    <w:qFormat/>
    <w:uiPriority w:val="39"/>
    <w:pPr>
      <w:spacing w:before="240" w:line="259" w:lineRule="auto"/>
      <w:outlineLvl w:val="9"/>
    </w:pPr>
    <w:rPr>
      <w:rFonts w:ascii="等线 Light" w:hAnsi="等线 Light" w:eastAsia="等线 Light"/>
      <w:b w:val="0"/>
      <w:color w:val="2E74B5"/>
      <w:kern w:val="0"/>
      <w:szCs w:val="32"/>
    </w:rPr>
  </w:style>
  <w:style w:type="character" w:customStyle="1" w:styleId="178">
    <w:name w:val="标题 6 Char"/>
    <w:qFormat/>
    <w:uiPriority w:val="99"/>
    <w:rPr>
      <w:rFonts w:ascii="Times New Roman" w:hAnsi="Times New Roman" w:eastAsia="宋体"/>
      <w:b/>
      <w:bCs/>
      <w:kern w:val="2"/>
      <w:sz w:val="21"/>
      <w:szCs w:val="21"/>
    </w:rPr>
  </w:style>
  <w:style w:type="character" w:customStyle="1" w:styleId="179">
    <w:name w:val="标题 7 Char"/>
    <w:qFormat/>
    <w:uiPriority w:val="99"/>
    <w:rPr>
      <w:rFonts w:ascii="Times New Roman" w:hAnsi="Times New Roman" w:eastAsia="宋体"/>
      <w:kern w:val="24"/>
      <w:sz w:val="21"/>
      <w:szCs w:val="21"/>
    </w:rPr>
  </w:style>
  <w:style w:type="character" w:customStyle="1" w:styleId="180">
    <w:name w:val="批注文字 Char"/>
    <w:semiHidden/>
    <w:qFormat/>
    <w:uiPriority w:val="99"/>
    <w:rPr>
      <w:rFonts w:ascii="Times New Roman" w:hAnsi="Times New Roman" w:eastAsia="宋体"/>
      <w:kern w:val="2"/>
      <w:sz w:val="24"/>
      <w:szCs w:val="24"/>
    </w:rPr>
  </w:style>
  <w:style w:type="table" w:customStyle="1" w:styleId="181">
    <w:name w:val="毛的表格41"/>
    <w:basedOn w:val="39"/>
    <w:qFormat/>
    <w:uiPriority w:val="0"/>
    <w:pPr>
      <w:jc w:val="center"/>
    </w:pPr>
    <w:rPr>
      <w:rFonts w:ascii="Times New Roman" w:hAnsi="Times New Roman" w:eastAsia="宋体" w:cs="Times New Roman"/>
      <w:kern w:val="0"/>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paragraph" w:customStyle="1" w:styleId="182">
    <w:name w:val="【正文】"/>
    <w:basedOn w:val="1"/>
    <w:qFormat/>
    <w:uiPriority w:val="0"/>
    <w:pPr>
      <w:spacing w:line="360" w:lineRule="auto"/>
      <w:ind w:firstLine="200" w:firstLineChars="200"/>
    </w:pPr>
    <w:rPr>
      <w:rFonts w:ascii="等线" w:hAnsi="等线" w:eastAsia="等线"/>
    </w:rPr>
  </w:style>
  <w:style w:type="paragraph" w:customStyle="1" w:styleId="183">
    <w:name w:val="【表中文字】"/>
    <w:basedOn w:val="1"/>
    <w:qFormat/>
    <w:uiPriority w:val="0"/>
    <w:pPr>
      <w:jc w:val="center"/>
    </w:pPr>
    <w:rPr>
      <w:rFonts w:ascii="等线" w:hAnsi="等线" w:eastAsia="等线" w:cs="Times New Roman"/>
      <w:szCs w:val="21"/>
    </w:rPr>
  </w:style>
  <w:style w:type="paragraph" w:customStyle="1" w:styleId="184">
    <w:name w:val="【正文】123"/>
    <w:basedOn w:val="1"/>
    <w:qFormat/>
    <w:uiPriority w:val="0"/>
    <w:pPr>
      <w:spacing w:line="480" w:lineRule="exact"/>
      <w:ind w:firstLine="560" w:firstLineChars="200"/>
    </w:pPr>
    <w:rPr>
      <w:rFonts w:ascii="Times New Roman" w:hAnsi="Times New Roman"/>
      <w:sz w:val="26"/>
      <w:szCs w:val="26"/>
    </w:rPr>
  </w:style>
  <w:style w:type="table" w:customStyle="1" w:styleId="185">
    <w:name w:val="毛的表格31"/>
    <w:basedOn w:val="39"/>
    <w:qFormat/>
    <w:uiPriority w:val="0"/>
    <w:pPr>
      <w:jc w:val="center"/>
    </w:pPr>
    <w:rPr>
      <w:rFonts w:ascii="Times New Roman" w:hAnsi="Times New Roman" w:eastAsia="宋体" w:cs="Times New Roman"/>
      <w:kern w:val="0"/>
      <w:sz w:val="24"/>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86">
    <w:name w:val="毛的表格411"/>
    <w:basedOn w:val="39"/>
    <w:qFormat/>
    <w:uiPriority w:val="0"/>
    <w:pPr>
      <w:jc w:val="center"/>
    </w:pPr>
    <w:rPr>
      <w:rFonts w:ascii="Times New Roman" w:hAnsi="Times New Roman" w:eastAsia="宋体" w:cs="Times New Roman"/>
      <w:kern w:val="0"/>
      <w:sz w:val="24"/>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paragraph" w:customStyle="1" w:styleId="187">
    <w:name w:val="无间隔2"/>
    <w:basedOn w:val="1"/>
    <w:next w:val="1"/>
    <w:qFormat/>
    <w:uiPriority w:val="0"/>
    <w:rPr>
      <w:rFonts w:ascii="Calibri" w:hAnsi="Calibri" w:cs="Times New Roman"/>
      <w:sz w:val="28"/>
      <w:szCs w:val="28"/>
    </w:rPr>
  </w:style>
  <w:style w:type="paragraph" w:customStyle="1" w:styleId="188">
    <w:name w:val="正文12"/>
    <w:qFormat/>
    <w:uiPriority w:val="0"/>
    <w:pPr>
      <w:jc w:val="both"/>
    </w:pPr>
    <w:rPr>
      <w:rFonts w:ascii="等线" w:hAnsi="等线" w:eastAsia="宋体" w:cs="宋体"/>
      <w:kern w:val="2"/>
      <w:sz w:val="21"/>
      <w:szCs w:val="21"/>
      <w:lang w:val="en-US" w:eastAsia="zh-CN" w:bidi="ar-SA"/>
      <w14:ligatures w14:val="standardContextual"/>
    </w:rPr>
  </w:style>
  <w:style w:type="paragraph" w:customStyle="1" w:styleId="189">
    <w:name w:val="样式"/>
    <w:basedOn w:val="1"/>
    <w:link w:val="190"/>
    <w:qFormat/>
    <w:uiPriority w:val="0"/>
    <w:pPr>
      <w:widowControl w:val="0"/>
      <w:topLinePunct/>
      <w:spacing w:line="360" w:lineRule="auto"/>
      <w:ind w:firstLine="200" w:firstLineChars="200"/>
      <w:jc w:val="both"/>
    </w:pPr>
    <w:rPr>
      <w:rFonts w:ascii="Times New Roman" w:hAnsi="Times New Roman"/>
      <w:kern w:val="2"/>
      <w14:ligatures w14:val="none"/>
    </w:rPr>
  </w:style>
  <w:style w:type="character" w:customStyle="1" w:styleId="190">
    <w:name w:val="样式 字符"/>
    <w:link w:val="189"/>
    <w:qFormat/>
    <w:uiPriority w:val="0"/>
    <w:rPr>
      <w:rFonts w:ascii="Times New Roman" w:hAnsi="Times New Roman" w:eastAsia="宋体" w:cs="宋体"/>
      <w:sz w:val="24"/>
      <w:szCs w:val="24"/>
      <w14:ligatures w14:val="none"/>
    </w:rPr>
  </w:style>
  <w:style w:type="character" w:customStyle="1" w:styleId="191">
    <w:name w:val="纯文本 字符2"/>
    <w:qFormat/>
    <w:uiPriority w:val="0"/>
    <w:rPr>
      <w:rFonts w:ascii="宋体" w:hAnsi="Courier New" w:eastAsia="宋体"/>
      <w:kern w:val="2"/>
      <w:sz w:val="21"/>
      <w:lang w:val="en-US" w:eastAsia="zh-CN" w:bidi="ar-SA"/>
    </w:rPr>
  </w:style>
  <w:style w:type="character" w:customStyle="1" w:styleId="192">
    <w:name w:val="text_s3vzg"/>
    <w:basedOn w:val="41"/>
    <w:qFormat/>
    <w:uiPriority w:val="0"/>
  </w:style>
  <w:style w:type="paragraph" w:customStyle="1" w:styleId="193">
    <w:name w:val="正文（源通）"/>
    <w:basedOn w:val="1"/>
    <w:unhideWhenUsed/>
    <w:qFormat/>
    <w:uiPriority w:val="0"/>
    <w:pPr>
      <w:spacing w:line="500" w:lineRule="exact"/>
      <w:ind w:firstLine="480" w:firstLineChars="200"/>
    </w:pPr>
    <w:rPr>
      <w:rFonts w:ascii="Times New Roman" w:hAnsi="Times New Roman" w:cs="Times New Roman"/>
      <w:color w:val="FF0000"/>
      <w14:ligatures w14:val="none"/>
    </w:rPr>
  </w:style>
  <w:style w:type="paragraph" w:customStyle="1" w:styleId="194">
    <w:name w:val="TOC Heading"/>
    <w:basedOn w:val="2"/>
    <w:next w:val="1"/>
    <w:unhideWhenUsed/>
    <w:qFormat/>
    <w:uiPriority w:val="39"/>
    <w:pPr>
      <w:spacing w:before="240" w:line="259" w:lineRule="auto"/>
      <w:outlineLvl w:val="9"/>
    </w:pPr>
    <w:rPr>
      <w:rFonts w:asciiTheme="majorHAnsi" w:hAnsiTheme="majorHAnsi" w:eastAsiaTheme="majorEastAsia" w:cstheme="majorBidi"/>
      <w:b w:val="0"/>
      <w:color w:val="2F5597" w:themeColor="accent1" w:themeShade="BF"/>
      <w:kern w:val="0"/>
      <w:szCs w:val="32"/>
    </w:rPr>
  </w:style>
  <w:style w:type="character" w:customStyle="1" w:styleId="195">
    <w:name w:val="未处理的提及1"/>
    <w:basedOn w:val="41"/>
    <w:semiHidden/>
    <w:unhideWhenUsed/>
    <w:qFormat/>
    <w:uiPriority w:val="99"/>
    <w:rPr>
      <w:color w:val="605E5C"/>
      <w:shd w:val="clear" w:color="auto" w:fill="E1DFDD"/>
    </w:rPr>
  </w:style>
  <w:style w:type="character" w:customStyle="1" w:styleId="196">
    <w:name w:val="Unresolved Mention"/>
    <w:basedOn w:val="41"/>
    <w:semiHidden/>
    <w:unhideWhenUsed/>
    <w:qFormat/>
    <w:uiPriority w:val="99"/>
    <w:rPr>
      <w:color w:val="605E5C"/>
      <w:shd w:val="clear" w:color="auto" w:fill="E1DFDD"/>
    </w:rPr>
  </w:style>
  <w:style w:type="character" w:customStyle="1" w:styleId="197">
    <w:name w:val="文本 Char"/>
    <w:link w:val="198"/>
    <w:qFormat/>
    <w:uiPriority w:val="0"/>
    <w:rPr>
      <w:rFonts w:ascii="Times New Roman" w:hAnsi="Times New Roman" w:eastAsia="宋体"/>
      <w:sz w:val="24"/>
    </w:rPr>
  </w:style>
  <w:style w:type="paragraph" w:customStyle="1" w:styleId="198">
    <w:name w:val="文本"/>
    <w:basedOn w:val="1"/>
    <w:link w:val="197"/>
    <w:qFormat/>
    <w:uiPriority w:val="0"/>
    <w:pPr>
      <w:widowControl w:val="0"/>
      <w:spacing w:line="360" w:lineRule="auto"/>
      <w:ind w:firstLine="422" w:firstLineChars="200"/>
      <w:jc w:val="both"/>
    </w:pPr>
    <w:rPr>
      <w:rFonts w:ascii="Times New Roman" w:hAnsi="Times New Roman" w:cstheme="minorBidi"/>
      <w:kern w:val="2"/>
      <w:szCs w:val="22"/>
    </w:rPr>
  </w:style>
  <w:style w:type="paragraph" w:customStyle="1" w:styleId="199">
    <w:name w:val="环评正文文字"/>
    <w:basedOn w:val="1"/>
    <w:link w:val="200"/>
    <w:qFormat/>
    <w:uiPriority w:val="0"/>
    <w:pPr>
      <w:widowControl w:val="0"/>
      <w:spacing w:line="360" w:lineRule="auto"/>
      <w:ind w:firstLine="480" w:firstLineChars="200"/>
      <w:jc w:val="both"/>
    </w:pPr>
    <w:rPr>
      <w:rFonts w:ascii="Times New Roman" w:hAnsi="Times New Roman" w:cs="Times New Roman"/>
      <w:szCs w:val="20"/>
      <w14:ligatures w14:val="none"/>
    </w:rPr>
  </w:style>
  <w:style w:type="character" w:customStyle="1" w:styleId="200">
    <w:name w:val="环评正文文字 Char"/>
    <w:basedOn w:val="41"/>
    <w:link w:val="199"/>
    <w:qFormat/>
    <w:uiPriority w:val="0"/>
    <w:rPr>
      <w:rFonts w:ascii="Times New Roman" w:hAnsi="Times New Roman" w:eastAsia="宋体" w:cs="Times New Roman"/>
      <w:kern w:val="0"/>
      <w:sz w:val="24"/>
      <w:szCs w:val="20"/>
      <w14:ligatures w14:val="none"/>
    </w:rPr>
  </w:style>
  <w:style w:type="paragraph" w:customStyle="1" w:styleId="201">
    <w:name w:val="宋的表格"/>
    <w:basedOn w:val="1"/>
    <w:qFormat/>
    <w:uiPriority w:val="0"/>
    <w:pPr>
      <w:widowControl w:val="0"/>
      <w:snapToGrid w:val="0"/>
      <w:jc w:val="center"/>
    </w:pPr>
    <w:rPr>
      <w:rFonts w:ascii="Times New Roman" w:hAnsi="Times New Roman" w:cs="Times New Roman"/>
      <w:color w:val="000000"/>
      <w:kern w:val="2"/>
      <w:sz w:val="21"/>
      <w14:ligatures w14:val="none"/>
    </w:rPr>
  </w:style>
  <w:style w:type="character" w:customStyle="1" w:styleId="202">
    <w:name w:val="永环书正文 Char"/>
    <w:link w:val="203"/>
    <w:qFormat/>
    <w:locked/>
    <w:uiPriority w:val="0"/>
    <w:rPr>
      <w:sz w:val="24"/>
      <w:szCs w:val="24"/>
    </w:rPr>
  </w:style>
  <w:style w:type="paragraph" w:customStyle="1" w:styleId="203">
    <w:name w:val="永环书正文"/>
    <w:basedOn w:val="1"/>
    <w:link w:val="202"/>
    <w:qFormat/>
    <w:uiPriority w:val="0"/>
    <w:pPr>
      <w:widowControl w:val="0"/>
      <w:spacing w:beforeLines="20" w:line="360" w:lineRule="auto"/>
      <w:ind w:firstLine="200" w:firstLineChars="200"/>
      <w:jc w:val="both"/>
    </w:pPr>
    <w:rPr>
      <w:rFonts w:asciiTheme="minorHAnsi" w:hAnsiTheme="minorHAnsi" w:eastAsiaTheme="minorEastAsia" w:cstheme="minorBidi"/>
      <w:kern w:val="2"/>
    </w:rPr>
  </w:style>
  <w:style w:type="paragraph" w:customStyle="1" w:styleId="204">
    <w:name w:val="样式1"/>
    <w:basedOn w:val="1"/>
    <w:qFormat/>
    <w:uiPriority w:val="0"/>
    <w:pPr>
      <w:widowControl w:val="0"/>
      <w:jc w:val="center"/>
    </w:pPr>
    <w:rPr>
      <w:rFonts w:ascii="Times New Roman" w:hAnsi="Times New Roman" w:cs="Times New Roman"/>
      <w:kern w:val="2"/>
      <w14:ligatures w14:val="none"/>
    </w:rPr>
  </w:style>
  <w:style w:type="paragraph" w:customStyle="1" w:styleId="205">
    <w:name w:val="宋的正文"/>
    <w:basedOn w:val="1"/>
    <w:link w:val="206"/>
    <w:qFormat/>
    <w:uiPriority w:val="0"/>
    <w:pPr>
      <w:widowControl w:val="0"/>
      <w:spacing w:line="360" w:lineRule="auto"/>
      <w:ind w:firstLine="200" w:firstLineChars="200"/>
      <w:jc w:val="both"/>
    </w:pPr>
    <w:rPr>
      <w:rFonts w:ascii="Times New Roman" w:hAnsi="Times New Roman" w:cs="Times New Roman"/>
      <w:kern w:val="2"/>
      <w14:ligatures w14:val="none"/>
    </w:rPr>
  </w:style>
  <w:style w:type="character" w:customStyle="1" w:styleId="206">
    <w:name w:val="宋的正文 字符"/>
    <w:link w:val="205"/>
    <w:qFormat/>
    <w:uiPriority w:val="0"/>
    <w:rPr>
      <w:rFonts w:ascii="Times New Roman" w:hAnsi="Times New Roman" w:eastAsia="宋体" w:cs="Times New Roman"/>
      <w:sz w:val="24"/>
      <w:szCs w:val="24"/>
      <w14:ligatures w14:val="none"/>
    </w:rPr>
  </w:style>
  <w:style w:type="paragraph" w:customStyle="1" w:styleId="207">
    <w:name w:val="宋的表头"/>
    <w:basedOn w:val="1"/>
    <w:next w:val="1"/>
    <w:qFormat/>
    <w:uiPriority w:val="0"/>
    <w:pPr>
      <w:widowControl w:val="0"/>
      <w:tabs>
        <w:tab w:val="left" w:pos="1021"/>
      </w:tabs>
      <w:spacing w:line="360" w:lineRule="auto"/>
      <w:ind w:firstLine="200" w:firstLineChars="200"/>
      <w:jc w:val="center"/>
    </w:pPr>
    <w:rPr>
      <w:rFonts w:ascii="Times New Roman" w:cs="Times New Roman"/>
      <w:b/>
      <w:bCs/>
      <w:kern w:val="2"/>
      <w:sz w:val="21"/>
      <w:szCs w:val="21"/>
      <w14:ligatures w14:val="none"/>
    </w:rPr>
  </w:style>
  <w:style w:type="paragraph" w:customStyle="1" w:styleId="208">
    <w:name w:val="列表段落1"/>
    <w:qFormat/>
    <w:uiPriority w:val="34"/>
    <w:pPr>
      <w:widowControl w:val="0"/>
      <w:ind w:firstLine="420" w:firstLineChars="200"/>
      <w:jc w:val="both"/>
    </w:pPr>
    <w:rPr>
      <w:rFonts w:ascii="Times New Roman" w:hAnsi="Times New Roman" w:eastAsia="宋体" w:cs="Times New Roman"/>
      <w:kern w:val="2"/>
      <w:sz w:val="21"/>
      <w:szCs w:val="22"/>
      <w:lang w:val="en-US" w:eastAsia="zh-CN"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wmf"/><Relationship Id="rId43" Type="http://schemas.openxmlformats.org/officeDocument/2006/relationships/image" Target="media/image24.png"/><Relationship Id="rId42" Type="http://schemas.openxmlformats.org/officeDocument/2006/relationships/image" Target="media/image23.emf"/><Relationship Id="rId41" Type="http://schemas.openxmlformats.org/officeDocument/2006/relationships/oleObject" Target="embeddings/oleObject6.bin"/><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jpe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wmf"/><Relationship Id="rId32" Type="http://schemas.openxmlformats.org/officeDocument/2006/relationships/oleObject" Target="embeddings/oleObject5.bin"/><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wmf"/><Relationship Id="rId26" Type="http://schemas.openxmlformats.org/officeDocument/2006/relationships/image" Target="media/image9.jpeg"/><Relationship Id="rId25" Type="http://schemas.openxmlformats.org/officeDocument/2006/relationships/image" Target="media/image8.emf"/><Relationship Id="rId24" Type="http://schemas.openxmlformats.org/officeDocument/2006/relationships/oleObject" Target="embeddings/oleObject4.bin"/><Relationship Id="rId23" Type="http://schemas.openxmlformats.org/officeDocument/2006/relationships/image" Target="media/image7.emf"/><Relationship Id="rId22" Type="http://schemas.openxmlformats.org/officeDocument/2006/relationships/oleObject" Target="embeddings/oleObject3.bin"/><Relationship Id="rId21" Type="http://schemas.openxmlformats.org/officeDocument/2006/relationships/image" Target="media/image6.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1.bin"/><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178</Pages>
  <Words>72393</Words>
  <Characters>86148</Characters>
  <Lines>7179</Lines>
  <Paragraphs>8344</Paragraphs>
  <TotalTime>34202</TotalTime>
  <ScaleCrop>false</ScaleCrop>
  <LinksUpToDate>false</LinksUpToDate>
  <CharactersWithSpaces>150197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2024-05-10T09:44:00Z</dcterms:created>
  <dc:creator>SYL</dc:creator>
  <cp:lastModifiedBy>kylin</cp:lastModifiedBy>
  <cp:lastPrinted>2025-04-02T10:29:00Z</cp:lastPrinted>
  <dcterms:modified xsi:type="dcterms:W3CDTF">2025-04-23T14:43:34Z</dcterms:modified>
  <cp:revision>229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