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69146F">
      <w:pPr>
        <w:adjustRightInd w:val="0"/>
        <w:snapToGrid w:val="0"/>
        <w:spacing w:line="288" w:lineRule="auto"/>
        <w:jc w:val="center"/>
        <w:rPr>
          <w:rFonts w:hint="eastAsia" w:ascii="楷体_GB2312" w:eastAsia="楷体_GB2312"/>
          <w:sz w:val="36"/>
          <w:szCs w:val="36"/>
        </w:rPr>
        <w:sectPr>
          <w:footerReference r:id="rId7" w:type="first"/>
          <w:headerReference r:id="rId3" w:type="default"/>
          <w:footerReference r:id="rId5" w:type="default"/>
          <w:headerReference r:id="rId4" w:type="even"/>
          <w:footerReference r:id="rId6" w:type="even"/>
          <w:pgSz w:w="11906" w:h="16838"/>
          <w:pgMar w:top="1588" w:right="1361" w:bottom="1474" w:left="1474" w:header="1021" w:footer="851" w:gutter="0"/>
          <w:pgNumType w:start="1"/>
          <w:cols w:space="720" w:num="1"/>
          <w:titlePg/>
          <w:docGrid w:linePitch="312" w:charSpace="0"/>
        </w:sectPr>
      </w:pPr>
    </w:p>
    <w:p w14:paraId="2F41C7A8">
      <w:pPr>
        <w:pStyle w:val="29"/>
        <w:jc w:val="center"/>
      </w:pPr>
      <w:r>
        <w:rPr>
          <w:rFonts w:hint="eastAsia" w:ascii="Times New Roman" w:eastAsia="宋体"/>
          <w:snapToGrid w:val="0"/>
          <w:sz w:val="30"/>
          <w:szCs w:val="30"/>
        </w:rPr>
        <w:t>目录</w:t>
      </w:r>
    </w:p>
    <w:p w14:paraId="41C6BE5B">
      <w:pPr>
        <w:pStyle w:val="29"/>
        <w:tabs>
          <w:tab w:val="right" w:leader="dot" w:pos="9061"/>
        </w:tabs>
        <w:spacing w:line="360" w:lineRule="auto"/>
        <w:rPr>
          <w:rFonts w:ascii="Times New Roman" w:eastAsiaTheme="minorEastAsia"/>
          <w:b w:val="0"/>
          <w:bCs w:val="0"/>
          <w:caps w:val="0"/>
          <w:sz w:val="24"/>
          <w:szCs w:val="24"/>
        </w:rPr>
      </w:pPr>
      <w:r>
        <w:rPr>
          <w:rFonts w:ascii="Times New Roman" w:eastAsia="宋体"/>
          <w:b w:val="0"/>
          <w:sz w:val="24"/>
          <w:szCs w:val="24"/>
        </w:rPr>
        <w:fldChar w:fldCharType="begin"/>
      </w:r>
      <w:r>
        <w:rPr>
          <w:rFonts w:ascii="Times New Roman" w:eastAsia="宋体"/>
          <w:b w:val="0"/>
          <w:sz w:val="24"/>
          <w:szCs w:val="24"/>
        </w:rPr>
        <w:instrText xml:space="preserve"> TOC \o "1-1" \h \z \u </w:instrText>
      </w:r>
      <w:r>
        <w:rPr>
          <w:rFonts w:ascii="Times New Roman" w:eastAsia="宋体"/>
          <w:b w:val="0"/>
          <w:sz w:val="24"/>
          <w:szCs w:val="24"/>
        </w:rPr>
        <w:fldChar w:fldCharType="separate"/>
      </w:r>
      <w:r>
        <w:fldChar w:fldCharType="begin"/>
      </w:r>
      <w:r>
        <w:instrText xml:space="preserve"> HYPERLINK \l "_Toc186810102" </w:instrText>
      </w:r>
      <w:r>
        <w:fldChar w:fldCharType="separate"/>
      </w:r>
      <w:r>
        <w:rPr>
          <w:rStyle w:val="46"/>
          <w:rFonts w:ascii="Times New Roman" w:eastAsia="黑体"/>
          <w:snapToGrid w:val="0"/>
          <w:sz w:val="24"/>
          <w:szCs w:val="24"/>
        </w:rPr>
        <w:t>一、建设项目基本情况</w:t>
      </w:r>
      <w:r>
        <w:rPr>
          <w:rFonts w:ascii="Times New Roman"/>
          <w:sz w:val="24"/>
          <w:szCs w:val="24"/>
        </w:rPr>
        <w:tab/>
      </w:r>
      <w:r>
        <w:rPr>
          <w:rFonts w:ascii="Times New Roman"/>
          <w:sz w:val="24"/>
          <w:szCs w:val="24"/>
        </w:rPr>
        <w:fldChar w:fldCharType="begin"/>
      </w:r>
      <w:r>
        <w:rPr>
          <w:rFonts w:ascii="Times New Roman"/>
          <w:sz w:val="24"/>
          <w:szCs w:val="24"/>
        </w:rPr>
        <w:instrText xml:space="preserve"> PAGEREF _Toc186810102 \h </w:instrText>
      </w:r>
      <w:r>
        <w:rPr>
          <w:rFonts w:ascii="Times New Roman"/>
          <w:sz w:val="24"/>
          <w:szCs w:val="24"/>
        </w:rPr>
        <w:fldChar w:fldCharType="separate"/>
      </w:r>
      <w:r>
        <w:rPr>
          <w:rFonts w:ascii="Times New Roman"/>
          <w:sz w:val="24"/>
          <w:szCs w:val="24"/>
        </w:rPr>
        <w:t>1</w:t>
      </w:r>
      <w:r>
        <w:rPr>
          <w:rFonts w:ascii="Times New Roman"/>
          <w:sz w:val="24"/>
          <w:szCs w:val="24"/>
        </w:rPr>
        <w:fldChar w:fldCharType="end"/>
      </w:r>
      <w:r>
        <w:rPr>
          <w:rFonts w:ascii="Times New Roman"/>
          <w:sz w:val="24"/>
          <w:szCs w:val="24"/>
        </w:rPr>
        <w:fldChar w:fldCharType="end"/>
      </w:r>
    </w:p>
    <w:p w14:paraId="0081873F">
      <w:pPr>
        <w:pStyle w:val="29"/>
        <w:tabs>
          <w:tab w:val="right" w:leader="dot" w:pos="9061"/>
        </w:tabs>
        <w:spacing w:line="360" w:lineRule="auto"/>
        <w:rPr>
          <w:rFonts w:ascii="Times New Roman" w:eastAsiaTheme="minorEastAsia"/>
          <w:b w:val="0"/>
          <w:bCs w:val="0"/>
          <w:caps w:val="0"/>
          <w:sz w:val="24"/>
          <w:szCs w:val="24"/>
        </w:rPr>
      </w:pPr>
      <w:r>
        <w:fldChar w:fldCharType="begin"/>
      </w:r>
      <w:r>
        <w:instrText xml:space="preserve"> HYPERLINK \l "_Toc186810103" </w:instrText>
      </w:r>
      <w:r>
        <w:fldChar w:fldCharType="separate"/>
      </w:r>
      <w:r>
        <w:rPr>
          <w:rStyle w:val="46"/>
          <w:rFonts w:ascii="Times New Roman" w:eastAsia="黑体"/>
          <w:snapToGrid w:val="0"/>
          <w:sz w:val="24"/>
          <w:szCs w:val="24"/>
        </w:rPr>
        <w:t>二、建设内容</w:t>
      </w:r>
      <w:r>
        <w:rPr>
          <w:rFonts w:ascii="Times New Roman"/>
          <w:sz w:val="24"/>
          <w:szCs w:val="24"/>
        </w:rPr>
        <w:tab/>
      </w:r>
      <w:r>
        <w:rPr>
          <w:rFonts w:ascii="Times New Roman"/>
          <w:sz w:val="24"/>
          <w:szCs w:val="24"/>
        </w:rPr>
        <w:fldChar w:fldCharType="begin"/>
      </w:r>
      <w:r>
        <w:rPr>
          <w:rFonts w:ascii="Times New Roman"/>
          <w:sz w:val="24"/>
          <w:szCs w:val="24"/>
        </w:rPr>
        <w:instrText xml:space="preserve"> PAGEREF _Toc186810103 \h </w:instrText>
      </w:r>
      <w:r>
        <w:rPr>
          <w:rFonts w:ascii="Times New Roman"/>
          <w:sz w:val="24"/>
          <w:szCs w:val="24"/>
        </w:rPr>
        <w:fldChar w:fldCharType="separate"/>
      </w:r>
      <w:r>
        <w:rPr>
          <w:rFonts w:ascii="Times New Roman"/>
          <w:sz w:val="24"/>
          <w:szCs w:val="24"/>
        </w:rPr>
        <w:t>14</w:t>
      </w:r>
      <w:r>
        <w:rPr>
          <w:rFonts w:ascii="Times New Roman"/>
          <w:sz w:val="24"/>
          <w:szCs w:val="24"/>
        </w:rPr>
        <w:fldChar w:fldCharType="end"/>
      </w:r>
      <w:r>
        <w:rPr>
          <w:rFonts w:ascii="Times New Roman"/>
          <w:sz w:val="24"/>
          <w:szCs w:val="24"/>
        </w:rPr>
        <w:fldChar w:fldCharType="end"/>
      </w:r>
    </w:p>
    <w:p w14:paraId="7CB61F1E">
      <w:pPr>
        <w:pStyle w:val="29"/>
        <w:tabs>
          <w:tab w:val="right" w:leader="dot" w:pos="9061"/>
        </w:tabs>
        <w:spacing w:line="360" w:lineRule="auto"/>
        <w:rPr>
          <w:rFonts w:ascii="Times New Roman" w:eastAsiaTheme="minorEastAsia"/>
          <w:b w:val="0"/>
          <w:bCs w:val="0"/>
          <w:caps w:val="0"/>
          <w:sz w:val="24"/>
          <w:szCs w:val="24"/>
        </w:rPr>
      </w:pPr>
      <w:r>
        <w:fldChar w:fldCharType="begin"/>
      </w:r>
      <w:r>
        <w:instrText xml:space="preserve"> HYPERLINK \l "_Toc186810105" </w:instrText>
      </w:r>
      <w:r>
        <w:fldChar w:fldCharType="separate"/>
      </w:r>
      <w:r>
        <w:rPr>
          <w:rStyle w:val="46"/>
          <w:rFonts w:ascii="Times New Roman" w:eastAsia="黑体"/>
          <w:snapToGrid w:val="0"/>
          <w:sz w:val="24"/>
          <w:szCs w:val="24"/>
        </w:rPr>
        <w:t>三、生态环境现状、保护目标及评价标准</w:t>
      </w:r>
      <w:r>
        <w:rPr>
          <w:rFonts w:ascii="Times New Roman"/>
          <w:sz w:val="24"/>
          <w:szCs w:val="24"/>
        </w:rPr>
        <w:tab/>
      </w:r>
      <w:r>
        <w:rPr>
          <w:rFonts w:ascii="Times New Roman"/>
          <w:sz w:val="24"/>
          <w:szCs w:val="24"/>
        </w:rPr>
        <w:fldChar w:fldCharType="begin"/>
      </w:r>
      <w:r>
        <w:rPr>
          <w:rFonts w:ascii="Times New Roman"/>
          <w:sz w:val="24"/>
          <w:szCs w:val="24"/>
        </w:rPr>
        <w:instrText xml:space="preserve"> PAGEREF _Toc186810105 \h </w:instrText>
      </w:r>
      <w:r>
        <w:rPr>
          <w:rFonts w:ascii="Times New Roman"/>
          <w:sz w:val="24"/>
          <w:szCs w:val="24"/>
        </w:rPr>
        <w:fldChar w:fldCharType="separate"/>
      </w:r>
      <w:r>
        <w:rPr>
          <w:rFonts w:ascii="Times New Roman"/>
          <w:sz w:val="24"/>
          <w:szCs w:val="24"/>
        </w:rPr>
        <w:t>27</w:t>
      </w:r>
      <w:r>
        <w:rPr>
          <w:rFonts w:ascii="Times New Roman"/>
          <w:sz w:val="24"/>
          <w:szCs w:val="24"/>
        </w:rPr>
        <w:fldChar w:fldCharType="end"/>
      </w:r>
      <w:r>
        <w:rPr>
          <w:rFonts w:ascii="Times New Roman"/>
          <w:sz w:val="24"/>
          <w:szCs w:val="24"/>
        </w:rPr>
        <w:fldChar w:fldCharType="end"/>
      </w:r>
    </w:p>
    <w:p w14:paraId="07A4900F">
      <w:pPr>
        <w:pStyle w:val="29"/>
        <w:tabs>
          <w:tab w:val="right" w:leader="dot" w:pos="9061"/>
        </w:tabs>
        <w:spacing w:line="360" w:lineRule="auto"/>
        <w:rPr>
          <w:rFonts w:ascii="Times New Roman" w:eastAsiaTheme="minorEastAsia"/>
          <w:b w:val="0"/>
          <w:bCs w:val="0"/>
          <w:caps w:val="0"/>
          <w:sz w:val="24"/>
          <w:szCs w:val="24"/>
        </w:rPr>
      </w:pPr>
      <w:r>
        <w:fldChar w:fldCharType="begin"/>
      </w:r>
      <w:r>
        <w:instrText xml:space="preserve"> HYPERLINK \l "_Toc186810107" </w:instrText>
      </w:r>
      <w:r>
        <w:fldChar w:fldCharType="separate"/>
      </w:r>
      <w:r>
        <w:rPr>
          <w:rStyle w:val="46"/>
          <w:rFonts w:ascii="Times New Roman" w:eastAsia="黑体"/>
          <w:snapToGrid w:val="0"/>
          <w:sz w:val="24"/>
          <w:szCs w:val="24"/>
        </w:rPr>
        <w:t>四、生态环境影响分析</w:t>
      </w:r>
      <w:r>
        <w:rPr>
          <w:rFonts w:ascii="Times New Roman"/>
          <w:sz w:val="24"/>
          <w:szCs w:val="24"/>
        </w:rPr>
        <w:tab/>
      </w:r>
      <w:r>
        <w:rPr>
          <w:rFonts w:ascii="Times New Roman"/>
          <w:sz w:val="24"/>
          <w:szCs w:val="24"/>
        </w:rPr>
        <w:fldChar w:fldCharType="begin"/>
      </w:r>
      <w:r>
        <w:rPr>
          <w:rFonts w:ascii="Times New Roman"/>
          <w:sz w:val="24"/>
          <w:szCs w:val="24"/>
        </w:rPr>
        <w:instrText xml:space="preserve"> PAGEREF _Toc186810107 \h </w:instrText>
      </w:r>
      <w:r>
        <w:rPr>
          <w:rFonts w:ascii="Times New Roman"/>
          <w:sz w:val="24"/>
          <w:szCs w:val="24"/>
        </w:rPr>
        <w:fldChar w:fldCharType="separate"/>
      </w:r>
      <w:r>
        <w:rPr>
          <w:rFonts w:ascii="Times New Roman"/>
          <w:sz w:val="24"/>
          <w:szCs w:val="24"/>
        </w:rPr>
        <w:t>35</w:t>
      </w:r>
      <w:r>
        <w:rPr>
          <w:rFonts w:ascii="Times New Roman"/>
          <w:sz w:val="24"/>
          <w:szCs w:val="24"/>
        </w:rPr>
        <w:fldChar w:fldCharType="end"/>
      </w:r>
      <w:r>
        <w:rPr>
          <w:rFonts w:ascii="Times New Roman"/>
          <w:sz w:val="24"/>
          <w:szCs w:val="24"/>
        </w:rPr>
        <w:fldChar w:fldCharType="end"/>
      </w:r>
    </w:p>
    <w:p w14:paraId="711B84CF">
      <w:pPr>
        <w:pStyle w:val="29"/>
        <w:tabs>
          <w:tab w:val="right" w:leader="dot" w:pos="9061"/>
        </w:tabs>
        <w:spacing w:line="360" w:lineRule="auto"/>
        <w:rPr>
          <w:rFonts w:ascii="Times New Roman" w:eastAsiaTheme="minorEastAsia"/>
          <w:b w:val="0"/>
          <w:bCs w:val="0"/>
          <w:caps w:val="0"/>
          <w:sz w:val="24"/>
          <w:szCs w:val="24"/>
        </w:rPr>
      </w:pPr>
      <w:r>
        <w:fldChar w:fldCharType="begin"/>
      </w:r>
      <w:r>
        <w:instrText xml:space="preserve"> HYPERLINK \l "_Toc186810111" </w:instrText>
      </w:r>
      <w:r>
        <w:fldChar w:fldCharType="separate"/>
      </w:r>
      <w:r>
        <w:rPr>
          <w:rStyle w:val="46"/>
          <w:rFonts w:ascii="Times New Roman" w:eastAsia="黑体"/>
          <w:snapToGrid w:val="0"/>
          <w:sz w:val="24"/>
          <w:szCs w:val="24"/>
        </w:rPr>
        <w:t>六、生态环境保护措施监督检查清单</w:t>
      </w:r>
      <w:r>
        <w:rPr>
          <w:rFonts w:ascii="Times New Roman"/>
          <w:sz w:val="24"/>
          <w:szCs w:val="24"/>
        </w:rPr>
        <w:tab/>
      </w:r>
      <w:r>
        <w:rPr>
          <w:rFonts w:ascii="Times New Roman"/>
          <w:sz w:val="24"/>
          <w:szCs w:val="24"/>
        </w:rPr>
        <w:fldChar w:fldCharType="begin"/>
      </w:r>
      <w:r>
        <w:rPr>
          <w:rFonts w:ascii="Times New Roman"/>
          <w:sz w:val="24"/>
          <w:szCs w:val="24"/>
        </w:rPr>
        <w:instrText xml:space="preserve"> PAGEREF _Toc186810111 \h </w:instrText>
      </w:r>
      <w:r>
        <w:rPr>
          <w:rFonts w:ascii="Times New Roman"/>
          <w:sz w:val="24"/>
          <w:szCs w:val="24"/>
        </w:rPr>
        <w:fldChar w:fldCharType="separate"/>
      </w:r>
      <w:r>
        <w:rPr>
          <w:rFonts w:ascii="Times New Roman"/>
          <w:sz w:val="24"/>
          <w:szCs w:val="24"/>
        </w:rPr>
        <w:t>55</w:t>
      </w:r>
      <w:r>
        <w:rPr>
          <w:rFonts w:ascii="Times New Roman"/>
          <w:sz w:val="24"/>
          <w:szCs w:val="24"/>
        </w:rPr>
        <w:fldChar w:fldCharType="end"/>
      </w:r>
      <w:r>
        <w:rPr>
          <w:rFonts w:ascii="Times New Roman"/>
          <w:sz w:val="24"/>
          <w:szCs w:val="24"/>
        </w:rPr>
        <w:fldChar w:fldCharType="end"/>
      </w:r>
    </w:p>
    <w:p w14:paraId="55755E7E">
      <w:pPr>
        <w:pStyle w:val="29"/>
        <w:tabs>
          <w:tab w:val="right" w:leader="dot" w:pos="9061"/>
        </w:tabs>
        <w:spacing w:line="360" w:lineRule="auto"/>
        <w:rPr>
          <w:rFonts w:ascii="Times New Roman" w:eastAsiaTheme="minorEastAsia"/>
          <w:b w:val="0"/>
          <w:bCs w:val="0"/>
          <w:caps w:val="0"/>
          <w:sz w:val="24"/>
          <w:szCs w:val="24"/>
        </w:rPr>
      </w:pPr>
      <w:r>
        <w:fldChar w:fldCharType="begin"/>
      </w:r>
      <w:r>
        <w:instrText xml:space="preserve"> HYPERLINK \l "_Toc186810120" </w:instrText>
      </w:r>
      <w:r>
        <w:fldChar w:fldCharType="separate"/>
      </w:r>
      <w:r>
        <w:rPr>
          <w:rStyle w:val="46"/>
          <w:rFonts w:ascii="Times New Roman" w:eastAsia="黑体"/>
          <w:snapToGrid w:val="0"/>
          <w:sz w:val="24"/>
          <w:szCs w:val="24"/>
        </w:rPr>
        <w:t>七、结论</w:t>
      </w:r>
      <w:r>
        <w:rPr>
          <w:rFonts w:ascii="Times New Roman"/>
          <w:sz w:val="24"/>
          <w:szCs w:val="24"/>
        </w:rPr>
        <w:tab/>
      </w:r>
      <w:r>
        <w:rPr>
          <w:rFonts w:ascii="Times New Roman"/>
          <w:sz w:val="24"/>
          <w:szCs w:val="24"/>
        </w:rPr>
        <w:fldChar w:fldCharType="begin"/>
      </w:r>
      <w:r>
        <w:rPr>
          <w:rFonts w:ascii="Times New Roman"/>
          <w:sz w:val="24"/>
          <w:szCs w:val="24"/>
        </w:rPr>
        <w:instrText xml:space="preserve"> PAGEREF _Toc186810120 \h </w:instrText>
      </w:r>
      <w:r>
        <w:rPr>
          <w:rFonts w:ascii="Times New Roman"/>
          <w:sz w:val="24"/>
          <w:szCs w:val="24"/>
        </w:rPr>
        <w:fldChar w:fldCharType="separate"/>
      </w:r>
      <w:r>
        <w:rPr>
          <w:rFonts w:ascii="Times New Roman"/>
          <w:sz w:val="24"/>
          <w:szCs w:val="24"/>
        </w:rPr>
        <w:t>59</w:t>
      </w:r>
      <w:r>
        <w:rPr>
          <w:rFonts w:ascii="Times New Roman"/>
          <w:sz w:val="24"/>
          <w:szCs w:val="24"/>
        </w:rPr>
        <w:fldChar w:fldCharType="end"/>
      </w:r>
      <w:r>
        <w:rPr>
          <w:rFonts w:ascii="Times New Roman"/>
          <w:sz w:val="24"/>
          <w:szCs w:val="24"/>
        </w:rPr>
        <w:fldChar w:fldCharType="end"/>
      </w:r>
    </w:p>
    <w:p w14:paraId="12B6F5C5">
      <w:pPr>
        <w:pStyle w:val="29"/>
        <w:tabs>
          <w:tab w:val="right" w:leader="dot" w:pos="9061"/>
        </w:tabs>
        <w:spacing w:line="360" w:lineRule="auto"/>
        <w:rPr>
          <w:rFonts w:ascii="Times New Roman" w:eastAsiaTheme="minorEastAsia"/>
          <w:b w:val="0"/>
          <w:bCs w:val="0"/>
          <w:caps w:val="0"/>
          <w:sz w:val="24"/>
          <w:szCs w:val="24"/>
        </w:rPr>
      </w:pPr>
      <w:r>
        <w:fldChar w:fldCharType="begin"/>
      </w:r>
      <w:r>
        <w:instrText xml:space="preserve"> HYPERLINK \l "_Toc186810121" </w:instrText>
      </w:r>
      <w:r>
        <w:fldChar w:fldCharType="separate"/>
      </w:r>
      <w:r>
        <w:rPr>
          <w:rStyle w:val="46"/>
          <w:rFonts w:ascii="Times New Roman" w:eastAsia="黑体"/>
          <w:sz w:val="24"/>
          <w:szCs w:val="24"/>
        </w:rPr>
        <w:t>生态环境影响专项评价</w:t>
      </w:r>
      <w:r>
        <w:rPr>
          <w:rFonts w:ascii="Times New Roman"/>
          <w:sz w:val="24"/>
          <w:szCs w:val="24"/>
        </w:rPr>
        <w:tab/>
      </w:r>
      <w:r>
        <w:rPr>
          <w:rFonts w:ascii="Times New Roman"/>
          <w:sz w:val="24"/>
          <w:szCs w:val="24"/>
        </w:rPr>
        <w:fldChar w:fldCharType="begin"/>
      </w:r>
      <w:r>
        <w:rPr>
          <w:rFonts w:ascii="Times New Roman"/>
          <w:sz w:val="24"/>
          <w:szCs w:val="24"/>
        </w:rPr>
        <w:instrText xml:space="preserve"> PAGEREF _Toc186810121 \h </w:instrText>
      </w:r>
      <w:r>
        <w:rPr>
          <w:rFonts w:ascii="Times New Roman"/>
          <w:sz w:val="24"/>
          <w:szCs w:val="24"/>
        </w:rPr>
        <w:fldChar w:fldCharType="separate"/>
      </w:r>
      <w:r>
        <w:rPr>
          <w:rFonts w:ascii="Times New Roman"/>
          <w:sz w:val="24"/>
          <w:szCs w:val="24"/>
        </w:rPr>
        <w:t>60</w:t>
      </w:r>
      <w:r>
        <w:rPr>
          <w:rFonts w:ascii="Times New Roman"/>
          <w:sz w:val="24"/>
          <w:szCs w:val="24"/>
        </w:rPr>
        <w:fldChar w:fldCharType="end"/>
      </w:r>
      <w:r>
        <w:rPr>
          <w:rFonts w:ascii="Times New Roman"/>
          <w:sz w:val="24"/>
          <w:szCs w:val="24"/>
        </w:rPr>
        <w:fldChar w:fldCharType="end"/>
      </w:r>
    </w:p>
    <w:p w14:paraId="0D9D97C8">
      <w:pPr>
        <w:pStyle w:val="29"/>
        <w:tabs>
          <w:tab w:val="right" w:leader="dot" w:pos="9061"/>
        </w:tabs>
        <w:spacing w:line="360" w:lineRule="auto"/>
        <w:rPr>
          <w:rFonts w:ascii="Times New Roman" w:eastAsiaTheme="minorEastAsia"/>
          <w:b w:val="0"/>
          <w:bCs w:val="0"/>
          <w:caps w:val="0"/>
          <w:sz w:val="24"/>
          <w:szCs w:val="24"/>
        </w:rPr>
      </w:pPr>
      <w:r>
        <w:fldChar w:fldCharType="begin"/>
      </w:r>
      <w:r>
        <w:instrText xml:space="preserve"> HYPERLINK \l "_Toc186810129" </w:instrText>
      </w:r>
      <w:r>
        <w:fldChar w:fldCharType="separate"/>
      </w:r>
      <w:r>
        <w:rPr>
          <w:rStyle w:val="46"/>
          <w:rFonts w:ascii="Times New Roman" w:eastAsia="黑体"/>
          <w:sz w:val="24"/>
          <w:szCs w:val="24"/>
        </w:rPr>
        <w:t>电磁环境影响评价专题</w:t>
      </w:r>
      <w:r>
        <w:rPr>
          <w:rFonts w:ascii="Times New Roman"/>
          <w:sz w:val="24"/>
          <w:szCs w:val="24"/>
        </w:rPr>
        <w:tab/>
      </w:r>
      <w:r>
        <w:rPr>
          <w:rFonts w:ascii="Times New Roman"/>
          <w:sz w:val="24"/>
          <w:szCs w:val="24"/>
        </w:rPr>
        <w:fldChar w:fldCharType="begin"/>
      </w:r>
      <w:r>
        <w:rPr>
          <w:rFonts w:ascii="Times New Roman"/>
          <w:sz w:val="24"/>
          <w:szCs w:val="24"/>
        </w:rPr>
        <w:instrText xml:space="preserve"> PAGEREF _Toc186810129 \h </w:instrText>
      </w:r>
      <w:r>
        <w:rPr>
          <w:rFonts w:ascii="Times New Roman"/>
          <w:sz w:val="24"/>
          <w:szCs w:val="24"/>
        </w:rPr>
        <w:fldChar w:fldCharType="separate"/>
      </w:r>
      <w:r>
        <w:rPr>
          <w:rFonts w:ascii="Times New Roman"/>
          <w:sz w:val="24"/>
          <w:szCs w:val="24"/>
        </w:rPr>
        <w:t>101</w:t>
      </w:r>
      <w:r>
        <w:rPr>
          <w:rFonts w:ascii="Times New Roman"/>
          <w:sz w:val="24"/>
          <w:szCs w:val="24"/>
        </w:rPr>
        <w:fldChar w:fldCharType="end"/>
      </w:r>
      <w:r>
        <w:rPr>
          <w:rFonts w:ascii="Times New Roman"/>
          <w:sz w:val="24"/>
          <w:szCs w:val="24"/>
        </w:rPr>
        <w:fldChar w:fldCharType="end"/>
      </w:r>
    </w:p>
    <w:p w14:paraId="20B99FD3">
      <w:pPr>
        <w:pStyle w:val="29"/>
        <w:spacing w:line="360" w:lineRule="auto"/>
        <w:jc w:val="center"/>
        <w:rPr>
          <w:rFonts w:ascii="Times New Roman" w:eastAsia="宋体"/>
          <w:b w:val="0"/>
          <w:sz w:val="24"/>
          <w:szCs w:val="24"/>
        </w:rPr>
      </w:pPr>
      <w:r>
        <w:rPr>
          <w:rFonts w:ascii="Times New Roman" w:eastAsia="宋体"/>
          <w:b w:val="0"/>
          <w:sz w:val="24"/>
          <w:szCs w:val="24"/>
        </w:rPr>
        <w:fldChar w:fldCharType="end"/>
      </w:r>
    </w:p>
    <w:p w14:paraId="594D75DA">
      <w:pPr>
        <w:widowControl/>
        <w:jc w:val="left"/>
        <w:rPr>
          <w:bCs/>
          <w:caps/>
          <w:sz w:val="24"/>
          <w:szCs w:val="24"/>
        </w:rPr>
      </w:pPr>
      <w:r>
        <w:rPr>
          <w:b/>
          <w:sz w:val="24"/>
          <w:szCs w:val="24"/>
        </w:rPr>
        <w:br w:type="page"/>
      </w:r>
    </w:p>
    <w:p w14:paraId="76C2629D">
      <w:pPr>
        <w:pStyle w:val="29"/>
        <w:spacing w:line="360" w:lineRule="auto"/>
        <w:jc w:val="center"/>
        <w:rPr>
          <w:rFonts w:ascii="Times New Roman" w:eastAsia="宋体"/>
          <w:snapToGrid w:val="0"/>
          <w:sz w:val="30"/>
          <w:szCs w:val="30"/>
        </w:rPr>
      </w:pPr>
      <w:r>
        <w:rPr>
          <w:rFonts w:ascii="Times New Roman" w:eastAsia="宋体"/>
          <w:snapToGrid w:val="0"/>
          <w:sz w:val="30"/>
          <w:szCs w:val="30"/>
        </w:rPr>
        <w:t>附</w:t>
      </w:r>
      <w:r>
        <w:rPr>
          <w:rFonts w:hint="eastAsia" w:ascii="Times New Roman" w:eastAsia="宋体"/>
          <w:snapToGrid w:val="0"/>
          <w:sz w:val="30"/>
          <w:szCs w:val="30"/>
        </w:rPr>
        <w:t xml:space="preserve"> </w:t>
      </w:r>
      <w:r>
        <w:rPr>
          <w:rFonts w:ascii="Times New Roman" w:eastAsia="宋体"/>
          <w:snapToGrid w:val="0"/>
          <w:sz w:val="30"/>
          <w:szCs w:val="30"/>
        </w:rPr>
        <w:t>件</w:t>
      </w:r>
    </w:p>
    <w:p w14:paraId="1A4E0EE2">
      <w:pPr>
        <w:pStyle w:val="3"/>
        <w:ind w:firstLine="480"/>
      </w:pPr>
      <w:r>
        <w:rPr>
          <w:rFonts w:hint="eastAsia"/>
        </w:rPr>
        <w:t>附件1、环评委托函</w:t>
      </w:r>
    </w:p>
    <w:p w14:paraId="1FDC174D">
      <w:pPr>
        <w:pStyle w:val="3"/>
        <w:ind w:firstLine="480"/>
      </w:pPr>
      <w:r>
        <w:rPr>
          <w:rFonts w:hint="eastAsia"/>
        </w:rPr>
        <w:t>附件2、湖南省发展和改革委员会关于核准江华湾水源抽水蓄能电站施工电源110千伏线路工程电网项目的批复（</w:t>
      </w:r>
      <w:r>
        <w:rPr>
          <w:rFonts w:hint="eastAsia"/>
          <w:szCs w:val="24"/>
        </w:rPr>
        <w:t>湘发改许﹝2</w:t>
      </w:r>
      <w:r>
        <w:rPr>
          <w:szCs w:val="24"/>
        </w:rPr>
        <w:t>024</w:t>
      </w:r>
      <w:r>
        <w:rPr>
          <w:rFonts w:hint="eastAsia"/>
          <w:szCs w:val="24"/>
        </w:rPr>
        <w:t>﹞6</w:t>
      </w:r>
      <w:r>
        <w:rPr>
          <w:szCs w:val="24"/>
        </w:rPr>
        <w:t>0</w:t>
      </w:r>
      <w:r>
        <w:rPr>
          <w:rFonts w:hint="eastAsia"/>
          <w:szCs w:val="24"/>
        </w:rPr>
        <w:t>号</w:t>
      </w:r>
      <w:r>
        <w:rPr>
          <w:rFonts w:hint="eastAsia"/>
        </w:rPr>
        <w:t>）</w:t>
      </w:r>
    </w:p>
    <w:p w14:paraId="005361FE">
      <w:pPr>
        <w:pStyle w:val="3"/>
        <w:ind w:firstLine="480"/>
      </w:pPr>
      <w:r>
        <w:rPr>
          <w:rFonts w:hint="eastAsia"/>
        </w:rPr>
        <w:t>附件3、湖南省江华湾水源抽水蓄能电站施工电源110千伏线路工程路径协议</w:t>
      </w:r>
    </w:p>
    <w:p w14:paraId="38A06C11">
      <w:pPr>
        <w:pStyle w:val="3"/>
        <w:ind w:firstLine="480"/>
      </w:pPr>
      <w:r>
        <w:rPr>
          <w:rFonts w:hint="eastAsia"/>
        </w:rPr>
        <w:t>附件4、江华瑶族自治县人民政府-关于湖南省江华湾水源抽水蓄能电站施工电源110千伏线路工程项目符合生态保护红线内允许有限人为活动的认定意见</w:t>
      </w:r>
    </w:p>
    <w:p w14:paraId="59769BE5">
      <w:pPr>
        <w:pStyle w:val="3"/>
        <w:ind w:firstLine="480"/>
      </w:pPr>
      <w:r>
        <w:rPr>
          <w:rFonts w:hint="eastAsia"/>
        </w:rPr>
        <w:t>附件</w:t>
      </w:r>
      <w:r>
        <w:t>5</w:t>
      </w:r>
      <w:r>
        <w:rPr>
          <w:rFonts w:hint="eastAsia"/>
        </w:rPr>
        <w:t>、项目环境</w:t>
      </w:r>
      <w:r>
        <w:t>质量现状监测</w:t>
      </w:r>
      <w:r>
        <w:rPr>
          <w:rFonts w:hint="eastAsia"/>
        </w:rPr>
        <w:t>报告及质保单</w:t>
      </w:r>
    </w:p>
    <w:p w14:paraId="438649FC">
      <w:pPr>
        <w:pStyle w:val="3"/>
        <w:ind w:firstLine="480"/>
      </w:pPr>
      <w:r>
        <w:rPr>
          <w:rFonts w:hint="eastAsia"/>
        </w:rPr>
        <w:t>附件</w:t>
      </w:r>
      <w:r>
        <w:t>6</w:t>
      </w:r>
      <w:r>
        <w:rPr>
          <w:rFonts w:hint="eastAsia"/>
        </w:rPr>
        <w:t>、《湖南省林业局关于反馈湖南省江华湾水源抽水蓄能电站施工电源110千伏线路工程电网项目穿越湖南江华涔天河国家湿地公园意见的函》（</w:t>
      </w:r>
      <w:r>
        <w:rPr>
          <w:rFonts w:hint="eastAsia"/>
          <w:szCs w:val="24"/>
        </w:rPr>
        <w:t>湘林湿函﹝2</w:t>
      </w:r>
      <w:r>
        <w:rPr>
          <w:szCs w:val="24"/>
        </w:rPr>
        <w:t>025</w:t>
      </w:r>
      <w:r>
        <w:rPr>
          <w:rFonts w:hint="eastAsia"/>
          <w:szCs w:val="24"/>
        </w:rPr>
        <w:t>﹞</w:t>
      </w:r>
      <w:r>
        <w:rPr>
          <w:szCs w:val="24"/>
        </w:rPr>
        <w:t>23</w:t>
      </w:r>
      <w:r>
        <w:rPr>
          <w:rFonts w:hint="eastAsia"/>
          <w:szCs w:val="24"/>
        </w:rPr>
        <w:t>号</w:t>
      </w:r>
      <w:r>
        <w:rPr>
          <w:rFonts w:hint="eastAsia"/>
        </w:rPr>
        <w:t>）</w:t>
      </w:r>
    </w:p>
    <w:p w14:paraId="72E3BE8B">
      <w:pPr>
        <w:pStyle w:val="3"/>
        <w:ind w:firstLine="480"/>
      </w:pPr>
      <w:r>
        <w:rPr>
          <w:rFonts w:hint="eastAsia"/>
        </w:rPr>
        <w:t>附件7、姑婆山风景名胜区江华湾水源抽水蓄能电站施工电源110千伏线路工程选址方案论证报告专家评审意见</w:t>
      </w:r>
    </w:p>
    <w:p w14:paraId="1DE4B26E">
      <w:pPr>
        <w:pStyle w:val="3"/>
        <w:ind w:firstLine="480"/>
      </w:pPr>
      <w:r>
        <w:rPr>
          <w:rFonts w:hint="eastAsia"/>
        </w:rPr>
        <w:t>附件8、</w:t>
      </w:r>
      <w:bookmarkStart w:id="0" w:name="OLE_LINK2"/>
      <w:bookmarkStart w:id="1" w:name="OLE_LINK3"/>
      <w:r>
        <w:rPr>
          <w:rFonts w:hint="eastAsia"/>
        </w:rPr>
        <w:t>江华瑶族自治县姑婆山风景名胜区管理局《关于对湖南省江华湾水源抽水蓄能电站施工电源110千伏线路工程在姑婆山风景名胜区内建设情况说明的函》</w:t>
      </w:r>
      <w:bookmarkEnd w:id="0"/>
      <w:bookmarkEnd w:id="1"/>
    </w:p>
    <w:p w14:paraId="2D6312A7">
      <w:pPr>
        <w:pStyle w:val="3"/>
        <w:ind w:firstLine="480"/>
      </w:pPr>
      <w:r>
        <w:rPr>
          <w:rFonts w:hint="eastAsia"/>
        </w:rPr>
        <w:t>附件</w:t>
      </w:r>
      <w:r>
        <w:t>9</w:t>
      </w:r>
      <w:r>
        <w:rPr>
          <w:rFonts w:hint="eastAsia"/>
        </w:rPr>
        <w:t>、《关于湘投能源（江华）有限公司湖南省江华湾水源抽水蓄能电站环境影响报告书的批复》（永环评﹝2023﹞23号）</w:t>
      </w:r>
    </w:p>
    <w:p w14:paraId="1BAB50E9">
      <w:pPr>
        <w:pStyle w:val="29"/>
        <w:tabs>
          <w:tab w:val="right" w:leader="dot" w:pos="8834"/>
        </w:tabs>
        <w:jc w:val="center"/>
        <w:rPr>
          <w:rFonts w:ascii="Times New Roman" w:eastAsia="宋体"/>
          <w:snapToGrid w:val="0"/>
          <w:sz w:val="30"/>
          <w:szCs w:val="30"/>
        </w:rPr>
      </w:pPr>
      <w:r>
        <w:rPr>
          <w:rFonts w:ascii="Times New Roman" w:eastAsia="宋体"/>
          <w:snapToGrid w:val="0"/>
          <w:sz w:val="30"/>
          <w:szCs w:val="30"/>
        </w:rPr>
        <w:t>附</w:t>
      </w:r>
      <w:r>
        <w:rPr>
          <w:rFonts w:hint="eastAsia" w:ascii="Times New Roman" w:eastAsia="宋体"/>
          <w:snapToGrid w:val="0"/>
          <w:sz w:val="30"/>
          <w:szCs w:val="30"/>
        </w:rPr>
        <w:t xml:space="preserve"> </w:t>
      </w:r>
      <w:r>
        <w:rPr>
          <w:rFonts w:ascii="Times New Roman" w:eastAsia="宋体"/>
          <w:snapToGrid w:val="0"/>
          <w:sz w:val="30"/>
          <w:szCs w:val="30"/>
        </w:rPr>
        <w:t>图</w:t>
      </w:r>
    </w:p>
    <w:p w14:paraId="164BB65E">
      <w:pPr>
        <w:pStyle w:val="3"/>
        <w:widowControl/>
        <w:ind w:firstLine="0" w:firstLineChars="0"/>
        <w:jc w:val="left"/>
      </w:pPr>
      <w:r>
        <w:rPr>
          <w:rFonts w:hint="eastAsia"/>
        </w:rPr>
        <w:t>附图</w:t>
      </w:r>
      <w:r>
        <w:fldChar w:fldCharType="begin"/>
      </w:r>
      <w:r>
        <w:instrText xml:space="preserve"> </w:instrText>
      </w:r>
      <w:r>
        <w:rPr>
          <w:rFonts w:hint="eastAsia"/>
        </w:rPr>
        <w:instrText xml:space="preserve">= 1 \* Arabic</w:instrText>
      </w:r>
      <w:r>
        <w:instrText xml:space="preserve"> </w:instrText>
      </w:r>
      <w:r>
        <w:fldChar w:fldCharType="separate"/>
      </w:r>
      <w:r>
        <w:t>1</w:t>
      </w:r>
      <w:r>
        <w:fldChar w:fldCharType="end"/>
      </w:r>
      <w:r>
        <w:rPr>
          <w:rFonts w:hint="eastAsia"/>
        </w:rPr>
        <w:t>、本工程</w:t>
      </w:r>
      <w:r>
        <w:t>地理位置</w:t>
      </w:r>
      <w:r>
        <w:rPr>
          <w:rFonts w:hint="eastAsia"/>
        </w:rPr>
        <w:t>示意图</w:t>
      </w:r>
    </w:p>
    <w:p w14:paraId="719FDEB4">
      <w:pPr>
        <w:pStyle w:val="3"/>
        <w:widowControl/>
        <w:ind w:firstLine="0" w:firstLineChars="0"/>
        <w:jc w:val="left"/>
      </w:pPr>
      <w:r>
        <w:rPr>
          <w:rFonts w:hint="eastAsia"/>
        </w:rPr>
        <w:t>附图</w:t>
      </w:r>
      <w:r>
        <w:t>2</w:t>
      </w:r>
      <w:r>
        <w:rPr>
          <w:rFonts w:hint="eastAsia"/>
        </w:rPr>
        <w:t>、基地源1</w:t>
      </w:r>
      <w:r>
        <w:t>10</w:t>
      </w:r>
      <w:r>
        <w:rPr>
          <w:rFonts w:hint="eastAsia"/>
        </w:rPr>
        <w:t>kV变电站平面布置图</w:t>
      </w:r>
    </w:p>
    <w:p w14:paraId="1D2FA630">
      <w:pPr>
        <w:pStyle w:val="3"/>
        <w:widowControl/>
        <w:ind w:firstLine="0" w:firstLineChars="0"/>
        <w:jc w:val="left"/>
      </w:pPr>
      <w:r>
        <w:rPr>
          <w:rFonts w:hint="eastAsia"/>
        </w:rPr>
        <w:t>附图</w:t>
      </w:r>
      <w:r>
        <w:t>3</w:t>
      </w:r>
      <w:r>
        <w:rPr>
          <w:rFonts w:hint="eastAsia"/>
        </w:rPr>
        <w:t>、工程沿线敏感目标分布及环境质量现状监测布点图</w:t>
      </w:r>
    </w:p>
    <w:p w14:paraId="48075096">
      <w:pPr>
        <w:pStyle w:val="3"/>
        <w:widowControl/>
        <w:ind w:firstLine="0" w:firstLineChars="0"/>
        <w:jc w:val="left"/>
        <w:rPr>
          <w:rFonts w:ascii="宋体" w:hAnsi="宋体"/>
        </w:rPr>
      </w:pPr>
      <w:r>
        <w:rPr>
          <w:rFonts w:hint="eastAsia"/>
        </w:rPr>
        <w:t>附图</w:t>
      </w:r>
      <w:r>
        <w:t>4</w:t>
      </w:r>
      <w:r>
        <w:rPr>
          <w:rFonts w:hint="eastAsia"/>
        </w:rPr>
        <w:t>、本工程与</w:t>
      </w:r>
      <w:r>
        <w:rPr>
          <w:rFonts w:ascii="宋体" w:hAnsi="宋体"/>
        </w:rPr>
        <w:t>“</w:t>
      </w:r>
      <w:r>
        <w:rPr>
          <w:rFonts w:hint="eastAsia" w:ascii="宋体" w:hAnsi="宋体"/>
        </w:rPr>
        <w:t>三区三线</w:t>
      </w:r>
      <w:r>
        <w:rPr>
          <w:rFonts w:ascii="宋体" w:hAnsi="宋体"/>
        </w:rPr>
        <w:t>”</w:t>
      </w:r>
      <w:r>
        <w:rPr>
          <w:rFonts w:hint="eastAsia" w:ascii="宋体" w:hAnsi="宋体"/>
        </w:rPr>
        <w:t>成果套合图</w:t>
      </w:r>
    </w:p>
    <w:p w14:paraId="0AAD3718">
      <w:pPr>
        <w:pStyle w:val="3"/>
        <w:widowControl/>
        <w:ind w:firstLine="0" w:firstLineChars="0"/>
        <w:jc w:val="left"/>
      </w:pPr>
      <w:r>
        <w:rPr>
          <w:rFonts w:hint="eastAsia"/>
        </w:rPr>
        <w:t>附图</w:t>
      </w:r>
      <w:r>
        <w:t>5</w:t>
      </w:r>
      <w:r>
        <w:rPr>
          <w:rFonts w:hint="eastAsia"/>
        </w:rPr>
        <w:t>、</w:t>
      </w:r>
      <w:r>
        <w:rPr>
          <w:rFonts w:hint="eastAsia"/>
          <w:szCs w:val="24"/>
        </w:rPr>
        <w:t>本工程评价范围内植被类型图</w:t>
      </w:r>
    </w:p>
    <w:p w14:paraId="03B475C4">
      <w:pPr>
        <w:pStyle w:val="3"/>
        <w:widowControl/>
        <w:ind w:firstLine="0" w:firstLineChars="0"/>
        <w:jc w:val="left"/>
        <w:rPr>
          <w:szCs w:val="24"/>
        </w:rPr>
      </w:pPr>
      <w:r>
        <w:rPr>
          <w:rFonts w:hint="eastAsia"/>
        </w:rPr>
        <w:t>附图</w:t>
      </w:r>
      <w:r>
        <w:t>6</w:t>
      </w:r>
      <w:r>
        <w:rPr>
          <w:rFonts w:hint="eastAsia"/>
        </w:rPr>
        <w:t>、</w:t>
      </w:r>
      <w:r>
        <w:rPr>
          <w:rFonts w:hint="eastAsia"/>
          <w:szCs w:val="24"/>
        </w:rPr>
        <w:t>本工程评价范围内土地利用</w:t>
      </w:r>
      <w:r>
        <w:rPr>
          <w:szCs w:val="24"/>
        </w:rPr>
        <w:t>现状</w:t>
      </w:r>
      <w:r>
        <w:rPr>
          <w:rFonts w:hint="eastAsia"/>
          <w:szCs w:val="24"/>
        </w:rPr>
        <w:t>图</w:t>
      </w:r>
    </w:p>
    <w:p w14:paraId="35114FE2">
      <w:pPr>
        <w:pStyle w:val="3"/>
        <w:widowControl/>
        <w:ind w:firstLine="0" w:firstLineChars="0"/>
        <w:jc w:val="left"/>
      </w:pPr>
      <w:r>
        <w:rPr>
          <w:rFonts w:hint="eastAsia"/>
        </w:rPr>
        <w:t>附图</w:t>
      </w:r>
      <w:r>
        <w:t>7</w:t>
      </w:r>
      <w:r>
        <w:rPr>
          <w:rFonts w:hint="eastAsia"/>
        </w:rPr>
        <w:t>、本工程植被样方和动物样线示意图</w:t>
      </w:r>
    </w:p>
    <w:p w14:paraId="475B7E11">
      <w:pPr>
        <w:pStyle w:val="3"/>
        <w:widowControl/>
        <w:ind w:firstLine="0" w:firstLineChars="0"/>
        <w:jc w:val="left"/>
        <w:rPr>
          <w:szCs w:val="24"/>
        </w:rPr>
      </w:pPr>
      <w:r>
        <w:rPr>
          <w:rFonts w:hint="eastAsia"/>
        </w:rPr>
        <w:t>附图</w:t>
      </w:r>
      <w:r>
        <w:t>8</w:t>
      </w:r>
      <w:r>
        <w:rPr>
          <w:rFonts w:hint="eastAsia"/>
        </w:rPr>
        <w:t>、</w:t>
      </w:r>
      <w:r>
        <w:rPr>
          <w:rFonts w:hint="eastAsia"/>
          <w:szCs w:val="24"/>
        </w:rPr>
        <w:t>本工程与生态公益林位置关系示意图</w:t>
      </w:r>
    </w:p>
    <w:p w14:paraId="54769EDC">
      <w:pPr>
        <w:pStyle w:val="3"/>
        <w:widowControl/>
        <w:ind w:firstLine="0" w:firstLineChars="0"/>
        <w:jc w:val="left"/>
      </w:pPr>
      <w:r>
        <w:rPr>
          <w:szCs w:val="24"/>
        </w:rPr>
        <w:t>附图9</w:t>
      </w:r>
      <w:r>
        <w:rPr>
          <w:rFonts w:hint="eastAsia"/>
          <w:szCs w:val="24"/>
        </w:rPr>
        <w:t>、</w:t>
      </w:r>
      <w:r>
        <w:rPr>
          <w:rFonts w:hint="eastAsia"/>
        </w:rPr>
        <w:t>本工程与湖南江华涔天河国家湿地公园位置关系示意图</w:t>
      </w:r>
    </w:p>
    <w:p w14:paraId="03A401FF">
      <w:pPr>
        <w:pStyle w:val="3"/>
        <w:widowControl/>
        <w:ind w:firstLine="0" w:firstLineChars="0"/>
        <w:jc w:val="left"/>
      </w:pPr>
      <w:r>
        <w:rPr>
          <w:szCs w:val="24"/>
        </w:rPr>
        <w:t>附图10</w:t>
      </w:r>
      <w:r>
        <w:rPr>
          <w:rFonts w:hint="eastAsia"/>
          <w:szCs w:val="24"/>
        </w:rPr>
        <w:t>、</w:t>
      </w:r>
      <w:r>
        <w:rPr>
          <w:rFonts w:hint="eastAsia"/>
        </w:rPr>
        <w:t>本工程与姑婆山风景名胜区位置关系示意图</w:t>
      </w:r>
    </w:p>
    <w:p w14:paraId="56BE2BDC">
      <w:pPr>
        <w:pStyle w:val="3"/>
        <w:widowControl/>
        <w:ind w:firstLine="0" w:firstLineChars="0"/>
        <w:jc w:val="left"/>
        <w:sectPr>
          <w:footerReference r:id="rId8" w:type="default"/>
          <w:pgSz w:w="11906" w:h="16838"/>
          <w:pgMar w:top="1588" w:right="1361" w:bottom="1474" w:left="1474" w:header="1021" w:footer="851" w:gutter="0"/>
          <w:pgNumType w:fmt="upperRoman"/>
          <w:cols w:space="720" w:num="1"/>
          <w:docGrid w:linePitch="312" w:charSpace="0"/>
        </w:sectPr>
      </w:pPr>
    </w:p>
    <w:p w14:paraId="58A56E96">
      <w:pPr>
        <w:pStyle w:val="37"/>
        <w:jc w:val="center"/>
        <w:outlineLvl w:val="0"/>
        <w:rPr>
          <w:rFonts w:ascii="黑体" w:hAnsi="黑体" w:eastAsia="黑体"/>
          <w:snapToGrid w:val="0"/>
          <w:sz w:val="30"/>
          <w:szCs w:val="30"/>
        </w:rPr>
      </w:pPr>
      <w:bookmarkStart w:id="2" w:name="_Toc95916401"/>
      <w:bookmarkStart w:id="3" w:name="_Toc99093509"/>
      <w:bookmarkStart w:id="4" w:name="_Toc99093194"/>
      <w:bookmarkStart w:id="5" w:name="_Toc99090737"/>
      <w:bookmarkStart w:id="6" w:name="_Toc95916518"/>
      <w:bookmarkStart w:id="7" w:name="_Toc186810102"/>
      <w:r>
        <w:rPr>
          <w:rFonts w:hint="eastAsia" w:ascii="黑体" w:hAnsi="黑体" w:eastAsia="黑体"/>
          <w:snapToGrid w:val="0"/>
          <w:sz w:val="30"/>
          <w:szCs w:val="30"/>
        </w:rPr>
        <w:t>一、建设项目基本情况</w:t>
      </w:r>
      <w:bookmarkEnd w:id="2"/>
      <w:bookmarkEnd w:id="3"/>
      <w:bookmarkEnd w:id="4"/>
      <w:bookmarkEnd w:id="5"/>
      <w:bookmarkEnd w:id="6"/>
      <w:bookmarkEnd w:id="7"/>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24"/>
        <w:gridCol w:w="1153"/>
        <w:gridCol w:w="2516"/>
        <w:gridCol w:w="2436"/>
        <w:gridCol w:w="9"/>
        <w:gridCol w:w="2559"/>
      </w:tblGrid>
      <w:tr w14:paraId="0694B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5D905E43">
            <w:pPr>
              <w:pStyle w:val="86"/>
            </w:pPr>
            <w:r>
              <w:t>建设项目名称</w:t>
            </w:r>
          </w:p>
        </w:tc>
        <w:tc>
          <w:tcPr>
            <w:tcW w:w="4133" w:type="pct"/>
            <w:gridSpan w:val="4"/>
            <w:vAlign w:val="center"/>
          </w:tcPr>
          <w:p w14:paraId="067D0E27">
            <w:pPr>
              <w:pStyle w:val="93"/>
              <w:rPr>
                <w:color w:val="FF0000"/>
                <w:szCs w:val="24"/>
              </w:rPr>
            </w:pPr>
            <w:r>
              <w:rPr>
                <w:rFonts w:hint="eastAsia"/>
              </w:rPr>
              <w:t>湖南省江华湾水源抽水蓄能电站施工电源110kV线路工程电网项目</w:t>
            </w:r>
          </w:p>
        </w:tc>
      </w:tr>
      <w:tr w14:paraId="478EB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116B6D33">
            <w:pPr>
              <w:pStyle w:val="86"/>
            </w:pPr>
            <w:r>
              <w:t>项目代码</w:t>
            </w:r>
          </w:p>
        </w:tc>
        <w:tc>
          <w:tcPr>
            <w:tcW w:w="4133" w:type="pct"/>
            <w:gridSpan w:val="4"/>
            <w:vAlign w:val="center"/>
          </w:tcPr>
          <w:p w14:paraId="6148F93E">
            <w:pPr>
              <w:pStyle w:val="93"/>
            </w:pPr>
            <w:bookmarkStart w:id="333" w:name="_GoBack"/>
            <w:bookmarkEnd w:id="333"/>
          </w:p>
        </w:tc>
      </w:tr>
      <w:tr w14:paraId="5432F2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490803A2">
            <w:pPr>
              <w:pStyle w:val="86"/>
            </w:pPr>
            <w:r>
              <w:t>建设单位联系人</w:t>
            </w:r>
          </w:p>
        </w:tc>
        <w:tc>
          <w:tcPr>
            <w:tcW w:w="1383" w:type="pct"/>
            <w:vAlign w:val="center"/>
          </w:tcPr>
          <w:p w14:paraId="53802EEC">
            <w:pPr>
              <w:pStyle w:val="86"/>
            </w:pPr>
          </w:p>
        </w:tc>
        <w:tc>
          <w:tcPr>
            <w:tcW w:w="1344" w:type="pct"/>
            <w:gridSpan w:val="2"/>
            <w:vAlign w:val="center"/>
          </w:tcPr>
          <w:p w14:paraId="7795021A">
            <w:pPr>
              <w:pStyle w:val="86"/>
            </w:pPr>
            <w:r>
              <w:t>联系方式</w:t>
            </w:r>
          </w:p>
        </w:tc>
        <w:tc>
          <w:tcPr>
            <w:tcW w:w="1406" w:type="pct"/>
            <w:vAlign w:val="center"/>
          </w:tcPr>
          <w:p w14:paraId="2A7E8EA4">
            <w:pPr>
              <w:pStyle w:val="93"/>
            </w:pPr>
          </w:p>
        </w:tc>
      </w:tr>
      <w:tr w14:paraId="3B117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41878F08">
            <w:pPr>
              <w:pStyle w:val="86"/>
            </w:pPr>
            <w:r>
              <w:t>建设地点</w:t>
            </w:r>
          </w:p>
        </w:tc>
        <w:tc>
          <w:tcPr>
            <w:tcW w:w="4133" w:type="pct"/>
            <w:gridSpan w:val="4"/>
            <w:vAlign w:val="center"/>
          </w:tcPr>
          <w:p w14:paraId="0886EBD1">
            <w:pPr>
              <w:pStyle w:val="93"/>
              <w:rPr>
                <w:color w:val="FF0000"/>
              </w:rPr>
            </w:pPr>
            <w:r>
              <w:rPr>
                <w:rFonts w:hint="eastAsia"/>
              </w:rPr>
              <w:t>永州市江华县水口镇和湘江乡</w:t>
            </w:r>
          </w:p>
        </w:tc>
      </w:tr>
      <w:tr w14:paraId="5F788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27FA55ED">
            <w:pPr>
              <w:pStyle w:val="86"/>
            </w:pPr>
            <w:r>
              <w:t>地理坐标</w:t>
            </w:r>
          </w:p>
        </w:tc>
        <w:tc>
          <w:tcPr>
            <w:tcW w:w="4133" w:type="pct"/>
            <w:gridSpan w:val="4"/>
            <w:vAlign w:val="center"/>
          </w:tcPr>
          <w:p w14:paraId="43B12A7B">
            <w:pPr>
              <w:pStyle w:val="3"/>
              <w:ind w:firstLine="480"/>
            </w:pPr>
            <w:r>
              <w:t>线路起点：E</w:t>
            </w:r>
            <w:r>
              <w:rPr>
                <w:rFonts w:hint="eastAsia"/>
              </w:rPr>
              <w:t>111°51′48.4</w:t>
            </w:r>
            <w:r>
              <w:t>6</w:t>
            </w:r>
            <w:r>
              <w:rPr>
                <w:rFonts w:hint="eastAsia"/>
              </w:rPr>
              <w:t>″，</w:t>
            </w:r>
            <w:r>
              <w:t>N</w:t>
            </w:r>
            <w:r>
              <w:rPr>
                <w:rFonts w:hint="eastAsia"/>
              </w:rPr>
              <w:t>25°7′6.2</w:t>
            </w:r>
            <w:r>
              <w:t>7</w:t>
            </w:r>
            <w:r>
              <w:rPr>
                <w:rFonts w:hint="eastAsia"/>
              </w:rPr>
              <w:t>″</w:t>
            </w:r>
          </w:p>
          <w:p w14:paraId="139FD9F4">
            <w:pPr>
              <w:pStyle w:val="3"/>
              <w:ind w:firstLine="480"/>
            </w:pPr>
            <w:r>
              <w:rPr>
                <w:szCs w:val="24"/>
              </w:rPr>
              <w:t>线路终点：E</w:t>
            </w:r>
            <w:r>
              <w:t>111°49′35.65″</w:t>
            </w:r>
            <w:r>
              <w:rPr>
                <w:rFonts w:hint="eastAsia"/>
              </w:rPr>
              <w:t>，</w:t>
            </w:r>
            <w:r>
              <w:t>N24°57′56.72″</w:t>
            </w:r>
          </w:p>
          <w:p w14:paraId="7EB777B6">
            <w:pPr>
              <w:pStyle w:val="3"/>
              <w:ind w:firstLine="480"/>
            </w:pPr>
            <w:r>
              <w:rPr>
                <w:rFonts w:hint="eastAsia"/>
              </w:rPr>
              <w:t>基地源变电站中心：E111°51′50.</w:t>
            </w:r>
            <w:r>
              <w:t>50</w:t>
            </w:r>
            <w:r>
              <w:rPr>
                <w:rFonts w:hint="eastAsia"/>
              </w:rPr>
              <w:t>″，N25°7′</w:t>
            </w:r>
            <w:r>
              <w:t>6.26</w:t>
            </w:r>
            <w:r>
              <w:rPr>
                <w:rFonts w:hint="eastAsia"/>
              </w:rPr>
              <w:t>″</w:t>
            </w:r>
          </w:p>
        </w:tc>
      </w:tr>
      <w:tr w14:paraId="68821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2E256B9B">
            <w:pPr>
              <w:pStyle w:val="86"/>
            </w:pPr>
            <w:r>
              <w:t>建设项目</w:t>
            </w:r>
          </w:p>
          <w:p w14:paraId="6C9DDD31">
            <w:pPr>
              <w:pStyle w:val="86"/>
            </w:pPr>
            <w:r>
              <w:t>行业类别</w:t>
            </w:r>
          </w:p>
        </w:tc>
        <w:tc>
          <w:tcPr>
            <w:tcW w:w="1383" w:type="pct"/>
            <w:vAlign w:val="center"/>
          </w:tcPr>
          <w:p w14:paraId="7F3B905E">
            <w:pPr>
              <w:pStyle w:val="93"/>
            </w:pPr>
            <w:r>
              <w:rPr>
                <w:rFonts w:hint="eastAsia"/>
              </w:rPr>
              <w:t>五十五、核与辐射</w:t>
            </w:r>
          </w:p>
          <w:p w14:paraId="2B1E51D2">
            <w:pPr>
              <w:pStyle w:val="93"/>
              <w:rPr>
                <w:szCs w:val="24"/>
              </w:rPr>
            </w:pPr>
            <w:r>
              <w:rPr>
                <w:rFonts w:hint="eastAsia"/>
              </w:rPr>
              <w:t>161 输变电工程</w:t>
            </w:r>
          </w:p>
        </w:tc>
        <w:tc>
          <w:tcPr>
            <w:tcW w:w="1339" w:type="pct"/>
            <w:vAlign w:val="center"/>
          </w:tcPr>
          <w:p w14:paraId="4535BFE1">
            <w:pPr>
              <w:pStyle w:val="86"/>
            </w:pPr>
            <w:r>
              <w:t>用地（用海）面积（m</w:t>
            </w:r>
            <w:r>
              <w:rPr>
                <w:vertAlign w:val="superscript"/>
              </w:rPr>
              <w:t>2</w:t>
            </w:r>
            <w:r>
              <w:t>）/长度（km）</w:t>
            </w:r>
          </w:p>
        </w:tc>
        <w:tc>
          <w:tcPr>
            <w:tcW w:w="1411" w:type="pct"/>
            <w:gridSpan w:val="2"/>
            <w:vAlign w:val="center"/>
          </w:tcPr>
          <w:p w14:paraId="3A0EE55E">
            <w:pPr>
              <w:pStyle w:val="93"/>
            </w:pPr>
            <w:r>
              <w:t>20.045</w:t>
            </w:r>
            <w:r>
              <w:rPr>
                <w:rFonts w:hint="eastAsia"/>
              </w:rPr>
              <w:t>km</w:t>
            </w:r>
          </w:p>
        </w:tc>
      </w:tr>
      <w:tr w14:paraId="1AEE9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62B9E145">
            <w:pPr>
              <w:pStyle w:val="86"/>
            </w:pPr>
            <w:r>
              <w:t>建设性质</w:t>
            </w:r>
          </w:p>
        </w:tc>
        <w:tc>
          <w:tcPr>
            <w:tcW w:w="1383" w:type="pct"/>
            <w:vAlign w:val="center"/>
          </w:tcPr>
          <w:p w14:paraId="10040955">
            <w:pPr>
              <w:pStyle w:val="3"/>
              <w:spacing w:line="240" w:lineRule="auto"/>
              <w:ind w:firstLine="0" w:firstLineChars="0"/>
              <w:jc w:val="left"/>
              <w:rPr>
                <w:rFonts w:ascii="宋体" w:hAnsi="宋体"/>
                <w:szCs w:val="24"/>
              </w:rPr>
            </w:pPr>
            <w:r>
              <w:rPr>
                <w:rFonts w:ascii="Segoe UI Symbol" w:hAnsi="Segoe UI Symbol" w:eastAsia="仿宋" w:cs="Segoe UI Symbol"/>
                <w:szCs w:val="24"/>
              </w:rPr>
              <w:sym w:font="Wingdings 2" w:char="F052"/>
            </w:r>
            <w:r>
              <w:rPr>
                <w:rFonts w:ascii="宋体" w:hAnsi="宋体"/>
                <w:szCs w:val="24"/>
              </w:rPr>
              <w:t>新建（迁建）</w:t>
            </w:r>
          </w:p>
          <w:p w14:paraId="05E6BFA0">
            <w:pPr>
              <w:pStyle w:val="3"/>
              <w:spacing w:line="240" w:lineRule="auto"/>
              <w:ind w:firstLine="0" w:firstLineChars="0"/>
              <w:jc w:val="left"/>
              <w:rPr>
                <w:rFonts w:ascii="宋体" w:hAnsi="宋体"/>
                <w:szCs w:val="24"/>
              </w:rPr>
            </w:pPr>
            <w:r>
              <w:rPr>
                <w:rFonts w:ascii="宋体" w:hAnsi="宋体"/>
                <w:szCs w:val="24"/>
              </w:rPr>
              <w:t>□改建</w:t>
            </w:r>
          </w:p>
          <w:p w14:paraId="00520404">
            <w:pPr>
              <w:pStyle w:val="3"/>
              <w:spacing w:line="240" w:lineRule="auto"/>
              <w:ind w:firstLine="0" w:firstLineChars="0"/>
              <w:jc w:val="left"/>
              <w:rPr>
                <w:rFonts w:ascii="宋体" w:hAnsi="宋体"/>
                <w:szCs w:val="24"/>
              </w:rPr>
            </w:pPr>
            <w:r>
              <w:rPr>
                <w:rFonts w:ascii="宋体" w:hAnsi="宋体"/>
                <w:szCs w:val="24"/>
              </w:rPr>
              <w:t>□扩建</w:t>
            </w:r>
          </w:p>
          <w:p w14:paraId="6570CB58">
            <w:pPr>
              <w:pStyle w:val="3"/>
              <w:spacing w:line="240" w:lineRule="auto"/>
              <w:ind w:firstLine="0" w:firstLineChars="0"/>
              <w:jc w:val="left"/>
              <w:rPr>
                <w:rFonts w:ascii="宋体" w:hAnsi="宋体"/>
                <w:szCs w:val="24"/>
              </w:rPr>
            </w:pPr>
            <w:r>
              <w:rPr>
                <w:rFonts w:ascii="宋体" w:hAnsi="宋体"/>
                <w:szCs w:val="24"/>
              </w:rPr>
              <w:t>□技术改造</w:t>
            </w:r>
          </w:p>
        </w:tc>
        <w:tc>
          <w:tcPr>
            <w:tcW w:w="1339" w:type="pct"/>
            <w:vAlign w:val="center"/>
          </w:tcPr>
          <w:p w14:paraId="3335CA29">
            <w:pPr>
              <w:pStyle w:val="86"/>
            </w:pPr>
            <w:r>
              <w:t>建设项目</w:t>
            </w:r>
          </w:p>
          <w:p w14:paraId="31994AEE">
            <w:pPr>
              <w:pStyle w:val="86"/>
            </w:pPr>
            <w:r>
              <w:t>申报情形</w:t>
            </w:r>
          </w:p>
        </w:tc>
        <w:tc>
          <w:tcPr>
            <w:tcW w:w="1411" w:type="pct"/>
            <w:gridSpan w:val="2"/>
            <w:vAlign w:val="center"/>
          </w:tcPr>
          <w:p w14:paraId="60DC639A">
            <w:pPr>
              <w:pStyle w:val="3"/>
              <w:spacing w:line="240" w:lineRule="auto"/>
              <w:ind w:firstLine="0" w:firstLineChars="0"/>
              <w:jc w:val="left"/>
            </w:pPr>
            <w:r>
              <w:rPr>
                <w:rFonts w:ascii="Segoe UI Symbol" w:hAnsi="Segoe UI Symbol" w:eastAsia="仿宋" w:cs="Segoe UI Symbol"/>
                <w:szCs w:val="24"/>
              </w:rPr>
              <w:sym w:font="Wingdings 2" w:char="F052"/>
            </w:r>
            <w:r>
              <w:t>首次申报项目</w:t>
            </w:r>
          </w:p>
          <w:p w14:paraId="01E5EE4E">
            <w:pPr>
              <w:pStyle w:val="3"/>
              <w:spacing w:line="240" w:lineRule="auto"/>
              <w:ind w:firstLine="0" w:firstLineChars="0"/>
              <w:jc w:val="left"/>
              <w:rPr>
                <w:rFonts w:ascii="宋体" w:hAnsi="宋体"/>
                <w:szCs w:val="24"/>
              </w:rPr>
            </w:pPr>
            <w:r>
              <w:rPr>
                <w:rFonts w:ascii="宋体" w:hAnsi="宋体"/>
                <w:szCs w:val="24"/>
              </w:rPr>
              <w:t>□不予批准后再次申报项目</w:t>
            </w:r>
          </w:p>
          <w:p w14:paraId="6CF3D444">
            <w:pPr>
              <w:pStyle w:val="3"/>
              <w:spacing w:line="240" w:lineRule="auto"/>
              <w:ind w:firstLine="0" w:firstLineChars="0"/>
              <w:jc w:val="left"/>
              <w:rPr>
                <w:rFonts w:ascii="宋体" w:hAnsi="宋体"/>
                <w:szCs w:val="24"/>
              </w:rPr>
            </w:pPr>
            <w:r>
              <w:rPr>
                <w:rFonts w:ascii="宋体" w:hAnsi="宋体"/>
                <w:szCs w:val="24"/>
              </w:rPr>
              <w:t>□超五年重新审核项目</w:t>
            </w:r>
          </w:p>
          <w:p w14:paraId="61231BCE">
            <w:pPr>
              <w:pStyle w:val="3"/>
              <w:spacing w:line="240" w:lineRule="auto"/>
              <w:ind w:firstLine="0" w:firstLineChars="0"/>
              <w:jc w:val="left"/>
              <w:rPr>
                <w:rFonts w:ascii="宋体" w:hAnsi="宋体"/>
                <w:szCs w:val="24"/>
              </w:rPr>
            </w:pPr>
            <w:r>
              <w:rPr>
                <w:rFonts w:ascii="宋体" w:hAnsi="宋体"/>
                <w:szCs w:val="24"/>
              </w:rPr>
              <w:t>□重大变动重新报批项目</w:t>
            </w:r>
          </w:p>
        </w:tc>
      </w:tr>
      <w:tr w14:paraId="23C620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4EF125D3">
            <w:pPr>
              <w:pStyle w:val="86"/>
            </w:pPr>
            <w:r>
              <w:t>项目审批（核准/备案）部门</w:t>
            </w:r>
          </w:p>
          <w:p w14:paraId="1444F688">
            <w:pPr>
              <w:pStyle w:val="86"/>
            </w:pPr>
            <w:r>
              <w:t>（选填）</w:t>
            </w:r>
          </w:p>
        </w:tc>
        <w:tc>
          <w:tcPr>
            <w:tcW w:w="1383" w:type="pct"/>
            <w:vAlign w:val="center"/>
          </w:tcPr>
          <w:p w14:paraId="34B281F2">
            <w:pPr>
              <w:adjustRightInd w:val="0"/>
              <w:snapToGrid w:val="0"/>
              <w:jc w:val="center"/>
              <w:rPr>
                <w:sz w:val="24"/>
                <w:szCs w:val="24"/>
              </w:rPr>
            </w:pPr>
            <w:r>
              <w:rPr>
                <w:rFonts w:hint="eastAsia"/>
                <w:sz w:val="24"/>
                <w:szCs w:val="24"/>
              </w:rPr>
              <w:t>湖南省发展与改革委员会</w:t>
            </w:r>
          </w:p>
        </w:tc>
        <w:tc>
          <w:tcPr>
            <w:tcW w:w="1339" w:type="pct"/>
            <w:vAlign w:val="center"/>
          </w:tcPr>
          <w:p w14:paraId="3F2FDFC7">
            <w:pPr>
              <w:pStyle w:val="86"/>
            </w:pPr>
            <w:r>
              <w:t>项目审批（核准/</w:t>
            </w:r>
          </w:p>
          <w:p w14:paraId="2AA8BE58">
            <w:pPr>
              <w:pStyle w:val="86"/>
            </w:pPr>
            <w:r>
              <w:t>备案）文号（选填）</w:t>
            </w:r>
          </w:p>
        </w:tc>
        <w:tc>
          <w:tcPr>
            <w:tcW w:w="1411" w:type="pct"/>
            <w:gridSpan w:val="2"/>
            <w:vAlign w:val="center"/>
          </w:tcPr>
          <w:p w14:paraId="269B02C6">
            <w:pPr>
              <w:adjustRightInd w:val="0"/>
              <w:snapToGrid w:val="0"/>
              <w:jc w:val="center"/>
              <w:rPr>
                <w:sz w:val="24"/>
                <w:szCs w:val="24"/>
              </w:rPr>
            </w:pPr>
            <w:r>
              <w:rPr>
                <w:rFonts w:hint="eastAsia"/>
                <w:sz w:val="24"/>
                <w:szCs w:val="24"/>
              </w:rPr>
              <w:t>湘发改许﹝2</w:t>
            </w:r>
            <w:r>
              <w:rPr>
                <w:sz w:val="24"/>
                <w:szCs w:val="24"/>
              </w:rPr>
              <w:t>024</w:t>
            </w:r>
            <w:r>
              <w:rPr>
                <w:rFonts w:hint="eastAsia"/>
                <w:sz w:val="24"/>
                <w:szCs w:val="24"/>
              </w:rPr>
              <w:t>﹞6</w:t>
            </w:r>
            <w:r>
              <w:rPr>
                <w:sz w:val="24"/>
                <w:szCs w:val="24"/>
              </w:rPr>
              <w:t>0</w:t>
            </w:r>
            <w:r>
              <w:rPr>
                <w:rFonts w:hint="eastAsia"/>
                <w:sz w:val="24"/>
                <w:szCs w:val="24"/>
              </w:rPr>
              <w:t>号</w:t>
            </w:r>
          </w:p>
        </w:tc>
      </w:tr>
      <w:tr w14:paraId="26D2C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02D4D06E">
            <w:pPr>
              <w:pStyle w:val="86"/>
            </w:pPr>
            <w:r>
              <w:t>总投资</w:t>
            </w:r>
          </w:p>
          <w:p w14:paraId="394CBF5D">
            <w:pPr>
              <w:pStyle w:val="86"/>
            </w:pPr>
            <w:r>
              <w:t>（万元）</w:t>
            </w:r>
          </w:p>
        </w:tc>
        <w:tc>
          <w:tcPr>
            <w:tcW w:w="1383" w:type="pct"/>
            <w:vAlign w:val="center"/>
          </w:tcPr>
          <w:p w14:paraId="50561D7E">
            <w:pPr>
              <w:pStyle w:val="93"/>
            </w:pPr>
            <w:r>
              <w:t>3298</w:t>
            </w:r>
          </w:p>
        </w:tc>
        <w:tc>
          <w:tcPr>
            <w:tcW w:w="1339" w:type="pct"/>
            <w:tcMar>
              <w:top w:w="16" w:type="dxa"/>
              <w:left w:w="16" w:type="dxa"/>
              <w:right w:w="16" w:type="dxa"/>
            </w:tcMar>
            <w:vAlign w:val="center"/>
          </w:tcPr>
          <w:p w14:paraId="12B638ED">
            <w:pPr>
              <w:pStyle w:val="86"/>
            </w:pPr>
            <w:r>
              <w:t>环保投资（万元）</w:t>
            </w:r>
          </w:p>
        </w:tc>
        <w:tc>
          <w:tcPr>
            <w:tcW w:w="1411" w:type="pct"/>
            <w:gridSpan w:val="2"/>
            <w:vAlign w:val="center"/>
          </w:tcPr>
          <w:p w14:paraId="73B2A0E1">
            <w:pPr>
              <w:pStyle w:val="93"/>
            </w:pPr>
            <w:r>
              <w:t>320</w:t>
            </w:r>
          </w:p>
        </w:tc>
      </w:tr>
      <w:tr w14:paraId="7EBF0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003D5B1D">
            <w:pPr>
              <w:pStyle w:val="86"/>
            </w:pPr>
            <w:r>
              <w:t>环保投资占比</w:t>
            </w:r>
          </w:p>
          <w:p w14:paraId="4CDD202E">
            <w:pPr>
              <w:pStyle w:val="86"/>
            </w:pPr>
            <w:r>
              <w:t>（%）</w:t>
            </w:r>
          </w:p>
        </w:tc>
        <w:tc>
          <w:tcPr>
            <w:tcW w:w="1383" w:type="pct"/>
            <w:vAlign w:val="center"/>
          </w:tcPr>
          <w:p w14:paraId="5A286AD7">
            <w:pPr>
              <w:pStyle w:val="93"/>
            </w:pPr>
            <w:r>
              <w:t>9.7</w:t>
            </w:r>
          </w:p>
        </w:tc>
        <w:tc>
          <w:tcPr>
            <w:tcW w:w="1339" w:type="pct"/>
            <w:tcMar>
              <w:top w:w="16" w:type="dxa"/>
              <w:left w:w="16" w:type="dxa"/>
              <w:right w:w="16" w:type="dxa"/>
            </w:tcMar>
            <w:vAlign w:val="center"/>
          </w:tcPr>
          <w:p w14:paraId="5B979212">
            <w:pPr>
              <w:pStyle w:val="86"/>
            </w:pPr>
            <w:r>
              <w:t>施工工期</w:t>
            </w:r>
          </w:p>
        </w:tc>
        <w:tc>
          <w:tcPr>
            <w:tcW w:w="1411" w:type="pct"/>
            <w:gridSpan w:val="2"/>
            <w:vAlign w:val="center"/>
          </w:tcPr>
          <w:p w14:paraId="60CB9FD1">
            <w:pPr>
              <w:pStyle w:val="93"/>
              <w:rPr>
                <w:color w:val="FF0000"/>
              </w:rPr>
            </w:pPr>
            <w:r>
              <w:t>8</w:t>
            </w:r>
            <w:r>
              <w:rPr>
                <w:rFonts w:hint="eastAsia"/>
              </w:rPr>
              <w:t>个月</w:t>
            </w:r>
          </w:p>
        </w:tc>
      </w:tr>
      <w:tr w14:paraId="63CED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01BA5A43">
            <w:pPr>
              <w:pStyle w:val="86"/>
            </w:pPr>
            <w:r>
              <w:t>是否开工建设</w:t>
            </w:r>
          </w:p>
        </w:tc>
        <w:tc>
          <w:tcPr>
            <w:tcW w:w="4133" w:type="pct"/>
            <w:gridSpan w:val="4"/>
            <w:vAlign w:val="center"/>
          </w:tcPr>
          <w:p w14:paraId="65256D1E">
            <w:pPr>
              <w:rPr>
                <w:sz w:val="24"/>
                <w:szCs w:val="24"/>
              </w:rPr>
            </w:pPr>
            <w:r>
              <w:rPr>
                <w:rFonts w:ascii="Segoe UI Symbol" w:hAnsi="Segoe UI Symbol" w:eastAsia="仿宋" w:cs="Segoe UI Symbol"/>
                <w:sz w:val="24"/>
                <w:szCs w:val="24"/>
              </w:rPr>
              <w:sym w:font="Wingdings 2" w:char="F052"/>
            </w:r>
            <w:r>
              <w:rPr>
                <w:sz w:val="24"/>
                <w:szCs w:val="24"/>
              </w:rPr>
              <w:t>否</w:t>
            </w:r>
          </w:p>
          <w:p w14:paraId="67D7FB41">
            <w:pPr>
              <w:pStyle w:val="3"/>
              <w:spacing w:line="240" w:lineRule="auto"/>
              <w:ind w:firstLine="0" w:firstLineChars="0"/>
              <w:jc w:val="left"/>
              <w:rPr>
                <w:rFonts w:ascii="宋体" w:hAnsi="宋体"/>
                <w:szCs w:val="24"/>
              </w:rPr>
            </w:pPr>
            <w:r>
              <w:rPr>
                <w:rFonts w:ascii="宋体" w:hAnsi="宋体"/>
                <w:szCs w:val="24"/>
              </w:rPr>
              <w:t>□是：</w:t>
            </w:r>
          </w:p>
        </w:tc>
      </w:tr>
      <w:tr w14:paraId="3EE104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113DE3AF">
            <w:pPr>
              <w:pStyle w:val="86"/>
            </w:pPr>
            <w:r>
              <w:t>专项评价设置情况</w:t>
            </w:r>
          </w:p>
        </w:tc>
        <w:tc>
          <w:tcPr>
            <w:tcW w:w="4133" w:type="pct"/>
            <w:gridSpan w:val="4"/>
            <w:tcMar>
              <w:top w:w="16" w:type="dxa"/>
              <w:left w:w="16" w:type="dxa"/>
              <w:right w:w="16" w:type="dxa"/>
            </w:tcMar>
            <w:vAlign w:val="center"/>
          </w:tcPr>
          <w:p w14:paraId="0E54627B">
            <w:pPr>
              <w:pStyle w:val="3"/>
              <w:ind w:firstLine="480"/>
            </w:pPr>
            <w:r>
              <w:rPr>
                <w:rFonts w:hint="eastAsia"/>
              </w:rPr>
              <w:t>本项目涉及</w:t>
            </w:r>
            <w:r>
              <w:t>姑婆山风景名胜区，</w:t>
            </w:r>
            <w:r>
              <w:rPr>
                <w:rFonts w:hint="eastAsia"/>
              </w:rPr>
              <w:t>根据《建设项目环境影响报告表编制技术指南（生态影响类</w:t>
            </w:r>
            <w:r>
              <w:t>）（</w:t>
            </w:r>
            <w:r>
              <w:rPr>
                <w:rFonts w:hint="eastAsia"/>
              </w:rPr>
              <w:t>试</w:t>
            </w:r>
            <w:r>
              <w:t>行）》中</w:t>
            </w:r>
            <w:r>
              <w:rPr>
                <w:rFonts w:hint="eastAsia"/>
              </w:rPr>
              <w:t>专项评</w:t>
            </w:r>
            <w:r>
              <w:t>价</w:t>
            </w:r>
            <w:r>
              <w:rPr>
                <w:rFonts w:hint="eastAsia"/>
              </w:rPr>
              <w:t>设</w:t>
            </w:r>
            <w:r>
              <w:t>置原</w:t>
            </w:r>
            <w:r>
              <w:rPr>
                <w:rFonts w:hint="eastAsia"/>
              </w:rPr>
              <w:t>则</w:t>
            </w:r>
            <w:r>
              <w:t>，本</w:t>
            </w:r>
            <w:r>
              <w:rPr>
                <w:rFonts w:hint="eastAsia"/>
              </w:rPr>
              <w:t>报</w:t>
            </w:r>
            <w:r>
              <w:t>告需</w:t>
            </w:r>
            <w:r>
              <w:rPr>
                <w:rFonts w:hint="eastAsia"/>
              </w:rPr>
              <w:t>设</w:t>
            </w:r>
            <w:r>
              <w:t>生</w:t>
            </w:r>
            <w:r>
              <w:rPr>
                <w:rFonts w:hint="eastAsia"/>
              </w:rPr>
              <w:t>态环</w:t>
            </w:r>
            <w:r>
              <w:t>境影</w:t>
            </w:r>
            <w:r>
              <w:rPr>
                <w:rFonts w:hint="eastAsia"/>
              </w:rPr>
              <w:t>响专项评价。</w:t>
            </w:r>
          </w:p>
          <w:p w14:paraId="5652BB1C">
            <w:pPr>
              <w:pStyle w:val="3"/>
              <w:ind w:firstLine="480"/>
              <w:rPr>
                <w:u w:val="wave"/>
              </w:rPr>
            </w:pPr>
            <w:r>
              <w:rPr>
                <w:rFonts w:hint="eastAsia"/>
              </w:rPr>
              <w:t>本项目新建110kV输电线路及变电站，需对其进行电磁辐射环境影响评价，按照《环境影响评价技术导则 输变电》（HJ24-2020）附录B设置电磁环境影响评价专题。</w:t>
            </w:r>
          </w:p>
        </w:tc>
      </w:tr>
      <w:tr w14:paraId="7868A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5971C398">
            <w:pPr>
              <w:pStyle w:val="86"/>
            </w:pPr>
            <w:r>
              <w:t>规划情况</w:t>
            </w:r>
          </w:p>
        </w:tc>
        <w:tc>
          <w:tcPr>
            <w:tcW w:w="4133" w:type="pct"/>
            <w:gridSpan w:val="4"/>
            <w:tcMar>
              <w:top w:w="16" w:type="dxa"/>
              <w:left w:w="16" w:type="dxa"/>
              <w:right w:w="16" w:type="dxa"/>
            </w:tcMar>
            <w:vAlign w:val="center"/>
          </w:tcPr>
          <w:p w14:paraId="7C698D8F">
            <w:pPr>
              <w:spacing w:line="360" w:lineRule="auto"/>
              <w:jc w:val="center"/>
              <w:rPr>
                <w:sz w:val="24"/>
                <w:szCs w:val="24"/>
              </w:rPr>
            </w:pPr>
            <w:r>
              <w:rPr>
                <w:rFonts w:hint="eastAsia"/>
                <w:sz w:val="24"/>
                <w:szCs w:val="24"/>
              </w:rPr>
              <w:t>《抽水蓄能中长期发展规划（2021-2035年）》《湖南省“十四五”能源发展规划》《姑婆山风景名胜区总体规划（2023-2035 年）》</w:t>
            </w:r>
          </w:p>
        </w:tc>
      </w:tr>
      <w:tr w14:paraId="0494D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61689A58">
            <w:pPr>
              <w:pStyle w:val="86"/>
            </w:pPr>
            <w:r>
              <w:t>规划环境影响</w:t>
            </w:r>
          </w:p>
          <w:p w14:paraId="04F61609">
            <w:pPr>
              <w:pStyle w:val="86"/>
            </w:pPr>
            <w:r>
              <w:t>评价情况</w:t>
            </w:r>
          </w:p>
        </w:tc>
        <w:tc>
          <w:tcPr>
            <w:tcW w:w="4133" w:type="pct"/>
            <w:gridSpan w:val="4"/>
            <w:tcMar>
              <w:top w:w="16" w:type="dxa"/>
              <w:left w:w="16" w:type="dxa"/>
              <w:right w:w="16" w:type="dxa"/>
            </w:tcMar>
            <w:vAlign w:val="center"/>
          </w:tcPr>
          <w:p w14:paraId="6FB8189B">
            <w:pPr>
              <w:jc w:val="center"/>
              <w:rPr>
                <w:sz w:val="24"/>
                <w:szCs w:val="24"/>
              </w:rPr>
            </w:pPr>
            <w:r>
              <w:rPr>
                <w:rFonts w:hint="eastAsia"/>
                <w:sz w:val="24"/>
                <w:szCs w:val="24"/>
              </w:rPr>
              <w:t>无</w:t>
            </w:r>
          </w:p>
        </w:tc>
      </w:tr>
      <w:tr w14:paraId="39C9F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67" w:type="pct"/>
            <w:gridSpan w:val="2"/>
            <w:tcMar>
              <w:top w:w="16" w:type="dxa"/>
              <w:left w:w="16" w:type="dxa"/>
              <w:right w:w="16" w:type="dxa"/>
            </w:tcMar>
            <w:vAlign w:val="center"/>
          </w:tcPr>
          <w:p w14:paraId="5DA785AF">
            <w:pPr>
              <w:pStyle w:val="86"/>
            </w:pPr>
            <w:r>
              <w:t>规划及规划环境影响评价符合性分析</w:t>
            </w:r>
          </w:p>
        </w:tc>
        <w:tc>
          <w:tcPr>
            <w:tcW w:w="4133" w:type="pct"/>
            <w:gridSpan w:val="4"/>
            <w:tcMar>
              <w:top w:w="16" w:type="dxa"/>
              <w:left w:w="16" w:type="dxa"/>
              <w:right w:w="16" w:type="dxa"/>
            </w:tcMar>
            <w:vAlign w:val="center"/>
          </w:tcPr>
          <w:p w14:paraId="668D79C1">
            <w:pPr>
              <w:spacing w:line="360" w:lineRule="auto"/>
              <w:ind w:firstLine="480" w:firstLineChars="200"/>
              <w:jc w:val="left"/>
              <w:rPr>
                <w:sz w:val="24"/>
                <w:szCs w:val="24"/>
              </w:rPr>
            </w:pPr>
            <w:r>
              <w:rPr>
                <w:sz w:val="24"/>
                <w:szCs w:val="24"/>
              </w:rPr>
              <w:t>a</w:t>
            </w:r>
            <w:r>
              <w:rPr>
                <w:rFonts w:hint="eastAsia"/>
                <w:sz w:val="24"/>
                <w:szCs w:val="24"/>
              </w:rPr>
              <w:t>）与《抽水蓄能中长期发展规划（2021-2035年）》《湖南省“十四五”能源发展规划》符合性分析</w:t>
            </w:r>
          </w:p>
          <w:p w14:paraId="0B6ABE10">
            <w:pPr>
              <w:spacing w:line="360" w:lineRule="auto"/>
              <w:ind w:firstLine="480" w:firstLineChars="200"/>
              <w:jc w:val="left"/>
              <w:rPr>
                <w:sz w:val="24"/>
                <w:szCs w:val="24"/>
              </w:rPr>
            </w:pPr>
            <w:r>
              <w:rPr>
                <w:rFonts w:hint="eastAsia"/>
                <w:sz w:val="24"/>
                <w:szCs w:val="24"/>
              </w:rPr>
              <w:t>湖南省江华湾水源抽水蓄能电站是《抽水蓄能中长期发展规划（2021-2035年）》确定的湖南省13个“十四五”重点实施项目中永州江华站点的细化设计，是《湖南省“十四五”能源发展规划》中2</w:t>
            </w:r>
            <w:r>
              <w:rPr>
                <w:sz w:val="24"/>
                <w:szCs w:val="24"/>
              </w:rPr>
              <w:t>4</w:t>
            </w:r>
            <w:r>
              <w:rPr>
                <w:rFonts w:hint="eastAsia"/>
                <w:sz w:val="24"/>
                <w:szCs w:val="24"/>
              </w:rPr>
              <w:t>项能源调节储备工程之一。本工程为湖南省江华湾水源抽水蓄能电站配套的施工电源输电线路工程，符合相关规划。</w:t>
            </w:r>
          </w:p>
          <w:p w14:paraId="31CE7A75">
            <w:pPr>
              <w:spacing w:line="360" w:lineRule="auto"/>
              <w:ind w:firstLine="480" w:firstLineChars="200"/>
              <w:jc w:val="left"/>
              <w:rPr>
                <w:sz w:val="24"/>
                <w:szCs w:val="24"/>
              </w:rPr>
            </w:pPr>
            <w:r>
              <w:rPr>
                <w:rFonts w:hint="eastAsia"/>
                <w:sz w:val="24"/>
                <w:szCs w:val="24"/>
              </w:rPr>
              <w:t>b）与《姑婆山风景名胜区总体规划（2023-2035 年）》符合性分析</w:t>
            </w:r>
          </w:p>
          <w:p w14:paraId="4788EEC2">
            <w:pPr>
              <w:spacing w:line="360" w:lineRule="auto"/>
              <w:ind w:firstLine="480" w:firstLineChars="200"/>
              <w:jc w:val="left"/>
              <w:rPr>
                <w:sz w:val="24"/>
                <w:szCs w:val="24"/>
              </w:rPr>
            </w:pPr>
            <w:r>
              <w:rPr>
                <w:rFonts w:hint="eastAsia"/>
                <w:sz w:val="24"/>
                <w:szCs w:val="24"/>
              </w:rPr>
              <w:t>本项目已按照相关要求编制了《姑婆山风景名胜区湖南省江华湾水源抽水蓄能电站施工电源110千伏线路工程选址方案论证报告》（以下简称选址论证报告）并已通过了湖南省林业局组织的专家评审会（附件7），正在按程序办理工程选址方案核准手续。根据江华瑶族自治县姑婆山风景名胜区管理局《关于对湖南省江华湾水源抽水蓄能电站施工电源110千伏线路工程在姑婆山风景名胜区内建设情况说明的函》（附件8），预计2</w:t>
            </w:r>
            <w:r>
              <w:rPr>
                <w:sz w:val="24"/>
                <w:szCs w:val="24"/>
              </w:rPr>
              <w:t>025</w:t>
            </w:r>
            <w:r>
              <w:rPr>
                <w:rFonts w:hint="eastAsia"/>
                <w:sz w:val="24"/>
                <w:szCs w:val="24"/>
              </w:rPr>
              <w:t>年4月底省林业局可完成工程选址方案核准手续。</w:t>
            </w:r>
          </w:p>
          <w:p w14:paraId="7EC07EB6">
            <w:pPr>
              <w:spacing w:line="360" w:lineRule="auto"/>
              <w:ind w:firstLine="480" w:firstLineChars="200"/>
              <w:jc w:val="left"/>
              <w:rPr>
                <w:sz w:val="24"/>
                <w:szCs w:val="24"/>
              </w:rPr>
            </w:pPr>
            <w:r>
              <w:rPr>
                <w:rFonts w:hint="eastAsia"/>
                <w:sz w:val="24"/>
                <w:szCs w:val="24"/>
              </w:rPr>
              <w:t xml:space="preserve">根据已通过评审的选址论证报告，本项目线路工程为《姑婆山风景名胜区总体规划（2023-2035 年）》中已列明的供电规划线路，其建设路径和规模与规划基本一致，在施工过程中严格控制建设方式，建设期、运营期遵循相关管控要求和落实相关保护措施的情况下，本建设符合规划要求。 </w:t>
            </w:r>
          </w:p>
        </w:tc>
      </w:tr>
      <w:tr w14:paraId="40E9C0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7" w:type="pct"/>
            <w:gridSpan w:val="2"/>
            <w:tcMar>
              <w:top w:w="16" w:type="dxa"/>
              <w:left w:w="16" w:type="dxa"/>
              <w:right w:w="16" w:type="dxa"/>
            </w:tcMar>
            <w:vAlign w:val="center"/>
          </w:tcPr>
          <w:p w14:paraId="14A6D5CD">
            <w:pPr>
              <w:pStyle w:val="86"/>
            </w:pPr>
            <w:bookmarkStart w:id="8" w:name="_Hlk56690880"/>
            <w:r>
              <w:t>其他符合性分析</w:t>
            </w:r>
            <w:bookmarkEnd w:id="8"/>
          </w:p>
        </w:tc>
        <w:tc>
          <w:tcPr>
            <w:tcW w:w="4133" w:type="pct"/>
            <w:gridSpan w:val="4"/>
            <w:tcMar>
              <w:top w:w="16" w:type="dxa"/>
              <w:left w:w="16" w:type="dxa"/>
              <w:right w:w="16" w:type="dxa"/>
            </w:tcMar>
            <w:vAlign w:val="center"/>
          </w:tcPr>
          <w:p w14:paraId="5F64D8B6">
            <w:pPr>
              <w:pStyle w:val="5"/>
            </w:pPr>
            <w:bookmarkStart w:id="9" w:name="_Toc99093195"/>
            <w:bookmarkStart w:id="10" w:name="_Toc99093510"/>
            <w:bookmarkStart w:id="11" w:name="_Toc99090738"/>
            <w:bookmarkStart w:id="12" w:name="_Toc95916402"/>
            <w:r>
              <w:rPr>
                <w:rFonts w:hint="eastAsia"/>
              </w:rPr>
              <w:t>产业政策相符性分析</w:t>
            </w:r>
            <w:bookmarkEnd w:id="9"/>
            <w:bookmarkEnd w:id="10"/>
            <w:bookmarkEnd w:id="11"/>
          </w:p>
          <w:p w14:paraId="766FFA7F">
            <w:pPr>
              <w:pStyle w:val="3"/>
              <w:ind w:firstLine="480"/>
            </w:pPr>
            <w:r>
              <w:rPr>
                <w:rFonts w:hint="eastAsia"/>
              </w:rPr>
              <w:t>本工程为湖南省江华湾水源抽水蓄能电站配套的电力基础设施建设项目，属于国家发展改革委令第</w:t>
            </w:r>
            <w:r>
              <w:t>7</w:t>
            </w:r>
            <w:r>
              <w:rPr>
                <w:rFonts w:hint="eastAsia"/>
              </w:rPr>
              <w:t>号发布的《产业结构调整指导目录（</w:t>
            </w:r>
            <w:r>
              <w:t>2024</w:t>
            </w:r>
            <w:r>
              <w:rPr>
                <w:rFonts w:hint="eastAsia"/>
              </w:rPr>
              <w:t>年本）》中“四电力</w:t>
            </w:r>
            <w:r>
              <w:t xml:space="preserve"> </w:t>
            </w:r>
            <w:r>
              <w:rPr>
                <w:rFonts w:hint="eastAsia"/>
              </w:rPr>
              <w:t>电力基础设施建设”类项目，属于“鼓励类”，符合国家产业政策。</w:t>
            </w:r>
            <w:r>
              <w:t xml:space="preserve"> </w:t>
            </w:r>
            <w:bookmarkEnd w:id="12"/>
          </w:p>
        </w:tc>
      </w:tr>
      <w:tr w14:paraId="1E7B6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3" w:type="pct"/>
            <w:tcMar>
              <w:top w:w="16" w:type="dxa"/>
              <w:left w:w="16" w:type="dxa"/>
              <w:right w:w="16" w:type="dxa"/>
            </w:tcMar>
            <w:vAlign w:val="center"/>
          </w:tcPr>
          <w:p w14:paraId="2F78B326">
            <w:pPr>
              <w:pStyle w:val="86"/>
            </w:pPr>
          </w:p>
        </w:tc>
        <w:tc>
          <w:tcPr>
            <w:tcW w:w="4767" w:type="pct"/>
            <w:gridSpan w:val="5"/>
            <w:tcMar>
              <w:top w:w="16" w:type="dxa"/>
              <w:left w:w="16" w:type="dxa"/>
              <w:right w:w="16" w:type="dxa"/>
            </w:tcMar>
            <w:vAlign w:val="center"/>
          </w:tcPr>
          <w:p w14:paraId="5001294A">
            <w:pPr>
              <w:pStyle w:val="5"/>
            </w:pPr>
            <w:r>
              <w:rPr>
                <w:rFonts w:hint="eastAsia"/>
              </w:rPr>
              <w:t>“</w:t>
            </w:r>
            <w:r>
              <w:t>三线一单</w:t>
            </w:r>
            <w:r>
              <w:rPr>
                <w:rFonts w:hint="eastAsia"/>
              </w:rPr>
              <w:t>”</w:t>
            </w:r>
            <w:r>
              <w:t>相符性分析</w:t>
            </w:r>
          </w:p>
          <w:p w14:paraId="5799CDDA">
            <w:pPr>
              <w:pStyle w:val="6"/>
            </w:pPr>
            <w:r>
              <w:rPr>
                <w:rFonts w:hint="eastAsia"/>
              </w:rPr>
              <w:t>生态保护红线</w:t>
            </w:r>
          </w:p>
          <w:p w14:paraId="20B7C89F">
            <w:pPr>
              <w:pStyle w:val="3"/>
              <w:ind w:firstLine="480"/>
            </w:pPr>
            <w:r>
              <w:t>本</w:t>
            </w:r>
            <w:r>
              <w:rPr>
                <w:rFonts w:hint="eastAsia"/>
              </w:rPr>
              <w:t>项目位于永州市江华县水口镇和湘江乡。根据《湖南江华湾水源抽水蓄能电站施工电源110kV线路路径“三区三线”成果套合示意图（局部）》，线路跨越生态保护红线。本项目不在生态保护红线范围内设置塔基、永久占地和临时占地，仅线路走廊跨越。</w:t>
            </w:r>
          </w:p>
          <w:p w14:paraId="4598360E">
            <w:pPr>
              <w:pStyle w:val="3"/>
              <w:ind w:firstLine="480"/>
            </w:pPr>
            <w:r>
              <w:rPr>
                <w:rFonts w:hint="eastAsia"/>
              </w:rPr>
              <w:t>根据《自然资源部 生态环境部 国家林业和草原局关于加强生态保护红线管理的通知（试行）》（自然资发〔2022〕142号），生态保护红线是国土空间规划中的重要管控边界，生态保护红线内自然保护地核心保护区外，禁止开发性、生产性建设活动，在符合法律法规的前提下，仅允许1</w:t>
            </w:r>
            <w:r>
              <w:t>0项</w:t>
            </w:r>
            <w:r>
              <w:rPr>
                <w:rFonts w:hint="eastAsia"/>
              </w:rPr>
              <w:t>对生态功能不造成破坏的有限人为活动，其中第6项为：“必须且无法避让、符合县级以上国土空间规划的线性基础设施、通讯和防洪、供水设施建设和船舶航行、航道疏浚清淤等活动；已有的合法水利、交通运输等设施运行维护改造。”</w:t>
            </w:r>
          </w:p>
          <w:p w14:paraId="0020B2AD">
            <w:pPr>
              <w:pStyle w:val="3"/>
              <w:ind w:firstLine="0" w:firstLineChars="0"/>
              <w:rPr>
                <w:color w:val="000000" w:themeColor="text1"/>
                <w14:textFill>
                  <w14:solidFill>
                    <w14:schemeClr w14:val="tx1"/>
                  </w14:solidFill>
                </w14:textFill>
              </w:rPr>
            </w:pPr>
            <w:r>
              <w:rPr>
                <w:rFonts w:hint="eastAsia"/>
              </w:rPr>
              <w:t>根据《湖南省自然资源厅 湖南省省生态环境厅 湖南省林业局关于加强全省生态保护红线管理的通知（试行）》（湘自资规﹝2</w:t>
            </w:r>
            <w:r>
              <w:t>024</w:t>
            </w:r>
            <w:r>
              <w:rPr>
                <w:rFonts w:hint="eastAsia"/>
              </w:rPr>
              <w:t>﹞1号）要求，本项目为“不涉及新增建设用地审批的建设项目”，由市县人民政府出具符合生态保护红线内允许有限人为活动的认定意见。</w:t>
            </w:r>
            <w:r>
              <w:rPr>
                <w:rFonts w:hint="eastAsia"/>
                <w:color w:val="000000" w:themeColor="text1"/>
                <w14:textFill>
                  <w14:solidFill>
                    <w14:schemeClr w14:val="tx1"/>
                  </w14:solidFill>
                </w14:textFill>
              </w:rPr>
              <w:t>本项目已取得《江华瑶族自治县人民政府关于湖南省江华湾水源抽水蓄能电站施工电源110kV线路工程符合生态保护红线内允许有限认为活动的认定意见》（附件4），已落实生态保护红线有限占用相关手续，与生态保护红线管理要求不相冲突。</w:t>
            </w:r>
          </w:p>
          <w:p w14:paraId="017357E4">
            <w:pPr>
              <w:pStyle w:val="6"/>
            </w:pPr>
            <w:bookmarkStart w:id="13" w:name="_Toc95916404"/>
            <w:bookmarkStart w:id="14" w:name="_Toc99090741"/>
            <w:bookmarkStart w:id="15" w:name="_Toc99093198"/>
            <w:r>
              <w:rPr>
                <w:rFonts w:hint="eastAsia"/>
              </w:rPr>
              <w:t>环境质量底线</w:t>
            </w:r>
            <w:bookmarkEnd w:id="13"/>
            <w:bookmarkEnd w:id="14"/>
            <w:bookmarkEnd w:id="15"/>
          </w:p>
          <w:p w14:paraId="40FF6C6B">
            <w:pPr>
              <w:pStyle w:val="3"/>
              <w:ind w:firstLine="480"/>
            </w:pPr>
            <w:r>
              <w:rPr>
                <w:rFonts w:hint="eastAsia"/>
              </w:rPr>
              <w:t>环境质量底线是国家和地方设置的大气、水和土壤环境质量目标，也是改善环境质量的基准线。本工程为输变电工程，为非污染类项目。项目营运期无废气污染物、工业废水和固废产生。本工程的建设不会降低大气环境质量、地表水环境质量和土壤环境质量，满足环境质量底线要求。</w:t>
            </w:r>
          </w:p>
          <w:p w14:paraId="21EF1BA1">
            <w:pPr>
              <w:pStyle w:val="6"/>
            </w:pPr>
            <w:bookmarkStart w:id="16" w:name="_Toc99090742"/>
            <w:bookmarkStart w:id="17" w:name="_Toc95916405"/>
            <w:bookmarkStart w:id="18" w:name="_Toc99093199"/>
            <w:r>
              <w:rPr>
                <w:rFonts w:hint="eastAsia"/>
              </w:rPr>
              <w:t>资源利用上线</w:t>
            </w:r>
            <w:bookmarkEnd w:id="16"/>
            <w:bookmarkEnd w:id="17"/>
            <w:bookmarkEnd w:id="18"/>
          </w:p>
          <w:p w14:paraId="6D03A49C">
            <w:pPr>
              <w:pStyle w:val="3"/>
              <w:ind w:firstLine="480"/>
            </w:pPr>
            <w:r>
              <w:rPr>
                <w:rFonts w:hint="eastAsia"/>
              </w:rPr>
              <w:t>资源利用上线是从促进资源能源节约、保障资源高效利用、确保必不可少的环境容量角度，不应突破资源利用最高限值。本工程为输电线路工程，项目本身不消耗能源，仅塔基占用少量土地，将按照相关规定办理用地手续，不会突破资源利用上线。</w:t>
            </w:r>
          </w:p>
          <w:p w14:paraId="3FCEEC8F">
            <w:pPr>
              <w:pStyle w:val="6"/>
            </w:pPr>
            <w:bookmarkStart w:id="19" w:name="_Toc95916406"/>
            <w:bookmarkStart w:id="20" w:name="_Toc99090743"/>
            <w:bookmarkStart w:id="21" w:name="_Toc99093200"/>
            <w:r>
              <w:rPr>
                <w:rFonts w:hint="eastAsia"/>
              </w:rPr>
              <w:t>生态环境准入清单</w:t>
            </w:r>
            <w:bookmarkEnd w:id="19"/>
            <w:bookmarkEnd w:id="20"/>
            <w:bookmarkEnd w:id="21"/>
          </w:p>
          <w:p w14:paraId="3143623B">
            <w:pPr>
              <w:pStyle w:val="3"/>
              <w:ind w:firstLine="480"/>
            </w:pPr>
            <w:r>
              <w:t>根据</w:t>
            </w:r>
            <w:r>
              <w:rPr>
                <w:rFonts w:hint="eastAsia"/>
              </w:rPr>
              <w:t>永环发〔2024〕31号 《永州市生态环境局关于发布永州市生态环境分区管控更新成果（2023版）的通知》</w:t>
            </w:r>
            <w:r>
              <w:t>，</w:t>
            </w:r>
            <w:r>
              <w:rPr>
                <w:rFonts w:hint="eastAsia"/>
              </w:rPr>
              <w:t>项目所在乡镇为水口镇和湘江乡，对应的管控单元为“涔天河镇/水口镇”和“湘江乡”，环境管控单元代码分别为</w:t>
            </w:r>
            <w:r>
              <w:t>ZH43112910003</w:t>
            </w:r>
            <w:r>
              <w:rPr>
                <w:rFonts w:eastAsia="仿宋"/>
                <w:szCs w:val="21"/>
              </w:rPr>
              <w:t xml:space="preserve"> </w:t>
            </w:r>
            <w:r>
              <w:rPr>
                <w:rFonts w:hint="eastAsia" w:eastAsia="仿宋"/>
                <w:szCs w:val="21"/>
              </w:rPr>
              <w:t>和</w:t>
            </w:r>
            <w:r>
              <w:rPr>
                <w:rFonts w:eastAsia="仿宋"/>
                <w:szCs w:val="21"/>
              </w:rPr>
              <w:t>ZH43112910004</w:t>
            </w:r>
            <w:r>
              <w:rPr>
                <w:rFonts w:hint="eastAsia"/>
              </w:rPr>
              <w:t>。水口镇主体功能定位为重点生态功能区/历史文化资源富集区，经济产业布局为生态文化旅游，农林产品深加工，农业产业基地，，低污染、低排放、来料组装等劳动密集型小微企业；湘江乡主体功能定位为重点生态功能区，经济产业布局为生态文化旅游，农林产品深加工，水电开发，采矿业，低污染、低排放、来料组装等劳动密集型小微企业。区内无明显环境问题。</w:t>
            </w:r>
          </w:p>
          <w:p w14:paraId="2B103D79">
            <w:pPr>
              <w:pStyle w:val="3"/>
              <w:ind w:firstLine="480"/>
              <w:rPr>
                <w:sz w:val="10"/>
                <w:szCs w:val="10"/>
              </w:rPr>
            </w:pPr>
            <w:r>
              <w:rPr>
                <w:rFonts w:hint="eastAsia"/>
              </w:rPr>
              <w:t>本项目与“涔天河镇/水口镇”、“湘江乡”管控单元管控要求的</w:t>
            </w:r>
            <w:r>
              <w:t>对照分析</w:t>
            </w:r>
            <w:r>
              <w:rPr>
                <w:rFonts w:hint="eastAsia"/>
              </w:rPr>
              <w:t>分别见表1</w:t>
            </w:r>
            <w:r>
              <w:t>.2-1</w:t>
            </w:r>
            <w:r>
              <w:rPr>
                <w:rFonts w:hint="eastAsia"/>
              </w:rPr>
              <w:t>、表1</w:t>
            </w:r>
            <w:r>
              <w:t>.2-2</w:t>
            </w:r>
            <w:r>
              <w:rPr>
                <w:rFonts w:hint="eastAsia"/>
              </w:rPr>
              <w:t>所示。</w:t>
            </w:r>
          </w:p>
          <w:p w14:paraId="29130614">
            <w:pPr>
              <w:pStyle w:val="148"/>
              <w:rPr>
                <w:szCs w:val="24"/>
              </w:rPr>
            </w:pPr>
            <w:r>
              <w:rPr>
                <w:rFonts w:hint="eastAsia"/>
              </w:rPr>
              <w:t>表1.</w:t>
            </w:r>
            <w:r>
              <w:t>2-1   与</w:t>
            </w:r>
            <w:r>
              <w:rPr>
                <w:rFonts w:hint="eastAsia"/>
              </w:rPr>
              <w:t>涔天河镇/水口镇管控单元生态环境管控基本要求的</w:t>
            </w:r>
            <w:r>
              <w:t>合性分析</w:t>
            </w:r>
          </w:p>
          <w:tbl>
            <w:tblPr>
              <w:tblStyle w:val="40"/>
              <w:tblW w:w="85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7"/>
              <w:gridCol w:w="4231"/>
              <w:gridCol w:w="2781"/>
              <w:gridCol w:w="681"/>
            </w:tblGrid>
            <w:tr w14:paraId="4DFBA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pct"/>
                  <w:shd w:val="clear" w:color="auto" w:fill="auto"/>
                  <w:vAlign w:val="center"/>
                </w:tcPr>
                <w:p w14:paraId="59DCECCE">
                  <w:pPr>
                    <w:pStyle w:val="159"/>
                  </w:pPr>
                  <w:r>
                    <w:t>管控维度</w:t>
                  </w:r>
                </w:p>
              </w:tc>
              <w:tc>
                <w:tcPr>
                  <w:tcW w:w="2463" w:type="pct"/>
                  <w:shd w:val="clear" w:color="auto" w:fill="auto"/>
                  <w:vAlign w:val="center"/>
                </w:tcPr>
                <w:p w14:paraId="0B7575E1">
                  <w:pPr>
                    <w:pStyle w:val="159"/>
                  </w:pPr>
                  <w:r>
                    <w:t>管控要求</w:t>
                  </w:r>
                </w:p>
              </w:tc>
              <w:tc>
                <w:tcPr>
                  <w:tcW w:w="1619" w:type="pct"/>
                  <w:shd w:val="clear" w:color="auto" w:fill="auto"/>
                  <w:vAlign w:val="center"/>
                </w:tcPr>
                <w:p w14:paraId="3437E074">
                  <w:pPr>
                    <w:pStyle w:val="159"/>
                  </w:pPr>
                  <w:r>
                    <w:t>本工程</w:t>
                  </w:r>
                </w:p>
              </w:tc>
              <w:tc>
                <w:tcPr>
                  <w:tcW w:w="396" w:type="pct"/>
                  <w:shd w:val="clear" w:color="auto" w:fill="auto"/>
                  <w:vAlign w:val="center"/>
                </w:tcPr>
                <w:p w14:paraId="5EAA7FF4">
                  <w:pPr>
                    <w:pStyle w:val="159"/>
                    <w:ind w:left="-100" w:leftChars="-50" w:right="-100" w:rightChars="-50"/>
                  </w:pPr>
                  <w:r>
                    <w:t>相符性分析</w:t>
                  </w:r>
                </w:p>
              </w:tc>
            </w:tr>
            <w:tr w14:paraId="51CEA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pct"/>
                  <w:shd w:val="clear" w:color="auto" w:fill="auto"/>
                  <w:vAlign w:val="center"/>
                </w:tcPr>
                <w:p w14:paraId="4B57A0D7">
                  <w:pPr>
                    <w:pStyle w:val="159"/>
                  </w:pPr>
                  <w:r>
                    <w:t>空间布局约束</w:t>
                  </w:r>
                </w:p>
              </w:tc>
              <w:tc>
                <w:tcPr>
                  <w:tcW w:w="2463" w:type="pct"/>
                  <w:shd w:val="clear" w:color="auto" w:fill="auto"/>
                  <w:vAlign w:val="center"/>
                </w:tcPr>
                <w:p w14:paraId="63443E68">
                  <w:pPr>
                    <w:pStyle w:val="159"/>
                  </w:pPr>
                  <w:r>
                    <w:t>（1.1）</w:t>
                  </w:r>
                  <w:r>
                    <w:rPr>
                      <w:rFonts w:hint="eastAsia"/>
                    </w:rPr>
                    <w:t>涔天河镇</w:t>
                  </w:r>
                  <w:r>
                    <w:t>/</w:t>
                  </w:r>
                  <w:r>
                    <w:rPr>
                      <w:rFonts w:hint="eastAsia"/>
                    </w:rPr>
                    <w:t>水口镇：</w:t>
                  </w:r>
                  <w:r>
                    <w:t>打造以涔天河水库为依托的风光带，合理规划码头、休闲服务区等基础设施建设。禁止在涔天河国家湿地公园内及周边区域200米范围内建规模化禽畜养殖场所。</w:t>
                  </w:r>
                </w:p>
                <w:p w14:paraId="4C1B1730">
                  <w:pPr>
                    <w:pStyle w:val="159"/>
                    <w:rPr>
                      <w:kern w:val="0"/>
                    </w:rPr>
                  </w:pPr>
                  <w:r>
                    <w:t>（1.2）</w:t>
                  </w:r>
                  <w:r>
                    <w:rPr>
                      <w:kern w:val="0"/>
                    </w:rPr>
                    <w:t>畜禽养殖产业布局应符合</w:t>
                  </w:r>
                  <w:r>
                    <w:t>《江华瑶族自治县畜禽规模养殖“三区”划定方案》。合理规划水产养殖布局和规模，禁止湖库投肥养鱼。</w:t>
                  </w:r>
                </w:p>
                <w:p w14:paraId="46556C7F">
                  <w:pPr>
                    <w:pStyle w:val="159"/>
                  </w:pPr>
                  <w:r>
                    <w:t>（1.3）封山育林期间，封山育林区域内禁止砍伐、移植树木，禁止烧炭、采脂、剥皮、挖根等毁林行为，禁止开垦、取土、采石及其他破坏林地行为。</w:t>
                  </w:r>
                </w:p>
                <w:p w14:paraId="75CA3D17">
                  <w:pPr>
                    <w:pStyle w:val="159"/>
                  </w:pPr>
                  <w:r>
                    <w:t>（1.4）生态保护区按照生态保护红线的相关管理规则进行管控。</w:t>
                  </w:r>
                </w:p>
              </w:tc>
              <w:tc>
                <w:tcPr>
                  <w:tcW w:w="1619" w:type="pct"/>
                  <w:shd w:val="clear" w:color="auto" w:fill="auto"/>
                  <w:vAlign w:val="center"/>
                </w:tcPr>
                <w:p w14:paraId="6A96A3CC">
                  <w:pPr>
                    <w:pStyle w:val="159"/>
                  </w:pPr>
                  <w:r>
                    <w:t>1）本项目为输电项目，</w:t>
                  </w:r>
                  <w:r>
                    <w:rPr>
                      <w:rFonts w:hint="eastAsia"/>
                    </w:rPr>
                    <w:t>不涉及畜禽养殖、水产养殖等</w:t>
                  </w:r>
                  <w:r>
                    <w:t>。</w:t>
                  </w:r>
                </w:p>
                <w:p w14:paraId="73E2A2FE">
                  <w:pPr>
                    <w:pStyle w:val="159"/>
                    <w:rPr>
                      <w:szCs w:val="21"/>
                    </w:rPr>
                  </w:pPr>
                  <w:r>
                    <w:t>2）</w:t>
                  </w:r>
                  <w:r>
                    <w:rPr>
                      <w:szCs w:val="21"/>
                    </w:rPr>
                    <w:t>线路无害化跨越</w:t>
                  </w:r>
                  <w:r>
                    <w:t>涔天河水库，不占用水库面积，</w:t>
                  </w:r>
                  <w:r>
                    <w:rPr>
                      <w:rFonts w:hint="eastAsia"/>
                    </w:rPr>
                    <w:t>已按照要求取得湖南省林业局原则支持项目建设的意见（附件6）</w:t>
                  </w:r>
                  <w:r>
                    <w:t>。</w:t>
                  </w:r>
                </w:p>
                <w:p w14:paraId="15D91BA1">
                  <w:pPr>
                    <w:pStyle w:val="159"/>
                  </w:pPr>
                  <w:r>
                    <w:rPr>
                      <w:szCs w:val="21"/>
                    </w:rPr>
                    <w:t>3）</w:t>
                  </w:r>
                  <w:r>
                    <w:t>本项目开工前依法办理林地占用和林木砍伐手续，施工期严格划定施工边界，不乱砍滥伐，不涉及烧炭、采脂、剥皮、挖根等毁林行为。</w:t>
                  </w:r>
                </w:p>
                <w:p w14:paraId="3BA8B250">
                  <w:pPr>
                    <w:pStyle w:val="159"/>
                  </w:pPr>
                  <w:r>
                    <w:t>4</w:t>
                  </w:r>
                  <w:r>
                    <w:rPr>
                      <w:rFonts w:hint="eastAsia"/>
                    </w:rPr>
                    <w:t>）项目无害化跨越生态保护红线，</w:t>
                  </w:r>
                  <w:r>
                    <w:rPr>
                      <w:rFonts w:hint="eastAsia"/>
                      <w:color w:val="000000" w:themeColor="text1"/>
                      <w14:textFill>
                        <w14:solidFill>
                          <w14:schemeClr w14:val="tx1"/>
                        </w14:solidFill>
                      </w14:textFill>
                    </w:rPr>
                    <w:t>已取得《江华瑶族自治县人民政府关于湖南省江华湾水源抽水蓄能电站施工电源110kV线路工程符合生态保护红线内允许有限认为活动的认定意见》（附件4），已落实生态保护红线有限占用相关手续，与生态保护红线管理要求不相冲突。</w:t>
                  </w:r>
                </w:p>
              </w:tc>
              <w:tc>
                <w:tcPr>
                  <w:tcW w:w="396" w:type="pct"/>
                  <w:shd w:val="clear" w:color="auto" w:fill="auto"/>
                  <w:vAlign w:val="center"/>
                </w:tcPr>
                <w:p w14:paraId="51CD7357">
                  <w:pPr>
                    <w:pStyle w:val="159"/>
                  </w:pPr>
                  <w:r>
                    <w:t>相符</w:t>
                  </w:r>
                </w:p>
              </w:tc>
            </w:tr>
            <w:tr w14:paraId="54472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pct"/>
                  <w:shd w:val="clear" w:color="auto" w:fill="auto"/>
                  <w:vAlign w:val="center"/>
                </w:tcPr>
                <w:p w14:paraId="7FE96F08">
                  <w:pPr>
                    <w:pStyle w:val="159"/>
                  </w:pPr>
                  <w:r>
                    <w:t>污染物排放管控</w:t>
                  </w:r>
                </w:p>
              </w:tc>
              <w:tc>
                <w:tcPr>
                  <w:tcW w:w="2463" w:type="pct"/>
                  <w:shd w:val="clear" w:color="auto" w:fill="auto"/>
                  <w:vAlign w:val="center"/>
                </w:tcPr>
                <w:p w14:paraId="209F3694">
                  <w:pPr>
                    <w:pStyle w:val="159"/>
                  </w:pPr>
                  <w:r>
                    <w:t>（</w:t>
                  </w:r>
                  <w:r>
                    <w:rPr>
                      <w:rFonts w:eastAsia="TimesNewRomanPSMT"/>
                    </w:rPr>
                    <w:t>2.1</w:t>
                  </w:r>
                  <w:r>
                    <w:t>）废水：</w:t>
                  </w:r>
                  <w:r>
                    <w:rPr>
                      <w:rFonts w:hint="eastAsia"/>
                    </w:rPr>
                    <w:t>加强城市污水收集管网建设和改造，推进乡镇污水处理设施正常运行</w:t>
                  </w:r>
                  <w:r>
                    <w:t>。</w:t>
                  </w:r>
                </w:p>
                <w:p w14:paraId="39BB176E">
                  <w:pPr>
                    <w:pStyle w:val="159"/>
                  </w:pPr>
                  <w:r>
                    <w:t>（</w:t>
                  </w:r>
                  <w:r>
                    <w:rPr>
                      <w:rFonts w:eastAsia="TimesNewRomanPSMT"/>
                    </w:rPr>
                    <w:t>2.2</w:t>
                  </w:r>
                  <w:r>
                    <w:t>）废气：</w:t>
                  </w:r>
                  <w:r>
                    <w:rPr>
                      <w:rFonts w:hint="eastAsia"/>
                    </w:rPr>
                    <w:t>（2.2.1）按要求严格管控露天烧烤、烟气直排以及焚烧垃圾树叶。</w:t>
                  </w:r>
                </w:p>
                <w:p w14:paraId="5B4D1BAA">
                  <w:pPr>
                    <w:pStyle w:val="159"/>
                  </w:pPr>
                  <w:r>
                    <w:rPr>
                      <w:rFonts w:hint="eastAsia"/>
                    </w:rPr>
                    <w:t>（2.2.2）强化施工建筑扬尘及道路扬尘污染控制，水口镇各类沙石开采场应建设扬尘等污染防治设施</w:t>
                  </w:r>
                  <w:r>
                    <w:t>。</w:t>
                  </w:r>
                </w:p>
                <w:p w14:paraId="382B1E54">
                  <w:pPr>
                    <w:pStyle w:val="159"/>
                  </w:pPr>
                  <w:r>
                    <w:t>（</w:t>
                  </w:r>
                  <w:r>
                    <w:rPr>
                      <w:rFonts w:eastAsia="TimesNewRomanPSMT"/>
                    </w:rPr>
                    <w:t>2.3</w:t>
                  </w:r>
                  <w:r>
                    <w:t>）固体废物：</w:t>
                  </w:r>
                  <w:r>
                    <w:rPr>
                      <w:rFonts w:hint="eastAsia"/>
                    </w:rPr>
                    <w:t>统筹建设城乡垃圾分类、收集、贮存、运输、利用、处置设施；逐步完善分类投放、分类收集、分类运输、分类处理的垃圾处理系统，提高垃圾减量化、资源化、无害化水平；城乡垃圾必须堆放在指定的回收点。禁止擅自倾倒、堆放、丢弃、遗撒、填埋垃圾污染环境的行为。</w:t>
                  </w:r>
                </w:p>
              </w:tc>
              <w:tc>
                <w:tcPr>
                  <w:tcW w:w="1619" w:type="pct"/>
                  <w:shd w:val="clear" w:color="auto" w:fill="auto"/>
                  <w:vAlign w:val="center"/>
                </w:tcPr>
                <w:p w14:paraId="07B7183D">
                  <w:pPr>
                    <w:pStyle w:val="159"/>
                  </w:pPr>
                  <w:r>
                    <w:rPr>
                      <w:color w:val="000000"/>
                      <w:kern w:val="0"/>
                      <w:szCs w:val="21"/>
                    </w:rPr>
                    <w:t>本工程为线路工程，施工期将严格落实环评提出的施工期扬尘防治要求。</w:t>
                  </w:r>
                </w:p>
              </w:tc>
              <w:tc>
                <w:tcPr>
                  <w:tcW w:w="396" w:type="pct"/>
                  <w:shd w:val="clear" w:color="auto" w:fill="auto"/>
                  <w:vAlign w:val="center"/>
                </w:tcPr>
                <w:p w14:paraId="16299509">
                  <w:pPr>
                    <w:pStyle w:val="159"/>
                  </w:pPr>
                  <w:r>
                    <w:t>相符</w:t>
                  </w:r>
                </w:p>
              </w:tc>
            </w:tr>
            <w:tr w14:paraId="762B4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pct"/>
                  <w:shd w:val="clear" w:color="auto" w:fill="auto"/>
                  <w:vAlign w:val="center"/>
                </w:tcPr>
                <w:p w14:paraId="48EC72FB">
                  <w:pPr>
                    <w:pStyle w:val="159"/>
                  </w:pPr>
                  <w:r>
                    <w:t>环境风险管控</w:t>
                  </w:r>
                </w:p>
              </w:tc>
              <w:tc>
                <w:tcPr>
                  <w:tcW w:w="2463" w:type="pct"/>
                  <w:shd w:val="clear" w:color="auto" w:fill="auto"/>
                  <w:vAlign w:val="center"/>
                </w:tcPr>
                <w:p w14:paraId="6AD14E31">
                  <w:pPr>
                    <w:pStyle w:val="159"/>
                  </w:pPr>
                  <w:r>
                    <w:rPr>
                      <w:rFonts w:hint="eastAsia"/>
                    </w:rPr>
                    <w:t>（3.1）涔天河镇：加强乡镇集中饮用水源地风险防控，确保水源地水质安全。</w:t>
                  </w:r>
                </w:p>
                <w:p w14:paraId="47DE742C">
                  <w:pPr>
                    <w:pStyle w:val="159"/>
                  </w:pPr>
                  <w:r>
                    <w:rPr>
                      <w:rFonts w:hint="eastAsia"/>
                    </w:rPr>
                    <w:t>（3.2）强化本行政区域内的重污染天气应对工作，积极采取应对措施，减少重污染天气影响。</w:t>
                  </w:r>
                </w:p>
              </w:tc>
              <w:tc>
                <w:tcPr>
                  <w:tcW w:w="1619" w:type="pct"/>
                  <w:shd w:val="clear" w:color="auto" w:fill="auto"/>
                  <w:vAlign w:val="center"/>
                </w:tcPr>
                <w:p w14:paraId="3C1B8A49">
                  <w:pPr>
                    <w:pStyle w:val="159"/>
                  </w:pPr>
                  <w:r>
                    <w:t>本工程不涉及。</w:t>
                  </w:r>
                </w:p>
              </w:tc>
              <w:tc>
                <w:tcPr>
                  <w:tcW w:w="396" w:type="pct"/>
                  <w:shd w:val="clear" w:color="auto" w:fill="auto"/>
                  <w:vAlign w:val="center"/>
                </w:tcPr>
                <w:p w14:paraId="0794E53E">
                  <w:pPr>
                    <w:pStyle w:val="159"/>
                  </w:pPr>
                  <w:r>
                    <w:t>/</w:t>
                  </w:r>
                </w:p>
              </w:tc>
            </w:tr>
            <w:tr w14:paraId="4D609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pct"/>
                  <w:shd w:val="clear" w:color="auto" w:fill="auto"/>
                  <w:vAlign w:val="center"/>
                </w:tcPr>
                <w:p w14:paraId="74C4C17E">
                  <w:pPr>
                    <w:pStyle w:val="159"/>
                  </w:pPr>
                  <w:r>
                    <w:t>资源开发效率要求</w:t>
                  </w:r>
                </w:p>
              </w:tc>
              <w:tc>
                <w:tcPr>
                  <w:tcW w:w="2463" w:type="pct"/>
                  <w:shd w:val="clear" w:color="auto" w:fill="auto"/>
                  <w:vAlign w:val="center"/>
                </w:tcPr>
                <w:p w14:paraId="223A92DF">
                  <w:pPr>
                    <w:pStyle w:val="159"/>
                    <w:jc w:val="left"/>
                  </w:pPr>
                  <w:r>
                    <w:rPr>
                      <w:rFonts w:hint="eastAsia"/>
                    </w:rPr>
                    <w:t>（4.1）能源：</w:t>
                  </w:r>
                </w:p>
                <w:p w14:paraId="3C2146FC">
                  <w:pPr>
                    <w:pStyle w:val="159"/>
                    <w:jc w:val="left"/>
                  </w:pPr>
                  <w:r>
                    <w:rPr>
                      <w:rFonts w:hint="eastAsia"/>
                    </w:rPr>
                    <w:t>积极开发水能、风能、太阳能、生物质能等可再生能源，使可再生能源在电力一次能源结构中的占比不低于50%。</w:t>
                  </w:r>
                </w:p>
                <w:p w14:paraId="63AD0072">
                  <w:pPr>
                    <w:pStyle w:val="159"/>
                    <w:jc w:val="left"/>
                  </w:pPr>
                  <w:r>
                    <w:rPr>
                      <w:rFonts w:hint="eastAsia"/>
                    </w:rPr>
                    <w:t>（4.2）水资源：</w:t>
                  </w:r>
                </w:p>
                <w:p w14:paraId="7EF6F984">
                  <w:pPr>
                    <w:pStyle w:val="159"/>
                    <w:jc w:val="left"/>
                  </w:pPr>
                  <w:r>
                    <w:rPr>
                      <w:rFonts w:hint="eastAsia"/>
                    </w:rPr>
                    <w:t>到2025年，江华县指标应符合相应行政区域的管控要求，江华县用水总量达19454万m3，农业用水总量控制在16692万m3，万元地区生产总值用水量、万元工业增加值用水量分别比2020年降低10.06%、8.87%，农田灌溉水有效利用系数为0.555。</w:t>
                  </w:r>
                </w:p>
                <w:p w14:paraId="63CF3091">
                  <w:pPr>
                    <w:pStyle w:val="159"/>
                    <w:jc w:val="left"/>
                  </w:pPr>
                  <w:r>
                    <w:rPr>
                      <w:rFonts w:hint="eastAsia"/>
                    </w:rPr>
                    <w:t>（4.3）土地资源：</w:t>
                  </w:r>
                </w:p>
                <w:p w14:paraId="3B3FF649">
                  <w:pPr>
                    <w:pStyle w:val="159"/>
                    <w:jc w:val="left"/>
                  </w:pPr>
                  <w:r>
                    <w:rPr>
                      <w:rFonts w:hint="eastAsia"/>
                    </w:rPr>
                    <w:t>至2035年，全县耕地保有量不低于44.16万亩；全县永久基本农田保护面积不低于38.75万亩；全县生态保护红线面积不低于561.54平方千米；全县城镇开发边界面积控制在35.10平方千米以内，其中中心城区控制在24.42平方千米以内，划定城镇发展区3585.55公顷，乡村发展区215078.66公顷，矿产能源发展区16811.76公顷。</w:t>
                  </w:r>
                </w:p>
              </w:tc>
              <w:tc>
                <w:tcPr>
                  <w:tcW w:w="1619" w:type="pct"/>
                  <w:shd w:val="clear" w:color="auto" w:fill="auto"/>
                  <w:vAlign w:val="center"/>
                </w:tcPr>
                <w:p w14:paraId="1FD81D92">
                  <w:pPr>
                    <w:pStyle w:val="159"/>
                    <w:rPr>
                      <w:szCs w:val="21"/>
                    </w:rPr>
                  </w:pPr>
                  <w:r>
                    <w:t>本工程为输电线路工程，项目本身不消耗能源，仅塔基占用少量土地，将按照相关规定办理用地手续，不会突破资源利用上线。</w:t>
                  </w:r>
                </w:p>
              </w:tc>
              <w:tc>
                <w:tcPr>
                  <w:tcW w:w="396" w:type="pct"/>
                  <w:shd w:val="clear" w:color="auto" w:fill="auto"/>
                  <w:vAlign w:val="center"/>
                </w:tcPr>
                <w:p w14:paraId="40F335B8">
                  <w:pPr>
                    <w:pStyle w:val="159"/>
                  </w:pPr>
                  <w:r>
                    <w:t>相符</w:t>
                  </w:r>
                </w:p>
              </w:tc>
            </w:tr>
          </w:tbl>
          <w:p w14:paraId="0DD4C834">
            <w:pPr>
              <w:pStyle w:val="131"/>
              <w:ind w:firstLine="0" w:firstLineChars="0"/>
              <w:rPr>
                <w:sz w:val="11"/>
                <w:szCs w:val="11"/>
              </w:rPr>
            </w:pPr>
          </w:p>
          <w:p w14:paraId="2538A470">
            <w:pPr>
              <w:pStyle w:val="148"/>
              <w:rPr>
                <w:szCs w:val="24"/>
              </w:rPr>
            </w:pPr>
            <w:r>
              <w:rPr>
                <w:rFonts w:hint="eastAsia"/>
              </w:rPr>
              <w:t>表1.</w:t>
            </w:r>
            <w:r>
              <w:t>2-2   与</w:t>
            </w:r>
            <w:r>
              <w:rPr>
                <w:rFonts w:hint="eastAsia"/>
              </w:rPr>
              <w:t>湘江乡管控单元生态环境管控基本要求的</w:t>
            </w:r>
            <w:r>
              <w:t>合性分析</w:t>
            </w:r>
          </w:p>
          <w:tbl>
            <w:tblPr>
              <w:tblStyle w:val="40"/>
              <w:tblW w:w="493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
              <w:gridCol w:w="4254"/>
              <w:gridCol w:w="2661"/>
              <w:gridCol w:w="696"/>
            </w:tblGrid>
            <w:tr w14:paraId="6873B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9" w:type="pct"/>
                  <w:shd w:val="clear" w:color="auto" w:fill="auto"/>
                  <w:vAlign w:val="center"/>
                </w:tcPr>
                <w:p w14:paraId="09091809">
                  <w:pPr>
                    <w:pStyle w:val="159"/>
                  </w:pPr>
                  <w:r>
                    <w:t>管控维度</w:t>
                  </w:r>
                </w:p>
              </w:tc>
              <w:tc>
                <w:tcPr>
                  <w:tcW w:w="2499" w:type="pct"/>
                  <w:shd w:val="clear" w:color="auto" w:fill="auto"/>
                  <w:vAlign w:val="center"/>
                </w:tcPr>
                <w:p w14:paraId="3CEBBF5A">
                  <w:pPr>
                    <w:pStyle w:val="159"/>
                  </w:pPr>
                  <w:r>
                    <w:t>管控要求</w:t>
                  </w:r>
                </w:p>
              </w:tc>
              <w:tc>
                <w:tcPr>
                  <w:tcW w:w="1563" w:type="pct"/>
                  <w:shd w:val="clear" w:color="auto" w:fill="auto"/>
                  <w:vAlign w:val="center"/>
                </w:tcPr>
                <w:p w14:paraId="3B18AE5F">
                  <w:pPr>
                    <w:pStyle w:val="159"/>
                  </w:pPr>
                  <w:r>
                    <w:t>本工程</w:t>
                  </w:r>
                </w:p>
              </w:tc>
              <w:tc>
                <w:tcPr>
                  <w:tcW w:w="409" w:type="pct"/>
                  <w:shd w:val="clear" w:color="auto" w:fill="auto"/>
                  <w:vAlign w:val="center"/>
                </w:tcPr>
                <w:p w14:paraId="3CE641B6">
                  <w:pPr>
                    <w:pStyle w:val="159"/>
                    <w:ind w:left="-100" w:leftChars="-50" w:right="-100" w:rightChars="-50"/>
                  </w:pPr>
                  <w:r>
                    <w:t>相符性分析</w:t>
                  </w:r>
                </w:p>
              </w:tc>
            </w:tr>
            <w:tr w14:paraId="3328B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9" w:type="pct"/>
                  <w:shd w:val="clear" w:color="auto" w:fill="auto"/>
                  <w:vAlign w:val="center"/>
                </w:tcPr>
                <w:p w14:paraId="3B1C3510">
                  <w:pPr>
                    <w:pStyle w:val="159"/>
                  </w:pPr>
                  <w:r>
                    <w:t>空间布局约束</w:t>
                  </w:r>
                </w:p>
              </w:tc>
              <w:tc>
                <w:tcPr>
                  <w:tcW w:w="2499" w:type="pct"/>
                  <w:shd w:val="clear" w:color="auto" w:fill="auto"/>
                  <w:vAlign w:val="center"/>
                </w:tcPr>
                <w:p w14:paraId="7E579420">
                  <w:pPr>
                    <w:pStyle w:val="159"/>
                  </w:pPr>
                  <w:r>
                    <w:rPr>
                      <w:rFonts w:hint="eastAsia"/>
                    </w:rPr>
                    <w:t>（1.1）姑婆山风景名胜区开发建设应当符合《国家风景名胜区管理条例》。</w:t>
                  </w:r>
                </w:p>
                <w:p w14:paraId="00DA9779">
                  <w:pPr>
                    <w:pStyle w:val="159"/>
                  </w:pPr>
                  <w:r>
                    <w:rPr>
                      <w:rFonts w:hint="eastAsia"/>
                    </w:rPr>
                    <w:t>（1.2）畜禽养殖产业布局应符合《江华瑶族自治县畜禽规模养殖“三区”划定方案》。合理规划水产养殖布局和规模，禁止湖库投肥养鱼。</w:t>
                  </w:r>
                </w:p>
                <w:p w14:paraId="5CF1BC92">
                  <w:pPr>
                    <w:pStyle w:val="159"/>
                  </w:pPr>
                  <w:r>
                    <w:rPr>
                      <w:rFonts w:hint="eastAsia"/>
                    </w:rPr>
                    <w:t>（1.3）封山育林期间，封山育林区域内禁止砍伐、移植树木，禁止烧炭、采脂、剥皮、挖根等毁林行为，禁止开垦、取土、采石及其他破坏林地行为。</w:t>
                  </w:r>
                </w:p>
                <w:p w14:paraId="7912219A">
                  <w:pPr>
                    <w:pStyle w:val="159"/>
                  </w:pPr>
                  <w:r>
                    <w:rPr>
                      <w:rFonts w:hint="eastAsia"/>
                    </w:rPr>
                    <w:t>（1.4）生态保护区按照生态保护红线的相关管理规则进行管控。</w:t>
                  </w:r>
                </w:p>
              </w:tc>
              <w:tc>
                <w:tcPr>
                  <w:tcW w:w="1563" w:type="pct"/>
                  <w:shd w:val="clear" w:color="auto" w:fill="auto"/>
                  <w:vAlign w:val="center"/>
                </w:tcPr>
                <w:p w14:paraId="47A00B01">
                  <w:pPr>
                    <w:pStyle w:val="159"/>
                  </w:pPr>
                  <w:r>
                    <w:t>1）本项目为输电项目，</w:t>
                  </w:r>
                  <w:r>
                    <w:rPr>
                      <w:rFonts w:hint="eastAsia"/>
                    </w:rPr>
                    <w:t>不涉及畜禽养殖、水产养殖等</w:t>
                  </w:r>
                  <w:r>
                    <w:t>。</w:t>
                  </w:r>
                </w:p>
                <w:p w14:paraId="61D2FB28">
                  <w:pPr>
                    <w:pStyle w:val="159"/>
                  </w:pPr>
                  <w:r>
                    <w:t>2）本项目线路穿越姑婆山风景名胜区，</w:t>
                  </w:r>
                  <w:r>
                    <w:rPr>
                      <w:rFonts w:hint="eastAsia"/>
                    </w:rPr>
                    <w:t>符合风景名胜区规划，并已按照要求办理占用相关手续，</w:t>
                  </w:r>
                  <w:r>
                    <w:t>符合</w:t>
                  </w:r>
                  <w:r>
                    <w:rPr>
                      <w:rFonts w:hint="eastAsia"/>
                    </w:rPr>
                    <w:t>风景名胜区相关管理规定</w:t>
                  </w:r>
                  <w:r>
                    <w:t>。</w:t>
                  </w:r>
                </w:p>
                <w:p w14:paraId="426E1CCF">
                  <w:pPr>
                    <w:pStyle w:val="159"/>
                  </w:pPr>
                  <w:r>
                    <w:rPr>
                      <w:szCs w:val="21"/>
                    </w:rPr>
                    <w:t>3）</w:t>
                  </w:r>
                  <w:r>
                    <w:t>本项目开工前依法办理林地占用和林木砍伐手续，施工期严格划定施工边界，不乱砍滥伐，不涉及烧炭、采脂、剥皮、挖根等毁林行为。</w:t>
                  </w:r>
                </w:p>
                <w:p w14:paraId="2C6FECBE">
                  <w:pPr>
                    <w:pStyle w:val="159"/>
                  </w:pPr>
                  <w:r>
                    <w:t>4</w:t>
                  </w:r>
                  <w:r>
                    <w:rPr>
                      <w:rFonts w:hint="eastAsia"/>
                    </w:rPr>
                    <w:t>）本项目不涉及湘江乡区域内生态保护红线。</w:t>
                  </w:r>
                </w:p>
              </w:tc>
              <w:tc>
                <w:tcPr>
                  <w:tcW w:w="409" w:type="pct"/>
                  <w:shd w:val="clear" w:color="auto" w:fill="auto"/>
                  <w:vAlign w:val="center"/>
                </w:tcPr>
                <w:p w14:paraId="5CDA0618">
                  <w:pPr>
                    <w:pStyle w:val="159"/>
                  </w:pPr>
                  <w:r>
                    <w:t>相符</w:t>
                  </w:r>
                </w:p>
              </w:tc>
            </w:tr>
            <w:tr w14:paraId="18383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9" w:type="pct"/>
                  <w:shd w:val="clear" w:color="auto" w:fill="auto"/>
                  <w:vAlign w:val="center"/>
                </w:tcPr>
                <w:p w14:paraId="3BB7FC30">
                  <w:pPr>
                    <w:pStyle w:val="159"/>
                  </w:pPr>
                  <w:r>
                    <w:t>污染物排放管控</w:t>
                  </w:r>
                </w:p>
              </w:tc>
              <w:tc>
                <w:tcPr>
                  <w:tcW w:w="2499" w:type="pct"/>
                  <w:shd w:val="clear" w:color="auto" w:fill="auto"/>
                  <w:vAlign w:val="center"/>
                </w:tcPr>
                <w:p w14:paraId="2A62BE31">
                  <w:pPr>
                    <w:pStyle w:val="159"/>
                  </w:pPr>
                  <w:r>
                    <w:rPr>
                      <w:rFonts w:hint="eastAsia"/>
                    </w:rPr>
                    <w:t>（2.1）废水：加强城市污水收集管网建设和改造，推进乡镇污水处理设施正常运行。</w:t>
                  </w:r>
                </w:p>
                <w:p w14:paraId="29271EEA">
                  <w:pPr>
                    <w:pStyle w:val="159"/>
                  </w:pPr>
                  <w:r>
                    <w:rPr>
                      <w:rFonts w:hint="eastAsia"/>
                    </w:rPr>
                    <w:t>（2.2）废气：</w:t>
                  </w:r>
                </w:p>
                <w:p w14:paraId="5CD9CAED">
                  <w:pPr>
                    <w:pStyle w:val="159"/>
                  </w:pPr>
                  <w:r>
                    <w:rPr>
                      <w:rFonts w:hint="eastAsia"/>
                    </w:rPr>
                    <w:t>（2.2.1）按要求严格管控露天烧烤、烟气直排以及焚烧垃圾树叶。</w:t>
                  </w:r>
                </w:p>
                <w:p w14:paraId="2A4AD0B9">
                  <w:pPr>
                    <w:pStyle w:val="159"/>
                  </w:pPr>
                  <w:r>
                    <w:rPr>
                      <w:rFonts w:hint="eastAsia"/>
                    </w:rPr>
                    <w:t>（2.2.2）强化施工建筑扬尘及道路扬尘污染控制。</w:t>
                  </w:r>
                </w:p>
                <w:p w14:paraId="7D8739C1">
                  <w:pPr>
                    <w:pStyle w:val="159"/>
                  </w:pPr>
                  <w:r>
                    <w:rPr>
                      <w:rFonts w:hint="eastAsia"/>
                    </w:rPr>
                    <w:t>（2.3）固体废物：统筹建设城乡垃圾分类、收集、贮存、运输、利用、处置设施；逐步完善分类投放、分类收集、分类运输、分类处理的垃圾处理系统，提高垃圾减量化、资源化、无害化水平；城乡垃圾必须堆放在指定的回收点。禁止擅自倾倒、堆放、丢弃、遗撒、填埋垃圾污染环境的行为。</w:t>
                  </w:r>
                </w:p>
              </w:tc>
              <w:tc>
                <w:tcPr>
                  <w:tcW w:w="1563" w:type="pct"/>
                  <w:shd w:val="clear" w:color="auto" w:fill="auto"/>
                  <w:vAlign w:val="center"/>
                </w:tcPr>
                <w:p w14:paraId="47BF9088">
                  <w:pPr>
                    <w:pStyle w:val="159"/>
                  </w:pPr>
                  <w:r>
                    <w:rPr>
                      <w:color w:val="000000"/>
                      <w:kern w:val="0"/>
                      <w:szCs w:val="21"/>
                    </w:rPr>
                    <w:t>本工程为线路工程，施工期将严格落实环评提出的施工期扬尘防治要求。</w:t>
                  </w:r>
                </w:p>
              </w:tc>
              <w:tc>
                <w:tcPr>
                  <w:tcW w:w="409" w:type="pct"/>
                  <w:shd w:val="clear" w:color="auto" w:fill="auto"/>
                  <w:vAlign w:val="center"/>
                </w:tcPr>
                <w:p w14:paraId="1B188F25">
                  <w:pPr>
                    <w:pStyle w:val="159"/>
                  </w:pPr>
                  <w:r>
                    <w:t>相符</w:t>
                  </w:r>
                </w:p>
              </w:tc>
            </w:tr>
            <w:tr w14:paraId="09E19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9" w:type="pct"/>
                  <w:shd w:val="clear" w:color="auto" w:fill="auto"/>
                  <w:vAlign w:val="center"/>
                </w:tcPr>
                <w:p w14:paraId="4035E6A7">
                  <w:pPr>
                    <w:pStyle w:val="159"/>
                  </w:pPr>
                  <w:r>
                    <w:t>环境风险管控</w:t>
                  </w:r>
                </w:p>
              </w:tc>
              <w:tc>
                <w:tcPr>
                  <w:tcW w:w="2499" w:type="pct"/>
                  <w:shd w:val="clear" w:color="auto" w:fill="auto"/>
                  <w:vAlign w:val="center"/>
                </w:tcPr>
                <w:p w14:paraId="4085E8CC">
                  <w:pPr>
                    <w:pStyle w:val="159"/>
                  </w:pPr>
                  <w:r>
                    <w:rPr>
                      <w:rFonts w:hint="eastAsia"/>
                    </w:rPr>
                    <w:t>（3.1）强化本行政区域内的重污染天气应对工作，积极采取应对措施，减少重污染天气影响。</w:t>
                  </w:r>
                </w:p>
                <w:p w14:paraId="67701551">
                  <w:pPr>
                    <w:pStyle w:val="159"/>
                  </w:pPr>
                  <w:r>
                    <w:rPr>
                      <w:rFonts w:hint="eastAsia"/>
                    </w:rPr>
                    <w:t>（3.2）加强乡镇集中饮用水源地风险防控，确保水源地水质安全。</w:t>
                  </w:r>
                </w:p>
              </w:tc>
              <w:tc>
                <w:tcPr>
                  <w:tcW w:w="1563" w:type="pct"/>
                  <w:shd w:val="clear" w:color="auto" w:fill="auto"/>
                  <w:vAlign w:val="center"/>
                </w:tcPr>
                <w:p w14:paraId="51EEB98A">
                  <w:pPr>
                    <w:pStyle w:val="159"/>
                  </w:pPr>
                  <w:r>
                    <w:t>本工程不涉及。</w:t>
                  </w:r>
                </w:p>
              </w:tc>
              <w:tc>
                <w:tcPr>
                  <w:tcW w:w="409" w:type="pct"/>
                  <w:shd w:val="clear" w:color="auto" w:fill="auto"/>
                  <w:vAlign w:val="center"/>
                </w:tcPr>
                <w:p w14:paraId="4E50B94D">
                  <w:pPr>
                    <w:pStyle w:val="159"/>
                  </w:pPr>
                  <w:r>
                    <w:t>/</w:t>
                  </w:r>
                </w:p>
              </w:tc>
            </w:tr>
            <w:tr w14:paraId="75A40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9" w:type="pct"/>
                  <w:shd w:val="clear" w:color="auto" w:fill="auto"/>
                  <w:vAlign w:val="center"/>
                </w:tcPr>
                <w:p w14:paraId="2E097CBD">
                  <w:pPr>
                    <w:pStyle w:val="159"/>
                  </w:pPr>
                  <w:r>
                    <w:t>资源开发效率要求</w:t>
                  </w:r>
                </w:p>
              </w:tc>
              <w:tc>
                <w:tcPr>
                  <w:tcW w:w="2499" w:type="pct"/>
                  <w:shd w:val="clear" w:color="auto" w:fill="auto"/>
                  <w:vAlign w:val="center"/>
                </w:tcPr>
                <w:p w14:paraId="161EEF28">
                  <w:pPr>
                    <w:pStyle w:val="159"/>
                    <w:jc w:val="left"/>
                  </w:pPr>
                  <w:r>
                    <w:rPr>
                      <w:rFonts w:hint="eastAsia"/>
                    </w:rPr>
                    <w:t>（4.1）能源：</w:t>
                  </w:r>
                </w:p>
                <w:p w14:paraId="3BC98682">
                  <w:pPr>
                    <w:pStyle w:val="159"/>
                    <w:jc w:val="left"/>
                  </w:pPr>
                  <w:r>
                    <w:rPr>
                      <w:rFonts w:hint="eastAsia"/>
                    </w:rPr>
                    <w:t>积极开发水能、风能、太阳能、生物质能等可再生能源，使可再生能源在电力一次能源结构中的占比不低于50%。</w:t>
                  </w:r>
                </w:p>
                <w:p w14:paraId="3D39ECD0">
                  <w:pPr>
                    <w:pStyle w:val="159"/>
                    <w:jc w:val="left"/>
                  </w:pPr>
                  <w:r>
                    <w:rPr>
                      <w:rFonts w:hint="eastAsia"/>
                    </w:rPr>
                    <w:t>（4.2）水资源：</w:t>
                  </w:r>
                </w:p>
                <w:p w14:paraId="723EBB41">
                  <w:pPr>
                    <w:pStyle w:val="159"/>
                    <w:jc w:val="left"/>
                  </w:pPr>
                  <w:r>
                    <w:rPr>
                      <w:rFonts w:hint="eastAsia"/>
                    </w:rPr>
                    <w:t>到2025年，江华县指标应符合相应行政区域的管控要求，江华县用水总量达19454万m3，农业用水总量控制在16692万m3，万元地区生产总值用水量、万元工业增加值用水量分别比2020年降低10.06%、8.87%，农田灌溉水有效利用系数为0.555。</w:t>
                  </w:r>
                </w:p>
                <w:p w14:paraId="6BA2A8B1">
                  <w:pPr>
                    <w:pStyle w:val="159"/>
                    <w:jc w:val="left"/>
                  </w:pPr>
                  <w:r>
                    <w:rPr>
                      <w:rFonts w:hint="eastAsia"/>
                    </w:rPr>
                    <w:t>（4.3）土地资源：</w:t>
                  </w:r>
                </w:p>
                <w:p w14:paraId="3D031A87">
                  <w:pPr>
                    <w:pStyle w:val="159"/>
                    <w:jc w:val="left"/>
                  </w:pPr>
                  <w:r>
                    <w:rPr>
                      <w:rFonts w:hint="eastAsia"/>
                    </w:rPr>
                    <w:t>至2035年，全县耕地保有量不低于44.16万亩；全县永久基本农田保护面积不低于38.75万亩；全县生态保护红线面积不低于561.54平方千米；全县城镇开发边界面积控制在35.10平方千米以内，其中中心城区控制在24.42平方千米以内，划定城镇发展区3585.55公顷，乡村发展区215078.66公顷，矿产能源发展区16811.76公顷。</w:t>
                  </w:r>
                </w:p>
              </w:tc>
              <w:tc>
                <w:tcPr>
                  <w:tcW w:w="1563" w:type="pct"/>
                  <w:shd w:val="clear" w:color="auto" w:fill="auto"/>
                  <w:vAlign w:val="center"/>
                </w:tcPr>
                <w:p w14:paraId="3B1D8BE7">
                  <w:pPr>
                    <w:pStyle w:val="159"/>
                    <w:rPr>
                      <w:szCs w:val="21"/>
                    </w:rPr>
                  </w:pPr>
                  <w:r>
                    <w:t>本工程为输电线路工程，项目本身不消耗能源，仅塔基占用少量土地，将按照相关规定办理用地手续，不会突破资源利用上线。</w:t>
                  </w:r>
                </w:p>
              </w:tc>
              <w:tc>
                <w:tcPr>
                  <w:tcW w:w="409" w:type="pct"/>
                  <w:shd w:val="clear" w:color="auto" w:fill="auto"/>
                  <w:vAlign w:val="center"/>
                </w:tcPr>
                <w:p w14:paraId="778CF51B">
                  <w:pPr>
                    <w:pStyle w:val="159"/>
                  </w:pPr>
                  <w:r>
                    <w:t>相符</w:t>
                  </w:r>
                </w:p>
              </w:tc>
            </w:tr>
          </w:tbl>
          <w:p w14:paraId="371120AC">
            <w:pPr>
              <w:pStyle w:val="3"/>
              <w:ind w:firstLine="480"/>
            </w:pPr>
            <w:r>
              <w:t>综上分析，</w:t>
            </w:r>
            <w:r>
              <w:rPr>
                <w:rFonts w:hint="eastAsia"/>
              </w:rPr>
              <w:t>本项目符合永州市</w:t>
            </w:r>
            <w:r>
              <w:t>“</w:t>
            </w:r>
            <w:r>
              <w:rPr>
                <w:rFonts w:hint="eastAsia"/>
              </w:rPr>
              <w:t>三线一单</w:t>
            </w:r>
            <w:r>
              <w:t>”</w:t>
            </w:r>
            <w:r>
              <w:rPr>
                <w:rFonts w:hint="eastAsia"/>
              </w:rPr>
              <w:t>管控要求，不会突破区域环境质量底线、资源利用上限，不属于负面清单内项目，符合</w:t>
            </w:r>
            <w:r>
              <w:t>“</w:t>
            </w:r>
            <w:r>
              <w:rPr>
                <w:rFonts w:hint="eastAsia"/>
              </w:rPr>
              <w:t>三线一单</w:t>
            </w:r>
            <w:r>
              <w:t>”</w:t>
            </w:r>
            <w:r>
              <w:rPr>
                <w:rFonts w:hint="eastAsia"/>
              </w:rPr>
              <w:t>的要求。</w:t>
            </w:r>
          </w:p>
          <w:p w14:paraId="271F3FA7">
            <w:pPr>
              <w:pStyle w:val="5"/>
              <w:ind w:left="0" w:firstLine="0"/>
            </w:pPr>
            <w:r>
              <w:rPr>
                <w:rFonts w:hint="eastAsia"/>
              </w:rPr>
              <w:t>与《输变电建设项目环境保护技术要求》（HJ1113-2020）相关要求的相符性</w:t>
            </w:r>
          </w:p>
          <w:p w14:paraId="74D9A2FC">
            <w:pPr>
              <w:pStyle w:val="3"/>
              <w:ind w:firstLine="480"/>
              <w:rPr>
                <w:sz w:val="13"/>
                <w:szCs w:val="13"/>
              </w:rPr>
            </w:pPr>
            <w:r>
              <w:rPr>
                <w:rFonts w:hint="eastAsia"/>
              </w:rPr>
              <w:t>根据《输变电建设项目环境保护技术要求》（HJ1113-2020）中选址选线、设计等相关技术要求，通过对比分析</w:t>
            </w:r>
            <w:r>
              <w:t>，本项目符合</w:t>
            </w:r>
            <w:r>
              <w:rPr>
                <w:rFonts w:hint="eastAsia"/>
              </w:rPr>
              <w:t>《输变电建设项目环境保护技术要求》（HJ1113 -2020）相关要求，</w:t>
            </w:r>
            <w:r>
              <w:t>具体分析见表</w:t>
            </w:r>
            <w:r>
              <w:rPr>
                <w:rFonts w:hint="eastAsia"/>
              </w:rPr>
              <w:t>1</w:t>
            </w:r>
            <w:r>
              <w:t>.3-3</w:t>
            </w:r>
            <w:r>
              <w:rPr>
                <w:rFonts w:hint="eastAsia"/>
              </w:rPr>
              <w:t>所示。</w:t>
            </w:r>
          </w:p>
          <w:p w14:paraId="5C4E9C06">
            <w:pPr>
              <w:pStyle w:val="148"/>
            </w:pPr>
            <w:r>
              <w:rPr>
                <w:rFonts w:hint="eastAsia"/>
              </w:rPr>
              <w:t>表1.</w:t>
            </w:r>
            <w:r>
              <w:t>3</w:t>
            </w:r>
            <w:r>
              <w:rPr>
                <w:rFonts w:hint="eastAsia"/>
              </w:rPr>
              <w:t>-</w:t>
            </w:r>
            <w:r>
              <w:t xml:space="preserve">3   </w:t>
            </w:r>
            <w:r>
              <w:rPr>
                <w:rFonts w:hint="eastAsia"/>
              </w:rPr>
              <w:t>本工程与《输变电建设项目环境保护技术要求》符合性分析</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834"/>
              <w:gridCol w:w="3499"/>
              <w:gridCol w:w="2665"/>
              <w:gridCol w:w="825"/>
            </w:tblGrid>
            <w:tr w14:paraId="758F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Align w:val="center"/>
                </w:tcPr>
                <w:p w14:paraId="4EC48365">
                  <w:pPr>
                    <w:pStyle w:val="159"/>
                  </w:pPr>
                  <w:r>
                    <w:rPr>
                      <w:rFonts w:hint="eastAsia"/>
                    </w:rPr>
                    <w:t>序号</w:t>
                  </w:r>
                </w:p>
              </w:tc>
              <w:tc>
                <w:tcPr>
                  <w:tcW w:w="483" w:type="pct"/>
                  <w:vAlign w:val="center"/>
                </w:tcPr>
                <w:p w14:paraId="63F1A523">
                  <w:pPr>
                    <w:pStyle w:val="159"/>
                  </w:pPr>
                  <w:r>
                    <w:rPr>
                      <w:rFonts w:hint="eastAsia"/>
                    </w:rPr>
                    <w:t>内容</w:t>
                  </w:r>
                </w:p>
              </w:tc>
              <w:tc>
                <w:tcPr>
                  <w:tcW w:w="2027" w:type="pct"/>
                  <w:vAlign w:val="center"/>
                </w:tcPr>
                <w:p w14:paraId="48591BB0">
                  <w:pPr>
                    <w:pStyle w:val="159"/>
                  </w:pPr>
                  <w:r>
                    <w:t>HJ1113-2020</w:t>
                  </w:r>
                  <w:r>
                    <w:rPr>
                      <w:rFonts w:hint="eastAsia"/>
                    </w:rPr>
                    <w:t>具体要求</w:t>
                  </w:r>
                </w:p>
              </w:tc>
              <w:tc>
                <w:tcPr>
                  <w:tcW w:w="1544" w:type="pct"/>
                  <w:vAlign w:val="center"/>
                </w:tcPr>
                <w:p w14:paraId="1D87FEF7">
                  <w:pPr>
                    <w:pStyle w:val="159"/>
                  </w:pPr>
                  <w:r>
                    <w:rPr>
                      <w:rFonts w:hint="eastAsia"/>
                    </w:rPr>
                    <w:t>本工程</w:t>
                  </w:r>
                </w:p>
              </w:tc>
              <w:tc>
                <w:tcPr>
                  <w:tcW w:w="478" w:type="pct"/>
                  <w:vAlign w:val="center"/>
                </w:tcPr>
                <w:p w14:paraId="054CFCE9">
                  <w:pPr>
                    <w:pStyle w:val="159"/>
                  </w:pPr>
                  <w:r>
                    <w:rPr>
                      <w:rFonts w:hint="eastAsia"/>
                    </w:rPr>
                    <w:t>符合性</w:t>
                  </w:r>
                </w:p>
              </w:tc>
            </w:tr>
            <w:tr w14:paraId="7D46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restart"/>
                  <w:vAlign w:val="center"/>
                </w:tcPr>
                <w:p w14:paraId="10A8D4ED">
                  <w:pPr>
                    <w:pStyle w:val="159"/>
                  </w:pPr>
                  <w:r>
                    <w:rPr>
                      <w:rFonts w:hint="eastAsia"/>
                    </w:rPr>
                    <w:t>2</w:t>
                  </w:r>
                </w:p>
              </w:tc>
              <w:tc>
                <w:tcPr>
                  <w:tcW w:w="483" w:type="pct"/>
                  <w:vMerge w:val="restart"/>
                  <w:vAlign w:val="center"/>
                </w:tcPr>
                <w:p w14:paraId="37FD54E6">
                  <w:pPr>
                    <w:pStyle w:val="159"/>
                  </w:pPr>
                  <w:r>
                    <w:rPr>
                      <w:rFonts w:hint="eastAsia"/>
                    </w:rPr>
                    <w:t>选址选线</w:t>
                  </w:r>
                </w:p>
              </w:tc>
              <w:tc>
                <w:tcPr>
                  <w:tcW w:w="2027" w:type="pct"/>
                  <w:vAlign w:val="center"/>
                </w:tcPr>
                <w:p w14:paraId="0CAEDC5E">
                  <w:pPr>
                    <w:pStyle w:val="159"/>
                  </w:pPr>
                  <w:r>
                    <w:rPr>
                      <w:rFonts w:hint="eastAsia"/>
                    </w:rPr>
                    <w:t>输变电建设项目选址选线应符合生态保护红线管理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1544" w:type="pct"/>
                  <w:vAlign w:val="center"/>
                </w:tcPr>
                <w:p w14:paraId="2B48A956">
                  <w:pPr>
                    <w:pStyle w:val="159"/>
                  </w:pPr>
                  <w:r>
                    <w:rPr>
                      <w:rFonts w:hint="eastAsia"/>
                    </w:rPr>
                    <w:t>本工程无害化跨越生态保护红线3次，已取得《江华瑶族自治县人民政府关于湖南省江华湾水源抽水蓄能电站施工电源110kV线路工程符合生态保护红线内允许有限认为活动的认定意见》（附件4），已落实生态保护红线有限占用相关手续，与生态保护红线管理要求不相冲突；不涉及自然保护区、饮用水水源保护区等环境敏感区。</w:t>
                  </w:r>
                </w:p>
              </w:tc>
              <w:tc>
                <w:tcPr>
                  <w:tcW w:w="478" w:type="pct"/>
                  <w:vAlign w:val="center"/>
                </w:tcPr>
                <w:p w14:paraId="1D952202">
                  <w:pPr>
                    <w:pStyle w:val="159"/>
                  </w:pPr>
                  <w:r>
                    <w:rPr>
                      <w:rFonts w:hint="eastAsia"/>
                    </w:rPr>
                    <w:t>符合</w:t>
                  </w:r>
                </w:p>
              </w:tc>
            </w:tr>
            <w:tr w14:paraId="45AD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127A6679">
                  <w:pPr>
                    <w:pStyle w:val="159"/>
                  </w:pPr>
                </w:p>
              </w:tc>
              <w:tc>
                <w:tcPr>
                  <w:tcW w:w="483" w:type="pct"/>
                  <w:vMerge w:val="continue"/>
                  <w:vAlign w:val="center"/>
                </w:tcPr>
                <w:p w14:paraId="7CB9FDCE">
                  <w:pPr>
                    <w:pStyle w:val="159"/>
                  </w:pPr>
                </w:p>
              </w:tc>
              <w:tc>
                <w:tcPr>
                  <w:tcW w:w="2027" w:type="pct"/>
                  <w:vAlign w:val="center"/>
                </w:tcPr>
                <w:p w14:paraId="064ABD7A">
                  <w:pPr>
                    <w:pStyle w:val="159"/>
                  </w:pPr>
                  <w:r>
                    <w:rPr>
                      <w:rFonts w:hint="eastAsia"/>
                    </w:rPr>
                    <w:t>变电工程在选址时应按终期规模综合考虑进出线走廊规划，避免进出线进入自然保护区、饮用水水源保护区等环境敏感区。进入自然保护区的输电线路，应按照 HJ9 的要求开展生态现状调查，避让保护对象集中分布区</w:t>
                  </w:r>
                </w:p>
              </w:tc>
              <w:tc>
                <w:tcPr>
                  <w:tcW w:w="1544" w:type="pct"/>
                  <w:vAlign w:val="center"/>
                </w:tcPr>
                <w:p w14:paraId="7C53ABB0">
                  <w:pPr>
                    <w:pStyle w:val="159"/>
                  </w:pPr>
                  <w:r>
                    <w:rPr>
                      <w:rFonts w:hint="eastAsia"/>
                    </w:rPr>
                    <w:t>本工程不在自然保护区、饮用水水源保护区等环境敏感区。</w:t>
                  </w:r>
                </w:p>
              </w:tc>
              <w:tc>
                <w:tcPr>
                  <w:tcW w:w="478" w:type="pct"/>
                  <w:vAlign w:val="center"/>
                </w:tcPr>
                <w:p w14:paraId="30EE6BE2">
                  <w:pPr>
                    <w:pStyle w:val="159"/>
                  </w:pPr>
                  <w:r>
                    <w:rPr>
                      <w:rFonts w:hint="eastAsia"/>
                    </w:rPr>
                    <w:t>符合</w:t>
                  </w:r>
                </w:p>
              </w:tc>
            </w:tr>
            <w:tr w14:paraId="6829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302565FB">
                  <w:pPr>
                    <w:pStyle w:val="159"/>
                  </w:pPr>
                </w:p>
              </w:tc>
              <w:tc>
                <w:tcPr>
                  <w:tcW w:w="483" w:type="pct"/>
                  <w:vMerge w:val="continue"/>
                  <w:vAlign w:val="center"/>
                </w:tcPr>
                <w:p w14:paraId="25C626FA">
                  <w:pPr>
                    <w:pStyle w:val="159"/>
                  </w:pPr>
                </w:p>
              </w:tc>
              <w:tc>
                <w:tcPr>
                  <w:tcW w:w="2027" w:type="pct"/>
                  <w:vAlign w:val="center"/>
                </w:tcPr>
                <w:p w14:paraId="3DD201AA">
                  <w:pPr>
                    <w:pStyle w:val="159"/>
                  </w:pPr>
                  <w:r>
                    <w:rPr>
                      <w:rFonts w:hint="eastAsia"/>
                    </w:rPr>
                    <w:t>户外变电工程及规划架空进出线选址选线时，应关注以居住、医疗卫生、文化教育、科研、行政办公等为主要功能的区域，采取综合措施，减少电磁和声环境影响。</w:t>
                  </w:r>
                </w:p>
              </w:tc>
              <w:tc>
                <w:tcPr>
                  <w:tcW w:w="1544" w:type="pct"/>
                  <w:vAlign w:val="center"/>
                </w:tcPr>
                <w:p w14:paraId="3C969D1E">
                  <w:pPr>
                    <w:pStyle w:val="159"/>
                  </w:pPr>
                  <w:r>
                    <w:rPr>
                      <w:rFonts w:hint="eastAsia"/>
                    </w:rPr>
                    <w:t>本工程评价范围内以无居住、医疗卫生、文化教育、科研、行政办公等为主要功能的区域。</w:t>
                  </w:r>
                </w:p>
              </w:tc>
              <w:tc>
                <w:tcPr>
                  <w:tcW w:w="478" w:type="pct"/>
                  <w:vAlign w:val="center"/>
                </w:tcPr>
                <w:p w14:paraId="791650E0">
                  <w:pPr>
                    <w:pStyle w:val="159"/>
                  </w:pPr>
                  <w:r>
                    <w:rPr>
                      <w:rFonts w:hint="eastAsia"/>
                    </w:rPr>
                    <w:t>符合</w:t>
                  </w:r>
                </w:p>
              </w:tc>
            </w:tr>
            <w:tr w14:paraId="240E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1FAFC1F2">
                  <w:pPr>
                    <w:pStyle w:val="159"/>
                  </w:pPr>
                </w:p>
              </w:tc>
              <w:tc>
                <w:tcPr>
                  <w:tcW w:w="483" w:type="pct"/>
                  <w:vMerge w:val="continue"/>
                  <w:vAlign w:val="center"/>
                </w:tcPr>
                <w:p w14:paraId="34B02E8A">
                  <w:pPr>
                    <w:pStyle w:val="159"/>
                  </w:pPr>
                </w:p>
              </w:tc>
              <w:tc>
                <w:tcPr>
                  <w:tcW w:w="2027" w:type="pct"/>
                  <w:vAlign w:val="center"/>
                </w:tcPr>
                <w:p w14:paraId="65F644DD">
                  <w:pPr>
                    <w:pStyle w:val="159"/>
                  </w:pPr>
                  <w:r>
                    <w:rPr>
                      <w:rFonts w:hint="eastAsia"/>
                    </w:rPr>
                    <w:t>原则上避免在0类声环境功能区建设变电工程。</w:t>
                  </w:r>
                </w:p>
              </w:tc>
              <w:tc>
                <w:tcPr>
                  <w:tcW w:w="1544" w:type="pct"/>
                  <w:vAlign w:val="center"/>
                </w:tcPr>
                <w:p w14:paraId="33BCBF3B">
                  <w:pPr>
                    <w:pStyle w:val="159"/>
                  </w:pPr>
                  <w:r>
                    <w:rPr>
                      <w:rFonts w:hint="eastAsia"/>
                    </w:rPr>
                    <w:t>本工程不位于</w:t>
                  </w:r>
                  <w:r>
                    <w:t>0</w:t>
                  </w:r>
                  <w:r>
                    <w:rPr>
                      <w:rFonts w:hint="eastAsia"/>
                    </w:rPr>
                    <w:t>类区域。</w:t>
                  </w:r>
                </w:p>
              </w:tc>
              <w:tc>
                <w:tcPr>
                  <w:tcW w:w="478" w:type="pct"/>
                  <w:vAlign w:val="center"/>
                </w:tcPr>
                <w:p w14:paraId="6B011851">
                  <w:pPr>
                    <w:pStyle w:val="159"/>
                  </w:pPr>
                  <w:r>
                    <w:rPr>
                      <w:rFonts w:hint="eastAsia"/>
                    </w:rPr>
                    <w:t>符合</w:t>
                  </w:r>
                </w:p>
              </w:tc>
            </w:tr>
            <w:tr w14:paraId="12DD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66B97BEE">
                  <w:pPr>
                    <w:pStyle w:val="159"/>
                  </w:pPr>
                </w:p>
              </w:tc>
              <w:tc>
                <w:tcPr>
                  <w:tcW w:w="483" w:type="pct"/>
                  <w:vMerge w:val="continue"/>
                  <w:vAlign w:val="center"/>
                </w:tcPr>
                <w:p w14:paraId="74D43BEA">
                  <w:pPr>
                    <w:pStyle w:val="159"/>
                  </w:pPr>
                </w:p>
              </w:tc>
              <w:tc>
                <w:tcPr>
                  <w:tcW w:w="2027" w:type="pct"/>
                  <w:vAlign w:val="center"/>
                </w:tcPr>
                <w:p w14:paraId="0D0B73C7">
                  <w:pPr>
                    <w:pStyle w:val="159"/>
                  </w:pPr>
                  <w:r>
                    <w:rPr>
                      <w:rFonts w:hint="eastAsia"/>
                    </w:rPr>
                    <w:t>输电线路宜避让集中林区，以减少林木砍伐，保护生态环境。</w:t>
                  </w:r>
                </w:p>
              </w:tc>
              <w:tc>
                <w:tcPr>
                  <w:tcW w:w="1544" w:type="pct"/>
                  <w:vAlign w:val="center"/>
                </w:tcPr>
                <w:p w14:paraId="0B653ED6">
                  <w:pPr>
                    <w:pStyle w:val="159"/>
                  </w:pPr>
                  <w:r>
                    <w:rPr>
                      <w:rFonts w:hint="eastAsia"/>
                    </w:rPr>
                    <w:t>本工程送出线路在设计阶段已采取了避让、高跨等措施，尽可能减少林木砍伐。</w:t>
                  </w:r>
                </w:p>
              </w:tc>
              <w:tc>
                <w:tcPr>
                  <w:tcW w:w="478" w:type="pct"/>
                  <w:vAlign w:val="center"/>
                </w:tcPr>
                <w:p w14:paraId="46284B4B">
                  <w:pPr>
                    <w:pStyle w:val="159"/>
                  </w:pPr>
                  <w:r>
                    <w:rPr>
                      <w:rFonts w:hint="eastAsia"/>
                    </w:rPr>
                    <w:t>符合</w:t>
                  </w:r>
                </w:p>
              </w:tc>
            </w:tr>
            <w:tr w14:paraId="6984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restart"/>
                  <w:vAlign w:val="center"/>
                </w:tcPr>
                <w:p w14:paraId="500E5DBC">
                  <w:pPr>
                    <w:pStyle w:val="159"/>
                  </w:pPr>
                  <w:r>
                    <w:rPr>
                      <w:rFonts w:hint="eastAsia"/>
                    </w:rPr>
                    <w:t>3</w:t>
                  </w:r>
                </w:p>
              </w:tc>
              <w:tc>
                <w:tcPr>
                  <w:tcW w:w="483" w:type="pct"/>
                  <w:vMerge w:val="restart"/>
                  <w:vAlign w:val="center"/>
                </w:tcPr>
                <w:p w14:paraId="522EC3E5">
                  <w:pPr>
                    <w:pStyle w:val="159"/>
                  </w:pPr>
                  <w:r>
                    <w:rPr>
                      <w:rFonts w:hint="eastAsia"/>
                    </w:rPr>
                    <w:t>电磁环境保护</w:t>
                  </w:r>
                </w:p>
              </w:tc>
              <w:tc>
                <w:tcPr>
                  <w:tcW w:w="2027" w:type="pct"/>
                  <w:vAlign w:val="center"/>
                </w:tcPr>
                <w:p w14:paraId="671E16C9">
                  <w:pPr>
                    <w:pStyle w:val="159"/>
                  </w:pPr>
                  <w:r>
                    <w:rPr>
                      <w:rFonts w:hint="eastAsia"/>
                    </w:rPr>
                    <w:t>工程设计应对产生的工频电场、工频磁场等电磁环境影响因子进行验算，采取相应保护措施，确保电磁环境影响满足国家标准要求。</w:t>
                  </w:r>
                </w:p>
              </w:tc>
              <w:tc>
                <w:tcPr>
                  <w:tcW w:w="1544" w:type="pct"/>
                  <w:vAlign w:val="center"/>
                </w:tcPr>
                <w:p w14:paraId="085CFAC2">
                  <w:pPr>
                    <w:pStyle w:val="159"/>
                  </w:pPr>
                  <w:r>
                    <w:rPr>
                      <w:rFonts w:hint="eastAsia"/>
                    </w:rPr>
                    <w:t>根据电磁预测结果，本工程建设后附近的电磁环境影响满足国家标准要求。</w:t>
                  </w:r>
                </w:p>
              </w:tc>
              <w:tc>
                <w:tcPr>
                  <w:tcW w:w="478" w:type="pct"/>
                  <w:vAlign w:val="center"/>
                </w:tcPr>
                <w:p w14:paraId="720CA0DE">
                  <w:pPr>
                    <w:pStyle w:val="159"/>
                  </w:pPr>
                  <w:r>
                    <w:rPr>
                      <w:rFonts w:hint="eastAsia"/>
                    </w:rPr>
                    <w:t>符合</w:t>
                  </w:r>
                </w:p>
              </w:tc>
            </w:tr>
            <w:tr w14:paraId="528C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13AE3885">
                  <w:pPr>
                    <w:pStyle w:val="159"/>
                  </w:pPr>
                </w:p>
              </w:tc>
              <w:tc>
                <w:tcPr>
                  <w:tcW w:w="483" w:type="pct"/>
                  <w:vMerge w:val="continue"/>
                  <w:vAlign w:val="center"/>
                </w:tcPr>
                <w:p w14:paraId="1DBAFB5E">
                  <w:pPr>
                    <w:pStyle w:val="159"/>
                  </w:pPr>
                </w:p>
              </w:tc>
              <w:tc>
                <w:tcPr>
                  <w:tcW w:w="2027" w:type="pct"/>
                  <w:vAlign w:val="center"/>
                </w:tcPr>
                <w:p w14:paraId="294A0FB4">
                  <w:pPr>
                    <w:pStyle w:val="159"/>
                  </w:pPr>
                  <w:r>
                    <w:rPr>
                      <w:rFonts w:hint="eastAsia"/>
                    </w:rPr>
                    <w:t>本工程设计阶段即选取适宜的杆塔、导线参数、相序布置，以减少电磁环境影响。</w:t>
                  </w:r>
                </w:p>
              </w:tc>
              <w:tc>
                <w:tcPr>
                  <w:tcW w:w="1544" w:type="pct"/>
                  <w:vAlign w:val="center"/>
                </w:tcPr>
                <w:p w14:paraId="19493BF8">
                  <w:pPr>
                    <w:pStyle w:val="159"/>
                  </w:pPr>
                  <w:r>
                    <w:rPr>
                      <w:rFonts w:hint="eastAsia"/>
                    </w:rPr>
                    <w:t>本工程设计阶段已选取适宜的杆塔、导线参数、相序布置，以减少电磁环境影响。</w:t>
                  </w:r>
                </w:p>
              </w:tc>
              <w:tc>
                <w:tcPr>
                  <w:tcW w:w="478" w:type="pct"/>
                  <w:vAlign w:val="center"/>
                </w:tcPr>
                <w:p w14:paraId="298E48D3">
                  <w:pPr>
                    <w:pStyle w:val="159"/>
                  </w:pPr>
                  <w:r>
                    <w:rPr>
                      <w:rFonts w:hint="eastAsia"/>
                    </w:rPr>
                    <w:t>符合</w:t>
                  </w:r>
                </w:p>
              </w:tc>
            </w:tr>
            <w:tr w14:paraId="34C6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restart"/>
                  <w:vAlign w:val="center"/>
                </w:tcPr>
                <w:p w14:paraId="7643C6F8">
                  <w:pPr>
                    <w:pStyle w:val="159"/>
                  </w:pPr>
                  <w:r>
                    <w:rPr>
                      <w:rFonts w:hint="eastAsia"/>
                    </w:rPr>
                    <w:t>4</w:t>
                  </w:r>
                </w:p>
              </w:tc>
              <w:tc>
                <w:tcPr>
                  <w:tcW w:w="483" w:type="pct"/>
                  <w:vMerge w:val="restart"/>
                  <w:vAlign w:val="center"/>
                </w:tcPr>
                <w:p w14:paraId="21352051">
                  <w:pPr>
                    <w:pStyle w:val="159"/>
                  </w:pPr>
                  <w:r>
                    <w:rPr>
                      <w:rFonts w:hint="eastAsia"/>
                    </w:rPr>
                    <w:t>生态环境保护</w:t>
                  </w:r>
                </w:p>
              </w:tc>
              <w:tc>
                <w:tcPr>
                  <w:tcW w:w="2027" w:type="pct"/>
                  <w:vAlign w:val="center"/>
                </w:tcPr>
                <w:p w14:paraId="0E257F99">
                  <w:pPr>
                    <w:pStyle w:val="159"/>
                  </w:pPr>
                  <w:r>
                    <w:rPr>
                      <w:rFonts w:hint="eastAsia"/>
                    </w:rPr>
                    <w:t>输变电建设项目在设计过程中应按照避让、减缓、恢复的次序提出生态影响防护与恢复的措施。</w:t>
                  </w:r>
                </w:p>
              </w:tc>
              <w:tc>
                <w:tcPr>
                  <w:tcW w:w="1544" w:type="pct"/>
                  <w:vAlign w:val="center"/>
                </w:tcPr>
                <w:p w14:paraId="4F9CBE96">
                  <w:pPr>
                    <w:pStyle w:val="159"/>
                  </w:pPr>
                  <w:r>
                    <w:rPr>
                      <w:rFonts w:hint="eastAsia"/>
                    </w:rPr>
                    <w:t>本工程设计过程中已按照避让、减缓、恢复的次序提出了生态影响防护与恢复的措施。</w:t>
                  </w:r>
                </w:p>
              </w:tc>
              <w:tc>
                <w:tcPr>
                  <w:tcW w:w="478" w:type="pct"/>
                  <w:vAlign w:val="center"/>
                </w:tcPr>
                <w:p w14:paraId="4B486E90">
                  <w:pPr>
                    <w:pStyle w:val="159"/>
                  </w:pPr>
                  <w:r>
                    <w:rPr>
                      <w:rFonts w:hint="eastAsia"/>
                    </w:rPr>
                    <w:t>符合</w:t>
                  </w:r>
                </w:p>
              </w:tc>
            </w:tr>
            <w:tr w14:paraId="4CC8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3902E918">
                  <w:pPr>
                    <w:pStyle w:val="159"/>
                  </w:pPr>
                </w:p>
              </w:tc>
              <w:tc>
                <w:tcPr>
                  <w:tcW w:w="483" w:type="pct"/>
                  <w:vMerge w:val="continue"/>
                  <w:vAlign w:val="center"/>
                </w:tcPr>
                <w:p w14:paraId="3FB4FE02">
                  <w:pPr>
                    <w:pStyle w:val="159"/>
                  </w:pPr>
                </w:p>
              </w:tc>
              <w:tc>
                <w:tcPr>
                  <w:tcW w:w="2027" w:type="pct"/>
                  <w:vAlign w:val="center"/>
                </w:tcPr>
                <w:p w14:paraId="1D8166B9">
                  <w:pPr>
                    <w:pStyle w:val="159"/>
                  </w:pPr>
                  <w:r>
                    <w:rPr>
                      <w:rFonts w:hint="eastAsia"/>
                    </w:rPr>
                    <w:t>输电线路应因地制宜合理选择塔基基础，在山丘区应采用全方位长短腿与不等高基础设计，以减少土石方开挖。输电线路无法避让集中林区时，应采取控制导线高度设计，以减少林木砍伐，保护生态环境。</w:t>
                  </w:r>
                </w:p>
              </w:tc>
              <w:tc>
                <w:tcPr>
                  <w:tcW w:w="1544" w:type="pct"/>
                  <w:vAlign w:val="center"/>
                </w:tcPr>
                <w:p w14:paraId="084E9270">
                  <w:pPr>
                    <w:pStyle w:val="159"/>
                  </w:pPr>
                  <w:r>
                    <w:rPr>
                      <w:rFonts w:hint="eastAsia"/>
                    </w:rPr>
                    <w:t>本工程沿线为山丘区，采用全方位长短腿与不等高基础设计，以减少土石方开挖。输电线路无法避让集中林区时，采取了高跨设计，以减少林木砍伐，保护生态环境。</w:t>
                  </w:r>
                </w:p>
              </w:tc>
              <w:tc>
                <w:tcPr>
                  <w:tcW w:w="478" w:type="pct"/>
                  <w:vAlign w:val="center"/>
                </w:tcPr>
                <w:p w14:paraId="49549440">
                  <w:pPr>
                    <w:pStyle w:val="159"/>
                  </w:pPr>
                  <w:r>
                    <w:rPr>
                      <w:rFonts w:hint="eastAsia"/>
                    </w:rPr>
                    <w:t>符合</w:t>
                  </w:r>
                </w:p>
              </w:tc>
            </w:tr>
            <w:tr w14:paraId="61C9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374AA94C">
                  <w:pPr>
                    <w:pStyle w:val="159"/>
                  </w:pPr>
                </w:p>
              </w:tc>
              <w:tc>
                <w:tcPr>
                  <w:tcW w:w="483" w:type="pct"/>
                  <w:vMerge w:val="continue"/>
                  <w:vAlign w:val="center"/>
                </w:tcPr>
                <w:p w14:paraId="464D908A">
                  <w:pPr>
                    <w:pStyle w:val="159"/>
                  </w:pPr>
                </w:p>
              </w:tc>
              <w:tc>
                <w:tcPr>
                  <w:tcW w:w="2027" w:type="pct"/>
                  <w:vAlign w:val="center"/>
                </w:tcPr>
                <w:p w14:paraId="28AEE65C">
                  <w:pPr>
                    <w:pStyle w:val="159"/>
                  </w:pPr>
                  <w:r>
                    <w:rPr>
                      <w:rFonts w:hint="eastAsia"/>
                    </w:rPr>
                    <w:t>输变电建设项目临时占地，应因地制宜进行土地功能恢复设计。</w:t>
                  </w:r>
                </w:p>
              </w:tc>
              <w:tc>
                <w:tcPr>
                  <w:tcW w:w="1544" w:type="pct"/>
                  <w:vAlign w:val="center"/>
                </w:tcPr>
                <w:p w14:paraId="58C8244C">
                  <w:pPr>
                    <w:pStyle w:val="159"/>
                  </w:pPr>
                  <w:r>
                    <w:rPr>
                      <w:rFonts w:hint="eastAsia"/>
                    </w:rPr>
                    <w:t>本评价提出了因地制宜对临时占地进行土地恢复要求，施工结束后将按照要求恢复临时用地土地功能。</w:t>
                  </w:r>
                </w:p>
              </w:tc>
              <w:tc>
                <w:tcPr>
                  <w:tcW w:w="478" w:type="pct"/>
                  <w:vAlign w:val="center"/>
                </w:tcPr>
                <w:p w14:paraId="11255F63">
                  <w:pPr>
                    <w:pStyle w:val="159"/>
                  </w:pPr>
                  <w:r>
                    <w:rPr>
                      <w:rFonts w:hint="eastAsia"/>
                    </w:rPr>
                    <w:t>符合</w:t>
                  </w:r>
                </w:p>
              </w:tc>
            </w:tr>
            <w:tr w14:paraId="7A9E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Align w:val="center"/>
                </w:tcPr>
                <w:p w14:paraId="7C3956D4">
                  <w:pPr>
                    <w:pStyle w:val="159"/>
                  </w:pPr>
                  <w:r>
                    <w:rPr>
                      <w:rFonts w:hint="eastAsia"/>
                    </w:rPr>
                    <w:t>5</w:t>
                  </w:r>
                </w:p>
              </w:tc>
              <w:tc>
                <w:tcPr>
                  <w:tcW w:w="483" w:type="pct"/>
                  <w:vAlign w:val="center"/>
                </w:tcPr>
                <w:p w14:paraId="3EC4F090">
                  <w:pPr>
                    <w:pStyle w:val="159"/>
                  </w:pPr>
                  <w:r>
                    <w:rPr>
                      <w:rFonts w:hint="eastAsia"/>
                    </w:rPr>
                    <w:t>水环境保护</w:t>
                  </w:r>
                </w:p>
              </w:tc>
              <w:tc>
                <w:tcPr>
                  <w:tcW w:w="2027" w:type="pct"/>
                  <w:vAlign w:val="center"/>
                </w:tcPr>
                <w:p w14:paraId="244D8D5F">
                  <w:pPr>
                    <w:pStyle w:val="159"/>
                  </w:pPr>
                  <w:r>
                    <w:rPr>
                      <w:rFonts w:hint="eastAsia"/>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tc>
              <w:tc>
                <w:tcPr>
                  <w:tcW w:w="1544" w:type="pct"/>
                  <w:vAlign w:val="center"/>
                </w:tcPr>
                <w:p w14:paraId="4E352CCF">
                  <w:pPr>
                    <w:pStyle w:val="159"/>
                  </w:pPr>
                  <w:r>
                    <w:rPr>
                      <w:rFonts w:hint="eastAsia"/>
                    </w:rPr>
                    <w:t>基地源1</w:t>
                  </w:r>
                  <w:r>
                    <w:t>10kV</w:t>
                  </w:r>
                  <w:r>
                    <w:rPr>
                      <w:rFonts w:hint="eastAsia"/>
                    </w:rPr>
                    <w:t>变电站生活污水接入湾水源抽水蓄能工程废水收集处理系统；贝江变电站间隔扩建不涉及新增生活污水。</w:t>
                  </w:r>
                </w:p>
              </w:tc>
              <w:tc>
                <w:tcPr>
                  <w:tcW w:w="478" w:type="pct"/>
                  <w:vAlign w:val="center"/>
                </w:tcPr>
                <w:p w14:paraId="6904DCFC">
                  <w:pPr>
                    <w:pStyle w:val="159"/>
                  </w:pPr>
                  <w:r>
                    <w:rPr>
                      <w:rFonts w:hint="eastAsia"/>
                    </w:rPr>
                    <w:t>符合</w:t>
                  </w:r>
                </w:p>
              </w:tc>
            </w:tr>
            <w:tr w14:paraId="3C26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restart"/>
                  <w:vAlign w:val="center"/>
                </w:tcPr>
                <w:p w14:paraId="31F7AAE2">
                  <w:pPr>
                    <w:pStyle w:val="159"/>
                  </w:pPr>
                  <w:r>
                    <w:rPr>
                      <w:rFonts w:hint="eastAsia"/>
                    </w:rPr>
                    <w:t>6</w:t>
                  </w:r>
                </w:p>
              </w:tc>
              <w:tc>
                <w:tcPr>
                  <w:tcW w:w="483" w:type="pct"/>
                  <w:vMerge w:val="restart"/>
                  <w:vAlign w:val="center"/>
                </w:tcPr>
                <w:p w14:paraId="05637825">
                  <w:pPr>
                    <w:pStyle w:val="159"/>
                  </w:pPr>
                  <w:r>
                    <w:rPr>
                      <w:rFonts w:hint="eastAsia"/>
                    </w:rPr>
                    <w:t>声环境保护</w:t>
                  </w:r>
                </w:p>
              </w:tc>
              <w:tc>
                <w:tcPr>
                  <w:tcW w:w="2027" w:type="pct"/>
                  <w:vAlign w:val="center"/>
                </w:tcPr>
                <w:p w14:paraId="5404E753">
                  <w:pPr>
                    <w:pStyle w:val="159"/>
                  </w:pPr>
                  <w:r>
                    <w:rPr>
                      <w:rFonts w:hint="eastAsia"/>
                    </w:rPr>
                    <w:t>变电工程噪声控制设计应首先从噪声源强上进行控制，选择低噪声设备:对于声源.上无法根治的噪声，应采用隔声、吸声、消声、防振、减振等降噪措施，确保厂界排放噪声和周围声环境敏感目标分别满足 GB 12348 和 GB3096 要求。</w:t>
                  </w:r>
                </w:p>
              </w:tc>
              <w:tc>
                <w:tcPr>
                  <w:tcW w:w="1544" w:type="pct"/>
                  <w:vMerge w:val="restart"/>
                  <w:vAlign w:val="center"/>
                </w:tcPr>
                <w:p w14:paraId="5B2B4AB8">
                  <w:pPr>
                    <w:pStyle w:val="159"/>
                  </w:pPr>
                  <w:r>
                    <w:rPr>
                      <w:rFonts w:hint="eastAsia"/>
                    </w:rPr>
                    <w:t>本次环评对基地源变电站只进行电磁影响评价；贝江变电站间隔扩建工程不涉及电气化改造。</w:t>
                  </w:r>
                </w:p>
              </w:tc>
              <w:tc>
                <w:tcPr>
                  <w:tcW w:w="478" w:type="pct"/>
                  <w:vMerge w:val="restart"/>
                  <w:vAlign w:val="center"/>
                </w:tcPr>
                <w:p w14:paraId="26DE6071">
                  <w:pPr>
                    <w:pStyle w:val="159"/>
                  </w:pPr>
                  <w:r>
                    <w:rPr>
                      <w:rFonts w:hint="eastAsia"/>
                    </w:rPr>
                    <w:t>/</w:t>
                  </w:r>
                </w:p>
              </w:tc>
            </w:tr>
            <w:tr w14:paraId="0077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31388F5D">
                  <w:pPr>
                    <w:pStyle w:val="159"/>
                  </w:pPr>
                </w:p>
              </w:tc>
              <w:tc>
                <w:tcPr>
                  <w:tcW w:w="483" w:type="pct"/>
                  <w:vMerge w:val="continue"/>
                  <w:vAlign w:val="center"/>
                </w:tcPr>
                <w:p w14:paraId="61E0BD12">
                  <w:pPr>
                    <w:pStyle w:val="159"/>
                  </w:pPr>
                </w:p>
              </w:tc>
              <w:tc>
                <w:tcPr>
                  <w:tcW w:w="2027" w:type="pct"/>
                  <w:vAlign w:val="center"/>
                </w:tcPr>
                <w:p w14:paraId="05C25706">
                  <w:pPr>
                    <w:pStyle w:val="159"/>
                  </w:pPr>
                  <w:r>
                    <w:rPr>
                      <w:rFonts w:hint="eastAsia"/>
                    </w:rPr>
                    <w:t>户外变电工程总体布置应综合考虑声环境影响因素，合理规划，利用建筑物、地形等阻挡噪声传播，减少对声环境敏感目标的影响。</w:t>
                  </w:r>
                </w:p>
              </w:tc>
              <w:tc>
                <w:tcPr>
                  <w:tcW w:w="1544" w:type="pct"/>
                  <w:vMerge w:val="continue"/>
                  <w:vAlign w:val="center"/>
                </w:tcPr>
                <w:p w14:paraId="0B9141D9">
                  <w:pPr>
                    <w:pStyle w:val="159"/>
                  </w:pPr>
                </w:p>
              </w:tc>
              <w:tc>
                <w:tcPr>
                  <w:tcW w:w="478" w:type="pct"/>
                  <w:vMerge w:val="continue"/>
                  <w:vAlign w:val="center"/>
                </w:tcPr>
                <w:p w14:paraId="5E97CBF1">
                  <w:pPr>
                    <w:pStyle w:val="159"/>
                  </w:pPr>
                </w:p>
              </w:tc>
            </w:tr>
            <w:tr w14:paraId="222F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0C15A692">
                  <w:pPr>
                    <w:pStyle w:val="159"/>
                  </w:pPr>
                </w:p>
              </w:tc>
              <w:tc>
                <w:tcPr>
                  <w:tcW w:w="483" w:type="pct"/>
                  <w:vMerge w:val="continue"/>
                  <w:vAlign w:val="center"/>
                </w:tcPr>
                <w:p w14:paraId="35A3F4CD">
                  <w:pPr>
                    <w:pStyle w:val="159"/>
                  </w:pPr>
                </w:p>
              </w:tc>
              <w:tc>
                <w:tcPr>
                  <w:tcW w:w="2027" w:type="pct"/>
                  <w:vAlign w:val="center"/>
                </w:tcPr>
                <w:p w14:paraId="6DF31F92">
                  <w:pPr>
                    <w:pStyle w:val="159"/>
                  </w:pPr>
                  <w:r>
                    <w:rPr>
                      <w:rFonts w:hint="eastAsia"/>
                    </w:rPr>
                    <w:t>户外变电工程在设计过程中应进行平面布置优化，将主变压器、换流变压器、高压电抗器等主要声源设备布置在站址中央区域或远离站外声环境敏感目标侧的区域。</w:t>
                  </w:r>
                </w:p>
              </w:tc>
              <w:tc>
                <w:tcPr>
                  <w:tcW w:w="1544" w:type="pct"/>
                  <w:vMerge w:val="continue"/>
                  <w:vAlign w:val="center"/>
                </w:tcPr>
                <w:p w14:paraId="230F03F3">
                  <w:pPr>
                    <w:pStyle w:val="159"/>
                  </w:pPr>
                </w:p>
              </w:tc>
              <w:tc>
                <w:tcPr>
                  <w:tcW w:w="478" w:type="pct"/>
                  <w:vMerge w:val="continue"/>
                  <w:vAlign w:val="center"/>
                </w:tcPr>
                <w:p w14:paraId="121747F0">
                  <w:pPr>
                    <w:pStyle w:val="159"/>
                  </w:pPr>
                </w:p>
              </w:tc>
            </w:tr>
            <w:tr w14:paraId="5851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1368596C">
                  <w:pPr>
                    <w:pStyle w:val="159"/>
                  </w:pPr>
                </w:p>
              </w:tc>
              <w:tc>
                <w:tcPr>
                  <w:tcW w:w="483" w:type="pct"/>
                  <w:vMerge w:val="continue"/>
                  <w:vAlign w:val="center"/>
                </w:tcPr>
                <w:p w14:paraId="253B3F48">
                  <w:pPr>
                    <w:pStyle w:val="159"/>
                  </w:pPr>
                </w:p>
              </w:tc>
              <w:tc>
                <w:tcPr>
                  <w:tcW w:w="2027" w:type="pct"/>
                  <w:vAlign w:val="center"/>
                </w:tcPr>
                <w:p w14:paraId="6CF765BA">
                  <w:pPr>
                    <w:pStyle w:val="159"/>
                  </w:pPr>
                  <w:r>
                    <w:rPr>
                      <w:rFonts w:hint="eastAsia"/>
                    </w:rPr>
                    <w:t>变电工程应采取降低低频噪声影响的防治措施，以减少噪声扰民。</w:t>
                  </w:r>
                </w:p>
              </w:tc>
              <w:tc>
                <w:tcPr>
                  <w:tcW w:w="1544" w:type="pct"/>
                  <w:vMerge w:val="continue"/>
                  <w:vAlign w:val="center"/>
                </w:tcPr>
                <w:p w14:paraId="6A066FBA">
                  <w:pPr>
                    <w:pStyle w:val="159"/>
                  </w:pPr>
                </w:p>
              </w:tc>
              <w:tc>
                <w:tcPr>
                  <w:tcW w:w="478" w:type="pct"/>
                  <w:vMerge w:val="continue"/>
                  <w:vAlign w:val="center"/>
                </w:tcPr>
                <w:p w14:paraId="13F926C9">
                  <w:pPr>
                    <w:pStyle w:val="159"/>
                  </w:pPr>
                </w:p>
              </w:tc>
            </w:tr>
            <w:tr w14:paraId="0186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restart"/>
                  <w:vAlign w:val="center"/>
                </w:tcPr>
                <w:p w14:paraId="52B169D4">
                  <w:pPr>
                    <w:pStyle w:val="159"/>
                  </w:pPr>
                  <w:r>
                    <w:rPr>
                      <w:rFonts w:hint="eastAsia"/>
                    </w:rPr>
                    <w:t>7</w:t>
                  </w:r>
                </w:p>
              </w:tc>
              <w:tc>
                <w:tcPr>
                  <w:tcW w:w="483" w:type="pct"/>
                  <w:vMerge w:val="restart"/>
                  <w:vAlign w:val="center"/>
                </w:tcPr>
                <w:p w14:paraId="7B35C905">
                  <w:pPr>
                    <w:pStyle w:val="159"/>
                  </w:pPr>
                  <w:r>
                    <w:rPr>
                      <w:rFonts w:hint="eastAsia"/>
                    </w:rPr>
                    <w:t>运行期</w:t>
                  </w:r>
                </w:p>
              </w:tc>
              <w:tc>
                <w:tcPr>
                  <w:tcW w:w="2027" w:type="pct"/>
                  <w:vAlign w:val="center"/>
                </w:tcPr>
                <w:p w14:paraId="596DD14E">
                  <w:pPr>
                    <w:pStyle w:val="159"/>
                  </w:pPr>
                  <w:r>
                    <w:rPr>
                      <w:rFonts w:hint="eastAsia"/>
                    </w:rPr>
                    <w:t>运行期做好环境保护设施的维护和运行管理，加强巡查和检查，保障发挥环境保护作用。定期开展环境监测，确保电磁、噪声、废水排放符合 GB8702、GB 12348、GB8978 等国家标准要求，并及时解决公众合理的环境保护诉求。</w:t>
                  </w:r>
                </w:p>
              </w:tc>
              <w:tc>
                <w:tcPr>
                  <w:tcW w:w="1544" w:type="pct"/>
                  <w:vAlign w:val="center"/>
                </w:tcPr>
                <w:p w14:paraId="65038D5A">
                  <w:pPr>
                    <w:pStyle w:val="159"/>
                  </w:pPr>
                  <w:r>
                    <w:rPr>
                      <w:rFonts w:hint="eastAsia"/>
                    </w:rPr>
                    <w:t>项目运行期的电磁、噪声、废水排放均能满足国家标准要求。</w:t>
                  </w:r>
                </w:p>
              </w:tc>
              <w:tc>
                <w:tcPr>
                  <w:tcW w:w="478" w:type="pct"/>
                  <w:vAlign w:val="center"/>
                </w:tcPr>
                <w:p w14:paraId="5452A4BD">
                  <w:pPr>
                    <w:pStyle w:val="159"/>
                  </w:pPr>
                  <w:r>
                    <w:rPr>
                      <w:rFonts w:hint="eastAsia"/>
                    </w:rPr>
                    <w:t>符合</w:t>
                  </w:r>
                </w:p>
              </w:tc>
            </w:tr>
            <w:tr w14:paraId="71F4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2AAD7380">
                  <w:pPr>
                    <w:pStyle w:val="159"/>
                  </w:pPr>
                </w:p>
              </w:tc>
              <w:tc>
                <w:tcPr>
                  <w:tcW w:w="483" w:type="pct"/>
                  <w:vMerge w:val="continue"/>
                  <w:vAlign w:val="center"/>
                </w:tcPr>
                <w:p w14:paraId="5B34BAA9">
                  <w:pPr>
                    <w:pStyle w:val="159"/>
                  </w:pPr>
                </w:p>
              </w:tc>
              <w:tc>
                <w:tcPr>
                  <w:tcW w:w="2027" w:type="pct"/>
                  <w:vAlign w:val="center"/>
                </w:tcPr>
                <w:p w14:paraId="10E9BD7A">
                  <w:pPr>
                    <w:pStyle w:val="159"/>
                  </w:pPr>
                  <w:r>
                    <w:rPr>
                      <w:rFonts w:hint="eastAsia"/>
                    </w:rPr>
                    <w:t>运行期应对事故油池的完好情况进行检查，确保无渗漏、无溢流。</w:t>
                  </w:r>
                </w:p>
              </w:tc>
              <w:tc>
                <w:tcPr>
                  <w:tcW w:w="1544" w:type="pct"/>
                  <w:vMerge w:val="restart"/>
                  <w:vAlign w:val="center"/>
                </w:tcPr>
                <w:p w14:paraId="7216A578">
                  <w:pPr>
                    <w:pStyle w:val="159"/>
                  </w:pPr>
                  <w:r>
                    <w:rPr>
                      <w:rFonts w:hint="eastAsia"/>
                    </w:rPr>
                    <w:t>本次环评对基地源变电站只进行电磁影响评价；贝江变电站间隔扩建工程不涉及电气化改造。</w:t>
                  </w:r>
                </w:p>
              </w:tc>
              <w:tc>
                <w:tcPr>
                  <w:tcW w:w="478" w:type="pct"/>
                  <w:vMerge w:val="restart"/>
                  <w:vAlign w:val="center"/>
                </w:tcPr>
                <w:p w14:paraId="69D6D69D">
                  <w:pPr>
                    <w:pStyle w:val="159"/>
                  </w:pPr>
                  <w:r>
                    <w:rPr>
                      <w:rFonts w:hint="eastAsia"/>
                    </w:rPr>
                    <w:t>/</w:t>
                  </w:r>
                </w:p>
              </w:tc>
            </w:tr>
            <w:tr w14:paraId="2BDD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14:paraId="43338548">
                  <w:pPr>
                    <w:pStyle w:val="159"/>
                  </w:pPr>
                </w:p>
              </w:tc>
              <w:tc>
                <w:tcPr>
                  <w:tcW w:w="483" w:type="pct"/>
                  <w:vMerge w:val="continue"/>
                  <w:vAlign w:val="center"/>
                </w:tcPr>
                <w:p w14:paraId="2A8CE99C">
                  <w:pPr>
                    <w:pStyle w:val="159"/>
                  </w:pPr>
                </w:p>
              </w:tc>
              <w:tc>
                <w:tcPr>
                  <w:tcW w:w="2027" w:type="pct"/>
                  <w:vAlign w:val="center"/>
                </w:tcPr>
                <w:p w14:paraId="7AEABFF6">
                  <w:pPr>
                    <w:pStyle w:val="159"/>
                  </w:pPr>
                  <w:r>
                    <w:rPr>
                      <w:rFonts w:hint="eastAsia"/>
                    </w:rPr>
                    <w:t>变电工程运行过程中产生的变压器油、高抗油等矿物油应进行回收处理，废矿物油和废铅酸蓄电池作为危险废物应交由有资质的单位回收处理，严禁随意丢弃。不能立即回收处理的应暂存在危险废物暂存间或暂存区。</w:t>
                  </w:r>
                </w:p>
              </w:tc>
              <w:tc>
                <w:tcPr>
                  <w:tcW w:w="1544" w:type="pct"/>
                  <w:vMerge w:val="continue"/>
                  <w:vAlign w:val="center"/>
                </w:tcPr>
                <w:p w14:paraId="1AD34CB6">
                  <w:pPr>
                    <w:pStyle w:val="159"/>
                  </w:pPr>
                </w:p>
              </w:tc>
              <w:tc>
                <w:tcPr>
                  <w:tcW w:w="478" w:type="pct"/>
                  <w:vMerge w:val="continue"/>
                  <w:vAlign w:val="center"/>
                </w:tcPr>
                <w:p w14:paraId="37329DD6">
                  <w:pPr>
                    <w:pStyle w:val="159"/>
                  </w:pPr>
                </w:p>
              </w:tc>
            </w:tr>
          </w:tbl>
          <w:p w14:paraId="2E784B18">
            <w:pPr>
              <w:pStyle w:val="3"/>
              <w:spacing w:line="240" w:lineRule="auto"/>
              <w:ind w:firstLine="480"/>
            </w:pPr>
          </w:p>
          <w:p w14:paraId="461B5DE0">
            <w:pPr>
              <w:pStyle w:val="3"/>
              <w:ind w:firstLine="480"/>
            </w:pPr>
            <w:r>
              <w:t>本工程选址、设计阶段按《输变电建设项目环境保护技术要求》（HJ 1113-2020）要求避让了生态敏感区并编制了环境保护章节。本报告依照相关标准对施工期水环境、声环境、生态环境等提出了防护措施，并对工程运行期提出了具体要求。下一步施工及运行阶段，建设单位及施工单位在落实本工程设计及本环评中要求的相关环保措施后，将本工程对环境的影响降到最低。</w:t>
            </w:r>
          </w:p>
          <w:p w14:paraId="22ED2288">
            <w:pPr>
              <w:pStyle w:val="3"/>
              <w:ind w:firstLine="480"/>
            </w:pPr>
            <w:r>
              <w:t>综上所述，本项目建设符合《输变电建设项目环境保护技术要求》（HJ 1113-2020）中选址选线、设计等相关技术要求。</w:t>
            </w:r>
          </w:p>
          <w:p w14:paraId="1110785D">
            <w:pPr>
              <w:pStyle w:val="5"/>
              <w:ind w:left="0" w:firstLine="0"/>
            </w:pPr>
            <w:r>
              <w:rPr>
                <w:rFonts w:hint="eastAsia"/>
              </w:rPr>
              <w:t>与湖南江华涔天河国家湿地公园相关管理办法的相符性</w:t>
            </w:r>
          </w:p>
          <w:p w14:paraId="09B06BE6">
            <w:pPr>
              <w:pStyle w:val="3"/>
              <w:ind w:firstLine="480"/>
            </w:pPr>
            <w:r>
              <w:rPr>
                <w:rFonts w:hint="eastAsia"/>
              </w:rPr>
              <w:t>本工程输电线路以架空形式2次穿越湖南江华涔天河国家湿地公园保育区，跨越长度共6</w:t>
            </w:r>
            <w:r>
              <w:t>86m</w:t>
            </w:r>
            <w:r>
              <w:rPr>
                <w:rFonts w:hint="eastAsia"/>
              </w:rPr>
              <w:t>；项目不涉及《国家级自然公园管理办法（试行）》第十八条中禁止在国家级自然公园内擅自从事的开发活动，不涉及《湖南省湿地公园管理办法（试行）》第十九条中的禁止事项；环评报告提出了禁止向湖南江华涔天河国家湿地公园排放施工和生活污水、倾倒/堆放/丢弃/遗撒固体废物的措施；已取得了湖南省林业局原则同意项目在湖南江华涔天河国家湿地公园（湖南省江华县涔天河省级重要湿地）内实施的意见（附件6），符合《国家级自然公园管理办法（试行）》和《湖南省湿地公园管理办法（试行）》的相关要求。</w:t>
            </w:r>
          </w:p>
          <w:p w14:paraId="5027FD5E">
            <w:pPr>
              <w:pStyle w:val="5"/>
            </w:pPr>
            <w:r>
              <w:rPr>
                <w:rFonts w:hint="eastAsia"/>
              </w:rPr>
              <w:t>与姑婆山风景名胜区相关规划和保护要求的相符性</w:t>
            </w:r>
          </w:p>
          <w:p w14:paraId="474C94F1">
            <w:pPr>
              <w:pStyle w:val="3"/>
              <w:ind w:firstLine="480"/>
            </w:pPr>
            <w:r>
              <w:rPr>
                <w:rFonts w:hint="eastAsia"/>
              </w:rPr>
              <w:t>湖南省江华湾水源抽水蓄能电站施工电源110千伏线路工程由南至北穿越姑婆山风景区水口景区，穿越段长度为2521.87m，其中穿越三级保护区8</w:t>
            </w:r>
            <w:r>
              <w:t>3.1</w:t>
            </w:r>
            <w:r>
              <w:rPr>
                <w:rFonts w:hint="eastAsia"/>
              </w:rPr>
              <w:t>m，在其内无塔杆；穿越二级保护区2</w:t>
            </w:r>
            <w:r>
              <w:t>438.77m</w:t>
            </w:r>
            <w:r>
              <w:rPr>
                <w:rFonts w:hint="eastAsia"/>
              </w:rPr>
              <w:t>，在其内设置杆塔8基，塔杆用地总占地面积669.08m</w:t>
            </w:r>
            <w:r>
              <w:rPr>
                <w:rFonts w:hint="eastAsia"/>
                <w:vertAlign w:val="superscript"/>
              </w:rPr>
              <w:t>2</w:t>
            </w:r>
            <w:r>
              <w:rPr>
                <w:rFonts w:hint="eastAsia"/>
              </w:rPr>
              <w:t>，塔杆施工区域临时占地0</w:t>
            </w:r>
            <w:r>
              <w:t>.2h</w:t>
            </w:r>
            <w:r>
              <w:rPr>
                <w:rFonts w:hint="eastAsia"/>
              </w:rPr>
              <w:t>m</w:t>
            </w:r>
            <w:r>
              <w:rPr>
                <w:rFonts w:hint="eastAsia"/>
                <w:vertAlign w:val="superscript"/>
              </w:rPr>
              <w:t>2</w:t>
            </w:r>
            <w:r>
              <w:rPr>
                <w:rFonts w:hint="eastAsia"/>
              </w:rPr>
              <w:t>。</w:t>
            </w:r>
          </w:p>
          <w:p w14:paraId="7E273885">
            <w:pPr>
              <w:pStyle w:val="3"/>
              <w:ind w:firstLine="480"/>
            </w:pPr>
            <w:r>
              <w:rPr>
                <w:rFonts w:hint="eastAsia"/>
              </w:rPr>
              <w:t>1</w:t>
            </w:r>
            <w:r>
              <w:t xml:space="preserve">.5.1 </w:t>
            </w:r>
            <w:r>
              <w:rPr>
                <w:rFonts w:hint="eastAsia"/>
              </w:rPr>
              <w:t>与《姑婆山风景名胜区总体规划（2023-2035年）》符合性</w:t>
            </w:r>
          </w:p>
          <w:p w14:paraId="2E343725">
            <w:pPr>
              <w:spacing w:line="360" w:lineRule="auto"/>
              <w:ind w:firstLine="480" w:firstLineChars="200"/>
              <w:jc w:val="left"/>
              <w:rPr>
                <w:sz w:val="24"/>
                <w:szCs w:val="24"/>
              </w:rPr>
            </w:pPr>
            <w:r>
              <w:rPr>
                <w:rFonts w:hint="eastAsia"/>
                <w:sz w:val="24"/>
                <w:szCs w:val="24"/>
              </w:rPr>
              <w:t>本项目已按照相关要求编制了《姑婆山风景名胜区湖南省江华湾水源抽水蓄能电站施工电源110千伏线路工程选址方案论证报告》（以下简称选址论证报告）并已通过了湖南省林业局组织的专家评审会（附件7），正在按程序办理工程选址方案核准手续。根据江华瑶族自治县姑婆山风景名胜区管理局《关于对湖南省江华湾水源抽水蓄能电站施工电源110千伏线路工程在姑婆山风景名胜区内建设情况说明的函》（附件8），预计2</w:t>
            </w:r>
            <w:r>
              <w:rPr>
                <w:sz w:val="24"/>
                <w:szCs w:val="24"/>
              </w:rPr>
              <w:t>025</w:t>
            </w:r>
            <w:r>
              <w:rPr>
                <w:rFonts w:hint="eastAsia"/>
                <w:sz w:val="24"/>
                <w:szCs w:val="24"/>
              </w:rPr>
              <w:t>年4月底省林业局可完成工程选址方案核准手续。</w:t>
            </w:r>
          </w:p>
          <w:p w14:paraId="359D5909">
            <w:pPr>
              <w:pStyle w:val="3"/>
              <w:ind w:firstLine="480"/>
            </w:pPr>
            <w:r>
              <w:rPr>
                <w:rFonts w:hint="eastAsia"/>
                <w:szCs w:val="24"/>
              </w:rPr>
              <w:t>根据已通过评审的选址论证报告，本项目线路工程为《姑婆山风景名胜区总体规划（2023-2035 年）》中已列明的供电规划线路，其建设路径和规模与规划基本一致，在施工过程中严格控制建设方式，建设期、运营期遵循相关管控要求和落实相关保护措施的情况下，本建设符合规划要求。</w:t>
            </w:r>
          </w:p>
          <w:p w14:paraId="1A714BE9">
            <w:pPr>
              <w:pStyle w:val="3"/>
              <w:ind w:firstLine="480"/>
            </w:pPr>
            <w:r>
              <w:t xml:space="preserve">1.5.2 </w:t>
            </w:r>
            <w:r>
              <w:rPr>
                <w:rFonts w:hint="eastAsia"/>
              </w:rPr>
              <w:t>与《湖南省风景名胜区条例》的相符性</w:t>
            </w:r>
          </w:p>
          <w:p w14:paraId="2602BB7E">
            <w:pPr>
              <w:pStyle w:val="3"/>
              <w:ind w:firstLine="480"/>
            </w:pPr>
            <w:r>
              <w:rPr>
                <w:rFonts w:hint="eastAsia"/>
              </w:rPr>
              <w:t>工程与《湖南省风景名胜区条例》的符合性分析见表1</w:t>
            </w:r>
            <w:r>
              <w:t>.5-2</w:t>
            </w:r>
            <w:r>
              <w:rPr>
                <w:rFonts w:hint="eastAsia"/>
              </w:rPr>
              <w:t>。</w:t>
            </w:r>
          </w:p>
          <w:p w14:paraId="51DF89DE">
            <w:pPr>
              <w:pStyle w:val="148"/>
            </w:pPr>
            <w:r>
              <w:rPr>
                <w:rFonts w:hint="eastAsia"/>
              </w:rPr>
              <w:t>表1</w:t>
            </w:r>
            <w:r>
              <w:t xml:space="preserve">.5-2  </w:t>
            </w:r>
            <w:r>
              <w:rPr>
                <w:rFonts w:hint="eastAsia"/>
              </w:rPr>
              <w:t>本项目与《湖南省风景名胜区条例》的符合性分析</w:t>
            </w:r>
          </w:p>
          <w:tbl>
            <w:tblPr>
              <w:tblStyle w:val="4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7"/>
              <w:gridCol w:w="4257"/>
              <w:gridCol w:w="2855"/>
              <w:gridCol w:w="892"/>
            </w:tblGrid>
            <w:tr w14:paraId="7F241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8" w:type="pct"/>
                  <w:gridSpan w:val="2"/>
                  <w:shd w:val="clear" w:color="auto" w:fill="auto"/>
                  <w:vAlign w:val="center"/>
                </w:tcPr>
                <w:p w14:paraId="07B8F33A">
                  <w:pPr>
                    <w:pStyle w:val="159"/>
                  </w:pPr>
                  <w:r>
                    <w:rPr>
                      <w:rFonts w:hint="eastAsia"/>
                    </w:rPr>
                    <w:t>《湖南省风景名胜区条例》相关要求</w:t>
                  </w:r>
                </w:p>
              </w:tc>
              <w:tc>
                <w:tcPr>
                  <w:tcW w:w="1654" w:type="pct"/>
                  <w:shd w:val="clear" w:color="auto" w:fill="auto"/>
                  <w:vAlign w:val="center"/>
                </w:tcPr>
                <w:p w14:paraId="5D57A8EC">
                  <w:pPr>
                    <w:pStyle w:val="159"/>
                  </w:pPr>
                  <w:r>
                    <w:t>本项目情况</w:t>
                  </w:r>
                </w:p>
              </w:tc>
              <w:tc>
                <w:tcPr>
                  <w:tcW w:w="517" w:type="pct"/>
                  <w:shd w:val="clear" w:color="auto" w:fill="auto"/>
                  <w:vAlign w:val="center"/>
                </w:tcPr>
                <w:p w14:paraId="06F85010">
                  <w:pPr>
                    <w:pStyle w:val="159"/>
                  </w:pPr>
                  <w:r>
                    <w:t>符合性</w:t>
                  </w:r>
                </w:p>
              </w:tc>
            </w:tr>
            <w:tr w14:paraId="02391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63" w:type="pct"/>
                  <w:shd w:val="clear" w:color="auto" w:fill="auto"/>
                  <w:vAlign w:val="center"/>
                </w:tcPr>
                <w:p w14:paraId="27DDFE3D">
                  <w:pPr>
                    <w:pStyle w:val="159"/>
                  </w:pPr>
                  <w:r>
                    <w:rPr>
                      <w:rFonts w:hint="eastAsia"/>
                    </w:rPr>
                    <w:t>第十八条</w:t>
                  </w:r>
                </w:p>
              </w:tc>
              <w:tc>
                <w:tcPr>
                  <w:tcW w:w="2466" w:type="pct"/>
                  <w:shd w:val="clear" w:color="auto" w:fill="auto"/>
                  <w:vAlign w:val="center"/>
                </w:tcPr>
                <w:p w14:paraId="0A6F3E29">
                  <w:pPr>
                    <w:pStyle w:val="159"/>
                  </w:pPr>
                  <w:r>
                    <w:rPr>
                      <w:rFonts w:hint="eastAsia"/>
                    </w:rPr>
                    <w:t>在风景名胜区内禁止进行下列活动：（一）开山、采石、开矿、围湖造地、开荒、毁损溶洞资源等破坏景观、植被和地形地貌的活动；（二）燃放孔明灯等带有明火的空中飘移物，在禁火区内吸烟、生火、烧香点烛、燃放烟花爆竹；（三）砍伐或者擅自移植古树名木、珍稀植物；（四）其他破坏景观、污染环境、妨碍游览的活动。</w:t>
                  </w:r>
                </w:p>
              </w:tc>
              <w:tc>
                <w:tcPr>
                  <w:tcW w:w="1654" w:type="pct"/>
                  <w:shd w:val="clear" w:color="auto" w:fill="auto"/>
                  <w:vAlign w:val="center"/>
                </w:tcPr>
                <w:p w14:paraId="68B04FC2">
                  <w:pPr>
                    <w:pStyle w:val="159"/>
                  </w:pPr>
                  <w:r>
                    <w:t>本项目不设置采石场和取土场</w:t>
                  </w:r>
                  <w:r>
                    <w:rPr>
                      <w:rFonts w:hint="eastAsia"/>
                    </w:rPr>
                    <w:t>，</w:t>
                  </w:r>
                  <w:r>
                    <w:t>不设置临时炸药库和油库</w:t>
                  </w:r>
                  <w:r>
                    <w:rPr>
                      <w:rFonts w:hint="eastAsia"/>
                    </w:rPr>
                    <w:t>，</w:t>
                  </w:r>
                  <w:r>
                    <w:t>施工废渣和生活垃圾合理处置，禁止随意丢弃和倾倒。</w:t>
                  </w:r>
                </w:p>
              </w:tc>
              <w:tc>
                <w:tcPr>
                  <w:tcW w:w="517" w:type="pct"/>
                  <w:shd w:val="clear" w:color="auto" w:fill="auto"/>
                  <w:vAlign w:val="center"/>
                </w:tcPr>
                <w:p w14:paraId="4EF0AD67">
                  <w:pPr>
                    <w:pStyle w:val="159"/>
                  </w:pPr>
                  <w:r>
                    <w:t>符合</w:t>
                  </w:r>
                </w:p>
              </w:tc>
            </w:tr>
            <w:tr w14:paraId="55878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63" w:type="pct"/>
                  <w:shd w:val="clear" w:color="auto" w:fill="auto"/>
                  <w:vAlign w:val="center"/>
                </w:tcPr>
                <w:p w14:paraId="648533EA">
                  <w:pPr>
                    <w:pStyle w:val="159"/>
                  </w:pPr>
                  <w:r>
                    <w:rPr>
                      <w:rFonts w:hint="eastAsia"/>
                    </w:rPr>
                    <w:t>第二十条</w:t>
                  </w:r>
                </w:p>
              </w:tc>
              <w:tc>
                <w:tcPr>
                  <w:tcW w:w="2466" w:type="pct"/>
                  <w:shd w:val="clear" w:color="auto" w:fill="auto"/>
                  <w:vAlign w:val="center"/>
                </w:tcPr>
                <w:p w14:paraId="6525864D">
                  <w:pPr>
                    <w:pStyle w:val="159"/>
                  </w:pPr>
                  <w:r>
                    <w:rPr>
                      <w:rFonts w:hint="eastAsia"/>
                    </w:rPr>
                    <w:t>在风景名胜区内进行下列活动，应当经风景名胜区管理机构审核后，依照有关法律、法规的规定报有关部门批准：（一）设置、张贴商业广告；（二）举办大型游乐、节庆等活动；（三）以围、填、堵、截等方式改变水资源、水环境自然状态；（四）其他影响生态和景观的活动。</w:t>
                  </w:r>
                </w:p>
              </w:tc>
              <w:tc>
                <w:tcPr>
                  <w:tcW w:w="1654" w:type="pct"/>
                  <w:shd w:val="clear" w:color="auto" w:fill="auto"/>
                  <w:vAlign w:val="center"/>
                </w:tcPr>
                <w:p w14:paraId="6B9E3733">
                  <w:pPr>
                    <w:pStyle w:val="159"/>
                  </w:pPr>
                  <w:r>
                    <w:rPr>
                      <w:rFonts w:hint="eastAsia"/>
                    </w:rPr>
                    <w:t>本项目已按照相关要求编制了《姑婆山风景名胜区湖南省江华湾水源抽水蓄能电站施工电源110千伏线路工程选址方案论证报告》（以下简称选址论证报告）并已通过了湖南省林业局组织的专家评审会（附件7），正在按程序办理工程选址方案核准手续。根据江华瑶族自治县姑婆山风景名胜区管理局《关于对湖南省江华湾水源抽水蓄能电站施工电源110千伏线路工程在姑婆山风景名胜区内建设情况说明的函》（附件8），预计2</w:t>
                  </w:r>
                  <w:r>
                    <w:t>025</w:t>
                  </w:r>
                  <w:r>
                    <w:rPr>
                      <w:rFonts w:hint="eastAsia"/>
                    </w:rPr>
                    <w:t>年4月底省林业局可完成工程选址方案核准手续。</w:t>
                  </w:r>
                </w:p>
              </w:tc>
              <w:tc>
                <w:tcPr>
                  <w:tcW w:w="517" w:type="pct"/>
                  <w:shd w:val="clear" w:color="auto" w:fill="auto"/>
                  <w:vAlign w:val="center"/>
                </w:tcPr>
                <w:p w14:paraId="2FB889B4">
                  <w:pPr>
                    <w:pStyle w:val="159"/>
                  </w:pPr>
                  <w:r>
                    <w:t>符合</w:t>
                  </w:r>
                </w:p>
              </w:tc>
            </w:tr>
          </w:tbl>
          <w:p w14:paraId="71BDDB6A">
            <w:pPr>
              <w:pStyle w:val="3"/>
              <w:spacing w:line="240" w:lineRule="auto"/>
              <w:ind w:firstLine="480"/>
            </w:pPr>
          </w:p>
          <w:p w14:paraId="6A568B3C">
            <w:pPr>
              <w:pStyle w:val="5"/>
            </w:pPr>
            <w:r>
              <w:rPr>
                <w:rFonts w:hint="eastAsia"/>
              </w:rPr>
              <w:t>与涉及地区的相关规划的相符性分析</w:t>
            </w:r>
          </w:p>
          <w:p w14:paraId="354FC564">
            <w:pPr>
              <w:pStyle w:val="16"/>
              <w:ind w:firstLine="480" w:firstLineChars="200"/>
              <w:rPr>
                <w:rFonts w:ascii="宋体" w:hAnsi="宋体" w:eastAsia="宋体"/>
              </w:rPr>
            </w:pPr>
            <w:r>
              <w:rPr>
                <w:rFonts w:hint="eastAsia" w:ascii="宋体" w:hAnsi="宋体" w:eastAsia="宋体"/>
              </w:rPr>
              <w:t>本工程在选线阶段，已充分征求所涉地区人民政府、自然资源、林业、生态环境等部门的意见，对线路路径进行了优化，不影响当地土地利用规划和城镇发展规划。本工程已取得工程所在地人民政府、自然资源、林业、生态环境等部门对选线的原则同意意见，与工程沿线区域的相关规划不冲突。相关部门意见及工程对相关意见的落实情况见表</w:t>
            </w:r>
            <w:r>
              <w:rPr>
                <w:rStyle w:val="49"/>
              </w:rPr>
              <w:t>1.6-1</w:t>
            </w:r>
            <w:r>
              <w:rPr>
                <w:rFonts w:hint="eastAsia" w:ascii="宋体" w:hAnsi="宋体" w:eastAsia="宋体"/>
              </w:rPr>
              <w:t>。</w:t>
            </w:r>
          </w:p>
          <w:p w14:paraId="40088B85">
            <w:pPr>
              <w:pStyle w:val="148"/>
            </w:pPr>
            <w:r>
              <w:t>表1.6-1   政府及主要管理部门意见一览表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200"/>
              <w:gridCol w:w="3499"/>
              <w:gridCol w:w="3269"/>
            </w:tblGrid>
            <w:tr w14:paraId="62F1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369070B5">
                  <w:pPr>
                    <w:pStyle w:val="159"/>
                  </w:pPr>
                  <w:r>
                    <w:rPr>
                      <w:rFonts w:hint="eastAsia"/>
                    </w:rPr>
                    <w:t>编号</w:t>
                  </w:r>
                </w:p>
              </w:tc>
              <w:tc>
                <w:tcPr>
                  <w:tcW w:w="695" w:type="pct"/>
                  <w:vAlign w:val="center"/>
                </w:tcPr>
                <w:p w14:paraId="5E409CB4">
                  <w:pPr>
                    <w:pStyle w:val="159"/>
                  </w:pPr>
                  <w:r>
                    <w:rPr>
                      <w:rFonts w:hint="eastAsia"/>
                    </w:rPr>
                    <w:t>单位名称</w:t>
                  </w:r>
                </w:p>
              </w:tc>
              <w:tc>
                <w:tcPr>
                  <w:tcW w:w="2027" w:type="pct"/>
                  <w:vAlign w:val="center"/>
                </w:tcPr>
                <w:p w14:paraId="6FC89422">
                  <w:pPr>
                    <w:pStyle w:val="159"/>
                  </w:pPr>
                  <w:r>
                    <w:rPr>
                      <w:rFonts w:hint="eastAsia"/>
                    </w:rPr>
                    <w:t>协议意见</w:t>
                  </w:r>
                </w:p>
              </w:tc>
              <w:tc>
                <w:tcPr>
                  <w:tcW w:w="1894" w:type="pct"/>
                  <w:vAlign w:val="center"/>
                </w:tcPr>
                <w:p w14:paraId="7CE7C805">
                  <w:pPr>
                    <w:pStyle w:val="159"/>
                  </w:pPr>
                  <w:r>
                    <w:rPr>
                      <w:rFonts w:hint="eastAsia"/>
                    </w:rPr>
                    <w:t>对意见的落实情况</w:t>
                  </w:r>
                </w:p>
              </w:tc>
            </w:tr>
            <w:tr w14:paraId="1242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624D1845">
                  <w:pPr>
                    <w:pStyle w:val="159"/>
                  </w:pPr>
                  <w:r>
                    <w:t>1</w:t>
                  </w:r>
                </w:p>
              </w:tc>
              <w:tc>
                <w:tcPr>
                  <w:tcW w:w="695" w:type="pct"/>
                  <w:vAlign w:val="center"/>
                </w:tcPr>
                <w:p w14:paraId="42A8EC94">
                  <w:pPr>
                    <w:pStyle w:val="159"/>
                  </w:pPr>
                  <w:r>
                    <w:rPr>
                      <w:rFonts w:hint="eastAsia"/>
                    </w:rPr>
                    <w:t>江华县人民政府</w:t>
                  </w:r>
                </w:p>
              </w:tc>
              <w:tc>
                <w:tcPr>
                  <w:tcW w:w="2027" w:type="pct"/>
                  <w:vAlign w:val="center"/>
                </w:tcPr>
                <w:p w14:paraId="6588B79D">
                  <w:pPr>
                    <w:pStyle w:val="159"/>
                  </w:pPr>
                  <w:r>
                    <w:rPr>
                      <w:rFonts w:hint="eastAsia"/>
                    </w:rPr>
                    <w:t>原则同意此方案</w:t>
                  </w:r>
                </w:p>
              </w:tc>
              <w:tc>
                <w:tcPr>
                  <w:tcW w:w="1894" w:type="pct"/>
                  <w:vAlign w:val="center"/>
                </w:tcPr>
                <w:p w14:paraId="48F8F7AC">
                  <w:pPr>
                    <w:pStyle w:val="159"/>
                  </w:pPr>
                  <w:r>
                    <w:rPr>
                      <w:rFonts w:hint="eastAsia"/>
                    </w:rPr>
                    <w:t>/</w:t>
                  </w:r>
                </w:p>
              </w:tc>
            </w:tr>
            <w:tr w14:paraId="1938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17B90530">
                  <w:pPr>
                    <w:pStyle w:val="159"/>
                  </w:pPr>
                  <w:r>
                    <w:t>2</w:t>
                  </w:r>
                </w:p>
              </w:tc>
              <w:tc>
                <w:tcPr>
                  <w:tcW w:w="695" w:type="pct"/>
                  <w:vAlign w:val="center"/>
                </w:tcPr>
                <w:p w14:paraId="3008C234">
                  <w:pPr>
                    <w:pStyle w:val="159"/>
                  </w:pPr>
                  <w:r>
                    <w:rPr>
                      <w:rFonts w:hint="eastAsia"/>
                    </w:rPr>
                    <w:t>江华县自然资源局</w:t>
                  </w:r>
                </w:p>
              </w:tc>
              <w:tc>
                <w:tcPr>
                  <w:tcW w:w="2027" w:type="pct"/>
                  <w:vAlign w:val="center"/>
                </w:tcPr>
                <w:p w14:paraId="5B0F0E78">
                  <w:pPr>
                    <w:pStyle w:val="159"/>
                  </w:pPr>
                  <w:r>
                    <w:rPr>
                      <w:rFonts w:hint="eastAsia"/>
                    </w:rPr>
                    <w:t>经核查，该路径推荐方案未涉及生态保护红线，原则同意该路径方案，后期塔基建设尽量避免占用永久基本农田，不得影响周边村庄后期建设发展，比选方案涉及生态红线，应依法依规完成生态红线不可避让论证等手续，原则同意该方案。</w:t>
                  </w:r>
                </w:p>
              </w:tc>
              <w:tc>
                <w:tcPr>
                  <w:tcW w:w="1894" w:type="pct"/>
                  <w:vAlign w:val="center"/>
                </w:tcPr>
                <w:p w14:paraId="6BAAF9AB">
                  <w:pPr>
                    <w:pStyle w:val="159"/>
                  </w:pPr>
                  <w:r>
                    <w:rPr>
                      <w:rFonts w:hint="eastAsia"/>
                    </w:rPr>
                    <w:t>项目不占用基本农田，推荐线路无害化跨越生态保护红线，已取得《江华瑶族自治县人民政府关于湖南省江华湾水源抽水蓄能电站施工电源110千伏线路工程项目符合生态保护红线内允许有限人为活动的认定意见》。</w:t>
                  </w:r>
                </w:p>
              </w:tc>
            </w:tr>
            <w:tr w14:paraId="2CDF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39EBF141">
                  <w:pPr>
                    <w:pStyle w:val="159"/>
                  </w:pPr>
                  <w:r>
                    <w:t>3</w:t>
                  </w:r>
                </w:p>
              </w:tc>
              <w:tc>
                <w:tcPr>
                  <w:tcW w:w="695" w:type="pct"/>
                  <w:vAlign w:val="center"/>
                </w:tcPr>
                <w:p w14:paraId="2B93134C">
                  <w:pPr>
                    <w:pStyle w:val="159"/>
                  </w:pPr>
                  <w:r>
                    <w:rPr>
                      <w:rFonts w:hint="eastAsia"/>
                    </w:rPr>
                    <w:t>江华县水利局</w:t>
                  </w:r>
                </w:p>
              </w:tc>
              <w:tc>
                <w:tcPr>
                  <w:tcW w:w="2027" w:type="pct"/>
                  <w:vAlign w:val="center"/>
                </w:tcPr>
                <w:p w14:paraId="4458056E">
                  <w:pPr>
                    <w:pStyle w:val="159"/>
                  </w:pPr>
                  <w:r>
                    <w:rPr>
                      <w:rFonts w:hint="eastAsia"/>
                    </w:rPr>
                    <w:t>原则同意路径方案，项目实施应尽量避让水利设施，项目实施前应编制水保方案报批，做好水保措施</w:t>
                  </w:r>
                </w:p>
              </w:tc>
              <w:tc>
                <w:tcPr>
                  <w:tcW w:w="1894" w:type="pct"/>
                  <w:vAlign w:val="center"/>
                </w:tcPr>
                <w:p w14:paraId="7FD516FD">
                  <w:pPr>
                    <w:pStyle w:val="159"/>
                  </w:pPr>
                  <w:r>
                    <w:rPr>
                      <w:rFonts w:hint="eastAsia"/>
                    </w:rPr>
                    <w:t>项目正取得水土保持方案批复，施工期按照要求做好水土保持工作。</w:t>
                  </w:r>
                </w:p>
              </w:tc>
            </w:tr>
            <w:tr w14:paraId="7031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21BF15FA">
                  <w:pPr>
                    <w:pStyle w:val="159"/>
                  </w:pPr>
                  <w:r>
                    <w:t>4</w:t>
                  </w:r>
                </w:p>
              </w:tc>
              <w:tc>
                <w:tcPr>
                  <w:tcW w:w="695" w:type="pct"/>
                  <w:vAlign w:val="center"/>
                </w:tcPr>
                <w:p w14:paraId="3ABAEAB1">
                  <w:pPr>
                    <w:pStyle w:val="159"/>
                  </w:pPr>
                  <w:r>
                    <w:rPr>
                      <w:rFonts w:hint="eastAsia"/>
                    </w:rPr>
                    <w:t>江华县林业局</w:t>
                  </w:r>
                </w:p>
              </w:tc>
              <w:tc>
                <w:tcPr>
                  <w:tcW w:w="2027" w:type="pct"/>
                  <w:vAlign w:val="center"/>
                </w:tcPr>
                <w:p w14:paraId="2FCA5E18">
                  <w:pPr>
                    <w:pStyle w:val="159"/>
                  </w:pPr>
                  <w:r>
                    <w:rPr>
                      <w:rFonts w:hint="eastAsia"/>
                      <w:color w:val="000000" w:themeColor="text1"/>
                      <w14:textFill>
                        <w14:solidFill>
                          <w14:schemeClr w14:val="tx1"/>
                        </w14:solidFill>
                      </w14:textFill>
                    </w:rPr>
                    <w:t>同意该方案，项目占用林地须避让一级保护林地、国家级一级公益林林地、名树名木和野生植物分布范围，涉及湿地公园，风景名胜区等，自然保护地的，需依法依规取得省级林业主管部门同意建设意见，另需依法申报使用林地许可及林木砍伐许可</w:t>
                  </w:r>
                </w:p>
              </w:tc>
              <w:tc>
                <w:tcPr>
                  <w:tcW w:w="1894" w:type="pct"/>
                  <w:vAlign w:val="center"/>
                </w:tcPr>
                <w:p w14:paraId="018897BD">
                  <w:pPr>
                    <w:pStyle w:val="159"/>
                  </w:pPr>
                  <w:r>
                    <w:rPr>
                      <w:rFonts w:hint="eastAsia"/>
                    </w:rPr>
                    <w:t>项目塔基已避让避让一级保护林地、国家级一级公益林林地，沿线未发现名树名木和珍稀濒危野生植物分布；项目跨越的自然保护地为湖南江华涔天河国家湿地公园和姑婆山风景名胜区，已取得了湖南省林业局原则同意项目在湖南江华涔天河国家湿地公园（湖南省江华县涔天河省级重要湿地）内实施的意见（附件6）；本项目已按照相关要求编制了《姑婆山风景名胜区湖南省江华湾水源抽水蓄能电站施工电源110千伏线路工程选址方案论证报告》（以下简称选址论证报告）并已通过了湖南省林业局组织的专家评审会（附件7），正在按程序办理工程选址方案核准手续。根据江华瑶族自治县姑婆山风景名胜区管理局《关于对湖南省江华湾水源抽水蓄能电站施工电源110千伏线路工程在姑婆山风景名胜区内建设情况说明的函》（附件8），预计2</w:t>
                  </w:r>
                  <w:r>
                    <w:t>025</w:t>
                  </w:r>
                  <w:r>
                    <w:rPr>
                      <w:rFonts w:hint="eastAsia"/>
                    </w:rPr>
                    <w:t>年4月底省林业局可完成工程选址方案核准手续。</w:t>
                  </w:r>
                </w:p>
              </w:tc>
            </w:tr>
            <w:tr w14:paraId="366D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43605B5B">
                  <w:pPr>
                    <w:pStyle w:val="159"/>
                  </w:pPr>
                  <w:r>
                    <w:t>5</w:t>
                  </w:r>
                </w:p>
              </w:tc>
              <w:tc>
                <w:tcPr>
                  <w:tcW w:w="695" w:type="pct"/>
                  <w:vAlign w:val="center"/>
                </w:tcPr>
                <w:p w14:paraId="629D87B3">
                  <w:pPr>
                    <w:pStyle w:val="159"/>
                  </w:pPr>
                  <w:r>
                    <w:rPr>
                      <w:rFonts w:hint="eastAsia"/>
                    </w:rPr>
                    <w:t>永州市生态环境局江华分局</w:t>
                  </w:r>
                </w:p>
              </w:tc>
              <w:tc>
                <w:tcPr>
                  <w:tcW w:w="2027" w:type="pct"/>
                  <w:vAlign w:val="center"/>
                </w:tcPr>
                <w:p w14:paraId="506BCF78">
                  <w:pPr>
                    <w:pStyle w:val="159"/>
                  </w:pPr>
                  <w:r>
                    <w:rPr>
                      <w:rFonts w:hint="eastAsia"/>
                    </w:rPr>
                    <w:t>经核查，该路径推荐方案未涉及集中式饮用水源保护区，请按法律规定做好环评审批，方案开工建设，并落定好各项生态保护措施</w:t>
                  </w:r>
                </w:p>
              </w:tc>
              <w:tc>
                <w:tcPr>
                  <w:tcW w:w="1894" w:type="pct"/>
                  <w:vAlign w:val="center"/>
                </w:tcPr>
                <w:p w14:paraId="53030895">
                  <w:pPr>
                    <w:pStyle w:val="159"/>
                  </w:pPr>
                  <w:r>
                    <w:rPr>
                      <w:rFonts w:hint="eastAsia"/>
                    </w:rPr>
                    <w:t>已按照要求开展环境影响评价，后期建设将严格落实环评提出的各项生态环境保护措施。</w:t>
                  </w:r>
                </w:p>
              </w:tc>
            </w:tr>
            <w:tr w14:paraId="09CD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12CDF2D0">
                  <w:pPr>
                    <w:pStyle w:val="159"/>
                  </w:pPr>
                  <w:r>
                    <w:t>6</w:t>
                  </w:r>
                </w:p>
              </w:tc>
              <w:tc>
                <w:tcPr>
                  <w:tcW w:w="695" w:type="pct"/>
                  <w:vAlign w:val="center"/>
                </w:tcPr>
                <w:p w14:paraId="01E8BE2E">
                  <w:pPr>
                    <w:pStyle w:val="159"/>
                  </w:pPr>
                  <w:r>
                    <w:rPr>
                      <w:rFonts w:hint="eastAsia"/>
                    </w:rPr>
                    <w:t>江华县交通运输局</w:t>
                  </w:r>
                </w:p>
              </w:tc>
              <w:tc>
                <w:tcPr>
                  <w:tcW w:w="2027" w:type="pct"/>
                  <w:vAlign w:val="center"/>
                </w:tcPr>
                <w:p w14:paraId="58D4890E">
                  <w:pPr>
                    <w:pStyle w:val="159"/>
                  </w:pPr>
                  <w:r>
                    <w:rPr>
                      <w:rFonts w:hint="eastAsia"/>
                    </w:rPr>
                    <w:t>原则同意该路径方案，须注意避免占用公路，涉路施工前，应当依法办理涉路施工许可，同时，该路径跨越涔天河水库，根据相关法律法规要求，需取得航道通航条件影响评价报告</w:t>
                  </w:r>
                </w:p>
              </w:tc>
              <w:tc>
                <w:tcPr>
                  <w:tcW w:w="1894" w:type="pct"/>
                  <w:vAlign w:val="center"/>
                </w:tcPr>
                <w:p w14:paraId="6C9ACD94">
                  <w:pPr>
                    <w:pStyle w:val="159"/>
                  </w:pPr>
                  <w:r>
                    <w:rPr>
                      <w:rFonts w:hint="eastAsia"/>
                    </w:rPr>
                    <w:t>本项目不占用公路，无涉路施工，已办理航道通航条件影响评价报告。</w:t>
                  </w:r>
                </w:p>
              </w:tc>
            </w:tr>
            <w:tr w14:paraId="38D1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30DBF1CE">
                  <w:pPr>
                    <w:pStyle w:val="159"/>
                  </w:pPr>
                  <w:r>
                    <w:t>7</w:t>
                  </w:r>
                </w:p>
              </w:tc>
              <w:tc>
                <w:tcPr>
                  <w:tcW w:w="695" w:type="pct"/>
                  <w:vAlign w:val="center"/>
                </w:tcPr>
                <w:p w14:paraId="00D84202">
                  <w:pPr>
                    <w:pStyle w:val="159"/>
                  </w:pPr>
                  <w:r>
                    <w:rPr>
                      <w:rFonts w:hint="eastAsia"/>
                    </w:rPr>
                    <w:t>江华县人民武装部</w:t>
                  </w:r>
                </w:p>
              </w:tc>
              <w:tc>
                <w:tcPr>
                  <w:tcW w:w="2027" w:type="pct"/>
                  <w:vAlign w:val="center"/>
                </w:tcPr>
                <w:p w14:paraId="0368F5DC">
                  <w:pPr>
                    <w:pStyle w:val="159"/>
                  </w:pPr>
                  <w:r>
                    <w:rPr>
                      <w:rFonts w:hint="eastAsia"/>
                    </w:rPr>
                    <w:t>原则同意该路径方案，项目实施中注意相关军事设施的保护</w:t>
                  </w:r>
                </w:p>
              </w:tc>
              <w:tc>
                <w:tcPr>
                  <w:tcW w:w="1894" w:type="pct"/>
                  <w:vAlign w:val="center"/>
                </w:tcPr>
                <w:p w14:paraId="6CACB610">
                  <w:pPr>
                    <w:pStyle w:val="159"/>
                  </w:pPr>
                  <w:r>
                    <w:rPr>
                      <w:rFonts w:hint="eastAsia"/>
                    </w:rPr>
                    <w:t>/</w:t>
                  </w:r>
                </w:p>
              </w:tc>
            </w:tr>
            <w:tr w14:paraId="00B6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55FDA11C">
                  <w:pPr>
                    <w:pStyle w:val="159"/>
                  </w:pPr>
                  <w:r>
                    <w:t>8</w:t>
                  </w:r>
                </w:p>
              </w:tc>
              <w:tc>
                <w:tcPr>
                  <w:tcW w:w="695" w:type="pct"/>
                  <w:vAlign w:val="center"/>
                </w:tcPr>
                <w:p w14:paraId="7E1A912D">
                  <w:pPr>
                    <w:pStyle w:val="159"/>
                  </w:pPr>
                  <w:r>
                    <w:rPr>
                      <w:rFonts w:hint="eastAsia"/>
                    </w:rPr>
                    <w:t>江华县应急管理局</w:t>
                  </w:r>
                </w:p>
              </w:tc>
              <w:tc>
                <w:tcPr>
                  <w:tcW w:w="2027" w:type="pct"/>
                  <w:vAlign w:val="center"/>
                </w:tcPr>
                <w:p w14:paraId="5C405BAA">
                  <w:pPr>
                    <w:pStyle w:val="159"/>
                  </w:pPr>
                  <w:r>
                    <w:rPr>
                      <w:rFonts w:hint="eastAsia"/>
                    </w:rPr>
                    <w:t>经核查，该线路未涉及危化企业，原则同意路径方案，请严格落实好安全防护措施</w:t>
                  </w:r>
                </w:p>
              </w:tc>
              <w:tc>
                <w:tcPr>
                  <w:tcW w:w="1894" w:type="pct"/>
                  <w:vAlign w:val="center"/>
                </w:tcPr>
                <w:p w14:paraId="2C096D63">
                  <w:pPr>
                    <w:pStyle w:val="159"/>
                  </w:pPr>
                  <w:r>
                    <w:rPr>
                      <w:rFonts w:hint="eastAsia"/>
                    </w:rPr>
                    <w:t>/</w:t>
                  </w:r>
                </w:p>
              </w:tc>
            </w:tr>
            <w:tr w14:paraId="505E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6BC07C42">
                  <w:pPr>
                    <w:pStyle w:val="159"/>
                  </w:pPr>
                  <w:r>
                    <w:t>9</w:t>
                  </w:r>
                </w:p>
              </w:tc>
              <w:tc>
                <w:tcPr>
                  <w:tcW w:w="695" w:type="pct"/>
                  <w:vAlign w:val="center"/>
                </w:tcPr>
                <w:p w14:paraId="526BCDCA">
                  <w:pPr>
                    <w:pStyle w:val="159"/>
                  </w:pPr>
                  <w:r>
                    <w:rPr>
                      <w:rFonts w:hint="eastAsia"/>
                    </w:rPr>
                    <w:t>江华县文化旅游广电体育局</w:t>
                  </w:r>
                </w:p>
              </w:tc>
              <w:tc>
                <w:tcPr>
                  <w:tcW w:w="2027" w:type="pct"/>
                  <w:vAlign w:val="center"/>
                </w:tcPr>
                <w:p w14:paraId="0CC28D49">
                  <w:pPr>
                    <w:pStyle w:val="159"/>
                  </w:pPr>
                  <w:r>
                    <w:rPr>
                      <w:rFonts w:hint="eastAsia"/>
                    </w:rPr>
                    <w:t>经核查，该路径不涉及地上文物，我局原则上同意此方案，在施工过程中如发下地下文物，需立即上报我局文物部门</w:t>
                  </w:r>
                </w:p>
              </w:tc>
              <w:tc>
                <w:tcPr>
                  <w:tcW w:w="1894" w:type="pct"/>
                  <w:vAlign w:val="center"/>
                </w:tcPr>
                <w:p w14:paraId="1EB2E743">
                  <w:pPr>
                    <w:pStyle w:val="159"/>
                  </w:pPr>
                  <w:r>
                    <w:rPr>
                      <w:rFonts w:hint="eastAsia"/>
                    </w:rPr>
                    <w:t>/</w:t>
                  </w:r>
                </w:p>
              </w:tc>
            </w:tr>
            <w:tr w14:paraId="616F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5E5BFF1C">
                  <w:pPr>
                    <w:pStyle w:val="159"/>
                  </w:pPr>
                  <w:r>
                    <w:t>10</w:t>
                  </w:r>
                </w:p>
              </w:tc>
              <w:tc>
                <w:tcPr>
                  <w:tcW w:w="695" w:type="pct"/>
                  <w:vAlign w:val="center"/>
                </w:tcPr>
                <w:p w14:paraId="0A56B05D">
                  <w:pPr>
                    <w:pStyle w:val="159"/>
                  </w:pPr>
                  <w:r>
                    <w:rPr>
                      <w:rFonts w:hint="eastAsia"/>
                    </w:rPr>
                    <w:t>江华县姑婆山风景名胜区管理局</w:t>
                  </w:r>
                </w:p>
              </w:tc>
              <w:tc>
                <w:tcPr>
                  <w:tcW w:w="2027" w:type="pct"/>
                  <w:vAlign w:val="center"/>
                </w:tcPr>
                <w:p w14:paraId="3AB8956F">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原则同意，按规定程序报省林业局审批</w:t>
                  </w:r>
                </w:p>
              </w:tc>
              <w:tc>
                <w:tcPr>
                  <w:tcW w:w="1894" w:type="pct"/>
                  <w:vAlign w:val="center"/>
                </w:tcPr>
                <w:p w14:paraId="56499F43">
                  <w:pPr>
                    <w:pStyle w:val="159"/>
                  </w:pPr>
                  <w:r>
                    <w:rPr>
                      <w:rFonts w:hint="eastAsia"/>
                    </w:rPr>
                    <w:t>已按照相关要求编制了《姑婆山风景名胜区湖南省江华湾水源抽水蓄能电站施工电源110千伏线路工程选址方案论证报告》（以下简称选址论证报告）并已通过了湖南省林业局组织的专家评审会（附件7），正在按程序办理工程选址方案核准手续。根据江华瑶族自治县姑婆山风景名胜区管理局《关于对湖南省江华湾水源抽水蓄能电站施工电源110千伏线路工程在姑婆山风景名胜区内建设情况说明的函》（附件8），预计2025年4月底省林业局可完成工程选址方案核准手续。</w:t>
                  </w:r>
                </w:p>
              </w:tc>
            </w:tr>
            <w:tr w14:paraId="7DCC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12B289CB">
                  <w:pPr>
                    <w:pStyle w:val="159"/>
                  </w:pPr>
                  <w:r>
                    <w:t>11</w:t>
                  </w:r>
                </w:p>
              </w:tc>
              <w:tc>
                <w:tcPr>
                  <w:tcW w:w="695" w:type="pct"/>
                  <w:vAlign w:val="center"/>
                </w:tcPr>
                <w:p w14:paraId="665CE319">
                  <w:pPr>
                    <w:pStyle w:val="159"/>
                  </w:pPr>
                  <w:r>
                    <w:rPr>
                      <w:rFonts w:hint="eastAsia"/>
                    </w:rPr>
                    <w:t>湖南江华县涔天河国家湿地公园管理局</w:t>
                  </w:r>
                </w:p>
              </w:tc>
              <w:tc>
                <w:tcPr>
                  <w:tcW w:w="2027" w:type="pct"/>
                  <w:vAlign w:val="center"/>
                </w:tcPr>
                <w:p w14:paraId="14811252">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原则同意线路路径走向，但线路跨越湿地公园须做生态影响评价并征求省级林业主管部门意见</w:t>
                  </w:r>
                </w:p>
              </w:tc>
              <w:tc>
                <w:tcPr>
                  <w:tcW w:w="1894" w:type="pct"/>
                  <w:vAlign w:val="center"/>
                </w:tcPr>
                <w:p w14:paraId="36A89E45">
                  <w:pPr>
                    <w:pStyle w:val="159"/>
                  </w:pPr>
                  <w:r>
                    <w:rPr>
                      <w:rFonts w:hint="eastAsia"/>
                    </w:rPr>
                    <w:t>已取得了湖南省林业局原则同意项目在湖南江华涔天河国家湿地公园（湖南省江华县涔天河省级重要湿地）内实施的意见（附件6）</w:t>
                  </w:r>
                </w:p>
              </w:tc>
            </w:tr>
            <w:tr w14:paraId="0065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2A30F1B3">
                  <w:pPr>
                    <w:pStyle w:val="159"/>
                  </w:pPr>
                  <w:r>
                    <w:t>12</w:t>
                  </w:r>
                </w:p>
              </w:tc>
              <w:tc>
                <w:tcPr>
                  <w:tcW w:w="695" w:type="pct"/>
                  <w:vAlign w:val="center"/>
                </w:tcPr>
                <w:p w14:paraId="32B52E2E">
                  <w:pPr>
                    <w:pStyle w:val="159"/>
                  </w:pPr>
                  <w:r>
                    <w:rPr>
                      <w:rFonts w:hint="eastAsia"/>
                    </w:rPr>
                    <w:t>江华县公安局</w:t>
                  </w:r>
                </w:p>
              </w:tc>
              <w:tc>
                <w:tcPr>
                  <w:tcW w:w="2027" w:type="pct"/>
                  <w:vAlign w:val="center"/>
                </w:tcPr>
                <w:p w14:paraId="6BB95F7E">
                  <w:pPr>
                    <w:pStyle w:val="159"/>
                  </w:pPr>
                  <w:r>
                    <w:rPr>
                      <w:rFonts w:hint="eastAsia"/>
                    </w:rPr>
                    <w:t>原则同意</w:t>
                  </w:r>
                </w:p>
              </w:tc>
              <w:tc>
                <w:tcPr>
                  <w:tcW w:w="1894" w:type="pct"/>
                  <w:vAlign w:val="center"/>
                </w:tcPr>
                <w:p w14:paraId="41915B3C">
                  <w:pPr>
                    <w:pStyle w:val="159"/>
                  </w:pPr>
                  <w:r>
                    <w:rPr>
                      <w:rFonts w:hint="eastAsia"/>
                    </w:rPr>
                    <w:t>/</w:t>
                  </w:r>
                </w:p>
              </w:tc>
            </w:tr>
            <w:tr w14:paraId="5F9F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6150813F">
                  <w:pPr>
                    <w:pStyle w:val="159"/>
                  </w:pPr>
                  <w:r>
                    <w:t>13</w:t>
                  </w:r>
                </w:p>
              </w:tc>
              <w:tc>
                <w:tcPr>
                  <w:tcW w:w="695" w:type="pct"/>
                  <w:vAlign w:val="center"/>
                </w:tcPr>
                <w:p w14:paraId="687B3403">
                  <w:pPr>
                    <w:pStyle w:val="159"/>
                  </w:pPr>
                  <w:r>
                    <w:rPr>
                      <w:rFonts w:hint="eastAsia"/>
                    </w:rPr>
                    <w:t>江华县水口镇人民政府</w:t>
                  </w:r>
                </w:p>
              </w:tc>
              <w:tc>
                <w:tcPr>
                  <w:tcW w:w="2027" w:type="pct"/>
                  <w:vAlign w:val="center"/>
                </w:tcPr>
                <w:p w14:paraId="5987556B">
                  <w:pPr>
                    <w:pStyle w:val="159"/>
                  </w:pPr>
                  <w:r>
                    <w:rPr>
                      <w:rFonts w:hint="eastAsia"/>
                    </w:rPr>
                    <w:t>原则同意该路径方案</w:t>
                  </w:r>
                </w:p>
              </w:tc>
              <w:tc>
                <w:tcPr>
                  <w:tcW w:w="1894" w:type="pct"/>
                  <w:vAlign w:val="center"/>
                </w:tcPr>
                <w:p w14:paraId="37E4CD27">
                  <w:pPr>
                    <w:pStyle w:val="159"/>
                  </w:pPr>
                  <w:r>
                    <w:rPr>
                      <w:rFonts w:hint="eastAsia"/>
                    </w:rPr>
                    <w:t>/</w:t>
                  </w:r>
                </w:p>
              </w:tc>
            </w:tr>
            <w:tr w14:paraId="267F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14:paraId="7661B2FE">
                  <w:pPr>
                    <w:pStyle w:val="159"/>
                  </w:pPr>
                  <w:r>
                    <w:t>14</w:t>
                  </w:r>
                </w:p>
              </w:tc>
              <w:tc>
                <w:tcPr>
                  <w:tcW w:w="695" w:type="pct"/>
                  <w:vAlign w:val="center"/>
                </w:tcPr>
                <w:p w14:paraId="1D1CB7B5">
                  <w:pPr>
                    <w:pStyle w:val="159"/>
                  </w:pPr>
                  <w:r>
                    <w:rPr>
                      <w:rFonts w:hint="eastAsia"/>
                    </w:rPr>
                    <w:t>江华县湘江乡人民政府</w:t>
                  </w:r>
                </w:p>
              </w:tc>
              <w:tc>
                <w:tcPr>
                  <w:tcW w:w="2027" w:type="pct"/>
                  <w:vAlign w:val="center"/>
                </w:tcPr>
                <w:p w14:paraId="71C050ED">
                  <w:pPr>
                    <w:pStyle w:val="159"/>
                  </w:pPr>
                  <w:r>
                    <w:rPr>
                      <w:rFonts w:hint="eastAsia"/>
                    </w:rPr>
                    <w:t>原则上同意，依法依规依程序申报</w:t>
                  </w:r>
                </w:p>
              </w:tc>
              <w:tc>
                <w:tcPr>
                  <w:tcW w:w="1894" w:type="pct"/>
                  <w:vAlign w:val="center"/>
                </w:tcPr>
                <w:p w14:paraId="79ED7A72">
                  <w:pPr>
                    <w:pStyle w:val="159"/>
                  </w:pPr>
                  <w:r>
                    <w:rPr>
                      <w:rFonts w:hint="eastAsia"/>
                    </w:rPr>
                    <w:t>/</w:t>
                  </w:r>
                </w:p>
              </w:tc>
            </w:tr>
          </w:tbl>
          <w:p w14:paraId="1A1A4A15">
            <w:pPr>
              <w:pStyle w:val="3"/>
              <w:ind w:firstLine="480"/>
            </w:pPr>
          </w:p>
          <w:p w14:paraId="5235542C">
            <w:pPr>
              <w:pStyle w:val="3"/>
              <w:ind w:firstLine="480"/>
            </w:pPr>
          </w:p>
          <w:p w14:paraId="18783FBC">
            <w:pPr>
              <w:pStyle w:val="3"/>
              <w:ind w:firstLine="480"/>
            </w:pPr>
          </w:p>
          <w:p w14:paraId="62922F57">
            <w:pPr>
              <w:pStyle w:val="3"/>
              <w:ind w:firstLine="480"/>
            </w:pPr>
          </w:p>
          <w:p w14:paraId="6657402E">
            <w:pPr>
              <w:pStyle w:val="3"/>
              <w:ind w:firstLine="480"/>
            </w:pPr>
          </w:p>
          <w:p w14:paraId="2041B5ED">
            <w:pPr>
              <w:pStyle w:val="3"/>
              <w:ind w:firstLine="480"/>
            </w:pPr>
          </w:p>
          <w:p w14:paraId="26ED0FD0">
            <w:pPr>
              <w:pStyle w:val="3"/>
              <w:ind w:firstLine="480"/>
            </w:pPr>
          </w:p>
          <w:p w14:paraId="72721696">
            <w:pPr>
              <w:pStyle w:val="3"/>
              <w:ind w:firstLine="480"/>
            </w:pPr>
          </w:p>
          <w:p w14:paraId="5436776E">
            <w:pPr>
              <w:pStyle w:val="3"/>
              <w:ind w:firstLine="480"/>
            </w:pPr>
          </w:p>
          <w:p w14:paraId="490A1A78">
            <w:pPr>
              <w:pStyle w:val="3"/>
              <w:ind w:firstLine="480"/>
            </w:pPr>
          </w:p>
          <w:p w14:paraId="5E14C31F">
            <w:pPr>
              <w:pStyle w:val="3"/>
              <w:ind w:firstLine="480"/>
            </w:pPr>
          </w:p>
          <w:p w14:paraId="50F6DAD3">
            <w:pPr>
              <w:pStyle w:val="3"/>
              <w:ind w:firstLine="480"/>
            </w:pPr>
          </w:p>
          <w:p w14:paraId="744B43A7">
            <w:pPr>
              <w:pStyle w:val="3"/>
              <w:ind w:firstLine="480"/>
            </w:pPr>
          </w:p>
          <w:p w14:paraId="44CAC303">
            <w:pPr>
              <w:pStyle w:val="3"/>
              <w:ind w:firstLine="480"/>
            </w:pPr>
          </w:p>
          <w:p w14:paraId="6F6D2ABC">
            <w:pPr>
              <w:pStyle w:val="3"/>
              <w:ind w:firstLine="480"/>
            </w:pPr>
          </w:p>
          <w:p w14:paraId="07720131">
            <w:pPr>
              <w:pStyle w:val="3"/>
              <w:ind w:firstLine="480"/>
            </w:pPr>
          </w:p>
          <w:p w14:paraId="0217629E">
            <w:pPr>
              <w:pStyle w:val="3"/>
              <w:ind w:firstLine="480"/>
            </w:pPr>
          </w:p>
          <w:p w14:paraId="22F8170B">
            <w:pPr>
              <w:pStyle w:val="3"/>
              <w:ind w:firstLine="480"/>
            </w:pPr>
          </w:p>
          <w:p w14:paraId="368B1C64">
            <w:pPr>
              <w:pStyle w:val="3"/>
              <w:ind w:firstLine="480"/>
            </w:pPr>
          </w:p>
          <w:p w14:paraId="370099D7">
            <w:pPr>
              <w:pStyle w:val="3"/>
              <w:ind w:firstLine="480"/>
            </w:pPr>
          </w:p>
          <w:p w14:paraId="3E7C6617">
            <w:pPr>
              <w:pStyle w:val="3"/>
              <w:ind w:firstLine="480"/>
            </w:pPr>
          </w:p>
          <w:p w14:paraId="4AD7E8D0">
            <w:pPr>
              <w:pStyle w:val="3"/>
              <w:ind w:firstLine="480"/>
            </w:pPr>
          </w:p>
          <w:p w14:paraId="230033C0">
            <w:pPr>
              <w:pStyle w:val="3"/>
              <w:ind w:firstLine="480"/>
            </w:pPr>
          </w:p>
          <w:p w14:paraId="522AE84B">
            <w:pPr>
              <w:pStyle w:val="3"/>
              <w:ind w:firstLine="480"/>
            </w:pPr>
          </w:p>
          <w:p w14:paraId="6D1C9436">
            <w:pPr>
              <w:pStyle w:val="3"/>
              <w:ind w:firstLine="480"/>
            </w:pPr>
          </w:p>
          <w:p w14:paraId="55D3DF55">
            <w:pPr>
              <w:pStyle w:val="3"/>
              <w:ind w:firstLine="480"/>
            </w:pPr>
          </w:p>
          <w:p w14:paraId="05528452">
            <w:pPr>
              <w:pStyle w:val="3"/>
              <w:ind w:firstLine="480"/>
            </w:pPr>
          </w:p>
          <w:p w14:paraId="338D0785">
            <w:pPr>
              <w:pStyle w:val="3"/>
              <w:ind w:firstLine="480"/>
            </w:pPr>
          </w:p>
          <w:p w14:paraId="447D859B">
            <w:pPr>
              <w:pStyle w:val="3"/>
              <w:ind w:firstLine="480"/>
            </w:pPr>
          </w:p>
        </w:tc>
      </w:tr>
    </w:tbl>
    <w:p w14:paraId="6298B952">
      <w:pPr>
        <w:ind w:firstLine="600"/>
        <w:outlineLvl w:val="0"/>
        <w:rPr>
          <w:rFonts w:eastAsia="黑体"/>
          <w:sz w:val="30"/>
        </w:rPr>
        <w:sectPr>
          <w:pgSz w:w="11906" w:h="16838"/>
          <w:pgMar w:top="1588" w:right="1361" w:bottom="1474" w:left="1474" w:header="1021" w:footer="851" w:gutter="0"/>
          <w:pgNumType w:start="1"/>
          <w:cols w:space="720" w:num="1"/>
          <w:docGrid w:linePitch="312" w:charSpace="0"/>
        </w:sectPr>
      </w:pPr>
    </w:p>
    <w:p w14:paraId="180A733B">
      <w:pPr>
        <w:pStyle w:val="37"/>
        <w:jc w:val="center"/>
        <w:outlineLvl w:val="0"/>
        <w:rPr>
          <w:rFonts w:ascii="黑体" w:hAnsi="黑体" w:eastAsia="黑体"/>
          <w:snapToGrid w:val="0"/>
          <w:sz w:val="30"/>
          <w:szCs w:val="30"/>
        </w:rPr>
      </w:pPr>
      <w:bookmarkStart w:id="22" w:name="_Toc99093202"/>
      <w:bookmarkStart w:id="23" w:name="_Toc186810103"/>
      <w:bookmarkStart w:id="24" w:name="_Toc99090745"/>
      <w:bookmarkStart w:id="25" w:name="_Toc95916519"/>
      <w:bookmarkStart w:id="26" w:name="_Toc95916408"/>
      <w:bookmarkStart w:id="27" w:name="_Toc99093513"/>
      <w:r>
        <w:rPr>
          <w:rFonts w:hint="eastAsia" w:ascii="黑体" w:hAnsi="黑体" w:eastAsia="黑体"/>
          <w:snapToGrid w:val="0"/>
          <w:sz w:val="30"/>
          <w:szCs w:val="30"/>
        </w:rPr>
        <w:t>二、建设内容</w:t>
      </w:r>
      <w:bookmarkEnd w:id="22"/>
      <w:bookmarkEnd w:id="23"/>
      <w:bookmarkEnd w:id="24"/>
      <w:bookmarkEnd w:id="25"/>
      <w:bookmarkEnd w:id="26"/>
      <w:bookmarkEnd w:id="27"/>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1"/>
      </w:tblGrid>
      <w:tr w14:paraId="0F24F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233" w:type="pct"/>
            <w:vAlign w:val="center"/>
          </w:tcPr>
          <w:p w14:paraId="63F35C3F">
            <w:pPr>
              <w:pStyle w:val="86"/>
            </w:pPr>
            <w:r>
              <w:t>地理位置</w:t>
            </w:r>
          </w:p>
        </w:tc>
        <w:tc>
          <w:tcPr>
            <w:tcW w:w="4767" w:type="pct"/>
            <w:vAlign w:val="center"/>
          </w:tcPr>
          <w:p w14:paraId="0A26D779">
            <w:pPr>
              <w:pStyle w:val="3"/>
              <w:ind w:firstLine="480"/>
            </w:pPr>
            <w:r>
              <w:rPr>
                <w:rFonts w:hint="eastAsia"/>
              </w:rPr>
              <w:t>本项目</w:t>
            </w:r>
            <w:r>
              <w:t>110kV</w:t>
            </w:r>
            <w:r>
              <w:rPr>
                <w:rFonts w:hint="eastAsia"/>
              </w:rPr>
              <w:t>线路起于已建的贝江</w:t>
            </w:r>
            <w:r>
              <w:t>110kV</w:t>
            </w:r>
            <w:r>
              <w:rPr>
                <w:rFonts w:hint="eastAsia"/>
              </w:rPr>
              <w:t>变电站，止于待建江华湾水源抽水蓄能电站项目</w:t>
            </w:r>
            <w:r>
              <w:t>110kV</w:t>
            </w:r>
            <w:r>
              <w:rPr>
                <w:rFonts w:hint="eastAsia"/>
              </w:rPr>
              <w:t>基地源变电站，线路整体走向为南北方向，总长度2</w:t>
            </w:r>
            <w:r>
              <w:t>0.045km</w:t>
            </w:r>
            <w:r>
              <w:rPr>
                <w:rFonts w:hint="eastAsia"/>
              </w:rPr>
              <w:t>，线路全线位于位于永州市江华县水口镇和湘江乡；110kV基地源变电站中心坐标E111°51′50.</w:t>
            </w:r>
            <w:r>
              <w:t>50</w:t>
            </w:r>
            <w:r>
              <w:rPr>
                <w:rFonts w:hint="eastAsia"/>
              </w:rPr>
              <w:t>″，N25°7′</w:t>
            </w:r>
            <w:r>
              <w:t>6.26</w:t>
            </w:r>
            <w:r>
              <w:rPr>
                <w:rFonts w:hint="eastAsia"/>
              </w:rPr>
              <w:t>″。地理位置示意图见附图1。</w:t>
            </w:r>
          </w:p>
        </w:tc>
      </w:tr>
      <w:tr w14:paraId="7F611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233" w:type="pct"/>
            <w:vAlign w:val="center"/>
          </w:tcPr>
          <w:p w14:paraId="181A1923">
            <w:pPr>
              <w:pStyle w:val="86"/>
            </w:pPr>
            <w:r>
              <w:t>项目组成及规模</w:t>
            </w:r>
          </w:p>
        </w:tc>
        <w:tc>
          <w:tcPr>
            <w:tcW w:w="4767" w:type="pct"/>
            <w:vAlign w:val="center"/>
          </w:tcPr>
          <w:p w14:paraId="3C4305D8">
            <w:pPr>
              <w:pStyle w:val="2"/>
            </w:pPr>
            <w:bookmarkStart w:id="28" w:name="_Toc99090746"/>
            <w:bookmarkStart w:id="29" w:name="_Toc95916520"/>
            <w:bookmarkStart w:id="30" w:name="_Toc99093514"/>
            <w:bookmarkStart w:id="31" w:name="_Toc95916409"/>
            <w:bookmarkStart w:id="32" w:name="_Toc99093203"/>
            <w:bookmarkStart w:id="33" w:name="_Toc99098746"/>
            <w:bookmarkStart w:id="34" w:name="_Toc186810104"/>
            <w:bookmarkStart w:id="35" w:name="_Toc166056878"/>
            <w:r>
              <w:rPr>
                <w:rFonts w:hint="eastAsia"/>
              </w:rPr>
              <w:t>建设内容</w:t>
            </w:r>
            <w:bookmarkEnd w:id="28"/>
            <w:bookmarkEnd w:id="29"/>
            <w:bookmarkEnd w:id="30"/>
            <w:bookmarkEnd w:id="31"/>
            <w:bookmarkEnd w:id="32"/>
            <w:bookmarkEnd w:id="33"/>
            <w:bookmarkEnd w:id="34"/>
            <w:bookmarkEnd w:id="35"/>
          </w:p>
          <w:p w14:paraId="7243F6CC">
            <w:pPr>
              <w:pStyle w:val="5"/>
            </w:pPr>
            <w:bookmarkStart w:id="36" w:name="_Toc99090747"/>
            <w:bookmarkStart w:id="37" w:name="_Toc99093515"/>
            <w:bookmarkStart w:id="38" w:name="_Toc99093204"/>
            <w:bookmarkStart w:id="39" w:name="_Toc95916410"/>
            <w:r>
              <w:rPr>
                <w:rFonts w:hint="eastAsia"/>
              </w:rPr>
              <w:t>项目由来</w:t>
            </w:r>
          </w:p>
          <w:p w14:paraId="345FED51">
            <w:pPr>
              <w:pStyle w:val="3"/>
              <w:ind w:firstLine="480"/>
            </w:pPr>
            <w:r>
              <w:rPr>
                <w:rFonts w:hint="eastAsia"/>
              </w:rPr>
              <w:t>湖南省江华湾水源抽水蓄能电站项目开发任务是承担湖南电网的调峰、填谷、调频、调相、储能和紧急事故备用等，</w:t>
            </w:r>
            <w:r>
              <w:t>是《</w:t>
            </w:r>
            <w:r>
              <w:rPr>
                <w:rFonts w:hint="eastAsia"/>
              </w:rPr>
              <w:t>国家能源局</w:t>
            </w:r>
            <w:r>
              <w:t>抽水蓄能中长期发展规划</w:t>
            </w:r>
            <w:r>
              <w:rPr>
                <w:rFonts w:hint="eastAsia"/>
              </w:rPr>
              <w:t>（</w:t>
            </w:r>
            <w:r>
              <w:t>2021-2035年</w:t>
            </w:r>
            <w:r>
              <w:rPr>
                <w:rFonts w:hint="eastAsia"/>
              </w:rPr>
              <w:t>）</w:t>
            </w:r>
            <w:r>
              <w:t>》</w:t>
            </w:r>
            <w:r>
              <w:rPr>
                <w:rFonts w:hint="eastAsia"/>
              </w:rPr>
              <w:t>中</w:t>
            </w:r>
            <w:r>
              <w:t>明确的</w:t>
            </w:r>
            <w:r>
              <w:rPr>
                <w:rFonts w:hint="eastAsia"/>
              </w:rPr>
              <w:t>“</w:t>
            </w:r>
            <w:r>
              <w:t>十四五</w:t>
            </w:r>
            <w:r>
              <w:rPr>
                <w:rFonts w:hint="eastAsia"/>
              </w:rPr>
              <w:t>”</w:t>
            </w:r>
            <w:r>
              <w:t>重点实施项目之一</w:t>
            </w:r>
            <w:r>
              <w:rPr>
                <w:rFonts w:hint="eastAsia"/>
              </w:rPr>
              <w:t>，由湘投能源（江华）有限公司投资建设。该项目主体工程已于202</w:t>
            </w:r>
            <w:r>
              <w:t>3</w:t>
            </w:r>
            <w:r>
              <w:rPr>
                <w:rFonts w:hint="eastAsia"/>
              </w:rPr>
              <w:t>年</w:t>
            </w:r>
            <w:r>
              <w:t>6</w:t>
            </w:r>
            <w:r>
              <w:rPr>
                <w:rFonts w:hint="eastAsia"/>
              </w:rPr>
              <w:t>月</w:t>
            </w:r>
            <w:r>
              <w:t>9</w:t>
            </w:r>
            <w:r>
              <w:rPr>
                <w:rFonts w:hint="eastAsia"/>
              </w:rPr>
              <w:t>日取得永州市生态环境局出具的环评批复（永环评﹝202</w:t>
            </w:r>
            <w:r>
              <w:t>3</w:t>
            </w:r>
            <w:r>
              <w:rPr>
                <w:rFonts w:hint="eastAsia"/>
              </w:rPr>
              <w:t>﹞</w:t>
            </w:r>
            <w:r>
              <w:t>23</w:t>
            </w:r>
            <w:r>
              <w:rPr>
                <w:rFonts w:hint="eastAsia"/>
              </w:rPr>
              <w:t>号）。</w:t>
            </w:r>
          </w:p>
          <w:p w14:paraId="6A459FEE">
            <w:pPr>
              <w:pStyle w:val="3"/>
              <w:ind w:firstLine="480"/>
            </w:pPr>
            <w:r>
              <w:rPr>
                <w:rFonts w:hint="eastAsia"/>
              </w:rPr>
              <w:t>湖南省江华湾水源抽水蓄能电站项目施工总工期为</w:t>
            </w:r>
            <w:r>
              <w:t>5</w:t>
            </w:r>
            <w:r>
              <w:rPr>
                <w:rFonts w:hint="eastAsia"/>
              </w:rPr>
              <w:t>年</w:t>
            </w:r>
            <w:r>
              <w:t>9</w:t>
            </w:r>
            <w:r>
              <w:rPr>
                <w:rFonts w:hint="eastAsia"/>
              </w:rPr>
              <w:t>个月（</w:t>
            </w:r>
            <w:r>
              <w:t>69</w:t>
            </w:r>
            <w:r>
              <w:rPr>
                <w:rFonts w:hint="eastAsia"/>
              </w:rPr>
              <w:t>个月，不含筹建期），上水库蓄水时间为第</w:t>
            </w:r>
            <w:r>
              <w:t>5</w:t>
            </w:r>
            <w:r>
              <w:rPr>
                <w:rFonts w:hint="eastAsia"/>
              </w:rPr>
              <w:t>年</w:t>
            </w:r>
            <w:r>
              <w:t>1</w:t>
            </w:r>
            <w:r>
              <w:rPr>
                <w:rFonts w:hint="eastAsia"/>
              </w:rPr>
              <w:t>月初、下水库下闸时间为第</w:t>
            </w:r>
            <w:r>
              <w:t>4</w:t>
            </w:r>
            <w:r>
              <w:rPr>
                <w:rFonts w:hint="eastAsia"/>
              </w:rPr>
              <w:t>年</w:t>
            </w:r>
            <w:r>
              <w:t>4</w:t>
            </w:r>
            <w:r>
              <w:rPr>
                <w:rFonts w:hint="eastAsia"/>
              </w:rPr>
              <w:t>月初，第</w:t>
            </w:r>
            <w:r>
              <w:t>1</w:t>
            </w:r>
            <w:r>
              <w:rPr>
                <w:rFonts w:hint="eastAsia"/>
              </w:rPr>
              <w:t>台机组计划投产时间为第</w:t>
            </w:r>
            <w:r>
              <w:t>5</w:t>
            </w:r>
            <w:r>
              <w:rPr>
                <w:rFonts w:hint="eastAsia"/>
              </w:rPr>
              <w:t>年</w:t>
            </w:r>
            <w:r>
              <w:t>12</w:t>
            </w:r>
            <w:r>
              <w:rPr>
                <w:rFonts w:hint="eastAsia"/>
              </w:rPr>
              <w:t>月底，以后每隔</w:t>
            </w:r>
            <w:r>
              <w:t>3</w:t>
            </w:r>
            <w:r>
              <w:rPr>
                <w:rFonts w:hint="eastAsia"/>
              </w:rPr>
              <w:t>个月投产一台机组，直至第</w:t>
            </w:r>
            <w:r>
              <w:t>6</w:t>
            </w:r>
            <w:r>
              <w:rPr>
                <w:rFonts w:hint="eastAsia"/>
              </w:rPr>
              <w:t>年</w:t>
            </w:r>
            <w:r>
              <w:t>9</w:t>
            </w:r>
            <w:r>
              <w:rPr>
                <w:rFonts w:hint="eastAsia"/>
              </w:rPr>
              <w:t>月底全部机组投产发电。为满足湖南省江华湾水源抽水蓄能电站建设期的用电要求，拟在下水库附近修建1座110kV基地源变电站和施工电源1</w:t>
            </w:r>
            <w:r>
              <w:t>10</w:t>
            </w:r>
            <w:r>
              <w:rPr>
                <w:rFonts w:hint="eastAsia"/>
              </w:rPr>
              <w:t>kV线路工程为施工提供电源，并在湖南省江华湾水源抽水蓄能电站工程建设完成后续运营中，保留作为永久备用电源。</w:t>
            </w:r>
          </w:p>
          <w:p w14:paraId="2EA888D0">
            <w:pPr>
              <w:pStyle w:val="3"/>
              <w:ind w:firstLine="480"/>
            </w:pPr>
            <w:r>
              <w:rPr>
                <w:rFonts w:hint="eastAsia"/>
              </w:rPr>
              <w:t>施工电源1</w:t>
            </w:r>
            <w:r>
              <w:t>10</w:t>
            </w:r>
            <w:r>
              <w:rPr>
                <w:rFonts w:hint="eastAsia"/>
              </w:rPr>
              <w:t>kV线路工程已于2</w:t>
            </w:r>
            <w:r>
              <w:t>024</w:t>
            </w:r>
            <w:r>
              <w:rPr>
                <w:rFonts w:hint="eastAsia"/>
              </w:rPr>
              <w:t>年1</w:t>
            </w:r>
            <w:r>
              <w:t>0</w:t>
            </w:r>
            <w:r>
              <w:rPr>
                <w:rFonts w:hint="eastAsia"/>
              </w:rPr>
              <w:t>月取得湖南省发展和改革委员会出具的核准批复（湘发改许﹝2</w:t>
            </w:r>
            <w:r>
              <w:t>024</w:t>
            </w:r>
            <w:r>
              <w:rPr>
                <w:rFonts w:hint="eastAsia"/>
              </w:rPr>
              <w:t>﹞6</w:t>
            </w:r>
            <w:r>
              <w:t>0</w:t>
            </w:r>
            <w:r>
              <w:rPr>
                <w:rFonts w:hint="eastAsia"/>
              </w:rPr>
              <w:t>号），核准路径长度为2</w:t>
            </w:r>
            <w:r>
              <w:t>0.845km</w:t>
            </w:r>
            <w:r>
              <w:rPr>
                <w:rFonts w:hint="eastAsia"/>
              </w:rPr>
              <w:t>。现该工程已进入初步设计阶段，初设对线路进行了进一步调整，调整后线路长度为2</w:t>
            </w:r>
            <w:r>
              <w:t>0.045km</w:t>
            </w:r>
            <w:r>
              <w:rPr>
                <w:rFonts w:hint="eastAsia"/>
              </w:rPr>
              <w:t>。本次环评以初步设计阶段确定的项目建设规模进行评价。</w:t>
            </w:r>
          </w:p>
          <w:p w14:paraId="0C154EF2">
            <w:pPr>
              <w:pStyle w:val="3"/>
              <w:ind w:firstLine="480"/>
            </w:pPr>
            <w:r>
              <w:rPr>
                <w:rFonts w:hint="eastAsia"/>
              </w:rPr>
              <w:t>110kV基地源变电站为湖南省江华湾水源抽水蓄能电站项目的一部分，已审批的《湖南省江华湾水源抽水蓄能电站项目环境影响报告书》已中对其施工期、营运期（非辐射部分）进行了环境影响评价，应建设单位要求，将110kV基地源变电站电磁辐射环境影响纳入本次评价范围。</w:t>
            </w:r>
          </w:p>
          <w:p w14:paraId="28825974">
            <w:pPr>
              <w:pStyle w:val="5"/>
            </w:pPr>
            <w:r>
              <w:rPr>
                <w:rFonts w:hint="eastAsia"/>
              </w:rPr>
              <w:t>工程</w:t>
            </w:r>
            <w:r>
              <w:t>概况</w:t>
            </w:r>
          </w:p>
          <w:p w14:paraId="79994F32">
            <w:pPr>
              <w:pStyle w:val="3"/>
              <w:ind w:firstLine="480"/>
            </w:pPr>
            <w:r>
              <w:t>a</w:t>
            </w:r>
            <w:r>
              <w:rPr>
                <w:rFonts w:hint="eastAsia"/>
              </w:rPr>
              <w:t>）施工电源1</w:t>
            </w:r>
            <w:r>
              <w:t>10</w:t>
            </w:r>
            <w:r>
              <w:rPr>
                <w:rFonts w:hint="eastAsia"/>
              </w:rPr>
              <w:t>kV线路工程</w:t>
            </w:r>
          </w:p>
          <w:p w14:paraId="09802BC0">
            <w:pPr>
              <w:pStyle w:val="3"/>
              <w:ind w:firstLine="480"/>
            </w:pPr>
            <w:r>
              <w:rPr>
                <w:rFonts w:hint="eastAsia"/>
              </w:rPr>
              <w:t>1）线路工程：线路起自待建的抽水蓄能110kV施工变电站，止于已建的贝江110kV变电站，路径长为20.</w:t>
            </w:r>
            <w:r>
              <w:t>0</w:t>
            </w:r>
            <w:r>
              <w:rPr>
                <w:rFonts w:hint="eastAsia"/>
              </w:rPr>
              <w:t>45km，其中架空段路径长为20k</w:t>
            </w:r>
            <w:r>
              <w:t>m</w:t>
            </w:r>
            <w:r>
              <w:rPr>
                <w:rFonts w:hint="eastAsia"/>
              </w:rPr>
              <w:t>，电缆段路径长为0.045k</w:t>
            </w:r>
            <w:r>
              <w:t>m</w:t>
            </w:r>
            <w:r>
              <w:rPr>
                <w:rFonts w:hint="eastAsia"/>
              </w:rPr>
              <w:t>，立塔约</w:t>
            </w:r>
            <w:r>
              <w:t>70</w:t>
            </w:r>
            <w:r>
              <w:rPr>
                <w:rFonts w:hint="eastAsia"/>
              </w:rPr>
              <w:t>基。</w:t>
            </w:r>
          </w:p>
          <w:p w14:paraId="151B1E86">
            <w:pPr>
              <w:pStyle w:val="3"/>
              <w:ind w:firstLine="480"/>
            </w:pPr>
            <w:r>
              <w:t>2</w:t>
            </w:r>
            <w:r>
              <w:rPr>
                <w:rFonts w:hint="eastAsia"/>
              </w:rPr>
              <w:t>）贝江变电站</w:t>
            </w:r>
            <w:r>
              <w:t>110kV</w:t>
            </w:r>
            <w:r>
              <w:rPr>
                <w:rFonts w:hint="eastAsia"/>
              </w:rPr>
              <w:t>间隔扩建工程：扩</w:t>
            </w:r>
            <w:r>
              <w:t>建</w:t>
            </w:r>
            <w:r>
              <w:rPr>
                <w:rFonts w:hint="eastAsia"/>
              </w:rPr>
              <w:t>贝江</w:t>
            </w:r>
            <w:r>
              <w:t>110kV</w:t>
            </w:r>
            <w:r>
              <w:rPr>
                <w:rFonts w:hint="eastAsia"/>
              </w:rPr>
              <w:t>变电</w:t>
            </w:r>
            <w:r>
              <w:t>站110kV</w:t>
            </w:r>
            <w:r>
              <w:rPr>
                <w:rFonts w:hint="eastAsia"/>
              </w:rPr>
              <w:t>出线间</w:t>
            </w:r>
            <w:r>
              <w:t>隔1</w:t>
            </w:r>
            <w:r>
              <w:rPr>
                <w:rFonts w:hint="eastAsia"/>
              </w:rPr>
              <w:t>个，本期扩</w:t>
            </w:r>
            <w:r>
              <w:t>建在站内</w:t>
            </w:r>
            <w:r>
              <w:rPr>
                <w:rFonts w:hint="eastAsia"/>
              </w:rPr>
              <w:t>预</w:t>
            </w:r>
            <w:r>
              <w:t>留</w:t>
            </w:r>
            <w:r>
              <w:rPr>
                <w:rFonts w:hint="eastAsia"/>
              </w:rPr>
              <w:t>场</w:t>
            </w:r>
            <w:r>
              <w:t>地建</w:t>
            </w:r>
            <w:r>
              <w:rPr>
                <w:rFonts w:hint="eastAsia"/>
              </w:rPr>
              <w:t>设</w:t>
            </w:r>
            <w:r>
              <w:t>，不新征地</w:t>
            </w:r>
            <w:r>
              <w:rPr>
                <w:rFonts w:hint="eastAsia"/>
              </w:rPr>
              <w:t>。</w:t>
            </w:r>
          </w:p>
          <w:p w14:paraId="07B8EA84">
            <w:pPr>
              <w:pStyle w:val="3"/>
              <w:ind w:firstLine="480"/>
            </w:pPr>
            <w:r>
              <w:t>3</w:t>
            </w:r>
            <w:r>
              <w:rPr>
                <w:rFonts w:hint="eastAsia"/>
              </w:rPr>
              <w:t>）配套通信工程：沿施工变</w:t>
            </w:r>
            <w:r>
              <w:t>-</w:t>
            </w:r>
            <w:r>
              <w:rPr>
                <w:rFonts w:hint="eastAsia"/>
              </w:rPr>
              <w:t>贝江</w:t>
            </w:r>
            <w:r>
              <w:t>110kV</w:t>
            </w:r>
            <w:r>
              <w:rPr>
                <w:rFonts w:hint="eastAsia"/>
              </w:rPr>
              <w:t>变的线路同路径架设</w:t>
            </w:r>
            <w:r>
              <w:t>/</w:t>
            </w:r>
            <w:r>
              <w:rPr>
                <w:rFonts w:hint="eastAsia"/>
              </w:rPr>
              <w:t>敷设</w:t>
            </w:r>
            <w:r>
              <w:t>1</w:t>
            </w:r>
            <w:r>
              <w:rPr>
                <w:rFonts w:hint="eastAsia"/>
              </w:rPr>
              <w:t>根</w:t>
            </w:r>
            <w:r>
              <w:t>24</w:t>
            </w:r>
            <w:r>
              <w:rPr>
                <w:rFonts w:hint="eastAsia"/>
              </w:rPr>
              <w:t>芯光缆，路径长为</w:t>
            </w:r>
            <w:r>
              <w:t>20.045</w:t>
            </w:r>
            <w:r>
              <w:rPr>
                <w:rFonts w:hint="eastAsia"/>
              </w:rPr>
              <w:t>k</w:t>
            </w:r>
            <w:r>
              <w:t>m</w:t>
            </w:r>
            <w:r>
              <w:rPr>
                <w:rFonts w:hint="eastAsia"/>
              </w:rPr>
              <w:t>。</w:t>
            </w:r>
          </w:p>
          <w:p w14:paraId="49C34E8E">
            <w:pPr>
              <w:pStyle w:val="3"/>
              <w:ind w:firstLine="480"/>
            </w:pPr>
            <w:r>
              <w:t>b</w:t>
            </w:r>
            <w:r>
              <w:rPr>
                <w:rFonts w:hint="eastAsia"/>
              </w:rPr>
              <w:t>）110kV基地源变电站工程</w:t>
            </w:r>
          </w:p>
          <w:p w14:paraId="7DB41AD7">
            <w:pPr>
              <w:pStyle w:val="3"/>
              <w:ind w:firstLine="480"/>
            </w:pPr>
            <w:r>
              <w:rPr>
                <w:rFonts w:hint="eastAsia"/>
              </w:rPr>
              <w:t>湖南省江华湾水源抽水蓄能电站基地源</w:t>
            </w:r>
            <w:r>
              <w:t>110kV</w:t>
            </w:r>
            <w:r>
              <w:rPr>
                <w:rFonts w:hint="eastAsia"/>
              </w:rPr>
              <w:t>变电站设1台主变压器，额定容量12.5MVA，采用1×</w:t>
            </w:r>
            <w:r>
              <w:t>12.5</w:t>
            </w:r>
            <w:r>
              <w:rPr>
                <w:rFonts w:hint="eastAsia"/>
              </w:rPr>
              <w:t>MVA三相双绕组有载调压自冷电力变压器。110kV出线规模本期1回（终期1回），10kV出线规模本期8回（终期</w:t>
            </w:r>
            <w:r>
              <w:t>8</w:t>
            </w:r>
            <w:r>
              <w:rPr>
                <w:rFonts w:hint="eastAsia"/>
              </w:rPr>
              <w:t>回），110kV配电装置采用户外GIS布置，最终通过1回110kV线路接至贝江110kV变电站。</w:t>
            </w:r>
          </w:p>
          <w:bookmarkEnd w:id="36"/>
          <w:bookmarkEnd w:id="37"/>
          <w:bookmarkEnd w:id="38"/>
          <w:bookmarkEnd w:id="39"/>
          <w:p w14:paraId="4D5E233A">
            <w:pPr>
              <w:pStyle w:val="3"/>
              <w:ind w:firstLine="480"/>
            </w:pPr>
            <w:r>
              <w:rPr>
                <w:rFonts w:hint="eastAsia"/>
              </w:rPr>
              <w:t>工程组成及规模见表2</w:t>
            </w:r>
            <w:r>
              <w:t>.2</w:t>
            </w:r>
            <w:r>
              <w:rPr>
                <w:rFonts w:hint="eastAsia"/>
              </w:rPr>
              <w:t>-1，主要经济技术指标见表2</w:t>
            </w:r>
            <w:r>
              <w:t>.2</w:t>
            </w:r>
            <w:r>
              <w:rPr>
                <w:rFonts w:hint="eastAsia"/>
              </w:rPr>
              <w:t>-2。</w:t>
            </w:r>
          </w:p>
          <w:p w14:paraId="2F7A55C4">
            <w:pPr>
              <w:pStyle w:val="148"/>
            </w:pPr>
            <w:r>
              <w:rPr>
                <w:rFonts w:hint="eastAsia"/>
              </w:rPr>
              <w:t>表2</w:t>
            </w:r>
            <w:r>
              <w:t>.2-1  本工程组成及规模</w:t>
            </w:r>
          </w:p>
          <w:tbl>
            <w:tblPr>
              <w:tblStyle w:val="40"/>
              <w:tblW w:w="8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830"/>
              <w:gridCol w:w="1074"/>
              <w:gridCol w:w="4122"/>
              <w:gridCol w:w="1377"/>
            </w:tblGrid>
            <w:tr w14:paraId="79C7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5" w:type="dxa"/>
                  <w:gridSpan w:val="3"/>
                  <w:vAlign w:val="center"/>
                </w:tcPr>
                <w:p w14:paraId="0339170D">
                  <w:pPr>
                    <w:pStyle w:val="159"/>
                  </w:pPr>
                  <w:r>
                    <w:t>项目名称</w:t>
                  </w:r>
                </w:p>
              </w:tc>
              <w:tc>
                <w:tcPr>
                  <w:tcW w:w="4122" w:type="dxa"/>
                  <w:vAlign w:val="center"/>
                </w:tcPr>
                <w:p w14:paraId="4035EED7">
                  <w:pPr>
                    <w:pStyle w:val="159"/>
                  </w:pPr>
                  <w:r>
                    <w:t>规模</w:t>
                  </w:r>
                </w:p>
              </w:tc>
              <w:tc>
                <w:tcPr>
                  <w:tcW w:w="1377" w:type="dxa"/>
                  <w:vAlign w:val="center"/>
                </w:tcPr>
                <w:p w14:paraId="701892E2">
                  <w:pPr>
                    <w:pStyle w:val="159"/>
                  </w:pPr>
                  <w:r>
                    <w:rPr>
                      <w:rFonts w:hint="eastAsia"/>
                    </w:rPr>
                    <w:t>备注</w:t>
                  </w:r>
                </w:p>
              </w:tc>
            </w:tr>
            <w:tr w14:paraId="2F2A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5" w:type="dxa"/>
                  <w:gridSpan w:val="3"/>
                  <w:vAlign w:val="center"/>
                </w:tcPr>
                <w:p w14:paraId="049DD04B">
                  <w:pPr>
                    <w:pStyle w:val="159"/>
                  </w:pPr>
                  <w:r>
                    <w:rPr>
                      <w:rFonts w:hint="eastAsia"/>
                    </w:rPr>
                    <w:t>110kV基地源变电站</w:t>
                  </w:r>
                </w:p>
              </w:tc>
              <w:tc>
                <w:tcPr>
                  <w:tcW w:w="4122" w:type="dxa"/>
                  <w:vAlign w:val="center"/>
                </w:tcPr>
                <w:p w14:paraId="354C8D50">
                  <w:pPr>
                    <w:pStyle w:val="159"/>
                  </w:pPr>
                  <w:r>
                    <w:rPr>
                      <w:rFonts w:hint="eastAsia"/>
                    </w:rPr>
                    <w:t>设1台主变压器，额定容量12.5MVA，额定电压变比为110kV±8×1.25%/10.5kV，110kV进线1回，10kV出线共</w:t>
                  </w:r>
                  <w:r>
                    <w:t>8</w:t>
                  </w:r>
                  <w:r>
                    <w:rPr>
                      <w:rFonts w:hint="eastAsia"/>
                    </w:rPr>
                    <w:t>回。</w:t>
                  </w:r>
                </w:p>
              </w:tc>
              <w:tc>
                <w:tcPr>
                  <w:tcW w:w="1377" w:type="dxa"/>
                  <w:vAlign w:val="center"/>
                </w:tcPr>
                <w:p w14:paraId="54D5F527">
                  <w:pPr>
                    <w:pStyle w:val="159"/>
                  </w:pPr>
                  <w:bookmarkStart w:id="40" w:name="OLE_LINK1"/>
                  <w:r>
                    <w:rPr>
                      <w:rFonts w:hint="eastAsia"/>
                    </w:rPr>
                    <w:t>非电磁影响已随江华湾水源抽水蓄能电站主体工程办理了环评手续，本次仅评价其电磁环境影响</w:t>
                  </w:r>
                  <w:bookmarkEnd w:id="40"/>
                </w:p>
              </w:tc>
            </w:tr>
            <w:tr w14:paraId="14B9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vAlign w:val="center"/>
                </w:tcPr>
                <w:p w14:paraId="40ECBA53">
                  <w:pPr>
                    <w:pStyle w:val="159"/>
                  </w:pPr>
                  <w:r>
                    <w:rPr>
                      <w:rFonts w:hint="eastAsia"/>
                    </w:rPr>
                    <w:t>施工电</w:t>
                  </w:r>
                </w:p>
                <w:p w14:paraId="54B4D34C">
                  <w:pPr>
                    <w:pStyle w:val="159"/>
                  </w:pPr>
                  <w:r>
                    <w:rPr>
                      <w:rFonts w:hint="eastAsia"/>
                    </w:rPr>
                    <w:t>源</w:t>
                  </w:r>
                </w:p>
                <w:p w14:paraId="381AFFF3">
                  <w:pPr>
                    <w:pStyle w:val="159"/>
                  </w:pPr>
                  <w:r>
                    <w:rPr>
                      <w:rFonts w:hint="eastAsia"/>
                    </w:rPr>
                    <w:t>1</w:t>
                  </w:r>
                  <w:r>
                    <w:t>10kV</w:t>
                  </w:r>
                </w:p>
                <w:p w14:paraId="7ED9D1FC">
                  <w:pPr>
                    <w:pStyle w:val="159"/>
                  </w:pPr>
                  <w:r>
                    <w:rPr>
                      <w:rFonts w:hint="eastAsia"/>
                    </w:rPr>
                    <w:t>线路工</w:t>
                  </w:r>
                </w:p>
                <w:p w14:paraId="13CBE948">
                  <w:pPr>
                    <w:pStyle w:val="159"/>
                  </w:pPr>
                  <w:r>
                    <w:rPr>
                      <w:rFonts w:hint="eastAsia"/>
                    </w:rPr>
                    <w:t>程</w:t>
                  </w:r>
                </w:p>
              </w:tc>
              <w:tc>
                <w:tcPr>
                  <w:tcW w:w="830" w:type="dxa"/>
                  <w:vMerge w:val="restart"/>
                  <w:vAlign w:val="center"/>
                </w:tcPr>
                <w:p w14:paraId="730A56F0">
                  <w:pPr>
                    <w:pStyle w:val="159"/>
                  </w:pPr>
                  <w:r>
                    <w:rPr>
                      <w:rFonts w:hint="eastAsia"/>
                    </w:rPr>
                    <w:t>线路工程</w:t>
                  </w:r>
                </w:p>
              </w:tc>
              <w:tc>
                <w:tcPr>
                  <w:tcW w:w="1074" w:type="dxa"/>
                  <w:vAlign w:val="center"/>
                </w:tcPr>
                <w:p w14:paraId="10C12ABA">
                  <w:pPr>
                    <w:pStyle w:val="159"/>
                  </w:pPr>
                  <w:r>
                    <w:t>电压等级</w:t>
                  </w:r>
                </w:p>
              </w:tc>
              <w:tc>
                <w:tcPr>
                  <w:tcW w:w="4122" w:type="dxa"/>
                  <w:vAlign w:val="center"/>
                </w:tcPr>
                <w:p w14:paraId="5D90E48E">
                  <w:pPr>
                    <w:pStyle w:val="159"/>
                  </w:pPr>
                  <w:r>
                    <w:rPr>
                      <w:rFonts w:hint="eastAsia"/>
                    </w:rPr>
                    <w:t>1</w:t>
                  </w:r>
                  <w:r>
                    <w:t>10kV</w:t>
                  </w:r>
                </w:p>
              </w:tc>
              <w:tc>
                <w:tcPr>
                  <w:tcW w:w="1377" w:type="dxa"/>
                  <w:vAlign w:val="center"/>
                </w:tcPr>
                <w:p w14:paraId="1A9D0443">
                  <w:pPr>
                    <w:pStyle w:val="159"/>
                  </w:pPr>
                </w:p>
              </w:tc>
            </w:tr>
            <w:tr w14:paraId="5C40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vAlign w:val="center"/>
                </w:tcPr>
                <w:p w14:paraId="240B9ECF">
                  <w:pPr>
                    <w:pStyle w:val="159"/>
                  </w:pPr>
                </w:p>
              </w:tc>
              <w:tc>
                <w:tcPr>
                  <w:tcW w:w="830" w:type="dxa"/>
                  <w:vMerge w:val="continue"/>
                  <w:vAlign w:val="center"/>
                </w:tcPr>
                <w:p w14:paraId="5409EEA6">
                  <w:pPr>
                    <w:pStyle w:val="159"/>
                  </w:pPr>
                </w:p>
              </w:tc>
              <w:tc>
                <w:tcPr>
                  <w:tcW w:w="1074" w:type="dxa"/>
                  <w:vAlign w:val="center"/>
                </w:tcPr>
                <w:p w14:paraId="6CD836E0">
                  <w:pPr>
                    <w:pStyle w:val="159"/>
                  </w:pPr>
                  <w:r>
                    <w:t>线路路径长度</w:t>
                  </w:r>
                </w:p>
              </w:tc>
              <w:tc>
                <w:tcPr>
                  <w:tcW w:w="4122" w:type="dxa"/>
                  <w:vAlign w:val="center"/>
                </w:tcPr>
                <w:p w14:paraId="3DBE1ABF">
                  <w:pPr>
                    <w:pStyle w:val="159"/>
                  </w:pPr>
                  <w:r>
                    <w:t>20.045</w:t>
                  </w:r>
                  <w:r>
                    <w:rPr>
                      <w:rFonts w:hint="eastAsia"/>
                    </w:rPr>
                    <w:t>km，其中架空段路径长2</w:t>
                  </w:r>
                  <w:r>
                    <w:t>0km</w:t>
                  </w:r>
                  <w:r>
                    <w:rPr>
                      <w:rFonts w:hint="eastAsia"/>
                    </w:rPr>
                    <w:t>，电缆段路径长0</w:t>
                  </w:r>
                  <w:r>
                    <w:t>.045km</w:t>
                  </w:r>
                </w:p>
              </w:tc>
              <w:tc>
                <w:tcPr>
                  <w:tcW w:w="1377" w:type="dxa"/>
                  <w:vAlign w:val="center"/>
                </w:tcPr>
                <w:p w14:paraId="4114F677">
                  <w:pPr>
                    <w:pStyle w:val="159"/>
                  </w:pPr>
                </w:p>
              </w:tc>
            </w:tr>
            <w:tr w14:paraId="114A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vAlign w:val="center"/>
                </w:tcPr>
                <w:p w14:paraId="20731B04">
                  <w:pPr>
                    <w:pStyle w:val="159"/>
                  </w:pPr>
                </w:p>
              </w:tc>
              <w:tc>
                <w:tcPr>
                  <w:tcW w:w="830" w:type="dxa"/>
                  <w:vMerge w:val="continue"/>
                  <w:vAlign w:val="center"/>
                </w:tcPr>
                <w:p w14:paraId="3C326613">
                  <w:pPr>
                    <w:pStyle w:val="159"/>
                  </w:pPr>
                </w:p>
              </w:tc>
              <w:tc>
                <w:tcPr>
                  <w:tcW w:w="1074" w:type="dxa"/>
                  <w:vAlign w:val="center"/>
                </w:tcPr>
                <w:p w14:paraId="7AE02225">
                  <w:pPr>
                    <w:pStyle w:val="159"/>
                  </w:pPr>
                  <w:r>
                    <w:t>架设方式</w:t>
                  </w:r>
                </w:p>
              </w:tc>
              <w:tc>
                <w:tcPr>
                  <w:tcW w:w="4122" w:type="dxa"/>
                  <w:vAlign w:val="center"/>
                </w:tcPr>
                <w:p w14:paraId="038AE067">
                  <w:pPr>
                    <w:pStyle w:val="159"/>
                  </w:pPr>
                  <w:r>
                    <w:rPr>
                      <w:rFonts w:hint="eastAsia"/>
                    </w:rPr>
                    <w:t>架空+地埋</w:t>
                  </w:r>
                </w:p>
              </w:tc>
              <w:tc>
                <w:tcPr>
                  <w:tcW w:w="1377" w:type="dxa"/>
                  <w:vAlign w:val="center"/>
                </w:tcPr>
                <w:p w14:paraId="01CF85BF">
                  <w:pPr>
                    <w:pStyle w:val="159"/>
                  </w:pPr>
                </w:p>
              </w:tc>
            </w:tr>
            <w:tr w14:paraId="435C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vAlign w:val="center"/>
                </w:tcPr>
                <w:p w14:paraId="75B41B85">
                  <w:pPr>
                    <w:pStyle w:val="159"/>
                  </w:pPr>
                </w:p>
              </w:tc>
              <w:tc>
                <w:tcPr>
                  <w:tcW w:w="830" w:type="dxa"/>
                  <w:vMerge w:val="continue"/>
                  <w:vAlign w:val="center"/>
                </w:tcPr>
                <w:p w14:paraId="4A8C27D5">
                  <w:pPr>
                    <w:pStyle w:val="159"/>
                  </w:pPr>
                </w:p>
              </w:tc>
              <w:tc>
                <w:tcPr>
                  <w:tcW w:w="1074" w:type="dxa"/>
                  <w:vAlign w:val="center"/>
                </w:tcPr>
                <w:p w14:paraId="1990B0C9">
                  <w:pPr>
                    <w:pStyle w:val="159"/>
                  </w:pPr>
                  <w:r>
                    <w:rPr>
                      <w:rFonts w:hint="eastAsia"/>
                    </w:rPr>
                    <w:t>新建杆塔数量</w:t>
                  </w:r>
                </w:p>
                <w:p w14:paraId="5EDABF0C">
                  <w:pPr>
                    <w:pStyle w:val="159"/>
                  </w:pPr>
                  <w:r>
                    <w:rPr>
                      <w:rFonts w:hint="eastAsia"/>
                    </w:rPr>
                    <w:t>（基）</w:t>
                  </w:r>
                </w:p>
              </w:tc>
              <w:tc>
                <w:tcPr>
                  <w:tcW w:w="4122" w:type="dxa"/>
                  <w:vAlign w:val="center"/>
                </w:tcPr>
                <w:p w14:paraId="08E019C3">
                  <w:pPr>
                    <w:pStyle w:val="159"/>
                  </w:pPr>
                  <w:r>
                    <w:t>70</w:t>
                  </w:r>
                </w:p>
              </w:tc>
              <w:tc>
                <w:tcPr>
                  <w:tcW w:w="1377" w:type="dxa"/>
                  <w:vAlign w:val="center"/>
                </w:tcPr>
                <w:p w14:paraId="1848FE9F">
                  <w:pPr>
                    <w:pStyle w:val="159"/>
                  </w:pPr>
                </w:p>
              </w:tc>
            </w:tr>
            <w:tr w14:paraId="482F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vAlign w:val="center"/>
                </w:tcPr>
                <w:p w14:paraId="5BA77E68">
                  <w:pPr>
                    <w:pStyle w:val="159"/>
                  </w:pPr>
                </w:p>
              </w:tc>
              <w:tc>
                <w:tcPr>
                  <w:tcW w:w="830" w:type="dxa"/>
                  <w:vMerge w:val="continue"/>
                  <w:vAlign w:val="center"/>
                </w:tcPr>
                <w:p w14:paraId="69D83D77">
                  <w:pPr>
                    <w:pStyle w:val="159"/>
                  </w:pPr>
                </w:p>
              </w:tc>
              <w:tc>
                <w:tcPr>
                  <w:tcW w:w="1074" w:type="dxa"/>
                  <w:vAlign w:val="center"/>
                </w:tcPr>
                <w:p w14:paraId="43A942E2">
                  <w:pPr>
                    <w:pStyle w:val="159"/>
                  </w:pPr>
                  <w:r>
                    <w:rPr>
                      <w:rFonts w:hint="eastAsia"/>
                    </w:rPr>
                    <w:t>杆塔数量</w:t>
                  </w:r>
                </w:p>
              </w:tc>
              <w:tc>
                <w:tcPr>
                  <w:tcW w:w="4122" w:type="dxa"/>
                  <w:vAlign w:val="center"/>
                </w:tcPr>
                <w:p w14:paraId="4F77AF8B">
                  <w:pPr>
                    <w:pStyle w:val="159"/>
                  </w:pPr>
                  <w:r>
                    <w:rPr>
                      <w:rFonts w:hint="eastAsia"/>
                    </w:rPr>
                    <w:t>本工程使用杆塔型号11种，共计杆塔70基。</w:t>
                  </w:r>
                </w:p>
              </w:tc>
              <w:tc>
                <w:tcPr>
                  <w:tcW w:w="1377" w:type="dxa"/>
                  <w:vAlign w:val="center"/>
                </w:tcPr>
                <w:p w14:paraId="3D96405D">
                  <w:pPr>
                    <w:pStyle w:val="159"/>
                  </w:pPr>
                </w:p>
              </w:tc>
            </w:tr>
            <w:tr w14:paraId="6C7B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vAlign w:val="center"/>
                </w:tcPr>
                <w:p w14:paraId="72A0F6D1">
                  <w:pPr>
                    <w:pStyle w:val="159"/>
                  </w:pPr>
                </w:p>
              </w:tc>
              <w:tc>
                <w:tcPr>
                  <w:tcW w:w="830" w:type="dxa"/>
                  <w:vMerge w:val="continue"/>
                  <w:vAlign w:val="center"/>
                </w:tcPr>
                <w:p w14:paraId="06A51E04">
                  <w:pPr>
                    <w:pStyle w:val="159"/>
                  </w:pPr>
                </w:p>
              </w:tc>
              <w:tc>
                <w:tcPr>
                  <w:tcW w:w="1074" w:type="dxa"/>
                  <w:vAlign w:val="center"/>
                </w:tcPr>
                <w:p w14:paraId="24299FA5">
                  <w:pPr>
                    <w:pStyle w:val="159"/>
                    <w:rPr>
                      <w:rFonts w:ascii="CIDFont+F3" w:cs="CIDFont+F3"/>
                    </w:rPr>
                  </w:pPr>
                  <w:r>
                    <w:rPr>
                      <w:rFonts w:hint="eastAsia"/>
                    </w:rPr>
                    <w:t>基础</w:t>
                  </w:r>
                  <w:r>
                    <w:t>型式</w:t>
                  </w:r>
                </w:p>
              </w:tc>
              <w:tc>
                <w:tcPr>
                  <w:tcW w:w="4122" w:type="dxa"/>
                  <w:vAlign w:val="center"/>
                </w:tcPr>
                <w:p w14:paraId="6BDE502F">
                  <w:pPr>
                    <w:pStyle w:val="159"/>
                  </w:pPr>
                  <w:r>
                    <w:rPr>
                      <w:rFonts w:hint="eastAsia"/>
                    </w:rPr>
                    <w:t>掏挖基础和挖孔桩基础</w:t>
                  </w:r>
                </w:p>
              </w:tc>
              <w:tc>
                <w:tcPr>
                  <w:tcW w:w="1377" w:type="dxa"/>
                  <w:vAlign w:val="center"/>
                </w:tcPr>
                <w:p w14:paraId="4AB713B5">
                  <w:pPr>
                    <w:pStyle w:val="159"/>
                  </w:pPr>
                </w:p>
              </w:tc>
            </w:tr>
            <w:tr w14:paraId="651C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vAlign w:val="center"/>
                </w:tcPr>
                <w:p w14:paraId="69F35B67">
                  <w:pPr>
                    <w:pStyle w:val="159"/>
                  </w:pPr>
                </w:p>
              </w:tc>
              <w:tc>
                <w:tcPr>
                  <w:tcW w:w="830" w:type="dxa"/>
                  <w:vMerge w:val="continue"/>
                  <w:vAlign w:val="center"/>
                </w:tcPr>
                <w:p w14:paraId="71438A13">
                  <w:pPr>
                    <w:pStyle w:val="159"/>
                  </w:pPr>
                </w:p>
              </w:tc>
              <w:tc>
                <w:tcPr>
                  <w:tcW w:w="1074" w:type="dxa"/>
                  <w:vAlign w:val="center"/>
                </w:tcPr>
                <w:p w14:paraId="38066B70">
                  <w:pPr>
                    <w:pStyle w:val="159"/>
                    <w:rPr>
                      <w:rFonts w:ascii="CIDFont+F3" w:eastAsia="CIDFont+F3" w:cs="CIDFont+F3"/>
                      <w:szCs w:val="21"/>
                    </w:rPr>
                  </w:pPr>
                  <w:r>
                    <w:rPr>
                      <w:rFonts w:hint="eastAsia"/>
                    </w:rPr>
                    <w:t>导线</w:t>
                  </w:r>
                  <w:r>
                    <w:t>型号</w:t>
                  </w:r>
                </w:p>
              </w:tc>
              <w:tc>
                <w:tcPr>
                  <w:tcW w:w="4122" w:type="dxa"/>
                  <w:vAlign w:val="center"/>
                </w:tcPr>
                <w:p w14:paraId="69548C8A">
                  <w:pPr>
                    <w:pStyle w:val="159"/>
                  </w:pPr>
                  <w:r>
                    <w:t>15mm</w:t>
                  </w:r>
                  <w:r>
                    <w:rPr>
                      <w:rFonts w:hint="eastAsia"/>
                    </w:rPr>
                    <w:t>冰区段：</w:t>
                  </w:r>
                  <w:r>
                    <w:t xml:space="preserve">JL3/G1A-300/40 </w:t>
                  </w:r>
                  <w:r>
                    <w:rPr>
                      <w:rFonts w:hint="eastAsia"/>
                    </w:rPr>
                    <w:t>型</w:t>
                  </w:r>
                </w:p>
                <w:p w14:paraId="6BA076B4">
                  <w:pPr>
                    <w:pStyle w:val="159"/>
                  </w:pPr>
                  <w:r>
                    <w:rPr>
                      <w:rFonts w:hint="eastAsia"/>
                    </w:rPr>
                    <w:t>20mm 冰区段：JLHA1/G1A-300/50 型</w:t>
                  </w:r>
                </w:p>
              </w:tc>
              <w:tc>
                <w:tcPr>
                  <w:tcW w:w="1377" w:type="dxa"/>
                  <w:vAlign w:val="center"/>
                </w:tcPr>
                <w:p w14:paraId="05F6B8CD">
                  <w:pPr>
                    <w:pStyle w:val="159"/>
                  </w:pPr>
                </w:p>
              </w:tc>
            </w:tr>
            <w:tr w14:paraId="258D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vAlign w:val="center"/>
                </w:tcPr>
                <w:p w14:paraId="092B0A29">
                  <w:pPr>
                    <w:pStyle w:val="159"/>
                  </w:pPr>
                </w:p>
              </w:tc>
              <w:tc>
                <w:tcPr>
                  <w:tcW w:w="1904" w:type="dxa"/>
                  <w:gridSpan w:val="2"/>
                  <w:vAlign w:val="center"/>
                </w:tcPr>
                <w:p w14:paraId="00E6A412">
                  <w:pPr>
                    <w:pStyle w:val="159"/>
                  </w:pPr>
                  <w:r>
                    <w:rPr>
                      <w:rFonts w:hint="eastAsia"/>
                    </w:rPr>
                    <w:t>贝江变电站</w:t>
                  </w:r>
                  <w:r>
                    <w:t>110kV</w:t>
                  </w:r>
                  <w:r>
                    <w:rPr>
                      <w:rFonts w:hint="eastAsia"/>
                    </w:rPr>
                    <w:t>间隔扩建工程</w:t>
                  </w:r>
                </w:p>
              </w:tc>
              <w:tc>
                <w:tcPr>
                  <w:tcW w:w="4122" w:type="dxa"/>
                  <w:vAlign w:val="center"/>
                </w:tcPr>
                <w:p w14:paraId="0E57C22E">
                  <w:pPr>
                    <w:pStyle w:val="159"/>
                  </w:pPr>
                  <w:r>
                    <w:rPr>
                      <w:rFonts w:hint="eastAsia"/>
                    </w:rPr>
                    <w:t>本期至湖南省江华湾水源抽水蓄能电站施工电源的出线间隔布置在前期512（5U）出线间隔的空余场地，配电装置参数与原有110kV出线间隔一致，采用户外AIS设备，电缆转架空出线。</w:t>
                  </w:r>
                </w:p>
              </w:tc>
              <w:tc>
                <w:tcPr>
                  <w:tcW w:w="1377" w:type="dxa"/>
                  <w:vAlign w:val="center"/>
                </w:tcPr>
                <w:p w14:paraId="57C1169B">
                  <w:pPr>
                    <w:pStyle w:val="159"/>
                  </w:pPr>
                </w:p>
              </w:tc>
            </w:tr>
            <w:tr w14:paraId="20A6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vAlign w:val="center"/>
                </w:tcPr>
                <w:p w14:paraId="32E3AC1D">
                  <w:pPr>
                    <w:pStyle w:val="159"/>
                  </w:pPr>
                </w:p>
              </w:tc>
              <w:tc>
                <w:tcPr>
                  <w:tcW w:w="1904" w:type="dxa"/>
                  <w:gridSpan w:val="2"/>
                  <w:vAlign w:val="center"/>
                </w:tcPr>
                <w:p w14:paraId="60193ED9">
                  <w:pPr>
                    <w:pStyle w:val="159"/>
                  </w:pPr>
                  <w:r>
                    <w:rPr>
                      <w:rFonts w:hint="eastAsia"/>
                    </w:rPr>
                    <w:t>通信工程</w:t>
                  </w:r>
                </w:p>
              </w:tc>
              <w:tc>
                <w:tcPr>
                  <w:tcW w:w="4122" w:type="dxa"/>
                  <w:vAlign w:val="center"/>
                </w:tcPr>
                <w:p w14:paraId="634E9280">
                  <w:pPr>
                    <w:pStyle w:val="159"/>
                  </w:pPr>
                  <w:r>
                    <w:rPr>
                      <w:rFonts w:hint="eastAsia"/>
                    </w:rPr>
                    <w:t>沿施工变</w:t>
                  </w:r>
                  <w:r>
                    <w:t>-</w:t>
                  </w:r>
                  <w:r>
                    <w:rPr>
                      <w:rFonts w:hint="eastAsia"/>
                    </w:rPr>
                    <w:t>贝江</w:t>
                  </w:r>
                  <w:r>
                    <w:t>110kV</w:t>
                  </w:r>
                  <w:r>
                    <w:rPr>
                      <w:rFonts w:hint="eastAsia"/>
                    </w:rPr>
                    <w:t>变的线路同路径架设</w:t>
                  </w:r>
                  <w:r>
                    <w:t>/</w:t>
                  </w:r>
                  <w:r>
                    <w:rPr>
                      <w:rFonts w:hint="eastAsia"/>
                    </w:rPr>
                    <w:t>敷设</w:t>
                  </w:r>
                  <w:r>
                    <w:t>1</w:t>
                  </w:r>
                  <w:r>
                    <w:rPr>
                      <w:rFonts w:hint="eastAsia"/>
                    </w:rPr>
                    <w:t>根</w:t>
                  </w:r>
                  <w:r>
                    <w:t>24</w:t>
                  </w:r>
                  <w:r>
                    <w:rPr>
                      <w:rFonts w:hint="eastAsia"/>
                    </w:rPr>
                    <w:t>芯光缆，路径长为</w:t>
                  </w:r>
                  <w:r>
                    <w:t>20.045</w:t>
                  </w:r>
                  <w:r>
                    <w:rPr>
                      <w:rFonts w:hint="eastAsia"/>
                    </w:rPr>
                    <w:t>k</w:t>
                  </w:r>
                  <w:r>
                    <w:t>m</w:t>
                  </w:r>
                  <w:r>
                    <w:rPr>
                      <w:rFonts w:hint="eastAsia"/>
                    </w:rPr>
                    <w:t>，其中架空段采用</w:t>
                  </w:r>
                  <w:r>
                    <w:t>1</w:t>
                  </w:r>
                  <w:r>
                    <w:rPr>
                      <w:rFonts w:hint="eastAsia"/>
                    </w:rPr>
                    <w:t>根</w:t>
                  </w:r>
                  <w:r>
                    <w:t>24</w:t>
                  </w:r>
                  <w:r>
                    <w:rPr>
                      <w:rFonts w:hint="eastAsia"/>
                    </w:rPr>
                    <w:t>芯</w:t>
                  </w:r>
                  <w:r>
                    <w:t>OPGW</w:t>
                  </w:r>
                  <w:r>
                    <w:rPr>
                      <w:rFonts w:hint="eastAsia"/>
                    </w:rPr>
                    <w:t>光缆，路径长为</w:t>
                  </w:r>
                  <w:r>
                    <w:t>20km</w:t>
                  </w:r>
                  <w:r>
                    <w:rPr>
                      <w:rFonts w:hint="eastAsia"/>
                    </w:rPr>
                    <w:t>；在贝江</w:t>
                  </w:r>
                  <w:r>
                    <w:t>110kV</w:t>
                  </w:r>
                  <w:r>
                    <w:rPr>
                      <w:rFonts w:hint="eastAsia"/>
                    </w:rPr>
                    <w:t>变侧采用电缆进站，采用普通非金属阻燃光缆，路径长为</w:t>
                  </w:r>
                  <w:r>
                    <w:t>0.045</w:t>
                  </w:r>
                  <w:r>
                    <w:rPr>
                      <w:rFonts w:hint="eastAsia"/>
                    </w:rPr>
                    <w:t>k</w:t>
                  </w:r>
                  <w:r>
                    <w:t>m</w:t>
                  </w:r>
                  <w:r>
                    <w:rPr>
                      <w:rFonts w:hint="eastAsia"/>
                    </w:rPr>
                    <w:t>；施工变侧的进站光缆已在施工变本体建设工程中考虑。</w:t>
                  </w:r>
                </w:p>
              </w:tc>
              <w:tc>
                <w:tcPr>
                  <w:tcW w:w="1377" w:type="dxa"/>
                  <w:vAlign w:val="center"/>
                </w:tcPr>
                <w:p w14:paraId="58571AA8">
                  <w:pPr>
                    <w:pStyle w:val="159"/>
                  </w:pPr>
                </w:p>
              </w:tc>
            </w:tr>
            <w:tr w14:paraId="7FE6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5" w:type="dxa"/>
                  <w:gridSpan w:val="3"/>
                  <w:vAlign w:val="center"/>
                </w:tcPr>
                <w:p w14:paraId="735B2735">
                  <w:pPr>
                    <w:pStyle w:val="159"/>
                  </w:pPr>
                  <w:r>
                    <w:rPr>
                      <w:rFonts w:hint="eastAsia"/>
                    </w:rPr>
                    <w:t>环保工程</w:t>
                  </w:r>
                </w:p>
              </w:tc>
              <w:tc>
                <w:tcPr>
                  <w:tcW w:w="4122" w:type="dxa"/>
                  <w:vAlign w:val="center"/>
                </w:tcPr>
                <w:p w14:paraId="32BF56AE">
                  <w:pPr>
                    <w:pStyle w:val="159"/>
                  </w:pPr>
                  <w:r>
                    <w:rPr>
                      <w:rFonts w:hint="eastAsia"/>
                    </w:rPr>
                    <w:t>减少施工临时占地，避免对植被的破坏；对临时占地及时采取植树种草、合理绿化，对永久性占地进行生态补偿。</w:t>
                  </w:r>
                </w:p>
              </w:tc>
              <w:tc>
                <w:tcPr>
                  <w:tcW w:w="1377" w:type="dxa"/>
                  <w:vAlign w:val="center"/>
                </w:tcPr>
                <w:p w14:paraId="716D0F06">
                  <w:pPr>
                    <w:pStyle w:val="159"/>
                  </w:pPr>
                </w:p>
              </w:tc>
            </w:tr>
          </w:tbl>
          <w:p w14:paraId="7489CBA3">
            <w:pPr>
              <w:pStyle w:val="3"/>
              <w:spacing w:line="240" w:lineRule="auto"/>
              <w:ind w:firstLine="480"/>
            </w:pPr>
          </w:p>
          <w:p w14:paraId="42283FF9">
            <w:pPr>
              <w:pStyle w:val="6"/>
            </w:pPr>
            <w:r>
              <w:rPr>
                <w:rFonts w:hint="eastAsia"/>
              </w:rPr>
              <w:t>110kV基地源变电站</w:t>
            </w:r>
          </w:p>
          <w:p w14:paraId="1D2B0F19">
            <w:pPr>
              <w:pStyle w:val="3"/>
              <w:ind w:firstLine="480"/>
            </w:pPr>
            <w:r>
              <w:rPr>
                <w:rFonts w:hint="eastAsia"/>
              </w:rPr>
              <w:t>110kV基地源变电站设计规模见表2</w:t>
            </w:r>
            <w:r>
              <w:t>.2-2</w:t>
            </w:r>
            <w:r>
              <w:rPr>
                <w:rFonts w:hint="eastAsia"/>
              </w:rPr>
              <w:t>所示。</w:t>
            </w:r>
          </w:p>
          <w:p w14:paraId="17EEEB2E">
            <w:pPr>
              <w:pStyle w:val="148"/>
            </w:pPr>
            <w:r>
              <w:rPr>
                <w:rFonts w:hint="eastAsia"/>
              </w:rPr>
              <w:t>表</w:t>
            </w:r>
            <w:r>
              <w:t xml:space="preserve">2.2-2   </w:t>
            </w:r>
            <w:r>
              <w:rPr>
                <w:rFonts w:hint="eastAsia"/>
              </w:rPr>
              <w:t>110kV基地源变电站设计规模</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7"/>
              <w:gridCol w:w="2869"/>
              <w:gridCol w:w="2869"/>
            </w:tblGrid>
            <w:tr w14:paraId="1B39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43C106EC">
                  <w:pPr>
                    <w:pStyle w:val="159"/>
                  </w:pPr>
                  <w:r>
                    <w:rPr>
                      <w:rFonts w:hint="eastAsia"/>
                    </w:rPr>
                    <w:t>设备名称</w:t>
                  </w:r>
                </w:p>
              </w:tc>
              <w:tc>
                <w:tcPr>
                  <w:tcW w:w="1667" w:type="pct"/>
                  <w:vAlign w:val="center"/>
                </w:tcPr>
                <w:p w14:paraId="5F3362F3">
                  <w:pPr>
                    <w:pStyle w:val="159"/>
                  </w:pPr>
                  <w:r>
                    <w:rPr>
                      <w:rFonts w:hint="eastAsia"/>
                    </w:rPr>
                    <w:t>终期规模</w:t>
                  </w:r>
                </w:p>
              </w:tc>
              <w:tc>
                <w:tcPr>
                  <w:tcW w:w="1667" w:type="pct"/>
                  <w:vAlign w:val="center"/>
                </w:tcPr>
                <w:p w14:paraId="5167EE9A">
                  <w:pPr>
                    <w:pStyle w:val="159"/>
                  </w:pPr>
                  <w:r>
                    <w:rPr>
                      <w:rFonts w:hint="eastAsia"/>
                    </w:rPr>
                    <w:t>本期规模</w:t>
                  </w:r>
                </w:p>
              </w:tc>
            </w:tr>
            <w:tr w14:paraId="4FE8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02431861">
                  <w:pPr>
                    <w:pStyle w:val="159"/>
                  </w:pPr>
                  <w:r>
                    <w:rPr>
                      <w:rFonts w:hint="eastAsia"/>
                    </w:rPr>
                    <w:t>主变压器</w:t>
                  </w:r>
                </w:p>
              </w:tc>
              <w:tc>
                <w:tcPr>
                  <w:tcW w:w="1667" w:type="pct"/>
                  <w:vAlign w:val="center"/>
                </w:tcPr>
                <w:p w14:paraId="630AEECB">
                  <w:pPr>
                    <w:pStyle w:val="159"/>
                  </w:pPr>
                  <w:r>
                    <w:t>1</w:t>
                  </w:r>
                  <w:r>
                    <w:rPr>
                      <w:rFonts w:hint="eastAsia"/>
                    </w:rPr>
                    <w:t>×</w:t>
                  </w:r>
                  <w:r>
                    <w:t>12.5MVA</w:t>
                  </w:r>
                </w:p>
              </w:tc>
              <w:tc>
                <w:tcPr>
                  <w:tcW w:w="1667" w:type="pct"/>
                  <w:vAlign w:val="center"/>
                </w:tcPr>
                <w:p w14:paraId="3577CC5F">
                  <w:pPr>
                    <w:pStyle w:val="159"/>
                  </w:pPr>
                  <w:r>
                    <w:t>1</w:t>
                  </w:r>
                  <w:r>
                    <w:rPr>
                      <w:rFonts w:hint="eastAsia"/>
                    </w:rPr>
                    <w:t>×</w:t>
                  </w:r>
                  <w:r>
                    <w:t>12.5MVA</w:t>
                  </w:r>
                </w:p>
              </w:tc>
            </w:tr>
            <w:tr w14:paraId="2D47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1A4DB375">
                  <w:pPr>
                    <w:pStyle w:val="159"/>
                  </w:pPr>
                  <w:r>
                    <w:t>110kV</w:t>
                  </w:r>
                </w:p>
              </w:tc>
              <w:tc>
                <w:tcPr>
                  <w:tcW w:w="1667" w:type="pct"/>
                  <w:vAlign w:val="center"/>
                </w:tcPr>
                <w:p w14:paraId="31EA3F62">
                  <w:pPr>
                    <w:pStyle w:val="159"/>
                  </w:pPr>
                  <w:r>
                    <w:rPr>
                      <w:rFonts w:hint="eastAsia"/>
                    </w:rPr>
                    <w:t>出线</w:t>
                  </w:r>
                  <w:r>
                    <w:t>1</w:t>
                  </w:r>
                  <w:r>
                    <w:rPr>
                      <w:rFonts w:hint="eastAsia"/>
                    </w:rPr>
                    <w:t>回</w:t>
                  </w:r>
                </w:p>
              </w:tc>
              <w:tc>
                <w:tcPr>
                  <w:tcW w:w="1667" w:type="pct"/>
                  <w:vAlign w:val="center"/>
                </w:tcPr>
                <w:p w14:paraId="028E6F11">
                  <w:pPr>
                    <w:pStyle w:val="159"/>
                  </w:pPr>
                  <w:r>
                    <w:rPr>
                      <w:rFonts w:hint="eastAsia"/>
                    </w:rPr>
                    <w:t>出线</w:t>
                  </w:r>
                  <w:r>
                    <w:t>1</w:t>
                  </w:r>
                  <w:r>
                    <w:rPr>
                      <w:rFonts w:hint="eastAsia"/>
                    </w:rPr>
                    <w:t>回（至贝江变）</w:t>
                  </w:r>
                </w:p>
              </w:tc>
            </w:tr>
            <w:tr w14:paraId="5D13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2EA698C6">
                  <w:pPr>
                    <w:pStyle w:val="159"/>
                  </w:pPr>
                  <w:r>
                    <w:t>10kV</w:t>
                  </w:r>
                </w:p>
              </w:tc>
              <w:tc>
                <w:tcPr>
                  <w:tcW w:w="1667" w:type="pct"/>
                  <w:vAlign w:val="center"/>
                </w:tcPr>
                <w:p w14:paraId="483FAFE8">
                  <w:pPr>
                    <w:pStyle w:val="159"/>
                  </w:pPr>
                  <w:r>
                    <w:rPr>
                      <w:rFonts w:hint="eastAsia"/>
                    </w:rPr>
                    <w:t>出线</w:t>
                  </w:r>
                  <w:r>
                    <w:t>8</w:t>
                  </w:r>
                  <w:r>
                    <w:rPr>
                      <w:rFonts w:hint="eastAsia"/>
                    </w:rPr>
                    <w:t>回</w:t>
                  </w:r>
                </w:p>
              </w:tc>
              <w:tc>
                <w:tcPr>
                  <w:tcW w:w="1667" w:type="pct"/>
                  <w:vAlign w:val="center"/>
                </w:tcPr>
                <w:p w14:paraId="4E4C382A">
                  <w:pPr>
                    <w:pStyle w:val="159"/>
                  </w:pPr>
                  <w:r>
                    <w:rPr>
                      <w:rFonts w:hint="eastAsia"/>
                    </w:rPr>
                    <w:t>出线</w:t>
                  </w:r>
                  <w:r>
                    <w:t>8</w:t>
                  </w:r>
                  <w:r>
                    <w:rPr>
                      <w:rFonts w:hint="eastAsia"/>
                    </w:rPr>
                    <w:t>回</w:t>
                  </w:r>
                </w:p>
              </w:tc>
            </w:tr>
            <w:tr w14:paraId="2596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4EE6E2EF">
                  <w:pPr>
                    <w:pStyle w:val="159"/>
                  </w:pPr>
                  <w:r>
                    <w:rPr>
                      <w:rFonts w:hint="eastAsia"/>
                    </w:rPr>
                    <w:t>容性无功补偿</w:t>
                  </w:r>
                </w:p>
              </w:tc>
              <w:tc>
                <w:tcPr>
                  <w:tcW w:w="1667" w:type="pct"/>
                  <w:vAlign w:val="center"/>
                </w:tcPr>
                <w:p w14:paraId="0A9CDC45">
                  <w:pPr>
                    <w:pStyle w:val="159"/>
                  </w:pPr>
                  <w:r>
                    <w:t>1</w:t>
                  </w:r>
                  <w:r>
                    <w:rPr>
                      <w:rFonts w:hint="eastAsia"/>
                    </w:rPr>
                    <w:t>×</w:t>
                  </w:r>
                  <w:r>
                    <w:t>3Mvar</w:t>
                  </w:r>
                </w:p>
              </w:tc>
              <w:tc>
                <w:tcPr>
                  <w:tcW w:w="1667" w:type="pct"/>
                  <w:vAlign w:val="center"/>
                </w:tcPr>
                <w:p w14:paraId="3EBAF6B1">
                  <w:pPr>
                    <w:pStyle w:val="159"/>
                  </w:pPr>
                  <w:r>
                    <w:t>1</w:t>
                  </w:r>
                  <w:r>
                    <w:rPr>
                      <w:rFonts w:hint="eastAsia"/>
                    </w:rPr>
                    <w:t>×</w:t>
                  </w:r>
                  <w:r>
                    <w:t>3Mvar</w:t>
                  </w:r>
                </w:p>
              </w:tc>
            </w:tr>
            <w:tr w14:paraId="2BC6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23E692CB">
                  <w:pPr>
                    <w:pStyle w:val="159"/>
                  </w:pPr>
                  <w:r>
                    <w:rPr>
                      <w:rFonts w:hint="eastAsia"/>
                    </w:rPr>
                    <w:t>站用变</w:t>
                  </w:r>
                </w:p>
              </w:tc>
              <w:tc>
                <w:tcPr>
                  <w:tcW w:w="1667" w:type="pct"/>
                  <w:vAlign w:val="center"/>
                </w:tcPr>
                <w:p w14:paraId="5F9A44B8">
                  <w:pPr>
                    <w:pStyle w:val="159"/>
                  </w:pPr>
                  <w:r>
                    <w:t>2</w:t>
                  </w:r>
                  <w:r>
                    <w:rPr>
                      <w:rFonts w:hint="eastAsia"/>
                    </w:rPr>
                    <w:t>×</w:t>
                  </w:r>
                  <w:r>
                    <w:t>100kVA</w:t>
                  </w:r>
                </w:p>
              </w:tc>
              <w:tc>
                <w:tcPr>
                  <w:tcW w:w="1667" w:type="pct"/>
                  <w:vAlign w:val="center"/>
                </w:tcPr>
                <w:p w14:paraId="3C4B31EB">
                  <w:pPr>
                    <w:pStyle w:val="159"/>
                  </w:pPr>
                  <w:r>
                    <w:t>2</w:t>
                  </w:r>
                  <w:r>
                    <w:rPr>
                      <w:rFonts w:hint="eastAsia"/>
                    </w:rPr>
                    <w:t>×</w:t>
                  </w:r>
                  <w:r>
                    <w:t>100kVA</w:t>
                  </w:r>
                </w:p>
              </w:tc>
            </w:tr>
          </w:tbl>
          <w:p w14:paraId="10DCAABF">
            <w:pPr>
              <w:pStyle w:val="3"/>
              <w:spacing w:line="240" w:lineRule="auto"/>
              <w:ind w:firstLine="480"/>
            </w:pPr>
          </w:p>
          <w:p w14:paraId="04C68C22">
            <w:pPr>
              <w:pStyle w:val="6"/>
            </w:pPr>
            <w:r>
              <w:rPr>
                <w:rFonts w:hint="eastAsia"/>
              </w:rPr>
              <w:t>施工电源110kV线路工程</w:t>
            </w:r>
          </w:p>
          <w:p w14:paraId="4FFAA5A7">
            <w:pPr>
              <w:pStyle w:val="3"/>
              <w:ind w:firstLine="480"/>
            </w:pPr>
            <w:r>
              <w:rPr>
                <w:rFonts w:hint="eastAsia"/>
              </w:rPr>
              <w:t>新建</w:t>
            </w:r>
            <w:r>
              <w:t>110kV</w:t>
            </w:r>
            <w:r>
              <w:rPr>
                <w:rFonts w:hint="eastAsia"/>
              </w:rPr>
              <w:t>线路起自已建的贝江</w:t>
            </w:r>
            <w:r>
              <w:t>110kV</w:t>
            </w:r>
            <w:r>
              <w:rPr>
                <w:rFonts w:hint="eastAsia"/>
              </w:rPr>
              <w:t>变电站，止于待建的110kV基地源变电站，路径总长</w:t>
            </w:r>
            <w:r>
              <w:t>20.045km</w:t>
            </w:r>
            <w:r>
              <w:rPr>
                <w:rFonts w:hint="eastAsia"/>
              </w:rPr>
              <w:t>，其中架空路径长</w:t>
            </w:r>
            <w:r>
              <w:t>20km</w:t>
            </w:r>
            <w:r>
              <w:rPr>
                <w:rFonts w:hint="eastAsia"/>
              </w:rPr>
              <w:t>（</w:t>
            </w:r>
            <w:r>
              <w:t>15mm</w:t>
            </w:r>
            <w:r>
              <w:rPr>
                <w:rFonts w:hint="eastAsia"/>
              </w:rPr>
              <w:t>冰区长</w:t>
            </w:r>
            <w:r>
              <w:t>5km</w:t>
            </w:r>
            <w:r>
              <w:rPr>
                <w:rFonts w:hint="eastAsia"/>
              </w:rPr>
              <w:t>，</w:t>
            </w:r>
            <w:r>
              <w:t>20mm</w:t>
            </w:r>
            <w:r>
              <w:rPr>
                <w:rFonts w:hint="eastAsia"/>
              </w:rPr>
              <w:t>冰区长</w:t>
            </w:r>
            <w:r>
              <w:t>15km</w:t>
            </w:r>
            <w:r>
              <w:rPr>
                <w:rFonts w:hint="eastAsia"/>
              </w:rPr>
              <w:t>），电缆路径长</w:t>
            </w:r>
            <w:r>
              <w:t>0.045km</w:t>
            </w:r>
            <w:r>
              <w:rPr>
                <w:rFonts w:hint="eastAsia"/>
              </w:rPr>
              <w:t>（站内路径长</w:t>
            </w:r>
            <w:r>
              <w:t>0.03km</w:t>
            </w:r>
            <w:r>
              <w:rPr>
                <w:rFonts w:hint="eastAsia"/>
              </w:rPr>
              <w:t>，站外路径长</w:t>
            </w:r>
            <w:r>
              <w:t>0.015km</w:t>
            </w:r>
            <w:r>
              <w:rPr>
                <w:rFonts w:hint="eastAsia"/>
              </w:rPr>
              <w:t>），全线采用单回路架设。</w:t>
            </w:r>
            <w:r>
              <w:rPr>
                <w:rFonts w:hint="eastAsia" w:ascii="宋体" w:cs="宋体"/>
                <w:sz w:val="26"/>
                <w:szCs w:val="26"/>
              </w:rPr>
              <w:t>本工程不涉及“三跨”（跨越铁路、跨越一级及以上公路、跨越重要输电通道）。</w:t>
            </w:r>
          </w:p>
          <w:p w14:paraId="0AC38E91">
            <w:pPr>
              <w:pStyle w:val="3"/>
              <w:ind w:firstLine="480"/>
            </w:pPr>
            <w:r>
              <w:rPr>
                <w:rFonts w:hint="eastAsia"/>
              </w:rPr>
              <w:t>a）架空线路段</w:t>
            </w:r>
          </w:p>
          <w:p w14:paraId="5DB1E570">
            <w:pPr>
              <w:pStyle w:val="3"/>
              <w:ind w:firstLine="480"/>
            </w:pPr>
            <w:r>
              <w:t>1</w:t>
            </w:r>
            <w:r>
              <w:rPr>
                <w:rFonts w:hint="eastAsia"/>
              </w:rPr>
              <w:t>）导线</w:t>
            </w:r>
          </w:p>
          <w:p w14:paraId="0CBBD780">
            <w:pPr>
              <w:pStyle w:val="3"/>
              <w:ind w:firstLine="480"/>
            </w:pPr>
            <w:r>
              <w:t>15mm</w:t>
            </w:r>
            <w:r>
              <w:rPr>
                <w:rFonts w:hint="eastAsia"/>
              </w:rPr>
              <w:t>冰区线路导线采用</w:t>
            </w:r>
            <w:r>
              <w:t>JL3/G1A-300/40</w:t>
            </w:r>
            <w:r>
              <w:rPr>
                <w:rFonts w:hint="eastAsia"/>
              </w:rPr>
              <w:t>型钢芯高导电率铝绞线，架空线路部分地线</w:t>
            </w:r>
            <w:r>
              <w:t>1</w:t>
            </w:r>
            <w:r>
              <w:rPr>
                <w:rFonts w:hint="eastAsia"/>
              </w:rPr>
              <w:t>根采用</w:t>
            </w:r>
            <w:r>
              <w:t>OPGW-13-90-1</w:t>
            </w:r>
            <w:r>
              <w:rPr>
                <w:rFonts w:hint="eastAsia"/>
              </w:rPr>
              <w:t>（</w:t>
            </w:r>
            <w:r>
              <w:t>24</w:t>
            </w:r>
            <w:r>
              <w:rPr>
                <w:rFonts w:hint="eastAsia"/>
              </w:rPr>
              <w:t>芯）光缆，另</w:t>
            </w:r>
            <w:r>
              <w:t>1</w:t>
            </w:r>
            <w:r>
              <w:rPr>
                <w:rFonts w:hint="eastAsia"/>
              </w:rPr>
              <w:t>根采用</w:t>
            </w:r>
            <w:r>
              <w:t>JLB20A-80</w:t>
            </w:r>
            <w:r>
              <w:rPr>
                <w:rFonts w:hint="eastAsia"/>
              </w:rPr>
              <w:t>铝包钢绞线。</w:t>
            </w:r>
          </w:p>
          <w:p w14:paraId="1D470CDD">
            <w:pPr>
              <w:pStyle w:val="3"/>
              <w:ind w:firstLine="480"/>
            </w:pPr>
            <w:r>
              <w:t>20mm</w:t>
            </w:r>
            <w:r>
              <w:rPr>
                <w:rFonts w:hint="eastAsia"/>
              </w:rPr>
              <w:t>冰区线路导线采用</w:t>
            </w:r>
            <w:r>
              <w:t>JLHA1/G1A-300/50</w:t>
            </w:r>
            <w:r>
              <w:rPr>
                <w:rFonts w:hint="eastAsia"/>
              </w:rPr>
              <w:t>型钢芯铝合金绞线，架空线路部分地线</w:t>
            </w:r>
            <w:r>
              <w:t>1</w:t>
            </w:r>
            <w:r>
              <w:rPr>
                <w:rFonts w:hint="eastAsia"/>
              </w:rPr>
              <w:t>根采用</w:t>
            </w:r>
            <w:r>
              <w:t>OPGW-13-100-1</w:t>
            </w:r>
            <w:r>
              <w:rPr>
                <w:rFonts w:hint="eastAsia"/>
              </w:rPr>
              <w:t>（</w:t>
            </w:r>
            <w:r>
              <w:t>24</w:t>
            </w:r>
            <w:r>
              <w:rPr>
                <w:rFonts w:hint="eastAsia"/>
              </w:rPr>
              <w:t>芯）光缆，另</w:t>
            </w:r>
            <w:r>
              <w:t>1</w:t>
            </w:r>
            <w:r>
              <w:rPr>
                <w:rFonts w:hint="eastAsia"/>
              </w:rPr>
              <w:t>根采用</w:t>
            </w:r>
            <w:r>
              <w:t>JLB20A-100</w:t>
            </w:r>
            <w:r>
              <w:rPr>
                <w:rFonts w:hint="eastAsia"/>
              </w:rPr>
              <w:t>铝包钢绞线。</w:t>
            </w:r>
          </w:p>
          <w:p w14:paraId="49C53913">
            <w:pPr>
              <w:pStyle w:val="3"/>
              <w:ind w:firstLine="480"/>
            </w:pPr>
            <w:r>
              <w:rPr>
                <w:rFonts w:hint="eastAsia"/>
              </w:rPr>
              <w:t>电缆采用</w:t>
            </w:r>
            <w:r>
              <w:t>ZC-YJLW03-Z-110kV-1</w:t>
            </w:r>
            <w:r>
              <w:rPr>
                <w:rFonts w:hint="eastAsia"/>
              </w:rPr>
              <w:t>×</w:t>
            </w:r>
            <w:r>
              <w:t>630mm</w:t>
            </w:r>
            <w:r>
              <w:rPr>
                <w:vertAlign w:val="superscript"/>
              </w:rPr>
              <w:t>2</w:t>
            </w:r>
            <w:r>
              <w:rPr>
                <w:rFonts w:hint="eastAsia"/>
              </w:rPr>
              <w:t>铜芯交联聚乙烯绝缘波纹铝护套聚乙烯外护套电力电缆，站内采用电缆沟敷设，站外通过工作井直接接入电缆终端塔。</w:t>
            </w:r>
          </w:p>
          <w:p w14:paraId="2E2B6FFC">
            <w:pPr>
              <w:pStyle w:val="148"/>
            </w:pPr>
            <w:r>
              <w:rPr>
                <w:rFonts w:hint="eastAsia" w:ascii="宋体" w:hAnsi="宋体" w:eastAsia="宋体" w:cs="宋体"/>
                <w:bCs/>
              </w:rPr>
              <w:t>表</w:t>
            </w:r>
            <w:r>
              <w:rPr>
                <w:rFonts w:hint="eastAsia" w:ascii="TimesNewRomanPS-BoldMT" w:eastAsia="TimesNewRomanPS-BoldMT" w:cs="TimesNewRomanPS-BoldMT"/>
                <w:bCs/>
              </w:rPr>
              <w:t>2</w:t>
            </w:r>
            <w:r>
              <w:rPr>
                <w:rFonts w:ascii="TimesNewRomanPS-BoldMT" w:eastAsia="TimesNewRomanPS-BoldMT" w:cs="TimesNewRomanPS-BoldMT"/>
                <w:bCs/>
              </w:rPr>
              <w:t xml:space="preserve">.2-3  </w:t>
            </w:r>
            <w:r>
              <w:rPr>
                <w:rFonts w:hint="eastAsia"/>
              </w:rPr>
              <w:t>线路工程导线基本参数一览表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872"/>
              <w:gridCol w:w="2526"/>
            </w:tblGrid>
            <w:tr w14:paraId="485D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7" w:type="dxa"/>
                  <w:vAlign w:val="center"/>
                </w:tcPr>
                <w:p w14:paraId="5373E778">
                  <w:pPr>
                    <w:pStyle w:val="159"/>
                  </w:pPr>
                  <w:r>
                    <w:rPr>
                      <w:rFonts w:hint="eastAsia"/>
                    </w:rPr>
                    <w:t>项</w:t>
                  </w:r>
                  <w:r>
                    <w:t>目</w:t>
                  </w:r>
                </w:p>
              </w:tc>
              <w:tc>
                <w:tcPr>
                  <w:tcW w:w="2872" w:type="dxa"/>
                  <w:vAlign w:val="center"/>
                </w:tcPr>
                <w:p w14:paraId="2083C707">
                  <w:pPr>
                    <w:pStyle w:val="159"/>
                    <w:rPr>
                      <w:rFonts w:ascii="CIDFont+F3" w:cs="CIDFont+F3"/>
                    </w:rPr>
                  </w:pPr>
                  <w:r>
                    <w:t>15mm</w:t>
                  </w:r>
                  <w:r>
                    <w:rPr>
                      <w:rFonts w:hint="eastAsia"/>
                    </w:rPr>
                    <w:t>冰区线</w:t>
                  </w:r>
                  <w:r>
                    <w:t>架空</w:t>
                  </w:r>
                  <w:r>
                    <w:rPr>
                      <w:rFonts w:hint="eastAsia"/>
                    </w:rPr>
                    <w:t>线</w:t>
                  </w:r>
                  <w:r>
                    <w:t>路</w:t>
                  </w:r>
                </w:p>
              </w:tc>
              <w:tc>
                <w:tcPr>
                  <w:tcW w:w="2526" w:type="dxa"/>
                  <w:vAlign w:val="center"/>
                </w:tcPr>
                <w:p w14:paraId="7A77289D">
                  <w:pPr>
                    <w:pStyle w:val="159"/>
                  </w:pPr>
                  <w:r>
                    <w:t>20mm</w:t>
                  </w:r>
                  <w:r>
                    <w:rPr>
                      <w:rFonts w:hint="eastAsia"/>
                    </w:rPr>
                    <w:t>冰区线</w:t>
                  </w:r>
                  <w:r>
                    <w:t>架空</w:t>
                  </w:r>
                  <w:r>
                    <w:rPr>
                      <w:rFonts w:hint="eastAsia"/>
                    </w:rPr>
                    <w:t>线</w:t>
                  </w:r>
                  <w:r>
                    <w:t>路</w:t>
                  </w:r>
                </w:p>
              </w:tc>
            </w:tr>
            <w:tr w14:paraId="2524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7" w:type="dxa"/>
                  <w:vAlign w:val="center"/>
                </w:tcPr>
                <w:p w14:paraId="58CF47AF">
                  <w:pPr>
                    <w:pStyle w:val="159"/>
                    <w:rPr>
                      <w:rFonts w:eastAsiaTheme="minorEastAsia"/>
                    </w:rPr>
                  </w:pPr>
                  <w:r>
                    <w:rPr>
                      <w:rFonts w:hint="eastAsia"/>
                    </w:rPr>
                    <w:t>导线</w:t>
                  </w:r>
                  <w:r>
                    <w:rPr>
                      <w:rFonts w:hint="eastAsia" w:eastAsia="MS Gothic"/>
                    </w:rPr>
                    <w:t>型号</w:t>
                  </w:r>
                </w:p>
              </w:tc>
              <w:tc>
                <w:tcPr>
                  <w:tcW w:w="2872" w:type="dxa"/>
                  <w:vAlign w:val="center"/>
                </w:tcPr>
                <w:p w14:paraId="22FDFAAA">
                  <w:pPr>
                    <w:pStyle w:val="159"/>
                  </w:pPr>
                  <w:r>
                    <w:t>2</w:t>
                  </w:r>
                  <w:r>
                    <w:rPr>
                      <w:rFonts w:hint="eastAsia"/>
                    </w:rPr>
                    <w:t>×</w:t>
                  </w:r>
                  <w:r>
                    <w:t>JL3/G1A-300/40</w:t>
                  </w:r>
                </w:p>
              </w:tc>
              <w:tc>
                <w:tcPr>
                  <w:tcW w:w="2526" w:type="dxa"/>
                  <w:vAlign w:val="center"/>
                </w:tcPr>
                <w:p w14:paraId="0486096E">
                  <w:pPr>
                    <w:pStyle w:val="159"/>
                  </w:pPr>
                  <w:r>
                    <w:t>JLHA1/G1A-300/50</w:t>
                  </w:r>
                </w:p>
              </w:tc>
            </w:tr>
            <w:tr w14:paraId="21F4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7" w:type="dxa"/>
                  <w:vAlign w:val="center"/>
                </w:tcPr>
                <w:p w14:paraId="7FA5801C">
                  <w:pPr>
                    <w:pStyle w:val="159"/>
                    <w:rPr>
                      <w:rFonts w:ascii="CIDFont+F3" w:cs="CIDFont+F3"/>
                    </w:rPr>
                  </w:pPr>
                  <w:r>
                    <w:rPr>
                      <w:rFonts w:hint="eastAsia"/>
                    </w:rPr>
                    <w:t>计算截面（</w:t>
                  </w:r>
                  <w:r>
                    <w:t>mm</w:t>
                  </w:r>
                  <w:r>
                    <w:rPr>
                      <w:vertAlign w:val="superscript"/>
                    </w:rPr>
                    <w:t>2</w:t>
                  </w:r>
                  <w:r>
                    <w:rPr>
                      <w:rFonts w:hint="eastAsia"/>
                    </w:rPr>
                    <w:t>）</w:t>
                  </w:r>
                </w:p>
              </w:tc>
              <w:tc>
                <w:tcPr>
                  <w:tcW w:w="2872" w:type="dxa"/>
                  <w:vAlign w:val="center"/>
                </w:tcPr>
                <w:p w14:paraId="0B30B35A">
                  <w:pPr>
                    <w:pStyle w:val="159"/>
                  </w:pPr>
                  <w:r>
                    <w:t>339</w:t>
                  </w:r>
                </w:p>
              </w:tc>
              <w:tc>
                <w:tcPr>
                  <w:tcW w:w="2526" w:type="dxa"/>
                  <w:vAlign w:val="center"/>
                </w:tcPr>
                <w:p w14:paraId="665D3CDD">
                  <w:pPr>
                    <w:pStyle w:val="159"/>
                  </w:pPr>
                  <w:r>
                    <w:rPr>
                      <w:rFonts w:hint="eastAsia"/>
                    </w:rPr>
                    <w:t>3</w:t>
                  </w:r>
                  <w:r>
                    <w:t>48.8</w:t>
                  </w:r>
                </w:p>
              </w:tc>
            </w:tr>
            <w:tr w14:paraId="4070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7" w:type="dxa"/>
                  <w:vAlign w:val="center"/>
                </w:tcPr>
                <w:p w14:paraId="497BCA1C">
                  <w:pPr>
                    <w:pStyle w:val="159"/>
                    <w:rPr>
                      <w:rFonts w:ascii="CIDFont+F3" w:cs="CIDFont+F3"/>
                    </w:rPr>
                  </w:pPr>
                  <w:r>
                    <w:rPr>
                      <w:rFonts w:hint="eastAsia"/>
                    </w:rPr>
                    <w:t>导线</w:t>
                  </w:r>
                  <w:r>
                    <w:t>外径（mm</w:t>
                  </w:r>
                  <w:r>
                    <w:rPr>
                      <w:rFonts w:hint="eastAsia"/>
                    </w:rPr>
                    <w:t>）</w:t>
                  </w:r>
                </w:p>
              </w:tc>
              <w:tc>
                <w:tcPr>
                  <w:tcW w:w="2872" w:type="dxa"/>
                  <w:vAlign w:val="center"/>
                </w:tcPr>
                <w:p w14:paraId="2D057EDF">
                  <w:pPr>
                    <w:pStyle w:val="159"/>
                  </w:pPr>
                  <w:r>
                    <w:t>23.9</w:t>
                  </w:r>
                </w:p>
              </w:tc>
              <w:tc>
                <w:tcPr>
                  <w:tcW w:w="2526" w:type="dxa"/>
                  <w:vAlign w:val="center"/>
                </w:tcPr>
                <w:p w14:paraId="46E0FDAA">
                  <w:pPr>
                    <w:pStyle w:val="159"/>
                  </w:pPr>
                  <w:r>
                    <w:rPr>
                      <w:rFonts w:hint="eastAsia"/>
                    </w:rPr>
                    <w:t>2</w:t>
                  </w:r>
                  <w:r>
                    <w:t>4.3</w:t>
                  </w:r>
                </w:p>
              </w:tc>
            </w:tr>
            <w:tr w14:paraId="3389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7" w:type="dxa"/>
                  <w:vAlign w:val="center"/>
                </w:tcPr>
                <w:p w14:paraId="2BC63748">
                  <w:pPr>
                    <w:pStyle w:val="159"/>
                    <w:rPr>
                      <w:rFonts w:ascii="CIDFont+F3" w:cs="CIDFont+F3"/>
                    </w:rPr>
                  </w:pPr>
                  <w:r>
                    <w:rPr>
                      <w:rFonts w:hint="eastAsia"/>
                    </w:rPr>
                    <w:t>允许载</w:t>
                  </w:r>
                  <w:r>
                    <w:t>流量（A</w:t>
                  </w:r>
                  <w:r>
                    <w:rPr>
                      <w:rFonts w:hint="eastAsia"/>
                    </w:rPr>
                    <w:t>）</w:t>
                  </w:r>
                </w:p>
              </w:tc>
              <w:tc>
                <w:tcPr>
                  <w:tcW w:w="2872" w:type="dxa"/>
                  <w:vAlign w:val="center"/>
                </w:tcPr>
                <w:p w14:paraId="6E439E2B">
                  <w:pPr>
                    <w:pStyle w:val="159"/>
                    <w:rPr>
                      <w:color w:val="FF0000"/>
                    </w:rPr>
                  </w:pPr>
                  <w:r>
                    <w:rPr>
                      <w:rFonts w:hint="eastAsia"/>
                    </w:rPr>
                    <w:t>632.78</w:t>
                  </w:r>
                </w:p>
              </w:tc>
              <w:tc>
                <w:tcPr>
                  <w:tcW w:w="2526" w:type="dxa"/>
                  <w:vAlign w:val="center"/>
                </w:tcPr>
                <w:p w14:paraId="3317CFBB">
                  <w:pPr>
                    <w:pStyle w:val="159"/>
                    <w:rPr>
                      <w:color w:val="FF0000"/>
                    </w:rPr>
                  </w:pPr>
                  <w:r>
                    <w:rPr>
                      <w:rFonts w:hint="eastAsia"/>
                    </w:rPr>
                    <w:t>581.48</w:t>
                  </w:r>
                </w:p>
              </w:tc>
            </w:tr>
          </w:tbl>
          <w:p w14:paraId="6B47219B">
            <w:pPr>
              <w:pStyle w:val="3"/>
              <w:spacing w:line="240" w:lineRule="auto"/>
              <w:ind w:firstLine="480"/>
            </w:pPr>
          </w:p>
          <w:p w14:paraId="2D9EFC39">
            <w:pPr>
              <w:pStyle w:val="3"/>
              <w:ind w:firstLine="480"/>
            </w:pPr>
            <w:r>
              <w:t>2</w:t>
            </w:r>
            <w:r>
              <w:rPr>
                <w:rFonts w:hint="eastAsia"/>
              </w:rPr>
              <w:t>）沿线交叉跨越</w:t>
            </w:r>
          </w:p>
          <w:p w14:paraId="473EDEB7">
            <w:pPr>
              <w:pStyle w:val="3"/>
              <w:ind w:firstLine="520"/>
            </w:pPr>
            <w:r>
              <w:rPr>
                <w:rFonts w:hint="eastAsia" w:ascii="宋体" w:cs="宋体"/>
                <w:sz w:val="26"/>
                <w:szCs w:val="26"/>
              </w:rPr>
              <w:t>本工程不涉及“三跨”（跨越铁路、跨越一级及以上公路、跨越重要输电通道）。</w:t>
            </w:r>
            <w:r>
              <w:rPr>
                <w:rFonts w:hint="eastAsia"/>
              </w:rPr>
              <w:t>沿线重要交叉跨越见表2</w:t>
            </w:r>
            <w:r>
              <w:t>.2-4</w:t>
            </w:r>
            <w:r>
              <w:rPr>
                <w:rFonts w:hint="eastAsia"/>
              </w:rPr>
              <w:t>所示。</w:t>
            </w:r>
          </w:p>
          <w:p w14:paraId="51F2DB4F">
            <w:pPr>
              <w:pStyle w:val="148"/>
            </w:pPr>
            <w:r>
              <w:rPr>
                <w:rFonts w:hint="eastAsia"/>
              </w:rPr>
              <w:t>表2</w:t>
            </w:r>
            <w:r>
              <w:t xml:space="preserve">.2-4   </w:t>
            </w:r>
            <w:r>
              <w:rPr>
                <w:rFonts w:hint="eastAsia"/>
              </w:rPr>
              <w:t>沿线重要交叉跨越统计表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3"/>
              <w:gridCol w:w="2070"/>
              <w:gridCol w:w="3442"/>
            </w:tblGrid>
            <w:tr w14:paraId="4763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6CD454D1">
                  <w:pPr>
                    <w:pStyle w:val="159"/>
                  </w:pPr>
                  <w:r>
                    <w:rPr>
                      <w:rFonts w:hint="eastAsia"/>
                    </w:rPr>
                    <w:t>项目</w:t>
                  </w:r>
                </w:p>
              </w:tc>
              <w:tc>
                <w:tcPr>
                  <w:tcW w:w="1203" w:type="pct"/>
                  <w:vAlign w:val="center"/>
                </w:tcPr>
                <w:p w14:paraId="28C6BE14">
                  <w:pPr>
                    <w:pStyle w:val="159"/>
                  </w:pPr>
                  <w:r>
                    <w:rPr>
                      <w:rFonts w:hint="eastAsia"/>
                    </w:rPr>
                    <w:t>次数</w:t>
                  </w:r>
                </w:p>
              </w:tc>
              <w:tc>
                <w:tcPr>
                  <w:tcW w:w="2000" w:type="pct"/>
                  <w:vAlign w:val="center"/>
                </w:tcPr>
                <w:p w14:paraId="6B76CB52">
                  <w:pPr>
                    <w:pStyle w:val="159"/>
                  </w:pPr>
                  <w:r>
                    <w:rPr>
                      <w:rFonts w:hint="eastAsia"/>
                    </w:rPr>
                    <w:t>备注</w:t>
                  </w:r>
                </w:p>
              </w:tc>
            </w:tr>
            <w:tr w14:paraId="02BD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3C687517">
                  <w:pPr>
                    <w:pStyle w:val="159"/>
                  </w:pPr>
                  <w:r>
                    <w:t>110kV</w:t>
                  </w:r>
                  <w:r>
                    <w:rPr>
                      <w:rFonts w:hint="eastAsia"/>
                    </w:rPr>
                    <w:t>线路</w:t>
                  </w:r>
                </w:p>
              </w:tc>
              <w:tc>
                <w:tcPr>
                  <w:tcW w:w="1203" w:type="pct"/>
                  <w:vAlign w:val="center"/>
                </w:tcPr>
                <w:p w14:paraId="0E60B958">
                  <w:pPr>
                    <w:pStyle w:val="159"/>
                  </w:pPr>
                  <w:r>
                    <w:t>1</w:t>
                  </w:r>
                </w:p>
              </w:tc>
              <w:tc>
                <w:tcPr>
                  <w:tcW w:w="2000" w:type="pct"/>
                  <w:vAlign w:val="center"/>
                </w:tcPr>
                <w:p w14:paraId="2FB30B1C">
                  <w:pPr>
                    <w:pStyle w:val="159"/>
                  </w:pPr>
                  <w:r>
                    <w:rPr>
                      <w:rFonts w:hint="eastAsia"/>
                    </w:rPr>
                    <w:t>跨越</w:t>
                  </w:r>
                  <w:r>
                    <w:t>110kV</w:t>
                  </w:r>
                  <w:r>
                    <w:rPr>
                      <w:rFonts w:hint="eastAsia"/>
                    </w:rPr>
                    <w:t>涔码线</w:t>
                  </w:r>
                  <w:r>
                    <w:t>1</w:t>
                  </w:r>
                  <w:r>
                    <w:rPr>
                      <w:rFonts w:hint="eastAsia"/>
                    </w:rPr>
                    <w:t>次</w:t>
                  </w:r>
                </w:p>
              </w:tc>
            </w:tr>
            <w:tr w14:paraId="47F1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4C9747D8">
                  <w:pPr>
                    <w:pStyle w:val="159"/>
                  </w:pPr>
                  <w:r>
                    <w:t>35kV</w:t>
                  </w:r>
                  <w:r>
                    <w:rPr>
                      <w:rFonts w:hint="eastAsia"/>
                    </w:rPr>
                    <w:t>电力线</w:t>
                  </w:r>
                </w:p>
              </w:tc>
              <w:tc>
                <w:tcPr>
                  <w:tcW w:w="1203" w:type="pct"/>
                  <w:vAlign w:val="center"/>
                </w:tcPr>
                <w:p w14:paraId="62AC01BC">
                  <w:pPr>
                    <w:pStyle w:val="159"/>
                  </w:pPr>
                  <w:r>
                    <w:t>3</w:t>
                  </w:r>
                </w:p>
              </w:tc>
              <w:tc>
                <w:tcPr>
                  <w:tcW w:w="2000" w:type="pct"/>
                  <w:vAlign w:val="center"/>
                </w:tcPr>
                <w:p w14:paraId="7BCB7916">
                  <w:pPr>
                    <w:pStyle w:val="159"/>
                  </w:pPr>
                  <w:r>
                    <w:rPr>
                      <w:rFonts w:hint="eastAsia"/>
                    </w:rPr>
                    <w:t>跨越</w:t>
                  </w:r>
                  <w:r>
                    <w:t>35kV</w:t>
                  </w:r>
                  <w:r>
                    <w:rPr>
                      <w:rFonts w:hint="eastAsia"/>
                    </w:rPr>
                    <w:t>欧贝线</w:t>
                  </w:r>
                  <w:r>
                    <w:t>1</w:t>
                  </w:r>
                  <w:r>
                    <w:rPr>
                      <w:rFonts w:hint="eastAsia"/>
                    </w:rPr>
                    <w:t>次，</w:t>
                  </w:r>
                  <w:r>
                    <w:t>35kV</w:t>
                  </w:r>
                  <w:r>
                    <w:rPr>
                      <w:rFonts w:hint="eastAsia"/>
                    </w:rPr>
                    <w:t>贝湘线</w:t>
                  </w:r>
                  <w:r>
                    <w:t>1</w:t>
                  </w:r>
                  <w:r>
                    <w:rPr>
                      <w:rFonts w:hint="eastAsia"/>
                    </w:rPr>
                    <w:t>次，</w:t>
                  </w:r>
                  <w:r>
                    <w:t>35kV</w:t>
                  </w:r>
                  <w:r>
                    <w:rPr>
                      <w:rFonts w:hint="eastAsia"/>
                    </w:rPr>
                    <w:t>水电站线路</w:t>
                  </w:r>
                  <w:r>
                    <w:t>1</w:t>
                  </w:r>
                  <w:r>
                    <w:rPr>
                      <w:rFonts w:hint="eastAsia"/>
                    </w:rPr>
                    <w:t>次</w:t>
                  </w:r>
                </w:p>
              </w:tc>
            </w:tr>
            <w:tr w14:paraId="7A95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0D6A6C66">
                  <w:pPr>
                    <w:pStyle w:val="159"/>
                  </w:pPr>
                  <w:r>
                    <w:t>10kV</w:t>
                  </w:r>
                  <w:r>
                    <w:rPr>
                      <w:rFonts w:hint="eastAsia"/>
                    </w:rPr>
                    <w:t>电力线</w:t>
                  </w:r>
                </w:p>
              </w:tc>
              <w:tc>
                <w:tcPr>
                  <w:tcW w:w="1203" w:type="pct"/>
                  <w:vAlign w:val="center"/>
                </w:tcPr>
                <w:p w14:paraId="46CD2E91">
                  <w:pPr>
                    <w:pStyle w:val="159"/>
                  </w:pPr>
                  <w:r>
                    <w:t>8</w:t>
                  </w:r>
                </w:p>
              </w:tc>
              <w:tc>
                <w:tcPr>
                  <w:tcW w:w="2000" w:type="pct"/>
                  <w:vAlign w:val="center"/>
                </w:tcPr>
                <w:p w14:paraId="48803C47">
                  <w:pPr>
                    <w:pStyle w:val="159"/>
                  </w:pPr>
                  <w:r>
                    <w:rPr>
                      <w:rFonts w:hint="eastAsia"/>
                    </w:rPr>
                    <w:t>电缆过渡</w:t>
                  </w:r>
                </w:p>
              </w:tc>
            </w:tr>
            <w:tr w14:paraId="0EF2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4DCBEB4A">
                  <w:pPr>
                    <w:pStyle w:val="159"/>
                  </w:pPr>
                  <w:r>
                    <w:t>380V</w:t>
                  </w:r>
                  <w:r>
                    <w:rPr>
                      <w:szCs w:val="21"/>
                    </w:rPr>
                    <w:t>及以下电力线</w:t>
                  </w:r>
                </w:p>
              </w:tc>
              <w:tc>
                <w:tcPr>
                  <w:tcW w:w="1203" w:type="pct"/>
                  <w:vAlign w:val="center"/>
                </w:tcPr>
                <w:p w14:paraId="230E49BB">
                  <w:pPr>
                    <w:pStyle w:val="159"/>
                  </w:pPr>
                  <w:r>
                    <w:t>4</w:t>
                  </w:r>
                </w:p>
              </w:tc>
              <w:tc>
                <w:tcPr>
                  <w:tcW w:w="2000" w:type="pct"/>
                  <w:vAlign w:val="center"/>
                </w:tcPr>
                <w:p w14:paraId="762F4839">
                  <w:pPr>
                    <w:pStyle w:val="159"/>
                  </w:pPr>
                </w:p>
              </w:tc>
            </w:tr>
            <w:tr w14:paraId="1CEC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0D5F4212">
                  <w:pPr>
                    <w:pStyle w:val="159"/>
                  </w:pPr>
                  <w:r>
                    <w:rPr>
                      <w:rFonts w:hint="eastAsia"/>
                    </w:rPr>
                    <w:t>县道</w:t>
                  </w:r>
                </w:p>
              </w:tc>
              <w:tc>
                <w:tcPr>
                  <w:tcW w:w="1203" w:type="pct"/>
                  <w:vAlign w:val="center"/>
                </w:tcPr>
                <w:p w14:paraId="1A766616">
                  <w:pPr>
                    <w:pStyle w:val="159"/>
                  </w:pPr>
                  <w:r>
                    <w:t>3</w:t>
                  </w:r>
                </w:p>
              </w:tc>
              <w:tc>
                <w:tcPr>
                  <w:tcW w:w="2000" w:type="pct"/>
                  <w:vAlign w:val="center"/>
                </w:tcPr>
                <w:p w14:paraId="4B3720A6">
                  <w:pPr>
                    <w:pStyle w:val="159"/>
                  </w:pPr>
                  <w:r>
                    <w:t>X081</w:t>
                  </w:r>
                </w:p>
              </w:tc>
            </w:tr>
            <w:tr w14:paraId="730A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33F19C1A">
                  <w:pPr>
                    <w:pStyle w:val="159"/>
                  </w:pPr>
                  <w:r>
                    <w:rPr>
                      <w:rFonts w:hint="eastAsia"/>
                    </w:rPr>
                    <w:t>水泥公路</w:t>
                  </w:r>
                </w:p>
              </w:tc>
              <w:tc>
                <w:tcPr>
                  <w:tcW w:w="1203" w:type="pct"/>
                  <w:vAlign w:val="center"/>
                </w:tcPr>
                <w:p w14:paraId="56FE72DA">
                  <w:pPr>
                    <w:pStyle w:val="159"/>
                  </w:pPr>
                  <w:r>
                    <w:t>7</w:t>
                  </w:r>
                </w:p>
              </w:tc>
              <w:tc>
                <w:tcPr>
                  <w:tcW w:w="2000" w:type="pct"/>
                  <w:vAlign w:val="center"/>
                </w:tcPr>
                <w:p w14:paraId="7A88F420">
                  <w:pPr>
                    <w:pStyle w:val="159"/>
                  </w:pPr>
                </w:p>
              </w:tc>
            </w:tr>
            <w:tr w14:paraId="53E8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1D0EE688">
                  <w:pPr>
                    <w:pStyle w:val="159"/>
                  </w:pPr>
                  <w:r>
                    <w:rPr>
                      <w:rFonts w:hint="eastAsia"/>
                    </w:rPr>
                    <w:t>机耕路</w:t>
                  </w:r>
                </w:p>
              </w:tc>
              <w:tc>
                <w:tcPr>
                  <w:tcW w:w="1203" w:type="pct"/>
                  <w:vAlign w:val="center"/>
                </w:tcPr>
                <w:p w14:paraId="5FAEBD68">
                  <w:pPr>
                    <w:pStyle w:val="159"/>
                  </w:pPr>
                  <w:r>
                    <w:rPr>
                      <w:rFonts w:hint="eastAsia"/>
                    </w:rPr>
                    <w:t>5</w:t>
                  </w:r>
                </w:p>
              </w:tc>
              <w:tc>
                <w:tcPr>
                  <w:tcW w:w="2000" w:type="pct"/>
                  <w:vAlign w:val="center"/>
                </w:tcPr>
                <w:p w14:paraId="4DA5277E">
                  <w:pPr>
                    <w:pStyle w:val="159"/>
                  </w:pPr>
                </w:p>
              </w:tc>
            </w:tr>
            <w:tr w14:paraId="6AA2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5BC4CC9C">
                  <w:pPr>
                    <w:pStyle w:val="159"/>
                  </w:pPr>
                  <w:r>
                    <w:rPr>
                      <w:rFonts w:hint="eastAsia"/>
                    </w:rPr>
                    <w:t>土路</w:t>
                  </w:r>
                </w:p>
              </w:tc>
              <w:tc>
                <w:tcPr>
                  <w:tcW w:w="1203" w:type="pct"/>
                  <w:vAlign w:val="center"/>
                </w:tcPr>
                <w:p w14:paraId="27EA6473">
                  <w:pPr>
                    <w:pStyle w:val="159"/>
                  </w:pPr>
                  <w:r>
                    <w:rPr>
                      <w:rFonts w:hint="eastAsia"/>
                    </w:rPr>
                    <w:t>1</w:t>
                  </w:r>
                </w:p>
              </w:tc>
              <w:tc>
                <w:tcPr>
                  <w:tcW w:w="2000" w:type="pct"/>
                  <w:vAlign w:val="center"/>
                </w:tcPr>
                <w:p w14:paraId="661C66D8">
                  <w:pPr>
                    <w:pStyle w:val="159"/>
                  </w:pPr>
                </w:p>
              </w:tc>
            </w:tr>
            <w:tr w14:paraId="4ED5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733D00A7">
                  <w:pPr>
                    <w:pStyle w:val="159"/>
                  </w:pPr>
                  <w:r>
                    <w:rPr>
                      <w:rFonts w:hint="eastAsia"/>
                    </w:rPr>
                    <w:t>通信线</w:t>
                  </w:r>
                </w:p>
              </w:tc>
              <w:tc>
                <w:tcPr>
                  <w:tcW w:w="1203" w:type="pct"/>
                  <w:vAlign w:val="center"/>
                </w:tcPr>
                <w:p w14:paraId="064EFC62">
                  <w:pPr>
                    <w:pStyle w:val="159"/>
                  </w:pPr>
                  <w:r>
                    <w:t>9</w:t>
                  </w:r>
                </w:p>
              </w:tc>
              <w:tc>
                <w:tcPr>
                  <w:tcW w:w="2000" w:type="pct"/>
                  <w:vAlign w:val="center"/>
                </w:tcPr>
                <w:p w14:paraId="1F34FCDE">
                  <w:pPr>
                    <w:pStyle w:val="159"/>
                  </w:pPr>
                </w:p>
              </w:tc>
            </w:tr>
            <w:tr w14:paraId="3E08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716E2375">
                  <w:pPr>
                    <w:pStyle w:val="159"/>
                  </w:pPr>
                  <w:r>
                    <w:rPr>
                      <w:rFonts w:hint="eastAsia"/>
                    </w:rPr>
                    <w:t>溪</w:t>
                  </w:r>
                </w:p>
              </w:tc>
              <w:tc>
                <w:tcPr>
                  <w:tcW w:w="1203" w:type="pct"/>
                  <w:vAlign w:val="center"/>
                </w:tcPr>
                <w:p w14:paraId="29532C4D">
                  <w:pPr>
                    <w:pStyle w:val="159"/>
                  </w:pPr>
                  <w:r>
                    <w:t>3</w:t>
                  </w:r>
                </w:p>
              </w:tc>
              <w:tc>
                <w:tcPr>
                  <w:tcW w:w="2000" w:type="pct"/>
                  <w:vAlign w:val="center"/>
                </w:tcPr>
                <w:p w14:paraId="76D755EB">
                  <w:pPr>
                    <w:pStyle w:val="159"/>
                  </w:pPr>
                </w:p>
              </w:tc>
            </w:tr>
            <w:tr w14:paraId="2E5A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7" w:type="pct"/>
                  <w:vAlign w:val="center"/>
                </w:tcPr>
                <w:p w14:paraId="568CBDC5">
                  <w:pPr>
                    <w:pStyle w:val="159"/>
                  </w:pPr>
                  <w:r>
                    <w:rPr>
                      <w:rFonts w:hint="eastAsia"/>
                    </w:rPr>
                    <w:t>东河</w:t>
                  </w:r>
                </w:p>
              </w:tc>
              <w:tc>
                <w:tcPr>
                  <w:tcW w:w="1203" w:type="pct"/>
                  <w:vAlign w:val="center"/>
                </w:tcPr>
                <w:p w14:paraId="7058FFA3">
                  <w:pPr>
                    <w:pStyle w:val="159"/>
                  </w:pPr>
                  <w:r>
                    <w:t>1</w:t>
                  </w:r>
                </w:p>
              </w:tc>
              <w:tc>
                <w:tcPr>
                  <w:tcW w:w="2000" w:type="pct"/>
                  <w:vAlign w:val="center"/>
                </w:tcPr>
                <w:p w14:paraId="2153FE96">
                  <w:pPr>
                    <w:pStyle w:val="159"/>
                  </w:pPr>
                  <w:r>
                    <w:t>350</w:t>
                  </w:r>
                  <w:r>
                    <w:rPr>
                      <w:rFonts w:hint="eastAsia"/>
                    </w:rPr>
                    <w:t>m宽（通航）</w:t>
                  </w:r>
                </w:p>
              </w:tc>
            </w:tr>
          </w:tbl>
          <w:p w14:paraId="1329FF53">
            <w:pPr>
              <w:pStyle w:val="3"/>
              <w:ind w:firstLine="480"/>
            </w:pPr>
            <w:r>
              <w:t>3</w:t>
            </w:r>
            <w:r>
              <w:rPr>
                <w:rFonts w:hint="eastAsia"/>
              </w:rPr>
              <w:t>）杆塔</w:t>
            </w:r>
          </w:p>
          <w:p w14:paraId="71F90C3D">
            <w:pPr>
              <w:pStyle w:val="3"/>
              <w:ind w:firstLine="480"/>
            </w:pPr>
            <w:r>
              <w:rPr>
                <w:rFonts w:hint="eastAsia"/>
              </w:rPr>
              <w:t>本工程共使用杆塔</w:t>
            </w:r>
            <w:r>
              <w:t>70</w:t>
            </w:r>
            <w:r>
              <w:rPr>
                <w:rFonts w:hint="eastAsia"/>
              </w:rPr>
              <w:t>基，</w:t>
            </w:r>
            <w:r>
              <w:rPr>
                <w:lang w:val="zh-CN"/>
              </w:rPr>
              <w:t>拟采用的杆塔型式具体为：110</w:t>
            </w:r>
            <w:r>
              <w:rPr>
                <w:rFonts w:hint="eastAsia"/>
                <w:lang w:val="zh-CN"/>
              </w:rPr>
              <w:t>－</w:t>
            </w:r>
            <w:r>
              <w:rPr>
                <w:lang w:val="zh-CN"/>
              </w:rPr>
              <w:t>DA31D</w:t>
            </w:r>
            <w:r>
              <w:rPr>
                <w:rFonts w:hint="eastAsia"/>
                <w:lang w:val="zh-CN"/>
              </w:rPr>
              <w:t>－</w:t>
            </w:r>
            <w:r>
              <w:rPr>
                <w:lang w:val="zh-CN"/>
              </w:rPr>
              <w:t>ZMC</w:t>
            </w:r>
            <w:r>
              <w:t>2、</w:t>
            </w:r>
            <w:r>
              <w:rPr>
                <w:lang w:val="zh-CN"/>
              </w:rPr>
              <w:t>110</w:t>
            </w:r>
            <w:r>
              <w:rPr>
                <w:rFonts w:hint="eastAsia"/>
                <w:lang w:val="zh-CN"/>
              </w:rPr>
              <w:t>－</w:t>
            </w:r>
            <w:r>
              <w:rPr>
                <w:lang w:val="zh-CN"/>
              </w:rPr>
              <w:t>DA31D</w:t>
            </w:r>
            <w:r>
              <w:rPr>
                <w:rFonts w:hint="eastAsia"/>
                <w:lang w:val="zh-CN"/>
              </w:rPr>
              <w:t>－</w:t>
            </w:r>
            <w:r>
              <w:rPr>
                <w:lang w:val="zh-CN"/>
              </w:rPr>
              <w:t>ZMC</w:t>
            </w:r>
            <w:r>
              <w:t>3、</w:t>
            </w:r>
            <w:r>
              <w:rPr>
                <w:lang w:val="zh-CN"/>
              </w:rPr>
              <w:t>110</w:t>
            </w:r>
            <w:r>
              <w:rPr>
                <w:rFonts w:hint="eastAsia"/>
                <w:lang w:val="zh-CN"/>
              </w:rPr>
              <w:t>－</w:t>
            </w:r>
            <w:r>
              <w:rPr>
                <w:lang w:val="zh-CN"/>
              </w:rPr>
              <w:t>DA31D</w:t>
            </w:r>
            <w:r>
              <w:rPr>
                <w:rFonts w:hint="eastAsia"/>
                <w:lang w:val="zh-CN"/>
              </w:rPr>
              <w:t>－</w:t>
            </w:r>
            <w:r>
              <w:rPr>
                <w:lang w:val="zh-CN"/>
              </w:rPr>
              <w:t>ZMC</w:t>
            </w:r>
            <w:r>
              <w:t>4、1ZT421、1ZT422</w:t>
            </w:r>
            <w:r>
              <w:rPr>
                <w:lang w:val="zh-CN"/>
              </w:rPr>
              <w:t>单回路直线塔，110</w:t>
            </w:r>
            <w:r>
              <w:rPr>
                <w:rFonts w:hint="eastAsia"/>
                <w:lang w:val="zh-CN"/>
              </w:rPr>
              <w:t>－</w:t>
            </w:r>
            <w:r>
              <w:rPr>
                <w:lang w:val="zh-CN"/>
              </w:rPr>
              <w:t>DA31D</w:t>
            </w:r>
            <w:r>
              <w:rPr>
                <w:rFonts w:hint="eastAsia"/>
                <w:lang w:val="zh-CN"/>
              </w:rPr>
              <w:t>－</w:t>
            </w:r>
            <w:r>
              <w:t>JC1、</w:t>
            </w:r>
            <w:r>
              <w:rPr>
                <w:lang w:val="zh-CN"/>
              </w:rPr>
              <w:t>110</w:t>
            </w:r>
            <w:r>
              <w:rPr>
                <w:rFonts w:hint="eastAsia"/>
                <w:lang w:val="zh-CN"/>
              </w:rPr>
              <w:t>－</w:t>
            </w:r>
            <w:r>
              <w:rPr>
                <w:lang w:val="zh-CN"/>
              </w:rPr>
              <w:t>DA31D</w:t>
            </w:r>
            <w:r>
              <w:rPr>
                <w:rFonts w:hint="eastAsia"/>
                <w:lang w:val="zh-CN"/>
              </w:rPr>
              <w:t>－</w:t>
            </w:r>
            <w:r>
              <w:t>JC2、</w:t>
            </w:r>
            <w:r>
              <w:rPr>
                <w:lang w:val="zh-CN"/>
              </w:rPr>
              <w:t>110</w:t>
            </w:r>
            <w:r>
              <w:rPr>
                <w:rFonts w:hint="eastAsia"/>
                <w:lang w:val="zh-CN"/>
              </w:rPr>
              <w:t>－</w:t>
            </w:r>
            <w:r>
              <w:rPr>
                <w:lang w:val="zh-CN"/>
              </w:rPr>
              <w:t>DA31D</w:t>
            </w:r>
            <w:r>
              <w:rPr>
                <w:rFonts w:hint="eastAsia"/>
                <w:lang w:val="zh-CN"/>
              </w:rPr>
              <w:t>－</w:t>
            </w:r>
            <w:r>
              <w:t>JC3、1JT421</w:t>
            </w:r>
            <w:r>
              <w:rPr>
                <w:lang w:val="zh-CN"/>
              </w:rPr>
              <w:t>单回路耐张塔，</w:t>
            </w:r>
            <w:r>
              <w:t>1DT421</w:t>
            </w:r>
            <w:r>
              <w:rPr>
                <w:lang w:val="zh-CN"/>
              </w:rPr>
              <w:t>单回路终端塔，1DL</w:t>
            </w:r>
            <w:r>
              <w:rPr>
                <w:rFonts w:hint="eastAsia"/>
                <w:lang w:val="zh-CN"/>
              </w:rPr>
              <w:t>－</w:t>
            </w:r>
            <w:r>
              <w:t>DT</w:t>
            </w:r>
            <w:r>
              <w:rPr>
                <w:lang w:val="zh-CN"/>
              </w:rPr>
              <w:t>单回路电缆终端塔，共</w:t>
            </w:r>
            <w:r>
              <w:t>5</w:t>
            </w:r>
            <w:r>
              <w:rPr>
                <w:lang w:val="zh-CN"/>
              </w:rPr>
              <w:t>个模块</w:t>
            </w:r>
            <w:r>
              <w:t>11</w:t>
            </w:r>
            <w:r>
              <w:rPr>
                <w:lang w:val="zh-CN"/>
              </w:rPr>
              <w:t>种塔型。</w:t>
            </w:r>
          </w:p>
          <w:p w14:paraId="235D6988">
            <w:pPr>
              <w:pStyle w:val="148"/>
            </w:pPr>
            <w:r>
              <w:rPr>
                <w:rFonts w:hint="eastAsia"/>
              </w:rPr>
              <w:t>表2</w:t>
            </w:r>
            <w:r>
              <w:t xml:space="preserve">.2-5  </w:t>
            </w:r>
            <w:r>
              <w:rPr>
                <w:rFonts w:hint="eastAsia"/>
              </w:rPr>
              <w:t>杆塔模块使用条件一览表</w:t>
            </w:r>
          </w:p>
          <w:tbl>
            <w:tblPr>
              <w:tblStyle w:val="40"/>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90"/>
              <w:gridCol w:w="849"/>
              <w:gridCol w:w="890"/>
              <w:gridCol w:w="2091"/>
              <w:gridCol w:w="1220"/>
            </w:tblGrid>
            <w:tr w14:paraId="3361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5119E5A5">
                  <w:pPr>
                    <w:pStyle w:val="159"/>
                  </w:pPr>
                  <w:r>
                    <w:rPr>
                      <w:lang w:val="zh-CN"/>
                    </w:rPr>
                    <w:t>杆塔型号</w:t>
                  </w:r>
                </w:p>
              </w:tc>
              <w:tc>
                <w:tcPr>
                  <w:tcW w:w="503" w:type="pct"/>
                  <w:vAlign w:val="center"/>
                </w:tcPr>
                <w:p w14:paraId="29A753F0">
                  <w:pPr>
                    <w:pStyle w:val="159"/>
                    <w:rPr>
                      <w:lang w:val="zh-CN"/>
                    </w:rPr>
                  </w:pPr>
                  <w:r>
                    <w:t>呼高</w:t>
                  </w:r>
                </w:p>
              </w:tc>
              <w:tc>
                <w:tcPr>
                  <w:tcW w:w="527" w:type="pct"/>
                  <w:tcMar>
                    <w:top w:w="15" w:type="dxa"/>
                    <w:left w:w="15" w:type="dxa"/>
                    <w:bottom w:w="0" w:type="dxa"/>
                    <w:right w:w="15" w:type="dxa"/>
                  </w:tcMar>
                  <w:vAlign w:val="center"/>
                </w:tcPr>
                <w:p w14:paraId="698BCDC5">
                  <w:pPr>
                    <w:pStyle w:val="159"/>
                    <w:rPr>
                      <w:lang w:val="zh-CN"/>
                    </w:rPr>
                  </w:pPr>
                  <w:r>
                    <w:rPr>
                      <w:lang w:val="zh-CN"/>
                    </w:rPr>
                    <w:t>基数</w:t>
                  </w:r>
                </w:p>
              </w:tc>
              <w:tc>
                <w:tcPr>
                  <w:tcW w:w="1239" w:type="pct"/>
                  <w:vAlign w:val="center"/>
                </w:tcPr>
                <w:p w14:paraId="75E7FA97">
                  <w:pPr>
                    <w:pStyle w:val="159"/>
                    <w:rPr>
                      <w:lang w:val="zh-CN"/>
                    </w:rPr>
                  </w:pPr>
                  <w:r>
                    <w:rPr>
                      <w:rFonts w:hint="eastAsia"/>
                      <w:lang w:val="zh-CN"/>
                    </w:rPr>
                    <w:t>类型</w:t>
                  </w:r>
                </w:p>
              </w:tc>
              <w:tc>
                <w:tcPr>
                  <w:tcW w:w="723" w:type="pct"/>
                  <w:vAlign w:val="center"/>
                </w:tcPr>
                <w:p w14:paraId="007F4C5C">
                  <w:pPr>
                    <w:pStyle w:val="159"/>
                    <w:rPr>
                      <w:lang w:val="zh-CN"/>
                    </w:rPr>
                  </w:pPr>
                  <w:r>
                    <w:rPr>
                      <w:rFonts w:hint="eastAsia"/>
                      <w:lang w:val="zh-CN"/>
                    </w:rPr>
                    <w:t>备注</w:t>
                  </w:r>
                </w:p>
              </w:tc>
            </w:tr>
            <w:tr w14:paraId="6001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4F1358C9">
                  <w:pPr>
                    <w:pStyle w:val="159"/>
                  </w:pPr>
                  <w:r>
                    <w:rPr>
                      <w:lang w:val="zh-CN"/>
                    </w:rPr>
                    <w:t>110</w:t>
                  </w:r>
                  <w:r>
                    <w:rPr>
                      <w:rFonts w:hint="eastAsia"/>
                      <w:lang w:val="zh-CN"/>
                    </w:rPr>
                    <w:t>－</w:t>
                  </w:r>
                  <w:r>
                    <w:rPr>
                      <w:lang w:val="zh-CN"/>
                    </w:rPr>
                    <w:t>DA31D</w:t>
                  </w:r>
                  <w:r>
                    <w:rPr>
                      <w:rFonts w:hint="eastAsia"/>
                      <w:lang w:val="zh-CN"/>
                    </w:rPr>
                    <w:t>－</w:t>
                  </w:r>
                  <w:r>
                    <w:rPr>
                      <w:lang w:val="zh-CN"/>
                    </w:rPr>
                    <w:t>ZMC</w:t>
                  </w:r>
                  <w:r>
                    <w:t>2</w:t>
                  </w:r>
                </w:p>
              </w:tc>
              <w:tc>
                <w:tcPr>
                  <w:tcW w:w="503" w:type="pct"/>
                  <w:vAlign w:val="center"/>
                </w:tcPr>
                <w:p w14:paraId="60A8820E">
                  <w:pPr>
                    <w:pStyle w:val="159"/>
                  </w:pPr>
                  <w:r>
                    <w:t>36</w:t>
                  </w:r>
                </w:p>
              </w:tc>
              <w:tc>
                <w:tcPr>
                  <w:tcW w:w="527" w:type="pct"/>
                  <w:tcMar>
                    <w:top w:w="15" w:type="dxa"/>
                    <w:left w:w="15" w:type="dxa"/>
                    <w:bottom w:w="0" w:type="dxa"/>
                    <w:right w:w="15" w:type="dxa"/>
                  </w:tcMar>
                  <w:vAlign w:val="center"/>
                </w:tcPr>
                <w:p w14:paraId="3441EBD7">
                  <w:pPr>
                    <w:pStyle w:val="159"/>
                  </w:pPr>
                  <w:r>
                    <w:rPr>
                      <w:rFonts w:hint="eastAsia"/>
                    </w:rPr>
                    <w:t>2</w:t>
                  </w:r>
                </w:p>
              </w:tc>
              <w:tc>
                <w:tcPr>
                  <w:tcW w:w="1239" w:type="pct"/>
                  <w:vAlign w:val="center"/>
                </w:tcPr>
                <w:p w14:paraId="1A76FC69">
                  <w:pPr>
                    <w:pStyle w:val="159"/>
                  </w:pPr>
                  <w:r>
                    <w:rPr>
                      <w:rFonts w:hint="eastAsia"/>
                    </w:rPr>
                    <w:t>单回直线塔</w:t>
                  </w:r>
                </w:p>
              </w:tc>
              <w:tc>
                <w:tcPr>
                  <w:tcW w:w="723" w:type="pct"/>
                  <w:vMerge w:val="restart"/>
                  <w:vAlign w:val="center"/>
                </w:tcPr>
                <w:p w14:paraId="7433ED83">
                  <w:pPr>
                    <w:pStyle w:val="159"/>
                  </w:pPr>
                  <w:r>
                    <w:rPr>
                      <w:rFonts w:hint="eastAsia"/>
                    </w:rPr>
                    <w:t>1</w:t>
                  </w:r>
                  <w:r>
                    <w:t>5m</w:t>
                  </w:r>
                  <w:r>
                    <w:rPr>
                      <w:rFonts w:hint="eastAsia"/>
                    </w:rPr>
                    <w:t>m冰区，共2</w:t>
                  </w:r>
                  <w:r>
                    <w:t>1</w:t>
                  </w:r>
                  <w:r>
                    <w:rPr>
                      <w:rFonts w:hint="eastAsia"/>
                    </w:rPr>
                    <w:t>基</w:t>
                  </w:r>
                </w:p>
              </w:tc>
            </w:tr>
            <w:tr w14:paraId="3F7A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30235EEF">
                  <w:pPr>
                    <w:pStyle w:val="159"/>
                  </w:pPr>
                  <w:r>
                    <w:t>110</w:t>
                  </w:r>
                  <w:r>
                    <w:rPr>
                      <w:rFonts w:hint="eastAsia"/>
                    </w:rPr>
                    <w:t>－</w:t>
                  </w:r>
                  <w:r>
                    <w:t>DA31D</w:t>
                  </w:r>
                  <w:r>
                    <w:rPr>
                      <w:rFonts w:hint="eastAsia"/>
                    </w:rPr>
                    <w:t>－</w:t>
                  </w:r>
                  <w:r>
                    <w:t>ZMC3</w:t>
                  </w:r>
                </w:p>
              </w:tc>
              <w:tc>
                <w:tcPr>
                  <w:tcW w:w="503" w:type="pct"/>
                  <w:vAlign w:val="center"/>
                </w:tcPr>
                <w:p w14:paraId="742556FF">
                  <w:pPr>
                    <w:pStyle w:val="159"/>
                  </w:pPr>
                  <w:r>
                    <w:rPr>
                      <w:rFonts w:hint="eastAsia"/>
                    </w:rPr>
                    <w:t>3</w:t>
                  </w:r>
                  <w:r>
                    <w:t>1</w:t>
                  </w:r>
                </w:p>
              </w:tc>
              <w:tc>
                <w:tcPr>
                  <w:tcW w:w="527" w:type="pct"/>
                  <w:tcMar>
                    <w:top w:w="15" w:type="dxa"/>
                    <w:left w:w="15" w:type="dxa"/>
                    <w:bottom w:w="0" w:type="dxa"/>
                    <w:right w:w="15" w:type="dxa"/>
                  </w:tcMar>
                  <w:vAlign w:val="center"/>
                </w:tcPr>
                <w:p w14:paraId="57FDD24F">
                  <w:pPr>
                    <w:pStyle w:val="159"/>
                  </w:pPr>
                  <w:r>
                    <w:t>6</w:t>
                  </w:r>
                </w:p>
              </w:tc>
              <w:tc>
                <w:tcPr>
                  <w:tcW w:w="1239" w:type="pct"/>
                  <w:vAlign w:val="center"/>
                </w:tcPr>
                <w:p w14:paraId="51D7E402">
                  <w:pPr>
                    <w:pStyle w:val="159"/>
                  </w:pPr>
                  <w:r>
                    <w:rPr>
                      <w:rFonts w:hint="eastAsia"/>
                    </w:rPr>
                    <w:t>单回直线塔</w:t>
                  </w:r>
                </w:p>
              </w:tc>
              <w:tc>
                <w:tcPr>
                  <w:tcW w:w="723" w:type="pct"/>
                  <w:vMerge w:val="continue"/>
                  <w:vAlign w:val="center"/>
                </w:tcPr>
                <w:p w14:paraId="30BFE104">
                  <w:pPr>
                    <w:pStyle w:val="159"/>
                  </w:pPr>
                </w:p>
              </w:tc>
            </w:tr>
            <w:tr w14:paraId="0192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4A0DFDF2">
                  <w:pPr>
                    <w:pStyle w:val="159"/>
                  </w:pPr>
                  <w:r>
                    <w:t>110</w:t>
                  </w:r>
                  <w:r>
                    <w:rPr>
                      <w:rFonts w:hint="eastAsia"/>
                    </w:rPr>
                    <w:t>－</w:t>
                  </w:r>
                  <w:r>
                    <w:t>DA31D</w:t>
                  </w:r>
                  <w:r>
                    <w:rPr>
                      <w:rFonts w:hint="eastAsia"/>
                    </w:rPr>
                    <w:t>－</w:t>
                  </w:r>
                  <w:r>
                    <w:t>ZMC4</w:t>
                  </w:r>
                </w:p>
              </w:tc>
              <w:tc>
                <w:tcPr>
                  <w:tcW w:w="503" w:type="pct"/>
                  <w:vAlign w:val="center"/>
                </w:tcPr>
                <w:p w14:paraId="012D1E35">
                  <w:pPr>
                    <w:pStyle w:val="159"/>
                  </w:pPr>
                  <w:r>
                    <w:rPr>
                      <w:rFonts w:hint="eastAsia"/>
                    </w:rPr>
                    <w:t>5</w:t>
                  </w:r>
                  <w:r>
                    <w:t>1</w:t>
                  </w:r>
                </w:p>
              </w:tc>
              <w:tc>
                <w:tcPr>
                  <w:tcW w:w="527" w:type="pct"/>
                  <w:tcMar>
                    <w:top w:w="15" w:type="dxa"/>
                    <w:left w:w="15" w:type="dxa"/>
                    <w:bottom w:w="0" w:type="dxa"/>
                    <w:right w:w="15" w:type="dxa"/>
                  </w:tcMar>
                  <w:vAlign w:val="center"/>
                </w:tcPr>
                <w:p w14:paraId="15D40362">
                  <w:pPr>
                    <w:pStyle w:val="159"/>
                  </w:pPr>
                  <w:r>
                    <w:t>1</w:t>
                  </w:r>
                </w:p>
              </w:tc>
              <w:tc>
                <w:tcPr>
                  <w:tcW w:w="1239" w:type="pct"/>
                  <w:vAlign w:val="center"/>
                </w:tcPr>
                <w:p w14:paraId="26602775">
                  <w:pPr>
                    <w:pStyle w:val="159"/>
                  </w:pPr>
                  <w:r>
                    <w:rPr>
                      <w:rFonts w:hint="eastAsia"/>
                    </w:rPr>
                    <w:t>单回直线塔</w:t>
                  </w:r>
                </w:p>
              </w:tc>
              <w:tc>
                <w:tcPr>
                  <w:tcW w:w="723" w:type="pct"/>
                  <w:vMerge w:val="continue"/>
                  <w:vAlign w:val="center"/>
                </w:tcPr>
                <w:p w14:paraId="3C8F61E5">
                  <w:pPr>
                    <w:pStyle w:val="159"/>
                  </w:pPr>
                </w:p>
              </w:tc>
            </w:tr>
            <w:tr w14:paraId="677F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6EE8BA54">
                  <w:pPr>
                    <w:pStyle w:val="159"/>
                  </w:pPr>
                  <w:r>
                    <w:t>110</w:t>
                  </w:r>
                  <w:r>
                    <w:rPr>
                      <w:rFonts w:hint="eastAsia"/>
                    </w:rPr>
                    <w:t>－</w:t>
                  </w:r>
                  <w:r>
                    <w:t>DA31D</w:t>
                  </w:r>
                  <w:r>
                    <w:rPr>
                      <w:rFonts w:hint="eastAsia"/>
                    </w:rPr>
                    <w:t>－</w:t>
                  </w:r>
                  <w:r>
                    <w:t>JC1</w:t>
                  </w:r>
                </w:p>
              </w:tc>
              <w:tc>
                <w:tcPr>
                  <w:tcW w:w="503" w:type="pct"/>
                  <w:vAlign w:val="center"/>
                </w:tcPr>
                <w:p w14:paraId="1D73B20D">
                  <w:pPr>
                    <w:pStyle w:val="159"/>
                  </w:pPr>
                  <w:r>
                    <w:t>30</w:t>
                  </w:r>
                </w:p>
              </w:tc>
              <w:tc>
                <w:tcPr>
                  <w:tcW w:w="527" w:type="pct"/>
                  <w:tcMar>
                    <w:top w:w="15" w:type="dxa"/>
                    <w:left w:w="15" w:type="dxa"/>
                    <w:bottom w:w="0" w:type="dxa"/>
                    <w:right w:w="15" w:type="dxa"/>
                  </w:tcMar>
                  <w:vAlign w:val="center"/>
                </w:tcPr>
                <w:p w14:paraId="71410C3E">
                  <w:pPr>
                    <w:pStyle w:val="159"/>
                  </w:pPr>
                  <w:r>
                    <w:t>5</w:t>
                  </w:r>
                </w:p>
              </w:tc>
              <w:tc>
                <w:tcPr>
                  <w:tcW w:w="1239" w:type="pct"/>
                  <w:vAlign w:val="center"/>
                </w:tcPr>
                <w:p w14:paraId="2ED3DC53">
                  <w:pPr>
                    <w:pStyle w:val="159"/>
                  </w:pPr>
                  <w:r>
                    <w:rPr>
                      <w:rFonts w:hint="eastAsia"/>
                    </w:rPr>
                    <w:t>单回耐张塔</w:t>
                  </w:r>
                </w:p>
              </w:tc>
              <w:tc>
                <w:tcPr>
                  <w:tcW w:w="723" w:type="pct"/>
                  <w:vMerge w:val="continue"/>
                  <w:vAlign w:val="center"/>
                </w:tcPr>
                <w:p w14:paraId="3EA69067">
                  <w:pPr>
                    <w:pStyle w:val="159"/>
                  </w:pPr>
                </w:p>
              </w:tc>
            </w:tr>
            <w:tr w14:paraId="17A3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278DBAEC">
                  <w:pPr>
                    <w:pStyle w:val="159"/>
                  </w:pPr>
                  <w:r>
                    <w:t>110</w:t>
                  </w:r>
                  <w:r>
                    <w:rPr>
                      <w:rFonts w:hint="eastAsia"/>
                    </w:rPr>
                    <w:t>－</w:t>
                  </w:r>
                  <w:r>
                    <w:t>DA31D</w:t>
                  </w:r>
                  <w:r>
                    <w:rPr>
                      <w:rFonts w:hint="eastAsia"/>
                    </w:rPr>
                    <w:t>－</w:t>
                  </w:r>
                  <w:r>
                    <w:t>JC2</w:t>
                  </w:r>
                </w:p>
              </w:tc>
              <w:tc>
                <w:tcPr>
                  <w:tcW w:w="503" w:type="pct"/>
                  <w:vAlign w:val="center"/>
                </w:tcPr>
                <w:p w14:paraId="77AF9F24">
                  <w:pPr>
                    <w:pStyle w:val="159"/>
                  </w:pPr>
                  <w:r>
                    <w:t>30</w:t>
                  </w:r>
                </w:p>
              </w:tc>
              <w:tc>
                <w:tcPr>
                  <w:tcW w:w="527" w:type="pct"/>
                  <w:tcMar>
                    <w:top w:w="15" w:type="dxa"/>
                    <w:left w:w="15" w:type="dxa"/>
                    <w:bottom w:w="0" w:type="dxa"/>
                    <w:right w:w="15" w:type="dxa"/>
                  </w:tcMar>
                  <w:vAlign w:val="center"/>
                </w:tcPr>
                <w:p w14:paraId="0348B712">
                  <w:pPr>
                    <w:pStyle w:val="159"/>
                  </w:pPr>
                  <w:r>
                    <w:rPr>
                      <w:rFonts w:hint="eastAsia"/>
                    </w:rPr>
                    <w:t>3</w:t>
                  </w:r>
                </w:p>
              </w:tc>
              <w:tc>
                <w:tcPr>
                  <w:tcW w:w="1239" w:type="pct"/>
                  <w:vAlign w:val="center"/>
                </w:tcPr>
                <w:p w14:paraId="0272ABB0">
                  <w:pPr>
                    <w:pStyle w:val="159"/>
                  </w:pPr>
                  <w:r>
                    <w:rPr>
                      <w:rFonts w:hint="eastAsia"/>
                    </w:rPr>
                    <w:t>单回耐张塔</w:t>
                  </w:r>
                </w:p>
              </w:tc>
              <w:tc>
                <w:tcPr>
                  <w:tcW w:w="723" w:type="pct"/>
                  <w:vMerge w:val="continue"/>
                  <w:vAlign w:val="center"/>
                </w:tcPr>
                <w:p w14:paraId="3ED1BB97">
                  <w:pPr>
                    <w:pStyle w:val="159"/>
                  </w:pPr>
                </w:p>
              </w:tc>
            </w:tr>
            <w:tr w14:paraId="79FD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04892D4E">
                  <w:pPr>
                    <w:pStyle w:val="159"/>
                  </w:pPr>
                  <w:r>
                    <w:t>110</w:t>
                  </w:r>
                  <w:r>
                    <w:rPr>
                      <w:rFonts w:hint="eastAsia"/>
                    </w:rPr>
                    <w:t>－</w:t>
                  </w:r>
                  <w:r>
                    <w:t>DA31D</w:t>
                  </w:r>
                  <w:r>
                    <w:rPr>
                      <w:rFonts w:hint="eastAsia"/>
                    </w:rPr>
                    <w:t>－</w:t>
                  </w:r>
                  <w:r>
                    <w:t>JC3</w:t>
                  </w:r>
                </w:p>
              </w:tc>
              <w:tc>
                <w:tcPr>
                  <w:tcW w:w="503" w:type="pct"/>
                  <w:vAlign w:val="center"/>
                </w:tcPr>
                <w:p w14:paraId="6B7041E7">
                  <w:pPr>
                    <w:pStyle w:val="159"/>
                  </w:pPr>
                  <w:r>
                    <w:t>30</w:t>
                  </w:r>
                </w:p>
              </w:tc>
              <w:tc>
                <w:tcPr>
                  <w:tcW w:w="527" w:type="pct"/>
                  <w:tcMar>
                    <w:top w:w="15" w:type="dxa"/>
                    <w:left w:w="15" w:type="dxa"/>
                    <w:bottom w:w="0" w:type="dxa"/>
                    <w:right w:w="15" w:type="dxa"/>
                  </w:tcMar>
                  <w:vAlign w:val="center"/>
                </w:tcPr>
                <w:p w14:paraId="1D9BB865">
                  <w:pPr>
                    <w:pStyle w:val="159"/>
                  </w:pPr>
                  <w:r>
                    <w:t>3</w:t>
                  </w:r>
                </w:p>
              </w:tc>
              <w:tc>
                <w:tcPr>
                  <w:tcW w:w="1239" w:type="pct"/>
                  <w:vAlign w:val="center"/>
                </w:tcPr>
                <w:p w14:paraId="6D6809B1">
                  <w:pPr>
                    <w:pStyle w:val="159"/>
                  </w:pPr>
                  <w:r>
                    <w:rPr>
                      <w:rFonts w:hint="eastAsia"/>
                    </w:rPr>
                    <w:t>单回耐张塔</w:t>
                  </w:r>
                </w:p>
              </w:tc>
              <w:tc>
                <w:tcPr>
                  <w:tcW w:w="723" w:type="pct"/>
                  <w:vMerge w:val="continue"/>
                  <w:vAlign w:val="center"/>
                </w:tcPr>
                <w:p w14:paraId="6A3ABF53">
                  <w:pPr>
                    <w:pStyle w:val="159"/>
                  </w:pPr>
                </w:p>
              </w:tc>
            </w:tr>
            <w:tr w14:paraId="7065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1476F4A4">
                  <w:pPr>
                    <w:pStyle w:val="159"/>
                  </w:pPr>
                  <w:r>
                    <w:t>1DL</w:t>
                  </w:r>
                  <w:r>
                    <w:rPr>
                      <w:rFonts w:hint="eastAsia"/>
                    </w:rPr>
                    <w:t>－</w:t>
                  </w:r>
                  <w:r>
                    <w:t>DT</w:t>
                  </w:r>
                </w:p>
              </w:tc>
              <w:tc>
                <w:tcPr>
                  <w:tcW w:w="503" w:type="pct"/>
                  <w:vAlign w:val="center"/>
                </w:tcPr>
                <w:p w14:paraId="47790001">
                  <w:pPr>
                    <w:pStyle w:val="159"/>
                  </w:pPr>
                  <w:r>
                    <w:t>24</w:t>
                  </w:r>
                </w:p>
              </w:tc>
              <w:tc>
                <w:tcPr>
                  <w:tcW w:w="527" w:type="pct"/>
                  <w:tcMar>
                    <w:top w:w="15" w:type="dxa"/>
                    <w:left w:w="15" w:type="dxa"/>
                    <w:bottom w:w="0" w:type="dxa"/>
                    <w:right w:w="15" w:type="dxa"/>
                  </w:tcMar>
                  <w:vAlign w:val="center"/>
                </w:tcPr>
                <w:p w14:paraId="3293EFDA">
                  <w:pPr>
                    <w:pStyle w:val="159"/>
                  </w:pPr>
                  <w:r>
                    <w:t>1</w:t>
                  </w:r>
                </w:p>
              </w:tc>
              <w:tc>
                <w:tcPr>
                  <w:tcW w:w="1239" w:type="pct"/>
                  <w:vAlign w:val="center"/>
                </w:tcPr>
                <w:p w14:paraId="3DCE41FC">
                  <w:pPr>
                    <w:pStyle w:val="159"/>
                  </w:pPr>
                  <w:r>
                    <w:rPr>
                      <w:rFonts w:hint="eastAsia"/>
                    </w:rPr>
                    <w:t>电缆终端塔</w:t>
                  </w:r>
                </w:p>
              </w:tc>
              <w:tc>
                <w:tcPr>
                  <w:tcW w:w="723" w:type="pct"/>
                  <w:vMerge w:val="continue"/>
                  <w:vAlign w:val="center"/>
                </w:tcPr>
                <w:p w14:paraId="0024125E">
                  <w:pPr>
                    <w:pStyle w:val="159"/>
                  </w:pPr>
                </w:p>
              </w:tc>
            </w:tr>
            <w:tr w14:paraId="4FA2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778DE9DE">
                  <w:pPr>
                    <w:pStyle w:val="159"/>
                  </w:pPr>
                  <w:r>
                    <w:t>1ZT421</w:t>
                  </w:r>
                </w:p>
              </w:tc>
              <w:tc>
                <w:tcPr>
                  <w:tcW w:w="503" w:type="pct"/>
                  <w:vAlign w:val="center"/>
                </w:tcPr>
                <w:p w14:paraId="518C2884">
                  <w:pPr>
                    <w:pStyle w:val="159"/>
                  </w:pPr>
                  <w:r>
                    <w:rPr>
                      <w:rFonts w:hint="eastAsia"/>
                    </w:rPr>
                    <w:t>3</w:t>
                  </w:r>
                  <w:r>
                    <w:t>6</w:t>
                  </w:r>
                </w:p>
              </w:tc>
              <w:tc>
                <w:tcPr>
                  <w:tcW w:w="527" w:type="pct"/>
                  <w:tcMar>
                    <w:top w:w="15" w:type="dxa"/>
                    <w:left w:w="15" w:type="dxa"/>
                    <w:bottom w:w="0" w:type="dxa"/>
                    <w:right w:w="15" w:type="dxa"/>
                  </w:tcMar>
                  <w:vAlign w:val="center"/>
                </w:tcPr>
                <w:p w14:paraId="1A51CFEE">
                  <w:pPr>
                    <w:pStyle w:val="159"/>
                  </w:pPr>
                  <w:r>
                    <w:t>5</w:t>
                  </w:r>
                </w:p>
              </w:tc>
              <w:tc>
                <w:tcPr>
                  <w:tcW w:w="1239" w:type="pct"/>
                  <w:vAlign w:val="center"/>
                </w:tcPr>
                <w:p w14:paraId="4B72DCDF">
                  <w:pPr>
                    <w:pStyle w:val="159"/>
                  </w:pPr>
                  <w:r>
                    <w:rPr>
                      <w:rFonts w:hint="eastAsia"/>
                    </w:rPr>
                    <w:t>单回直线塔</w:t>
                  </w:r>
                </w:p>
              </w:tc>
              <w:tc>
                <w:tcPr>
                  <w:tcW w:w="723" w:type="pct"/>
                  <w:vMerge w:val="restart"/>
                  <w:vAlign w:val="center"/>
                </w:tcPr>
                <w:p w14:paraId="181B80C5">
                  <w:pPr>
                    <w:pStyle w:val="159"/>
                  </w:pPr>
                  <w:r>
                    <w:t>20m</w:t>
                  </w:r>
                  <w:r>
                    <w:rPr>
                      <w:rFonts w:hint="eastAsia"/>
                    </w:rPr>
                    <w:t>m冰区，共</w:t>
                  </w:r>
                  <w:r>
                    <w:t>49</w:t>
                  </w:r>
                  <w:r>
                    <w:rPr>
                      <w:rFonts w:hint="eastAsia"/>
                    </w:rPr>
                    <w:t>基</w:t>
                  </w:r>
                </w:p>
              </w:tc>
            </w:tr>
            <w:tr w14:paraId="3874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2A48DCBE">
                  <w:pPr>
                    <w:pStyle w:val="159"/>
                  </w:pPr>
                  <w:r>
                    <w:t>1ZT422</w:t>
                  </w:r>
                </w:p>
              </w:tc>
              <w:tc>
                <w:tcPr>
                  <w:tcW w:w="503" w:type="pct"/>
                  <w:vAlign w:val="center"/>
                </w:tcPr>
                <w:p w14:paraId="28706C0C">
                  <w:pPr>
                    <w:pStyle w:val="159"/>
                  </w:pPr>
                  <w:r>
                    <w:rPr>
                      <w:rFonts w:hint="eastAsia"/>
                    </w:rPr>
                    <w:t>3</w:t>
                  </w:r>
                  <w:r>
                    <w:t>6</w:t>
                  </w:r>
                </w:p>
              </w:tc>
              <w:tc>
                <w:tcPr>
                  <w:tcW w:w="527" w:type="pct"/>
                  <w:tcMar>
                    <w:top w:w="15" w:type="dxa"/>
                    <w:left w:w="15" w:type="dxa"/>
                    <w:bottom w:w="0" w:type="dxa"/>
                    <w:right w:w="15" w:type="dxa"/>
                  </w:tcMar>
                  <w:vAlign w:val="center"/>
                </w:tcPr>
                <w:p w14:paraId="48492097">
                  <w:pPr>
                    <w:pStyle w:val="159"/>
                  </w:pPr>
                  <w:r>
                    <w:t>8</w:t>
                  </w:r>
                </w:p>
              </w:tc>
              <w:tc>
                <w:tcPr>
                  <w:tcW w:w="1239" w:type="pct"/>
                  <w:vAlign w:val="center"/>
                </w:tcPr>
                <w:p w14:paraId="04CEE278">
                  <w:pPr>
                    <w:pStyle w:val="159"/>
                  </w:pPr>
                  <w:r>
                    <w:rPr>
                      <w:rFonts w:hint="eastAsia"/>
                    </w:rPr>
                    <w:t>单回直线塔</w:t>
                  </w:r>
                </w:p>
              </w:tc>
              <w:tc>
                <w:tcPr>
                  <w:tcW w:w="723" w:type="pct"/>
                  <w:vMerge w:val="continue"/>
                  <w:vAlign w:val="center"/>
                </w:tcPr>
                <w:p w14:paraId="78BE7C04">
                  <w:pPr>
                    <w:pStyle w:val="159"/>
                  </w:pPr>
                </w:p>
              </w:tc>
            </w:tr>
            <w:tr w14:paraId="28B7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5B83F590">
                  <w:pPr>
                    <w:pStyle w:val="159"/>
                  </w:pPr>
                  <w:r>
                    <w:t>1ZT422</w:t>
                  </w:r>
                </w:p>
              </w:tc>
              <w:tc>
                <w:tcPr>
                  <w:tcW w:w="503" w:type="pct"/>
                  <w:vAlign w:val="center"/>
                </w:tcPr>
                <w:p w14:paraId="6C9ED7A4">
                  <w:pPr>
                    <w:pStyle w:val="159"/>
                  </w:pPr>
                  <w:r>
                    <w:rPr>
                      <w:rFonts w:hint="eastAsia"/>
                    </w:rPr>
                    <w:t>4</w:t>
                  </w:r>
                  <w:r>
                    <w:t>2</w:t>
                  </w:r>
                </w:p>
              </w:tc>
              <w:tc>
                <w:tcPr>
                  <w:tcW w:w="527" w:type="pct"/>
                  <w:tcMar>
                    <w:top w:w="15" w:type="dxa"/>
                    <w:left w:w="15" w:type="dxa"/>
                    <w:bottom w:w="0" w:type="dxa"/>
                    <w:right w:w="15" w:type="dxa"/>
                  </w:tcMar>
                  <w:vAlign w:val="center"/>
                </w:tcPr>
                <w:p w14:paraId="70708BFF">
                  <w:pPr>
                    <w:pStyle w:val="159"/>
                  </w:pPr>
                  <w:r>
                    <w:t>12</w:t>
                  </w:r>
                </w:p>
              </w:tc>
              <w:tc>
                <w:tcPr>
                  <w:tcW w:w="1239" w:type="pct"/>
                  <w:vAlign w:val="center"/>
                </w:tcPr>
                <w:p w14:paraId="240E2DFF">
                  <w:pPr>
                    <w:pStyle w:val="159"/>
                  </w:pPr>
                  <w:r>
                    <w:rPr>
                      <w:rFonts w:hint="eastAsia"/>
                    </w:rPr>
                    <w:t>单回直线塔</w:t>
                  </w:r>
                </w:p>
              </w:tc>
              <w:tc>
                <w:tcPr>
                  <w:tcW w:w="723" w:type="pct"/>
                  <w:vMerge w:val="continue"/>
                  <w:vAlign w:val="center"/>
                </w:tcPr>
                <w:p w14:paraId="652783F3">
                  <w:pPr>
                    <w:pStyle w:val="159"/>
                  </w:pPr>
                </w:p>
              </w:tc>
            </w:tr>
            <w:tr w14:paraId="2F62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2929DD7A">
                  <w:pPr>
                    <w:pStyle w:val="159"/>
                  </w:pPr>
                  <w:r>
                    <w:t>1JT421</w:t>
                  </w:r>
                </w:p>
              </w:tc>
              <w:tc>
                <w:tcPr>
                  <w:tcW w:w="503" w:type="pct"/>
                  <w:vAlign w:val="center"/>
                </w:tcPr>
                <w:p w14:paraId="00AAD0B4">
                  <w:pPr>
                    <w:pStyle w:val="159"/>
                  </w:pPr>
                  <w:r>
                    <w:rPr>
                      <w:rFonts w:hint="eastAsia"/>
                    </w:rPr>
                    <w:t>2</w:t>
                  </w:r>
                  <w:r>
                    <w:t>4</w:t>
                  </w:r>
                </w:p>
              </w:tc>
              <w:tc>
                <w:tcPr>
                  <w:tcW w:w="527" w:type="pct"/>
                  <w:tcMar>
                    <w:top w:w="15" w:type="dxa"/>
                    <w:left w:w="15" w:type="dxa"/>
                    <w:bottom w:w="0" w:type="dxa"/>
                    <w:right w:w="15" w:type="dxa"/>
                  </w:tcMar>
                  <w:vAlign w:val="center"/>
                </w:tcPr>
                <w:p w14:paraId="46225D4C">
                  <w:pPr>
                    <w:pStyle w:val="159"/>
                  </w:pPr>
                  <w:r>
                    <w:t>18</w:t>
                  </w:r>
                </w:p>
              </w:tc>
              <w:tc>
                <w:tcPr>
                  <w:tcW w:w="1239" w:type="pct"/>
                  <w:vAlign w:val="center"/>
                </w:tcPr>
                <w:p w14:paraId="6A2FA172">
                  <w:pPr>
                    <w:pStyle w:val="159"/>
                  </w:pPr>
                  <w:r>
                    <w:rPr>
                      <w:rFonts w:hint="eastAsia"/>
                    </w:rPr>
                    <w:t>单回耐张塔</w:t>
                  </w:r>
                </w:p>
              </w:tc>
              <w:tc>
                <w:tcPr>
                  <w:tcW w:w="723" w:type="pct"/>
                  <w:vMerge w:val="continue"/>
                  <w:vAlign w:val="center"/>
                </w:tcPr>
                <w:p w14:paraId="26214224">
                  <w:pPr>
                    <w:pStyle w:val="159"/>
                  </w:pPr>
                </w:p>
              </w:tc>
            </w:tr>
            <w:tr w14:paraId="42EF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8" w:type="pct"/>
                  <w:tcMar>
                    <w:top w:w="15" w:type="dxa"/>
                    <w:left w:w="15" w:type="dxa"/>
                    <w:bottom w:w="0" w:type="dxa"/>
                    <w:right w:w="15" w:type="dxa"/>
                  </w:tcMar>
                  <w:vAlign w:val="center"/>
                </w:tcPr>
                <w:p w14:paraId="5FAC6F4A">
                  <w:pPr>
                    <w:pStyle w:val="159"/>
                  </w:pPr>
                  <w:r>
                    <w:t>1DT421</w:t>
                  </w:r>
                </w:p>
              </w:tc>
              <w:tc>
                <w:tcPr>
                  <w:tcW w:w="503" w:type="pct"/>
                  <w:vAlign w:val="center"/>
                </w:tcPr>
                <w:p w14:paraId="2C1AD5DA">
                  <w:pPr>
                    <w:pStyle w:val="159"/>
                  </w:pPr>
                  <w:r>
                    <w:rPr>
                      <w:rFonts w:hint="eastAsia"/>
                    </w:rPr>
                    <w:t>2</w:t>
                  </w:r>
                  <w:r>
                    <w:t>4</w:t>
                  </w:r>
                </w:p>
              </w:tc>
              <w:tc>
                <w:tcPr>
                  <w:tcW w:w="527" w:type="pct"/>
                  <w:tcMar>
                    <w:top w:w="15" w:type="dxa"/>
                    <w:left w:w="15" w:type="dxa"/>
                    <w:bottom w:w="0" w:type="dxa"/>
                    <w:right w:w="15" w:type="dxa"/>
                  </w:tcMar>
                  <w:vAlign w:val="center"/>
                </w:tcPr>
                <w:p w14:paraId="753665E3">
                  <w:pPr>
                    <w:pStyle w:val="159"/>
                  </w:pPr>
                  <w:r>
                    <w:t>6</w:t>
                  </w:r>
                </w:p>
              </w:tc>
              <w:tc>
                <w:tcPr>
                  <w:tcW w:w="1239" w:type="pct"/>
                  <w:vAlign w:val="center"/>
                </w:tcPr>
                <w:p w14:paraId="149DA722">
                  <w:pPr>
                    <w:pStyle w:val="159"/>
                  </w:pPr>
                  <w:r>
                    <w:rPr>
                      <w:rFonts w:hint="eastAsia"/>
                    </w:rPr>
                    <w:t>单回耐张塔</w:t>
                  </w:r>
                </w:p>
              </w:tc>
              <w:tc>
                <w:tcPr>
                  <w:tcW w:w="723" w:type="pct"/>
                  <w:vMerge w:val="continue"/>
                  <w:vAlign w:val="center"/>
                </w:tcPr>
                <w:p w14:paraId="61A4C380">
                  <w:pPr>
                    <w:pStyle w:val="159"/>
                  </w:pPr>
                </w:p>
              </w:tc>
            </w:tr>
          </w:tbl>
          <w:p w14:paraId="40DD12BE">
            <w:pPr>
              <w:pStyle w:val="3"/>
              <w:spacing w:line="240" w:lineRule="auto"/>
              <w:ind w:firstLine="480"/>
            </w:pPr>
          </w:p>
          <w:p w14:paraId="2E682F7C">
            <w:pPr>
              <w:pStyle w:val="3"/>
              <w:ind w:firstLine="480"/>
            </w:pPr>
            <w:r>
              <w:t>4</w:t>
            </w:r>
            <w:r>
              <w:rPr>
                <w:rFonts w:hint="eastAsia"/>
              </w:rPr>
              <w:t>）基础</w:t>
            </w:r>
          </w:p>
          <w:p w14:paraId="6DF26D34">
            <w:pPr>
              <w:pStyle w:val="3"/>
              <w:ind w:firstLine="480"/>
            </w:pPr>
            <w:r>
              <w:rPr>
                <w:rFonts w:hint="eastAsia"/>
              </w:rPr>
              <w:t>基础型式的选择，应结合沿线地质、施工条件和杆塔型式特点作综合考虑。根据不同的地质条件综合考虑，基础优先采用掏挖基础以保护环境，地形较陡塔位采用挖孔桩基础，地形复杂、场地狭窄、高差较大，基础外露较高、基础荷载较大的塔位采用挖孔基础。杆塔均采用地脚螺栓的方式与基础连接。</w:t>
            </w:r>
          </w:p>
          <w:p w14:paraId="085456D6">
            <w:pPr>
              <w:pStyle w:val="3"/>
              <w:ind w:firstLine="480"/>
            </w:pPr>
            <w:r>
              <w:t>5</w:t>
            </w:r>
            <w:r>
              <w:rPr>
                <w:rFonts w:hint="eastAsia"/>
              </w:rPr>
              <w:t>）导地线换位及换相</w:t>
            </w:r>
          </w:p>
          <w:p w14:paraId="2693F56F">
            <w:pPr>
              <w:pStyle w:val="3"/>
              <w:ind w:firstLine="480"/>
            </w:pPr>
            <w:r>
              <w:rPr>
                <w:rFonts w:hint="eastAsia"/>
              </w:rPr>
              <w:t>站在电缆终端塔下方，面向构架方向，从左至右分别为：</w:t>
            </w:r>
            <w:r>
              <w:t>A</w:t>
            </w:r>
            <w:r>
              <w:rPr>
                <w:rFonts w:hint="eastAsia"/>
              </w:rPr>
              <w:t>、</w:t>
            </w:r>
            <w:r>
              <w:t>B</w:t>
            </w:r>
            <w:r>
              <w:rPr>
                <w:rFonts w:hint="eastAsia"/>
              </w:rPr>
              <w:t>、</w:t>
            </w:r>
            <w:r>
              <w:t>C</w:t>
            </w:r>
            <w:r>
              <w:rPr>
                <w:rFonts w:hint="eastAsia"/>
              </w:rPr>
              <w:t>。</w:t>
            </w:r>
          </w:p>
          <w:p w14:paraId="153B64D1">
            <w:pPr>
              <w:pStyle w:val="3"/>
              <w:ind w:firstLine="480"/>
            </w:pPr>
            <w:r>
              <w:rPr>
                <w:rFonts w:hint="eastAsia"/>
              </w:rPr>
              <w:t>110kV基地源变电站侧相序：站在终端下方面向构架方向，从左至右相序分别为：</w:t>
            </w:r>
            <w:r>
              <w:t>C</w:t>
            </w:r>
            <w:r>
              <w:rPr>
                <w:rFonts w:hint="eastAsia"/>
              </w:rPr>
              <w:t>、</w:t>
            </w:r>
            <w:r>
              <w:t>B</w:t>
            </w:r>
            <w:r>
              <w:rPr>
                <w:rFonts w:hint="eastAsia"/>
              </w:rPr>
              <w:t>、</w:t>
            </w:r>
            <w:r>
              <w:t>A</w:t>
            </w:r>
            <w:r>
              <w:rPr>
                <w:rFonts w:hint="eastAsia"/>
              </w:rPr>
              <w:t>，本工程中新建线路在贝江</w:t>
            </w:r>
            <w:r>
              <w:t>110kV</w:t>
            </w:r>
            <w:r>
              <w:rPr>
                <w:rFonts w:hint="eastAsia"/>
              </w:rPr>
              <w:t>变电站侧采用电缆出线，根据两侧变电站的相序情况，本工程不需要进行换相。</w:t>
            </w:r>
          </w:p>
          <w:p w14:paraId="22974FF6">
            <w:pPr>
              <w:pStyle w:val="3"/>
              <w:ind w:firstLine="480"/>
            </w:pPr>
            <w:r>
              <w:rPr>
                <w:rFonts w:hint="eastAsia"/>
              </w:rPr>
              <w:t>本工程新建</w:t>
            </w:r>
            <w:r>
              <w:t>110kV</w:t>
            </w:r>
            <w:r>
              <w:rPr>
                <w:rFonts w:hint="eastAsia"/>
              </w:rPr>
              <w:t>架空线路路径长</w:t>
            </w:r>
            <w:r>
              <w:t>20km</w:t>
            </w:r>
            <w:r>
              <w:rPr>
                <w:rFonts w:hint="eastAsia"/>
              </w:rPr>
              <w:t>，线路长度不超过</w:t>
            </w:r>
            <w:r>
              <w:t>100km</w:t>
            </w:r>
            <w:r>
              <w:rPr>
                <w:rFonts w:hint="eastAsia"/>
              </w:rPr>
              <w:t>，按照《</w:t>
            </w:r>
            <w:r>
              <w:t>110kV</w:t>
            </w:r>
            <w:r>
              <w:rPr>
                <w:rFonts w:hint="eastAsia"/>
              </w:rPr>
              <w:t>～</w:t>
            </w:r>
            <w:r>
              <w:t>750kV</w:t>
            </w:r>
            <w:r>
              <w:rPr>
                <w:rFonts w:hint="eastAsia"/>
              </w:rPr>
              <w:t>架空输电线路设计规范》（</w:t>
            </w:r>
            <w:r>
              <w:t>GB 50545-2010</w:t>
            </w:r>
            <w:r>
              <w:rPr>
                <w:rFonts w:hint="eastAsia"/>
              </w:rPr>
              <w:t>）</w:t>
            </w:r>
            <w:r>
              <w:t>8.0.4</w:t>
            </w:r>
            <w:r>
              <w:rPr>
                <w:rFonts w:hint="eastAsia"/>
              </w:rPr>
              <w:t>规定，导线不需要换位。</w:t>
            </w:r>
          </w:p>
          <w:p w14:paraId="3DA08EC6">
            <w:pPr>
              <w:pStyle w:val="3"/>
              <w:ind w:firstLine="480"/>
            </w:pPr>
            <w:r>
              <w:t>b</w:t>
            </w:r>
            <w:r>
              <w:rPr>
                <w:rFonts w:hint="eastAsia"/>
              </w:rPr>
              <w:t>）地埋段</w:t>
            </w:r>
          </w:p>
          <w:p w14:paraId="46325129">
            <w:pPr>
              <w:pStyle w:val="3"/>
              <w:ind w:firstLine="480"/>
            </w:pPr>
            <w:r>
              <w:rPr>
                <w:rFonts w:hint="eastAsia"/>
              </w:rPr>
              <w:t>地埋段线路</w:t>
            </w:r>
            <w:r>
              <w:rPr>
                <w:szCs w:val="24"/>
              </w:rPr>
              <w:t>起自已建的贝江110kV变电站扩建512间隔，止于贝江变外东北侧新建单回路电缆终端塔</w:t>
            </w:r>
            <w:r>
              <w:rPr>
                <w:rFonts w:hint="eastAsia"/>
                <w:szCs w:val="24"/>
              </w:rPr>
              <w:t>，</w:t>
            </w:r>
            <w:r>
              <w:rPr>
                <w:rFonts w:hint="eastAsia"/>
              </w:rPr>
              <w:t>路径长度</w:t>
            </w:r>
            <w:r>
              <w:t>45</w:t>
            </w:r>
            <w:r>
              <w:rPr>
                <w:rFonts w:hint="eastAsia"/>
              </w:rPr>
              <w:t>m（站外1</w:t>
            </w:r>
            <w:r>
              <w:t>5m</w:t>
            </w:r>
            <w:r>
              <w:rPr>
                <w:rFonts w:hint="eastAsia"/>
              </w:rPr>
              <w:t>，站内3</w:t>
            </w:r>
            <w:r>
              <w:t>0m</w:t>
            </w:r>
            <w:r>
              <w:rPr>
                <w:rFonts w:hint="eastAsia"/>
              </w:rPr>
              <w:t>）。电缆采用</w:t>
            </w:r>
            <w:r>
              <w:rPr>
                <w:szCs w:val="24"/>
              </w:rPr>
              <w:t>ZC</w:t>
            </w:r>
            <w:r>
              <w:rPr>
                <w:rFonts w:hint="eastAsia"/>
                <w:szCs w:val="24"/>
              </w:rPr>
              <w:t>－</w:t>
            </w:r>
            <w:r>
              <w:rPr>
                <w:szCs w:val="24"/>
              </w:rPr>
              <w:t>YJLW03 64/110 1×630mm</w:t>
            </w:r>
            <w:r>
              <w:rPr>
                <w:szCs w:val="24"/>
                <w:vertAlign w:val="superscript"/>
              </w:rPr>
              <w:t>2</w:t>
            </w:r>
            <w:r>
              <w:rPr>
                <w:szCs w:val="24"/>
              </w:rPr>
              <w:t>铜芯交联聚乙烯绝缘波纹铝护套聚乙烯外护套电力电缆</w:t>
            </w:r>
            <w:r>
              <w:rPr>
                <w:rFonts w:hint="eastAsia"/>
              </w:rPr>
              <w:t>。</w:t>
            </w:r>
            <w:r>
              <w:rPr>
                <w:szCs w:val="24"/>
              </w:rPr>
              <w:t>单回路</w:t>
            </w:r>
            <w:r>
              <w:rPr>
                <w:rFonts w:hint="eastAsia"/>
                <w:szCs w:val="24"/>
              </w:rPr>
              <w:t>布线，</w:t>
            </w:r>
            <w:r>
              <w:rPr>
                <w:szCs w:val="24"/>
              </w:rPr>
              <w:t>站内采用电缆沟敷设，站外电缆直接从电缆井接入电缆终端塔。</w:t>
            </w:r>
          </w:p>
          <w:p w14:paraId="21E36663">
            <w:pPr>
              <w:pStyle w:val="6"/>
            </w:pPr>
            <w:r>
              <w:rPr>
                <w:rFonts w:hint="eastAsia"/>
              </w:rPr>
              <w:t>贝江变电站</w:t>
            </w:r>
            <w:r>
              <w:t>110kV</w:t>
            </w:r>
            <w:r>
              <w:rPr>
                <w:rFonts w:hint="eastAsia"/>
              </w:rPr>
              <w:t>间隔扩建工程</w:t>
            </w:r>
          </w:p>
          <w:p w14:paraId="5C8774C1">
            <w:pPr>
              <w:pStyle w:val="3"/>
              <w:ind w:firstLine="480"/>
            </w:pPr>
            <w:r>
              <w:rPr>
                <w:rFonts w:hint="eastAsia"/>
              </w:rPr>
              <w:t>a）贝江变电站概况</w:t>
            </w:r>
          </w:p>
          <w:p w14:paraId="3F9C0188">
            <w:pPr>
              <w:pStyle w:val="3"/>
              <w:ind w:firstLine="480"/>
            </w:pPr>
            <w:r>
              <w:rPr>
                <w:rFonts w:hint="eastAsia"/>
              </w:rPr>
              <w:t>贝江</w:t>
            </w:r>
            <w:r>
              <w:t>110kV</w:t>
            </w:r>
            <w:r>
              <w:rPr>
                <w:rFonts w:hint="eastAsia"/>
              </w:rPr>
              <w:t>变电站位于永州市江华县水口镇原贝江村委会旧址处，属江华地方电网中心枢纽变电站，占地面积28亩，于2001年11月动工兴建，2002年8月竣工投运，分别于大柳变电站、小圩变电站和广西桂东电网及山门、欧菜坪等电站联网运行。一期工程主变容量25M</w:t>
            </w:r>
            <w:r>
              <w:t>VA</w:t>
            </w:r>
            <w:r>
              <w:rPr>
                <w:rFonts w:hint="eastAsia"/>
              </w:rPr>
              <w:t>，110</w:t>
            </w:r>
            <w:r>
              <w:t>kV</w:t>
            </w:r>
            <w:r>
              <w:rPr>
                <w:rFonts w:hint="eastAsia"/>
              </w:rPr>
              <w:t>线路1回，35</w:t>
            </w:r>
            <w:r>
              <w:t>kV</w:t>
            </w:r>
            <w:r>
              <w:rPr>
                <w:rFonts w:hint="eastAsia"/>
              </w:rPr>
              <w:t>线路4回，10</w:t>
            </w:r>
            <w:r>
              <w:t>kV</w:t>
            </w:r>
            <w:r>
              <w:rPr>
                <w:rFonts w:hint="eastAsia"/>
              </w:rPr>
              <w:t>线路3回。随着江华电源点建设规模不断增大，原有的主变容不能满足负荷发展需求，于2</w:t>
            </w:r>
            <w:r>
              <w:t>003</w:t>
            </w:r>
            <w:r>
              <w:rPr>
                <w:rFonts w:hint="eastAsia"/>
              </w:rPr>
              <w:t>年6月进行扩建，新增40MVA主变一台、110</w:t>
            </w:r>
            <w:r>
              <w:t>kV</w:t>
            </w:r>
            <w:r>
              <w:rPr>
                <w:rFonts w:hint="eastAsia"/>
              </w:rPr>
              <w:t>线路</w:t>
            </w:r>
            <w:r>
              <w:t>3</w:t>
            </w:r>
            <w:r>
              <w:rPr>
                <w:rFonts w:hint="eastAsia"/>
              </w:rPr>
              <w:t>回，于2004年6月竣工。目前该变电站共有110千伏出线4回、35千伏出线10回、10千伏出线16回，为“无人值班、少人职守”变电站。</w:t>
            </w:r>
          </w:p>
          <w:p w14:paraId="03805D60">
            <w:pPr>
              <w:pStyle w:val="3"/>
              <w:ind w:firstLine="480"/>
            </w:pPr>
            <w:r>
              <w:t>b</w:t>
            </w:r>
            <w:r>
              <w:rPr>
                <w:rFonts w:hint="eastAsia"/>
              </w:rPr>
              <w:t>）</w:t>
            </w:r>
            <w:r>
              <w:t>110kV</w:t>
            </w:r>
            <w:r>
              <w:rPr>
                <w:rFonts w:hint="eastAsia"/>
              </w:rPr>
              <w:t>出线和本项目间隔扩建情况</w:t>
            </w:r>
          </w:p>
          <w:p w14:paraId="2BDBAB86">
            <w:pPr>
              <w:pStyle w:val="3"/>
              <w:ind w:firstLine="480"/>
            </w:pPr>
            <w:r>
              <w:rPr>
                <w:rFonts w:hint="eastAsia"/>
              </w:rPr>
              <w:t>贝江</w:t>
            </w:r>
            <w:r>
              <w:t>110kV</w:t>
            </w:r>
            <w:r>
              <w:rPr>
                <w:rFonts w:hint="eastAsia"/>
              </w:rPr>
              <w:t>变电站</w:t>
            </w:r>
            <w:r>
              <w:t>110kV</w:t>
            </w:r>
            <w:r>
              <w:rPr>
                <w:rFonts w:hint="eastAsia"/>
              </w:rPr>
              <w:t>出线为向西北出线，</w:t>
            </w:r>
            <w:r>
              <w:t>110kV</w:t>
            </w:r>
            <w:r>
              <w:rPr>
                <w:rFonts w:hint="eastAsia"/>
              </w:rPr>
              <w:t>出线共</w:t>
            </w:r>
            <w:r>
              <w:t>4</w:t>
            </w:r>
            <w:r>
              <w:rPr>
                <w:rFonts w:hint="eastAsia"/>
              </w:rPr>
              <w:t>回，已出线</w:t>
            </w:r>
            <w:r>
              <w:t>3</w:t>
            </w:r>
            <w:r>
              <w:rPr>
                <w:rFonts w:hint="eastAsia"/>
              </w:rPr>
              <w:t>回，剩余一回已有规划，本期扩建</w:t>
            </w:r>
            <w:r>
              <w:t>1</w:t>
            </w:r>
            <w:r>
              <w:rPr>
                <w:rFonts w:hint="eastAsia"/>
              </w:rPr>
              <w:t>个</w:t>
            </w:r>
            <w:r>
              <w:t>110kV</w:t>
            </w:r>
            <w:r>
              <w:rPr>
                <w:rFonts w:hint="eastAsia"/>
              </w:rPr>
              <w:t>出线间隔。间隔自西向东依次是</w:t>
            </w:r>
            <w:r>
              <w:t>502</w:t>
            </w:r>
            <w:r>
              <w:rPr>
                <w:rFonts w:hint="eastAsia"/>
              </w:rPr>
              <w:t>（远期规划至瑶都），</w:t>
            </w:r>
            <w:r>
              <w:t>504</w:t>
            </w:r>
            <w:r>
              <w:rPr>
                <w:rFonts w:hint="eastAsia"/>
              </w:rPr>
              <w:t>（</w:t>
            </w:r>
            <w:r>
              <w:t>110kV</w:t>
            </w:r>
            <w:r>
              <w:rPr>
                <w:rFonts w:hint="eastAsia"/>
              </w:rPr>
              <w:t>贝姑线），</w:t>
            </w:r>
            <w:r>
              <w:t>520</w:t>
            </w:r>
            <w:r>
              <w:rPr>
                <w:rFonts w:hint="eastAsia"/>
              </w:rPr>
              <w:t>（</w:t>
            </w:r>
            <w:r>
              <w:t>2#</w:t>
            </w:r>
            <w:r>
              <w:rPr>
                <w:rFonts w:hint="eastAsia"/>
              </w:rPr>
              <w:t>主变），</w:t>
            </w:r>
            <w:r>
              <w:t>500</w:t>
            </w:r>
            <w:r>
              <w:rPr>
                <w:rFonts w:hint="eastAsia"/>
              </w:rPr>
              <w:t>（母联间隔），</w:t>
            </w:r>
            <w:r>
              <w:t>510</w:t>
            </w:r>
            <w:r>
              <w:rPr>
                <w:rFonts w:hint="eastAsia"/>
              </w:rPr>
              <w:t>（</w:t>
            </w:r>
            <w:r>
              <w:t>1#</w:t>
            </w:r>
            <w:r>
              <w:rPr>
                <w:rFonts w:hint="eastAsia"/>
              </w:rPr>
              <w:t>主变），</w:t>
            </w:r>
            <w:r>
              <w:t>506</w:t>
            </w:r>
            <w:r>
              <w:rPr>
                <w:rFonts w:hint="eastAsia"/>
              </w:rPr>
              <w:t>（</w:t>
            </w:r>
            <w:r>
              <w:t>110kV</w:t>
            </w:r>
            <w:r>
              <w:rPr>
                <w:rFonts w:hint="eastAsia"/>
              </w:rPr>
              <w:t>东贝线），</w:t>
            </w:r>
            <w:r>
              <w:t>508</w:t>
            </w:r>
            <w:r>
              <w:rPr>
                <w:rFonts w:hint="eastAsia"/>
              </w:rPr>
              <w:t>（</w:t>
            </w:r>
            <w:r>
              <w:t>110kV</w:t>
            </w:r>
            <w:r>
              <w:rPr>
                <w:rFonts w:hint="eastAsia"/>
              </w:rPr>
              <w:t>冯贝线），</w:t>
            </w:r>
            <w:r>
              <w:t>512</w:t>
            </w:r>
            <w:r>
              <w:rPr>
                <w:rFonts w:hint="eastAsia"/>
              </w:rPr>
              <w:t>（本期扩建），出线间隔示意图见图2</w:t>
            </w:r>
            <w:r>
              <w:t>.2-1</w:t>
            </w:r>
            <w:r>
              <w:rPr>
                <w:rFonts w:hint="eastAsia"/>
              </w:rPr>
              <w:t>所示。</w:t>
            </w:r>
          </w:p>
          <w:p w14:paraId="254FF911">
            <w:pPr>
              <w:pStyle w:val="148"/>
            </w:pPr>
            <w:r>
              <w:drawing>
                <wp:inline distT="0" distB="0" distL="0" distR="0">
                  <wp:extent cx="4543425" cy="34188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rcRect r="14750"/>
                          <a:stretch>
                            <a:fillRect/>
                          </a:stretch>
                        </pic:blipFill>
                        <pic:spPr>
                          <a:xfrm>
                            <a:off x="0" y="0"/>
                            <a:ext cx="4555354" cy="3428106"/>
                          </a:xfrm>
                          <a:prstGeom prst="rect">
                            <a:avLst/>
                          </a:prstGeom>
                          <a:noFill/>
                          <a:ln>
                            <a:noFill/>
                          </a:ln>
                        </pic:spPr>
                      </pic:pic>
                    </a:graphicData>
                  </a:graphic>
                </wp:inline>
              </w:drawing>
            </w:r>
          </w:p>
          <w:p w14:paraId="0812BC4C">
            <w:pPr>
              <w:pStyle w:val="148"/>
            </w:pPr>
            <w:r>
              <w:rPr>
                <w:rFonts w:hint="eastAsia"/>
              </w:rPr>
              <w:t>图</w:t>
            </w:r>
            <w:r>
              <w:t xml:space="preserve">2.2-1  </w:t>
            </w:r>
            <w:r>
              <w:rPr>
                <w:rFonts w:hint="eastAsia"/>
              </w:rPr>
              <w:t>贝江</w:t>
            </w:r>
            <w:r>
              <w:t>110kV</w:t>
            </w:r>
            <w:r>
              <w:rPr>
                <w:rFonts w:hint="eastAsia"/>
              </w:rPr>
              <w:t>变电站</w:t>
            </w:r>
            <w:r>
              <w:t>110kV</w:t>
            </w:r>
            <w:r>
              <w:rPr>
                <w:rFonts w:hint="eastAsia"/>
              </w:rPr>
              <w:t>出线间隔示意图</w:t>
            </w:r>
          </w:p>
          <w:p w14:paraId="0AEF10AD">
            <w:pPr>
              <w:pStyle w:val="3"/>
              <w:ind w:firstLine="480"/>
            </w:pPr>
            <w:r>
              <w:rPr>
                <w:rFonts w:hint="eastAsia"/>
              </w:rPr>
              <w:t>前期工程已按终期规模建成了全站的场地、道路、供排水和事故油池等设施，本期无需改扩建。本期改扩建间隔不新增值守人员，不新增生活污水及固体废物等排放。</w:t>
            </w:r>
          </w:p>
          <w:p w14:paraId="292740BC">
            <w:pPr>
              <w:pStyle w:val="3"/>
              <w:ind w:firstLine="480"/>
            </w:pPr>
            <w:r>
              <w:rPr>
                <w:rFonts w:hint="eastAsia"/>
              </w:rPr>
              <w:t>本期扩建内容见表</w:t>
            </w:r>
            <w:r>
              <w:t>2.2-6</w:t>
            </w:r>
            <w:r>
              <w:rPr>
                <w:rFonts w:hint="eastAsia"/>
              </w:rPr>
              <w:t>所示。</w:t>
            </w:r>
          </w:p>
          <w:p w14:paraId="61EB229E">
            <w:pPr>
              <w:pStyle w:val="148"/>
            </w:pPr>
            <w:r>
              <w:rPr>
                <w:rFonts w:hint="eastAsia"/>
              </w:rPr>
              <w:t>表</w:t>
            </w:r>
            <w:r>
              <w:rPr>
                <w:rFonts w:ascii="TimesNewRomanPS-BoldMT" w:eastAsia="TimesNewRomanPS-BoldMT" w:cs="TimesNewRomanPS-BoldMT"/>
              </w:rPr>
              <w:t xml:space="preserve">2.2-6  </w:t>
            </w:r>
            <w:r>
              <w:rPr>
                <w:rFonts w:hint="eastAsia" w:ascii="宋体" w:hAnsi="宋体" w:eastAsia="宋体" w:cs="宋体"/>
              </w:rPr>
              <w:t>贝江</w:t>
            </w:r>
            <w:r>
              <w:rPr>
                <w:rFonts w:ascii="TimesNewRomanPS-BoldMT" w:eastAsia="TimesNewRomanPS-BoldMT" w:cs="TimesNewRomanPS-BoldMT"/>
              </w:rPr>
              <w:t>110kV</w:t>
            </w:r>
            <w:r>
              <w:rPr>
                <w:rFonts w:hint="eastAsia"/>
              </w:rPr>
              <w:t>变电站本次扩建内容一览表</w:t>
            </w:r>
          </w:p>
          <w:tbl>
            <w:tblPr>
              <w:tblStyle w:val="4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8"/>
              <w:gridCol w:w="2088"/>
              <w:gridCol w:w="2867"/>
              <w:gridCol w:w="2082"/>
            </w:tblGrid>
            <w:tr w14:paraId="31643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pct"/>
                  <w:vAlign w:val="center"/>
                </w:tcPr>
                <w:p w14:paraId="692A9DCF">
                  <w:pPr>
                    <w:pStyle w:val="159"/>
                  </w:pPr>
                  <w:r>
                    <w:rPr>
                      <w:rFonts w:hint="eastAsia"/>
                    </w:rPr>
                    <w:t>项目</w:t>
                  </w:r>
                </w:p>
              </w:tc>
              <w:tc>
                <w:tcPr>
                  <w:tcW w:w="1213" w:type="pct"/>
                  <w:vAlign w:val="center"/>
                </w:tcPr>
                <w:p w14:paraId="22F4F0CF">
                  <w:pPr>
                    <w:pStyle w:val="159"/>
                  </w:pPr>
                  <w:r>
                    <w:rPr>
                      <w:rFonts w:hint="eastAsia"/>
                    </w:rPr>
                    <w:t>扩建前（现状）</w:t>
                  </w:r>
                </w:p>
              </w:tc>
              <w:tc>
                <w:tcPr>
                  <w:tcW w:w="1666" w:type="pct"/>
                  <w:vAlign w:val="center"/>
                </w:tcPr>
                <w:p w14:paraId="29C6EA2D">
                  <w:pPr>
                    <w:pStyle w:val="159"/>
                  </w:pPr>
                  <w:r>
                    <w:rPr>
                      <w:rFonts w:hint="eastAsia"/>
                    </w:rPr>
                    <w:t>本次扩建</w:t>
                  </w:r>
                </w:p>
              </w:tc>
              <w:tc>
                <w:tcPr>
                  <w:tcW w:w="1210" w:type="pct"/>
                  <w:vAlign w:val="center"/>
                </w:tcPr>
                <w:p w14:paraId="4F1283EF">
                  <w:pPr>
                    <w:pStyle w:val="159"/>
                  </w:pPr>
                  <w:r>
                    <w:rPr>
                      <w:rFonts w:hint="eastAsia"/>
                    </w:rPr>
                    <w:t>扩建后</w:t>
                  </w:r>
                </w:p>
              </w:tc>
            </w:tr>
            <w:tr w14:paraId="08584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pct"/>
                  <w:vAlign w:val="center"/>
                </w:tcPr>
                <w:p w14:paraId="6C06B250">
                  <w:pPr>
                    <w:pStyle w:val="159"/>
                  </w:pPr>
                  <w:r>
                    <w:rPr>
                      <w:rFonts w:hint="eastAsia"/>
                    </w:rPr>
                    <w:t>总站内面积</w:t>
                  </w:r>
                </w:p>
              </w:tc>
              <w:tc>
                <w:tcPr>
                  <w:tcW w:w="1213" w:type="pct"/>
                  <w:vAlign w:val="center"/>
                </w:tcPr>
                <w:p w14:paraId="57F3A34B">
                  <w:pPr>
                    <w:pStyle w:val="159"/>
                    <w:rPr>
                      <w:sz w:val="14"/>
                      <w:szCs w:val="14"/>
                    </w:rPr>
                  </w:pPr>
                  <w:r>
                    <w:t>28</w:t>
                  </w:r>
                  <w:r>
                    <w:rPr>
                      <w:rFonts w:hint="eastAsia"/>
                    </w:rPr>
                    <w:t>亩</w:t>
                  </w:r>
                </w:p>
              </w:tc>
              <w:tc>
                <w:tcPr>
                  <w:tcW w:w="1666" w:type="pct"/>
                  <w:vAlign w:val="center"/>
                </w:tcPr>
                <w:p w14:paraId="38CC5461">
                  <w:pPr>
                    <w:pStyle w:val="159"/>
                    <w:rPr>
                      <w:rFonts w:ascii="TimesNewRomanPSMT" w:eastAsia="TimesNewRomanPSMT" w:cs="TimesNewRomanPSMT"/>
                      <w:sz w:val="14"/>
                      <w:szCs w:val="14"/>
                    </w:rPr>
                  </w:pPr>
                  <w:r>
                    <w:rPr>
                      <w:rFonts w:hint="eastAsia"/>
                    </w:rPr>
                    <w:t>在站内建设，不新征地</w:t>
                  </w:r>
                </w:p>
              </w:tc>
              <w:tc>
                <w:tcPr>
                  <w:tcW w:w="1210" w:type="pct"/>
                  <w:vAlign w:val="center"/>
                </w:tcPr>
                <w:p w14:paraId="11CDE8CE">
                  <w:pPr>
                    <w:pStyle w:val="159"/>
                    <w:rPr>
                      <w:sz w:val="14"/>
                      <w:szCs w:val="14"/>
                    </w:rPr>
                  </w:pPr>
                  <w:r>
                    <w:t>28</w:t>
                  </w:r>
                  <w:r>
                    <w:rPr>
                      <w:rFonts w:hint="eastAsia"/>
                    </w:rPr>
                    <w:t>亩</w:t>
                  </w:r>
                </w:p>
              </w:tc>
            </w:tr>
            <w:tr w14:paraId="4DCE9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pct"/>
                  <w:vAlign w:val="center"/>
                </w:tcPr>
                <w:p w14:paraId="3D1193A8">
                  <w:pPr>
                    <w:pStyle w:val="159"/>
                    <w:rPr>
                      <w:rFonts w:ascii="TimesNewRomanPSMT" w:eastAsia="TimesNewRomanPSMT" w:cs="TimesNewRomanPSMT"/>
                    </w:rPr>
                  </w:pPr>
                  <w:r>
                    <w:rPr>
                      <w:rFonts w:hint="eastAsia"/>
                    </w:rPr>
                    <w:t>主变容量</w:t>
                  </w:r>
                </w:p>
              </w:tc>
              <w:tc>
                <w:tcPr>
                  <w:tcW w:w="1213" w:type="pct"/>
                  <w:vAlign w:val="center"/>
                </w:tcPr>
                <w:p w14:paraId="665A5B83">
                  <w:pPr>
                    <w:pStyle w:val="159"/>
                  </w:pPr>
                  <w:r>
                    <w:t>25MVA+40MVA</w:t>
                  </w:r>
                </w:p>
              </w:tc>
              <w:tc>
                <w:tcPr>
                  <w:tcW w:w="1666" w:type="pct"/>
                  <w:vAlign w:val="center"/>
                </w:tcPr>
                <w:p w14:paraId="3375955F">
                  <w:pPr>
                    <w:pStyle w:val="159"/>
                    <w:rPr>
                      <w:rFonts w:ascii="TimesNewRomanPSMT" w:eastAsia="TimesNewRomanPSMT" w:cs="TimesNewRomanPSMT"/>
                    </w:rPr>
                  </w:pPr>
                  <w:r>
                    <w:rPr>
                      <w:rFonts w:hint="eastAsia" w:ascii="TimesNewRomanPSMT" w:eastAsia="TimesNewRomanPSMT" w:cs="TimesNewRomanPSMT"/>
                    </w:rPr>
                    <w:t>/</w:t>
                  </w:r>
                </w:p>
              </w:tc>
              <w:tc>
                <w:tcPr>
                  <w:tcW w:w="1210" w:type="pct"/>
                  <w:vAlign w:val="center"/>
                </w:tcPr>
                <w:p w14:paraId="40F01CC0">
                  <w:pPr>
                    <w:pStyle w:val="159"/>
                  </w:pPr>
                  <w:r>
                    <w:t>25MVA+40MVA</w:t>
                  </w:r>
                </w:p>
              </w:tc>
            </w:tr>
            <w:tr w14:paraId="4F4E9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pct"/>
                  <w:vAlign w:val="center"/>
                </w:tcPr>
                <w:p w14:paraId="0A776861">
                  <w:pPr>
                    <w:pStyle w:val="159"/>
                    <w:rPr>
                      <w:rFonts w:ascii="TimesNewRomanPSMT" w:eastAsia="TimesNewRomanPSMT" w:cs="TimesNewRomanPSMT"/>
                    </w:rPr>
                  </w:pPr>
                  <w:r>
                    <w:t>110kV</w:t>
                  </w:r>
                  <w:r>
                    <w:rPr>
                      <w:rFonts w:hint="eastAsia"/>
                    </w:rPr>
                    <w:t>出线</w:t>
                  </w:r>
                </w:p>
              </w:tc>
              <w:tc>
                <w:tcPr>
                  <w:tcW w:w="1213" w:type="pct"/>
                  <w:vAlign w:val="center"/>
                </w:tcPr>
                <w:p w14:paraId="21EC0D2F">
                  <w:pPr>
                    <w:pStyle w:val="159"/>
                  </w:pPr>
                  <w:r>
                    <w:t>4</w:t>
                  </w:r>
                  <w:r>
                    <w:rPr>
                      <w:rFonts w:hint="eastAsia"/>
                    </w:rPr>
                    <w:t>回</w:t>
                  </w:r>
                </w:p>
              </w:tc>
              <w:tc>
                <w:tcPr>
                  <w:tcW w:w="1666" w:type="pct"/>
                  <w:vAlign w:val="center"/>
                </w:tcPr>
                <w:p w14:paraId="77C28389">
                  <w:pPr>
                    <w:pStyle w:val="159"/>
                  </w:pPr>
                  <w:r>
                    <w:t>1</w:t>
                  </w:r>
                  <w:r>
                    <w:rPr>
                      <w:rFonts w:hint="eastAsia"/>
                    </w:rPr>
                    <w:t>回</w:t>
                  </w:r>
                </w:p>
              </w:tc>
              <w:tc>
                <w:tcPr>
                  <w:tcW w:w="1210" w:type="pct"/>
                  <w:vAlign w:val="center"/>
                </w:tcPr>
                <w:p w14:paraId="7C3D1933">
                  <w:pPr>
                    <w:pStyle w:val="159"/>
                  </w:pPr>
                  <w:r>
                    <w:t>5</w:t>
                  </w:r>
                  <w:r>
                    <w:rPr>
                      <w:rFonts w:hint="eastAsia"/>
                    </w:rPr>
                    <w:t>回</w:t>
                  </w:r>
                </w:p>
              </w:tc>
            </w:tr>
            <w:tr w14:paraId="4B715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pct"/>
                  <w:vAlign w:val="center"/>
                </w:tcPr>
                <w:p w14:paraId="1567F281">
                  <w:pPr>
                    <w:pStyle w:val="159"/>
                    <w:rPr>
                      <w:rFonts w:ascii="TimesNewRomanPSMT" w:eastAsia="TimesNewRomanPSMT" w:cs="TimesNewRomanPSMT"/>
                    </w:rPr>
                  </w:pPr>
                  <w:r>
                    <w:rPr>
                      <w:rFonts w:hint="eastAsia"/>
                    </w:rPr>
                    <w:t>事故油池</w:t>
                  </w:r>
                </w:p>
              </w:tc>
              <w:tc>
                <w:tcPr>
                  <w:tcW w:w="1213" w:type="pct"/>
                  <w:vAlign w:val="center"/>
                </w:tcPr>
                <w:p w14:paraId="4FCF09DE">
                  <w:pPr>
                    <w:pStyle w:val="159"/>
                    <w:rPr>
                      <w:rFonts w:ascii="TimesNewRomanPSMT" w:eastAsia="TimesNewRomanPSMT" w:cs="TimesNewRomanPSMT"/>
                    </w:rPr>
                  </w:pPr>
                  <w:r>
                    <w:rPr>
                      <w:rFonts w:hint="eastAsia"/>
                    </w:rPr>
                    <w:t>一座（</w:t>
                  </w:r>
                  <w:r>
                    <w:t>12m</w:t>
                  </w:r>
                  <w:r>
                    <w:rPr>
                      <w:vertAlign w:val="superscript"/>
                    </w:rPr>
                    <w:t>3</w:t>
                  </w:r>
                  <w:r>
                    <w:rPr>
                      <w:rFonts w:hint="eastAsia"/>
                    </w:rPr>
                    <w:t>）</w:t>
                  </w:r>
                </w:p>
              </w:tc>
              <w:tc>
                <w:tcPr>
                  <w:tcW w:w="1666" w:type="pct"/>
                  <w:vAlign w:val="center"/>
                </w:tcPr>
                <w:p w14:paraId="54BA5CAB">
                  <w:pPr>
                    <w:pStyle w:val="159"/>
                    <w:rPr>
                      <w:rFonts w:ascii="TimesNewRomanPSMT" w:eastAsia="TimesNewRomanPSMT" w:cs="TimesNewRomanPSMT"/>
                    </w:rPr>
                  </w:pPr>
                  <w:r>
                    <w:rPr>
                      <w:rFonts w:hint="eastAsia"/>
                    </w:rPr>
                    <w:t>/</w:t>
                  </w:r>
                </w:p>
              </w:tc>
              <w:tc>
                <w:tcPr>
                  <w:tcW w:w="1210" w:type="pct"/>
                  <w:vAlign w:val="center"/>
                </w:tcPr>
                <w:p w14:paraId="0C81EFDB">
                  <w:pPr>
                    <w:pStyle w:val="159"/>
                    <w:rPr>
                      <w:rFonts w:ascii="TimesNewRomanPSMT" w:eastAsia="TimesNewRomanPSMT" w:cs="TimesNewRomanPSMT"/>
                    </w:rPr>
                  </w:pPr>
                  <w:r>
                    <w:rPr>
                      <w:rFonts w:hint="eastAsia"/>
                    </w:rPr>
                    <w:t>一座（</w:t>
                  </w:r>
                  <w:r>
                    <w:t>12m</w:t>
                  </w:r>
                  <w:r>
                    <w:rPr>
                      <w:vertAlign w:val="superscript"/>
                    </w:rPr>
                    <w:t>3</w:t>
                  </w:r>
                  <w:r>
                    <w:rPr>
                      <w:rFonts w:hint="eastAsia"/>
                    </w:rPr>
                    <w:t>）</w:t>
                  </w:r>
                </w:p>
              </w:tc>
            </w:tr>
          </w:tbl>
          <w:p w14:paraId="635A4F5E">
            <w:pPr>
              <w:pStyle w:val="3"/>
              <w:spacing w:line="240" w:lineRule="auto"/>
              <w:ind w:firstLine="480"/>
            </w:pPr>
          </w:p>
          <w:p w14:paraId="105F61F1">
            <w:pPr>
              <w:pStyle w:val="6"/>
            </w:pPr>
            <w:r>
              <w:rPr>
                <w:rFonts w:hint="eastAsia"/>
              </w:rPr>
              <w:t>通信工程</w:t>
            </w:r>
          </w:p>
          <w:p w14:paraId="363D0AA8">
            <w:pPr>
              <w:pStyle w:val="3"/>
              <w:ind w:firstLine="480"/>
            </w:pPr>
            <w:r>
              <w:rPr>
                <w:rFonts w:hint="eastAsia"/>
              </w:rPr>
              <w:t>本工程沿施工变</w:t>
            </w:r>
            <w:r>
              <w:t>-</w:t>
            </w:r>
            <w:r>
              <w:rPr>
                <w:rFonts w:hint="eastAsia"/>
              </w:rPr>
              <w:t>贝江</w:t>
            </w:r>
            <w:r>
              <w:t>110kV</w:t>
            </w:r>
            <w:r>
              <w:rPr>
                <w:rFonts w:hint="eastAsia"/>
              </w:rPr>
              <w:t>变的线路同路径架设</w:t>
            </w:r>
            <w:r>
              <w:t>/</w:t>
            </w:r>
            <w:r>
              <w:rPr>
                <w:rFonts w:hint="eastAsia"/>
              </w:rPr>
              <w:t>敷设</w:t>
            </w:r>
            <w:r>
              <w:t>1</w:t>
            </w:r>
            <w:r>
              <w:rPr>
                <w:rFonts w:hint="eastAsia"/>
              </w:rPr>
              <w:t>根</w:t>
            </w:r>
            <w:r>
              <w:t>24</w:t>
            </w:r>
            <w:r>
              <w:rPr>
                <w:rFonts w:hint="eastAsia"/>
              </w:rPr>
              <w:t>芯光缆，路径长为</w:t>
            </w:r>
            <w:r>
              <w:t>20.845</w:t>
            </w:r>
            <w:r>
              <w:rPr>
                <w:rFonts w:hint="eastAsia"/>
              </w:rPr>
              <w:t>km，其中架空段采用</w:t>
            </w:r>
            <w:r>
              <w:t>1</w:t>
            </w:r>
            <w:r>
              <w:rPr>
                <w:rFonts w:hint="eastAsia"/>
              </w:rPr>
              <w:t>根</w:t>
            </w:r>
            <w:r>
              <w:t>24</w:t>
            </w:r>
            <w:r>
              <w:rPr>
                <w:rFonts w:hint="eastAsia"/>
              </w:rPr>
              <w:t>芯</w:t>
            </w:r>
            <w:r>
              <w:t>OPGW</w:t>
            </w:r>
            <w:r>
              <w:rPr>
                <w:rFonts w:hint="eastAsia"/>
              </w:rPr>
              <w:t>光缆，路径长为</w:t>
            </w:r>
            <w:r>
              <w:t>20.8</w:t>
            </w:r>
            <w:r>
              <w:rPr>
                <w:rFonts w:hint="eastAsia"/>
              </w:rPr>
              <w:t>km；在贝江</w:t>
            </w:r>
            <w:r>
              <w:t>110kV</w:t>
            </w:r>
            <w:r>
              <w:rPr>
                <w:rFonts w:hint="eastAsia"/>
              </w:rPr>
              <w:t>变侧采用电缆进站，采用普通非金属阻燃光缆，路径长为</w:t>
            </w:r>
            <w:r>
              <w:t>0.045</w:t>
            </w:r>
            <w:r>
              <w:rPr>
                <w:rFonts w:hint="eastAsia"/>
              </w:rPr>
              <w:t>km，材料长为</w:t>
            </w:r>
            <w:r>
              <w:t>0.35</w:t>
            </w:r>
            <w:r>
              <w:rPr>
                <w:rFonts w:hint="eastAsia"/>
              </w:rPr>
              <w:t>km（含贝江变侧进站光缆）；施工变侧的进站光缆在施工变本体建设工程中考虑。以上光缆纤芯型式按照</w:t>
            </w:r>
            <w:r>
              <w:t>G.652D</w:t>
            </w:r>
            <w:r>
              <w:rPr>
                <w:rFonts w:hint="eastAsia"/>
              </w:rPr>
              <w:t>配置。</w:t>
            </w:r>
          </w:p>
          <w:p w14:paraId="5ECE9A08">
            <w:pPr>
              <w:pStyle w:val="5"/>
            </w:pPr>
            <w:r>
              <w:rPr>
                <w:rFonts w:hint="eastAsia"/>
              </w:rPr>
              <w:t>工程占地</w:t>
            </w:r>
          </w:p>
          <w:p w14:paraId="7C1E0936">
            <w:pPr>
              <w:pStyle w:val="3"/>
              <w:ind w:firstLine="480"/>
            </w:pPr>
            <w:r>
              <w:rPr>
                <w:rFonts w:hint="eastAsia"/>
              </w:rPr>
              <w:t>贝江1</w:t>
            </w:r>
            <w:r>
              <w:t>10</w:t>
            </w:r>
            <w:r>
              <w:rPr>
                <w:rFonts w:hint="eastAsia"/>
              </w:rPr>
              <w:t>kV变电站间隔扩建利用该变电站内现有空地进行，不新增占地，不计入本项目用地；基地源1</w:t>
            </w:r>
            <w:r>
              <w:t>10</w:t>
            </w:r>
            <w:r>
              <w:rPr>
                <w:rFonts w:hint="eastAsia"/>
              </w:rPr>
              <w:t>kV变电站非辐射部分环境影响评价已包含于抽水蓄能项目环评中，其占地不计入本项目用地。</w:t>
            </w:r>
          </w:p>
          <w:p w14:paraId="2C63899D">
            <w:pPr>
              <w:pStyle w:val="3"/>
              <w:ind w:firstLine="480"/>
            </w:pPr>
            <w:r>
              <w:rPr>
                <w:rFonts w:hint="eastAsia"/>
              </w:rPr>
              <w:t>本工程占地2</w:t>
            </w:r>
            <w:r>
              <w:t>.81</w:t>
            </w:r>
            <w:r>
              <w:rPr>
                <w:color w:val="000000" w:themeColor="text1"/>
                <w14:textFill>
                  <w14:solidFill>
                    <w14:schemeClr w14:val="tx1"/>
                  </w14:solidFill>
                </w14:textFill>
              </w:rPr>
              <w:t xml:space="preserve"> hm</w:t>
            </w:r>
            <w:r>
              <w:rPr>
                <w:color w:val="000000" w:themeColor="text1"/>
                <w:vertAlign w:val="superscript"/>
                <w14:textFill>
                  <w14:solidFill>
                    <w14:schemeClr w14:val="tx1"/>
                  </w14:solidFill>
                </w14:textFill>
              </w:rPr>
              <w:t>2</w:t>
            </w:r>
            <w:r>
              <w:rPr>
                <w:rFonts w:hint="eastAsia"/>
              </w:rPr>
              <w:t>，包括塔基永久占地0</w:t>
            </w:r>
            <w:r>
              <w:t>.57</w:t>
            </w:r>
            <w:r>
              <w:rPr>
                <w:color w:val="000000" w:themeColor="text1"/>
                <w14:textFill>
                  <w14:solidFill>
                    <w14:schemeClr w14:val="tx1"/>
                  </w14:solidFill>
                </w14:textFill>
              </w:rPr>
              <w:t xml:space="preserve"> hm</w:t>
            </w:r>
            <w:r>
              <w:rPr>
                <w:color w:val="000000" w:themeColor="text1"/>
                <w:vertAlign w:val="superscript"/>
                <w14:textFill>
                  <w14:solidFill>
                    <w14:schemeClr w14:val="tx1"/>
                  </w14:solidFill>
                </w14:textFill>
              </w:rPr>
              <w:t>2</w:t>
            </w:r>
            <w:r>
              <w:rPr>
                <w:rFonts w:hint="eastAsia"/>
              </w:rPr>
              <w:t>，以及塔基周边施工区域、牵张场、跨越施工区、临时施工道路等临时占地2</w:t>
            </w:r>
            <w:r>
              <w:t>.24</w:t>
            </w:r>
            <w:r>
              <w:rPr>
                <w:color w:val="000000" w:themeColor="text1"/>
                <w14:textFill>
                  <w14:solidFill>
                    <w14:schemeClr w14:val="tx1"/>
                  </w14:solidFill>
                </w14:textFill>
              </w:rPr>
              <w:t xml:space="preserve"> 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5F43D88C">
            <w:pPr>
              <w:pStyle w:val="148"/>
            </w:pPr>
            <w:r>
              <w:rPr>
                <w:rFonts w:hint="eastAsia"/>
              </w:rPr>
              <w:t>表</w:t>
            </w:r>
            <w:r>
              <w:t xml:space="preserve">2.2-7  </w:t>
            </w:r>
            <w:r>
              <w:rPr>
                <w:rFonts w:hint="eastAsia"/>
              </w:rPr>
              <w:t>工程占地情况一览表</w:t>
            </w:r>
          </w:p>
          <w:tbl>
            <w:tblPr>
              <w:tblStyle w:val="4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6"/>
              <w:gridCol w:w="1840"/>
              <w:gridCol w:w="1950"/>
              <w:gridCol w:w="1950"/>
              <w:gridCol w:w="1749"/>
            </w:tblGrid>
            <w:tr w14:paraId="08095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9" w:type="pct"/>
                  <w:vMerge w:val="restart"/>
                  <w:vAlign w:val="center"/>
                </w:tcPr>
                <w:p w14:paraId="19F30F5C">
                  <w:pPr>
                    <w:pStyle w:val="159"/>
                  </w:pPr>
                  <w:r>
                    <w:rPr>
                      <w:rFonts w:hint="eastAsia"/>
                    </w:rPr>
                    <w:t>类别</w:t>
                  </w:r>
                </w:p>
              </w:tc>
              <w:tc>
                <w:tcPr>
                  <w:tcW w:w="1069" w:type="pct"/>
                  <w:vMerge w:val="restart"/>
                  <w:vAlign w:val="center"/>
                </w:tcPr>
                <w:p w14:paraId="645A2785">
                  <w:pPr>
                    <w:pStyle w:val="159"/>
                  </w:pPr>
                  <w:r>
                    <w:rPr>
                      <w:rFonts w:hint="eastAsia"/>
                    </w:rPr>
                    <w:t>项目</w:t>
                  </w:r>
                </w:p>
              </w:tc>
              <w:tc>
                <w:tcPr>
                  <w:tcW w:w="3282" w:type="pct"/>
                  <w:gridSpan w:val="3"/>
                  <w:vAlign w:val="center"/>
                </w:tcPr>
                <w:p w14:paraId="12EBD940">
                  <w:pPr>
                    <w:pStyle w:val="159"/>
                  </w:pPr>
                  <w:r>
                    <w:rPr>
                      <w:rFonts w:hint="eastAsia"/>
                      <w:color w:val="000000" w:themeColor="text1"/>
                      <w14:textFill>
                        <w14:solidFill>
                          <w14:schemeClr w14:val="tx1"/>
                        </w14:solidFill>
                      </w14:textFill>
                    </w:rPr>
                    <w:t>占地面积（</w:t>
                  </w:r>
                  <w:r>
                    <w:rPr>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r>
            <w:tr w14:paraId="03A27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8" w:type="pct"/>
                  <w:vMerge w:val="continue"/>
                  <w:vAlign w:val="center"/>
                </w:tcPr>
                <w:p w14:paraId="6816FA15">
                  <w:pPr>
                    <w:pStyle w:val="159"/>
                  </w:pPr>
                </w:p>
              </w:tc>
              <w:tc>
                <w:tcPr>
                  <w:tcW w:w="1069" w:type="pct"/>
                  <w:vMerge w:val="continue"/>
                  <w:vAlign w:val="center"/>
                </w:tcPr>
                <w:p w14:paraId="6A532665">
                  <w:pPr>
                    <w:pStyle w:val="159"/>
                  </w:pPr>
                </w:p>
              </w:tc>
              <w:tc>
                <w:tcPr>
                  <w:tcW w:w="1133" w:type="pct"/>
                  <w:vAlign w:val="center"/>
                </w:tcPr>
                <w:p w14:paraId="12F4E92E">
                  <w:pPr>
                    <w:pStyle w:val="159"/>
                  </w:pPr>
                  <w:r>
                    <w:rPr>
                      <w:rFonts w:hint="eastAsia"/>
                    </w:rPr>
                    <w:t>小计</w:t>
                  </w:r>
                </w:p>
              </w:tc>
              <w:tc>
                <w:tcPr>
                  <w:tcW w:w="1133" w:type="pct"/>
                  <w:vAlign w:val="center"/>
                </w:tcPr>
                <w:p w14:paraId="58A2402F">
                  <w:pPr>
                    <w:pStyle w:val="159"/>
                  </w:pPr>
                  <w:r>
                    <w:rPr>
                      <w:rFonts w:hint="eastAsia"/>
                    </w:rPr>
                    <w:t>草地</w:t>
                  </w:r>
                </w:p>
              </w:tc>
              <w:tc>
                <w:tcPr>
                  <w:tcW w:w="1017" w:type="pct"/>
                  <w:vAlign w:val="center"/>
                </w:tcPr>
                <w:p w14:paraId="638526EF">
                  <w:pPr>
                    <w:pStyle w:val="159"/>
                  </w:pPr>
                  <w:r>
                    <w:rPr>
                      <w:rFonts w:hint="eastAsia"/>
                    </w:rPr>
                    <w:t>林地</w:t>
                  </w:r>
                </w:p>
              </w:tc>
            </w:tr>
            <w:tr w14:paraId="1912A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8" w:type="pct"/>
                  <w:vAlign w:val="center"/>
                </w:tcPr>
                <w:p w14:paraId="0A0250A0">
                  <w:pPr>
                    <w:pStyle w:val="159"/>
                  </w:pPr>
                  <w:r>
                    <w:rPr>
                      <w:rFonts w:hint="eastAsia"/>
                    </w:rPr>
                    <w:t>永久占地</w:t>
                  </w:r>
                </w:p>
              </w:tc>
              <w:tc>
                <w:tcPr>
                  <w:tcW w:w="1069" w:type="pct"/>
                  <w:vAlign w:val="center"/>
                </w:tcPr>
                <w:p w14:paraId="0A8839A6">
                  <w:pPr>
                    <w:pStyle w:val="159"/>
                  </w:pPr>
                  <w:r>
                    <w:rPr>
                      <w:rFonts w:hint="eastAsia"/>
                    </w:rPr>
                    <w:t>杆基占地</w:t>
                  </w:r>
                </w:p>
              </w:tc>
              <w:tc>
                <w:tcPr>
                  <w:tcW w:w="1133" w:type="pct"/>
                  <w:vAlign w:val="center"/>
                </w:tcPr>
                <w:p w14:paraId="27184EB4">
                  <w:pPr>
                    <w:pStyle w:val="159"/>
                  </w:pPr>
                  <w:r>
                    <w:rPr>
                      <w:rFonts w:hint="eastAsia"/>
                    </w:rPr>
                    <w:t>0</w:t>
                  </w:r>
                  <w:r>
                    <w:t>.57</w:t>
                  </w:r>
                </w:p>
              </w:tc>
              <w:tc>
                <w:tcPr>
                  <w:tcW w:w="1133" w:type="pct"/>
                  <w:vAlign w:val="center"/>
                </w:tcPr>
                <w:p w14:paraId="6A90081C">
                  <w:pPr>
                    <w:pStyle w:val="159"/>
                  </w:pPr>
                  <w:r>
                    <w:rPr>
                      <w:rFonts w:hint="eastAsia"/>
                    </w:rPr>
                    <w:t>0</w:t>
                  </w:r>
                  <w:r>
                    <w:t>.08</w:t>
                  </w:r>
                </w:p>
              </w:tc>
              <w:tc>
                <w:tcPr>
                  <w:tcW w:w="1017" w:type="pct"/>
                  <w:vAlign w:val="center"/>
                </w:tcPr>
                <w:p w14:paraId="32940745">
                  <w:pPr>
                    <w:pStyle w:val="159"/>
                  </w:pPr>
                  <w:r>
                    <w:rPr>
                      <w:rFonts w:hint="eastAsia"/>
                    </w:rPr>
                    <w:t>0</w:t>
                  </w:r>
                  <w:r>
                    <w:t>.49</w:t>
                  </w:r>
                </w:p>
              </w:tc>
            </w:tr>
            <w:tr w14:paraId="51B25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8" w:type="pct"/>
                  <w:vMerge w:val="restart"/>
                  <w:vAlign w:val="center"/>
                </w:tcPr>
                <w:p w14:paraId="2C4FF43C">
                  <w:pPr>
                    <w:pStyle w:val="159"/>
                  </w:pPr>
                  <w:r>
                    <w:rPr>
                      <w:rFonts w:hint="eastAsia"/>
                    </w:rPr>
                    <w:t>临时占地</w:t>
                  </w:r>
                </w:p>
              </w:tc>
              <w:tc>
                <w:tcPr>
                  <w:tcW w:w="1069" w:type="pct"/>
                  <w:vAlign w:val="center"/>
                </w:tcPr>
                <w:p w14:paraId="7BC8DBEB">
                  <w:pPr>
                    <w:pStyle w:val="159"/>
                  </w:pPr>
                  <w:r>
                    <w:rPr>
                      <w:rFonts w:hint="eastAsia"/>
                    </w:rPr>
                    <w:t>塔基施工区</w:t>
                  </w:r>
                </w:p>
              </w:tc>
              <w:tc>
                <w:tcPr>
                  <w:tcW w:w="1133" w:type="pct"/>
                  <w:vAlign w:val="center"/>
                </w:tcPr>
                <w:p w14:paraId="63A9AFB8">
                  <w:pPr>
                    <w:pStyle w:val="159"/>
                  </w:pPr>
                  <w:r>
                    <w:rPr>
                      <w:rFonts w:hint="eastAsia"/>
                    </w:rPr>
                    <w:t>0</w:t>
                  </w:r>
                  <w:r>
                    <w:t>.7</w:t>
                  </w:r>
                </w:p>
              </w:tc>
              <w:tc>
                <w:tcPr>
                  <w:tcW w:w="1133" w:type="pct"/>
                  <w:vAlign w:val="center"/>
                </w:tcPr>
                <w:p w14:paraId="7FC70EAA">
                  <w:pPr>
                    <w:pStyle w:val="159"/>
                  </w:pPr>
                  <w:r>
                    <w:rPr>
                      <w:rFonts w:hint="eastAsia"/>
                    </w:rPr>
                    <w:t>0</w:t>
                  </w:r>
                  <w:r>
                    <w:t>.1</w:t>
                  </w:r>
                </w:p>
              </w:tc>
              <w:tc>
                <w:tcPr>
                  <w:tcW w:w="1017" w:type="pct"/>
                  <w:vAlign w:val="center"/>
                </w:tcPr>
                <w:p w14:paraId="128A9462">
                  <w:pPr>
                    <w:pStyle w:val="159"/>
                  </w:pPr>
                  <w:r>
                    <w:rPr>
                      <w:rFonts w:hint="eastAsia"/>
                    </w:rPr>
                    <w:t>0</w:t>
                  </w:r>
                  <w:r>
                    <w:t>.6</w:t>
                  </w:r>
                </w:p>
              </w:tc>
            </w:tr>
            <w:tr w14:paraId="2123F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8" w:type="pct"/>
                  <w:vMerge w:val="continue"/>
                  <w:vAlign w:val="center"/>
                </w:tcPr>
                <w:p w14:paraId="44D9B56D">
                  <w:pPr>
                    <w:pStyle w:val="159"/>
                  </w:pPr>
                </w:p>
              </w:tc>
              <w:tc>
                <w:tcPr>
                  <w:tcW w:w="1069" w:type="pct"/>
                  <w:vAlign w:val="center"/>
                </w:tcPr>
                <w:p w14:paraId="6F11FFDF">
                  <w:pPr>
                    <w:pStyle w:val="159"/>
                  </w:pPr>
                  <w:r>
                    <w:rPr>
                      <w:rFonts w:hint="eastAsia"/>
                    </w:rPr>
                    <w:t>牵张场地</w:t>
                  </w:r>
                </w:p>
              </w:tc>
              <w:tc>
                <w:tcPr>
                  <w:tcW w:w="1133" w:type="pct"/>
                  <w:vAlign w:val="center"/>
                </w:tcPr>
                <w:p w14:paraId="2091EFB8">
                  <w:pPr>
                    <w:pStyle w:val="159"/>
                  </w:pPr>
                  <w:r>
                    <w:t>0.38</w:t>
                  </w:r>
                </w:p>
              </w:tc>
              <w:tc>
                <w:tcPr>
                  <w:tcW w:w="1133" w:type="pct"/>
                  <w:vAlign w:val="center"/>
                </w:tcPr>
                <w:p w14:paraId="19A63A4A">
                  <w:pPr>
                    <w:pStyle w:val="159"/>
                  </w:pPr>
                  <w:r>
                    <w:rPr>
                      <w:rFonts w:hint="eastAsia"/>
                    </w:rPr>
                    <w:t>0</w:t>
                  </w:r>
                  <w:r>
                    <w:t>.38</w:t>
                  </w:r>
                </w:p>
              </w:tc>
              <w:tc>
                <w:tcPr>
                  <w:tcW w:w="1017" w:type="pct"/>
                  <w:vAlign w:val="center"/>
                </w:tcPr>
                <w:p w14:paraId="1916F78F">
                  <w:pPr>
                    <w:pStyle w:val="159"/>
                  </w:pPr>
                  <w:r>
                    <w:t>/</w:t>
                  </w:r>
                </w:p>
              </w:tc>
            </w:tr>
            <w:tr w14:paraId="0AB52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8" w:type="pct"/>
                  <w:vMerge w:val="continue"/>
                  <w:vAlign w:val="center"/>
                </w:tcPr>
                <w:p w14:paraId="0E5628FA">
                  <w:pPr>
                    <w:pStyle w:val="159"/>
                  </w:pPr>
                </w:p>
              </w:tc>
              <w:tc>
                <w:tcPr>
                  <w:tcW w:w="1069" w:type="pct"/>
                  <w:vAlign w:val="center"/>
                </w:tcPr>
                <w:p w14:paraId="423F8B26">
                  <w:pPr>
                    <w:pStyle w:val="159"/>
                  </w:pPr>
                  <w:r>
                    <w:rPr>
                      <w:rFonts w:hint="eastAsia"/>
                    </w:rPr>
                    <w:t>跨越施工区</w:t>
                  </w:r>
                </w:p>
              </w:tc>
              <w:tc>
                <w:tcPr>
                  <w:tcW w:w="1133" w:type="pct"/>
                  <w:vAlign w:val="center"/>
                </w:tcPr>
                <w:p w14:paraId="1ACA13B6">
                  <w:pPr>
                    <w:pStyle w:val="159"/>
                  </w:pPr>
                  <w:r>
                    <w:t>0.04</w:t>
                  </w:r>
                </w:p>
              </w:tc>
              <w:tc>
                <w:tcPr>
                  <w:tcW w:w="1133" w:type="pct"/>
                  <w:vAlign w:val="center"/>
                </w:tcPr>
                <w:p w14:paraId="5562FDF7">
                  <w:pPr>
                    <w:pStyle w:val="159"/>
                  </w:pPr>
                  <w:r>
                    <w:t>0.04</w:t>
                  </w:r>
                </w:p>
              </w:tc>
              <w:tc>
                <w:tcPr>
                  <w:tcW w:w="1017" w:type="pct"/>
                  <w:vAlign w:val="center"/>
                </w:tcPr>
                <w:p w14:paraId="51B5C632">
                  <w:pPr>
                    <w:pStyle w:val="159"/>
                  </w:pPr>
                  <w:r>
                    <w:rPr>
                      <w:rFonts w:hint="eastAsia"/>
                    </w:rPr>
                    <w:t>/</w:t>
                  </w:r>
                </w:p>
              </w:tc>
            </w:tr>
            <w:tr w14:paraId="4D5D1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8" w:type="pct"/>
                  <w:vMerge w:val="continue"/>
                  <w:vAlign w:val="center"/>
                </w:tcPr>
                <w:p w14:paraId="373363A6">
                  <w:pPr>
                    <w:pStyle w:val="159"/>
                  </w:pPr>
                </w:p>
              </w:tc>
              <w:tc>
                <w:tcPr>
                  <w:tcW w:w="1069" w:type="pct"/>
                  <w:vAlign w:val="center"/>
                </w:tcPr>
                <w:p w14:paraId="4982AA53">
                  <w:pPr>
                    <w:pStyle w:val="159"/>
                  </w:pPr>
                  <w:r>
                    <w:rPr>
                      <w:rFonts w:hint="eastAsia"/>
                    </w:rPr>
                    <w:t>施工便道</w:t>
                  </w:r>
                </w:p>
              </w:tc>
              <w:tc>
                <w:tcPr>
                  <w:tcW w:w="1133" w:type="pct"/>
                  <w:vAlign w:val="center"/>
                </w:tcPr>
                <w:p w14:paraId="34CD15E2">
                  <w:pPr>
                    <w:pStyle w:val="159"/>
                  </w:pPr>
                  <w:r>
                    <w:rPr>
                      <w:rFonts w:hint="eastAsia"/>
                    </w:rPr>
                    <w:t>1</w:t>
                  </w:r>
                  <w:r>
                    <w:t>.12</w:t>
                  </w:r>
                </w:p>
              </w:tc>
              <w:tc>
                <w:tcPr>
                  <w:tcW w:w="1133" w:type="pct"/>
                  <w:vAlign w:val="center"/>
                </w:tcPr>
                <w:p w14:paraId="3ACD4FE0">
                  <w:pPr>
                    <w:pStyle w:val="159"/>
                  </w:pPr>
                  <w:r>
                    <w:rPr>
                      <w:rFonts w:hint="eastAsia"/>
                    </w:rPr>
                    <w:t>/</w:t>
                  </w:r>
                </w:p>
              </w:tc>
              <w:tc>
                <w:tcPr>
                  <w:tcW w:w="1017" w:type="pct"/>
                  <w:vAlign w:val="center"/>
                </w:tcPr>
                <w:p w14:paraId="717E16DE">
                  <w:pPr>
                    <w:pStyle w:val="159"/>
                  </w:pPr>
                  <w:r>
                    <w:rPr>
                      <w:rFonts w:hint="eastAsia"/>
                    </w:rPr>
                    <w:t>1</w:t>
                  </w:r>
                  <w:r>
                    <w:t>.12</w:t>
                  </w:r>
                </w:p>
              </w:tc>
            </w:tr>
            <w:tr w14:paraId="61AF0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 w:type="pct"/>
                  <w:gridSpan w:val="2"/>
                  <w:vAlign w:val="center"/>
                </w:tcPr>
                <w:p w14:paraId="6B9E44F1">
                  <w:pPr>
                    <w:pStyle w:val="159"/>
                  </w:pPr>
                  <w:r>
                    <w:rPr>
                      <w:rFonts w:hint="eastAsia"/>
                    </w:rPr>
                    <w:t>合计</w:t>
                  </w:r>
                </w:p>
              </w:tc>
              <w:tc>
                <w:tcPr>
                  <w:tcW w:w="1133" w:type="pct"/>
                  <w:vAlign w:val="center"/>
                </w:tcPr>
                <w:p w14:paraId="31C7D25B">
                  <w:pPr>
                    <w:pStyle w:val="159"/>
                  </w:pPr>
                  <w:r>
                    <w:rPr>
                      <w:rFonts w:hint="eastAsia"/>
                    </w:rPr>
                    <w:t>2</w:t>
                  </w:r>
                  <w:r>
                    <w:t>.81</w:t>
                  </w:r>
                </w:p>
              </w:tc>
              <w:tc>
                <w:tcPr>
                  <w:tcW w:w="1133" w:type="pct"/>
                  <w:vAlign w:val="center"/>
                </w:tcPr>
                <w:p w14:paraId="59DDA9D3">
                  <w:pPr>
                    <w:pStyle w:val="159"/>
                  </w:pPr>
                </w:p>
              </w:tc>
              <w:tc>
                <w:tcPr>
                  <w:tcW w:w="1017" w:type="pct"/>
                  <w:vAlign w:val="center"/>
                </w:tcPr>
                <w:p w14:paraId="27C8E968">
                  <w:pPr>
                    <w:pStyle w:val="159"/>
                  </w:pPr>
                </w:p>
              </w:tc>
            </w:tr>
          </w:tbl>
          <w:p w14:paraId="4E2C4FFA">
            <w:pPr>
              <w:pStyle w:val="5"/>
            </w:pPr>
            <w:r>
              <w:rPr>
                <w:rFonts w:hint="eastAsia"/>
              </w:rPr>
              <w:t>劳动定员</w:t>
            </w:r>
            <w:r>
              <w:t xml:space="preserve"> </w:t>
            </w:r>
          </w:p>
          <w:p w14:paraId="15051771">
            <w:pPr>
              <w:pStyle w:val="3"/>
              <w:ind w:firstLine="480"/>
            </w:pPr>
            <w:r>
              <w:rPr>
                <w:rFonts w:hint="eastAsia"/>
              </w:rPr>
              <w:t>贝江1</w:t>
            </w:r>
            <w:r>
              <w:t>10</w:t>
            </w:r>
            <w:r>
              <w:rPr>
                <w:rFonts w:hint="eastAsia"/>
              </w:rPr>
              <w:t>kV变电站间隔扩建工程无需新增运维人员，输电线路维护依托抽水蓄能项目成员。</w:t>
            </w:r>
          </w:p>
        </w:tc>
      </w:tr>
      <w:tr w14:paraId="7846A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233" w:type="pct"/>
            <w:vAlign w:val="center"/>
          </w:tcPr>
          <w:p w14:paraId="4B2C64B3">
            <w:pPr>
              <w:pStyle w:val="86"/>
            </w:pPr>
            <w:r>
              <w:t>总平面及现场布置</w:t>
            </w:r>
          </w:p>
        </w:tc>
        <w:tc>
          <w:tcPr>
            <w:tcW w:w="4767" w:type="pct"/>
            <w:vAlign w:val="center"/>
          </w:tcPr>
          <w:p w14:paraId="01200B83">
            <w:pPr>
              <w:pStyle w:val="5"/>
            </w:pPr>
            <w:bookmarkStart w:id="41" w:name="_Toc99093223"/>
            <w:bookmarkStart w:id="42" w:name="_Toc95916433"/>
            <w:bookmarkStart w:id="43" w:name="_Toc99090766"/>
            <w:bookmarkStart w:id="44" w:name="_Toc99093521"/>
            <w:r>
              <w:rPr>
                <w:rFonts w:hint="eastAsia"/>
              </w:rPr>
              <w:t>1</w:t>
            </w:r>
            <w:r>
              <w:t>10kV</w:t>
            </w:r>
            <w:r>
              <w:rPr>
                <w:rFonts w:hint="eastAsia"/>
              </w:rPr>
              <w:t>基地源变电站平面布置</w:t>
            </w:r>
          </w:p>
          <w:bookmarkEnd w:id="41"/>
          <w:bookmarkEnd w:id="42"/>
          <w:bookmarkEnd w:id="43"/>
          <w:bookmarkEnd w:id="44"/>
          <w:p w14:paraId="456643F5">
            <w:pPr>
              <w:pStyle w:val="3"/>
              <w:ind w:firstLine="480"/>
            </w:pPr>
            <w:r>
              <w:rPr>
                <w:rFonts w:hint="eastAsia"/>
              </w:rPr>
              <w:t>a）总平面布置</w:t>
            </w:r>
          </w:p>
          <w:p w14:paraId="7F49DDA6">
            <w:pPr>
              <w:pStyle w:val="3"/>
              <w:ind w:firstLine="480"/>
            </w:pPr>
            <w:r>
              <w:rPr>
                <w:rFonts w:hint="eastAsia"/>
              </w:rPr>
              <w:t>拟建变电站按照无人值班、半户外变电站设计。电气平面布置力求紧凑合理，出线方便，减少占地面积，节省投资。</w:t>
            </w:r>
          </w:p>
          <w:p w14:paraId="4FC93831">
            <w:pPr>
              <w:pStyle w:val="3"/>
              <w:ind w:firstLine="480"/>
              <w:rPr>
                <w:rFonts w:ascii="宋体" w:cs="宋体"/>
                <w:sz w:val="26"/>
                <w:szCs w:val="26"/>
              </w:rPr>
            </w:pPr>
            <w:r>
              <w:rPr>
                <w:rFonts w:hint="eastAsia"/>
              </w:rPr>
              <w:t>全站总布置按照变电站最终规模设计。</w:t>
            </w:r>
            <w:r>
              <w:t>110kV</w:t>
            </w:r>
            <w:r>
              <w:rPr>
                <w:rFonts w:hint="eastAsia"/>
              </w:rPr>
              <w:t>设备、主</w:t>
            </w:r>
            <w:r>
              <w:rPr>
                <w:rFonts w:hint="eastAsia" w:ascii="宋体" w:cs="宋体"/>
                <w:sz w:val="26"/>
                <w:szCs w:val="26"/>
              </w:rPr>
              <w:t>变压器、接地变、站用变及电容器采用户外布置，</w:t>
            </w:r>
            <w:r>
              <w:t>10kV</w:t>
            </w:r>
            <w:r>
              <w:rPr>
                <w:rFonts w:hint="eastAsia"/>
              </w:rPr>
              <w:t>配电装置室、二次设备室、资料室、卫生间等采用联合建筑统一布置，站内设置环型道路，宽度为</w:t>
            </w:r>
            <w:r>
              <w:t>4m</w:t>
            </w:r>
            <w:r>
              <w:rPr>
                <w:rFonts w:hint="eastAsia"/>
              </w:rPr>
              <w:t>，围墙内占地面积</w:t>
            </w:r>
            <w:r>
              <w:t>2678.57m</w:t>
            </w:r>
            <w:r>
              <w:rPr>
                <w:vertAlign w:val="superscript"/>
              </w:rPr>
              <w:t>2</w:t>
            </w:r>
            <w:r>
              <w:rPr>
                <w:rFonts w:hint="eastAsia"/>
              </w:rPr>
              <w:t>。</w:t>
            </w:r>
          </w:p>
          <w:p w14:paraId="757D989F">
            <w:pPr>
              <w:pStyle w:val="3"/>
              <w:ind w:firstLine="480"/>
            </w:pPr>
            <w:r>
              <w:t>110kV</w:t>
            </w:r>
            <w:r>
              <w:rPr>
                <w:rFonts w:hint="eastAsia"/>
              </w:rPr>
              <w:t>配电装置、</w:t>
            </w:r>
            <w:r>
              <w:t>10kV</w:t>
            </w:r>
            <w:r>
              <w:rPr>
                <w:rFonts w:hint="eastAsia"/>
              </w:rPr>
              <w:t>配电装置、二次设备室布置于站区西北侧配电装置室内，主变压器布置于进站道路及配电室之间。</w:t>
            </w:r>
            <w:r>
              <w:t>10kV</w:t>
            </w:r>
            <w:r>
              <w:rPr>
                <w:rFonts w:hint="eastAsia"/>
              </w:rPr>
              <w:t>电容器组布置于站区的南侧。变电站大门直对主变压器运输道路，满足主变压器等的整体运输。</w:t>
            </w:r>
          </w:p>
          <w:p w14:paraId="6E551062">
            <w:pPr>
              <w:pStyle w:val="3"/>
              <w:ind w:firstLine="480"/>
            </w:pPr>
            <w:r>
              <w:t>b</w:t>
            </w:r>
            <w:r>
              <w:rPr>
                <w:rFonts w:hint="eastAsia"/>
              </w:rPr>
              <w:t>）配电装置</w:t>
            </w:r>
          </w:p>
          <w:p w14:paraId="50626CEC">
            <w:pPr>
              <w:pStyle w:val="3"/>
              <w:ind w:firstLine="480"/>
            </w:pPr>
            <w:r>
              <w:t>1</w:t>
            </w:r>
            <w:r>
              <w:rPr>
                <w:rFonts w:hint="eastAsia"/>
              </w:rPr>
              <w:t>）主变压器</w:t>
            </w:r>
          </w:p>
          <w:p w14:paraId="6AF9742C">
            <w:pPr>
              <w:pStyle w:val="3"/>
              <w:ind w:firstLine="480"/>
            </w:pPr>
            <w:r>
              <w:rPr>
                <w:rFonts w:hint="eastAsia"/>
              </w:rPr>
              <w:t>本工程远期</w:t>
            </w:r>
            <w:r>
              <w:t>1</w:t>
            </w:r>
            <w:r>
              <w:rPr>
                <w:rFonts w:hint="eastAsia"/>
              </w:rPr>
              <w:t>台主变。本期装设</w:t>
            </w:r>
            <w:r>
              <w:t>1</w:t>
            </w:r>
            <w:r>
              <w:rPr>
                <w:rFonts w:hint="eastAsia"/>
              </w:rPr>
              <w:t>台主变，主变压器采用户外布置，</w:t>
            </w:r>
            <w:r>
              <w:t>110kV</w:t>
            </w:r>
            <w:r>
              <w:rPr>
                <w:rFonts w:hint="eastAsia"/>
              </w:rPr>
              <w:t>侧通过</w:t>
            </w:r>
            <w:r>
              <w:t>LGJ-300/40</w:t>
            </w:r>
            <w:r>
              <w:rPr>
                <w:rFonts w:hint="eastAsia"/>
              </w:rPr>
              <w:t>导线连接</w:t>
            </w:r>
            <w:r>
              <w:t>GIS</w:t>
            </w:r>
            <w:r>
              <w:rPr>
                <w:rFonts w:hint="eastAsia"/>
              </w:rPr>
              <w:t>组合设备，再经</w:t>
            </w:r>
            <w:r>
              <w:t>LGJ-300/40</w:t>
            </w:r>
            <w:r>
              <w:rPr>
                <w:rFonts w:hint="eastAsia"/>
              </w:rPr>
              <w:t>导线与主变连接，与</w:t>
            </w:r>
            <w:r>
              <w:t>10kV</w:t>
            </w:r>
            <w:r>
              <w:rPr>
                <w:rFonts w:hint="eastAsia"/>
              </w:rPr>
              <w:t>配电装置采用</w:t>
            </w:r>
            <w:r>
              <w:t>TMY-125</w:t>
            </w:r>
            <w:r>
              <w:rPr>
                <w:rFonts w:hint="eastAsia"/>
              </w:rPr>
              <w:t>×</w:t>
            </w:r>
            <w:r>
              <w:t>10</w:t>
            </w:r>
            <w:r>
              <w:rPr>
                <w:rFonts w:hint="eastAsia"/>
              </w:rPr>
              <w:t>铜排连接。</w:t>
            </w:r>
          </w:p>
          <w:p w14:paraId="7EEA9F09">
            <w:pPr>
              <w:pStyle w:val="3"/>
              <w:ind w:firstLine="480"/>
            </w:pPr>
            <w:r>
              <w:t>2</w:t>
            </w:r>
            <w:r>
              <w:rPr>
                <w:rFonts w:hint="eastAsia"/>
              </w:rPr>
              <w:t>）</w:t>
            </w:r>
            <w:r>
              <w:t>110kV</w:t>
            </w:r>
            <w:r>
              <w:rPr>
                <w:rFonts w:hint="eastAsia"/>
              </w:rPr>
              <w:t>配电装置</w:t>
            </w:r>
          </w:p>
          <w:p w14:paraId="09E42192">
            <w:pPr>
              <w:pStyle w:val="3"/>
              <w:ind w:firstLine="480"/>
            </w:pPr>
            <w:r>
              <w:rPr>
                <w:rFonts w:hint="eastAsia"/>
              </w:rPr>
              <w:t>根据系统规划远期</w:t>
            </w:r>
            <w:r>
              <w:t>110kV</w:t>
            </w:r>
            <w:r>
              <w:rPr>
                <w:rFonts w:hint="eastAsia"/>
              </w:rPr>
              <w:t>为</w:t>
            </w:r>
            <w:r>
              <w:t>1</w:t>
            </w:r>
            <w:r>
              <w:rPr>
                <w:rFonts w:hint="eastAsia"/>
              </w:rPr>
              <w:t>回出线，本期为</w:t>
            </w:r>
            <w:r>
              <w:t>1</w:t>
            </w:r>
            <w:r>
              <w:rPr>
                <w:rFonts w:hint="eastAsia"/>
              </w:rPr>
              <w:t>回出线。</w:t>
            </w:r>
            <w:r>
              <w:t>110kV</w:t>
            </w:r>
            <w:r>
              <w:rPr>
                <w:rFonts w:hint="eastAsia"/>
              </w:rPr>
              <w:t>配电装置采用户外</w:t>
            </w:r>
            <w:r>
              <w:t>GIS</w:t>
            </w:r>
            <w:r>
              <w:rPr>
                <w:rFonts w:hint="eastAsia"/>
              </w:rPr>
              <w:t>组合设备单列布置，进线</w:t>
            </w:r>
            <w:r>
              <w:t xml:space="preserve">GIS </w:t>
            </w:r>
            <w:r>
              <w:rPr>
                <w:rFonts w:hint="eastAsia"/>
              </w:rPr>
              <w:t>组合设备采用导线与主变压器相连。</w:t>
            </w:r>
          </w:p>
          <w:p w14:paraId="0FE896EA">
            <w:pPr>
              <w:pStyle w:val="3"/>
              <w:ind w:firstLine="480"/>
            </w:pPr>
            <w:r>
              <w:t>3</w:t>
            </w:r>
            <w:r>
              <w:rPr>
                <w:rFonts w:hint="eastAsia"/>
              </w:rPr>
              <w:t>）</w:t>
            </w:r>
            <w:r>
              <w:t>10kV</w:t>
            </w:r>
            <w:r>
              <w:rPr>
                <w:rFonts w:hint="eastAsia"/>
              </w:rPr>
              <w:t>配电装置</w:t>
            </w:r>
          </w:p>
          <w:p w14:paraId="68F23D50">
            <w:pPr>
              <w:pStyle w:val="3"/>
              <w:ind w:firstLine="480"/>
            </w:pPr>
            <w:r>
              <w:rPr>
                <w:rFonts w:hint="eastAsia"/>
              </w:rPr>
              <w:t>根据系统规划远期</w:t>
            </w:r>
            <w:r>
              <w:t>10kV</w:t>
            </w:r>
            <w:r>
              <w:rPr>
                <w:rFonts w:hint="eastAsia"/>
              </w:rPr>
              <w:t>馈线为</w:t>
            </w:r>
            <w:r>
              <w:t>8</w:t>
            </w:r>
            <w:r>
              <w:rPr>
                <w:rFonts w:hint="eastAsia"/>
              </w:rPr>
              <w:t>回，本期为</w:t>
            </w:r>
            <w:r>
              <w:t>8</w:t>
            </w:r>
            <w:r>
              <w:rPr>
                <w:rFonts w:hint="eastAsia"/>
              </w:rPr>
              <w:t>回出线。</w:t>
            </w:r>
            <w:r>
              <w:t>10kV</w:t>
            </w:r>
            <w:r>
              <w:rPr>
                <w:rFonts w:hint="eastAsia"/>
              </w:rPr>
              <w:t>配电装置采用金属铠装式开关柜户内单列布置，进线开关柜采用封闭母线桥与主变压器低压侧穿墙套管直接相连，出线电缆均通过电缆沟接至站外终端杆。出线及无功补偿、站用变压器等均采用电缆出线。本期装设</w:t>
            </w:r>
            <w:r>
              <w:t>15</w:t>
            </w:r>
            <w:r>
              <w:rPr>
                <w:rFonts w:hint="eastAsia"/>
              </w:rPr>
              <w:t>面（进线柜</w:t>
            </w:r>
            <w:r>
              <w:t>2</w:t>
            </w:r>
            <w:r>
              <w:rPr>
                <w:rFonts w:hint="eastAsia"/>
              </w:rPr>
              <w:t>面，母线设备柜</w:t>
            </w:r>
            <w:r>
              <w:t>2</w:t>
            </w:r>
            <w:r>
              <w:rPr>
                <w:rFonts w:hint="eastAsia"/>
              </w:rPr>
              <w:t>面，出线柜</w:t>
            </w:r>
            <w:r>
              <w:t>8</w:t>
            </w:r>
            <w:r>
              <w:rPr>
                <w:rFonts w:hint="eastAsia"/>
              </w:rPr>
              <w:t>面，接地变</w:t>
            </w:r>
            <w:r>
              <w:t>1</w:t>
            </w:r>
            <w:r>
              <w:rPr>
                <w:rFonts w:hint="eastAsia"/>
              </w:rPr>
              <w:t>面，电容器出线柜</w:t>
            </w:r>
            <w:r>
              <w:t>1</w:t>
            </w:r>
            <w:r>
              <w:rPr>
                <w:rFonts w:hint="eastAsia"/>
              </w:rPr>
              <w:t>面，站用变柜</w:t>
            </w:r>
            <w:r>
              <w:t>1</w:t>
            </w:r>
            <w:r>
              <w:rPr>
                <w:rFonts w:hint="eastAsia"/>
              </w:rPr>
              <w:t>面）。</w:t>
            </w:r>
          </w:p>
          <w:p w14:paraId="302709A5">
            <w:pPr>
              <w:pStyle w:val="3"/>
              <w:ind w:firstLine="480"/>
            </w:pPr>
            <w:r>
              <w:t>10kV</w:t>
            </w:r>
            <w:r>
              <w:rPr>
                <w:rFonts w:hint="eastAsia"/>
              </w:rPr>
              <w:t>配电装置室的平面布置横向尺寸为</w:t>
            </w:r>
            <w:r>
              <w:t>17.1m</w:t>
            </w:r>
            <w:r>
              <w:rPr>
                <w:rFonts w:hint="eastAsia"/>
              </w:rPr>
              <w:t>，纵向尺寸为</w:t>
            </w:r>
            <w:r>
              <w:t>5.5m</w:t>
            </w:r>
            <w:r>
              <w:rPr>
                <w:rFonts w:hint="eastAsia"/>
              </w:rPr>
              <w:t>。</w:t>
            </w:r>
          </w:p>
          <w:p w14:paraId="64A9C1C7">
            <w:pPr>
              <w:pStyle w:val="3"/>
              <w:ind w:firstLine="480"/>
            </w:pPr>
            <w:r>
              <w:t>4</w:t>
            </w:r>
            <w:r>
              <w:rPr>
                <w:rFonts w:hint="eastAsia"/>
              </w:rPr>
              <w:t>）无功补偿装置及布置</w:t>
            </w:r>
          </w:p>
          <w:p w14:paraId="5F7BCA08">
            <w:pPr>
              <w:pStyle w:val="3"/>
              <w:ind w:firstLine="480"/>
            </w:pPr>
            <w:r>
              <w:rPr>
                <w:rFonts w:hint="eastAsia"/>
              </w:rPr>
              <w:t>无功补偿本期采用</w:t>
            </w:r>
            <w:r>
              <w:t>1</w:t>
            </w:r>
            <w:r>
              <w:rPr>
                <w:rFonts w:hint="eastAsia"/>
              </w:rPr>
              <w:t>×</w:t>
            </w:r>
            <w:r>
              <w:t>3.0Mvar</w:t>
            </w:r>
            <w:r>
              <w:rPr>
                <w:rFonts w:hint="eastAsia"/>
              </w:rPr>
              <w:t>户外框架式并联电容器成套装置，终期采用</w:t>
            </w:r>
            <w:r>
              <w:t>1</w:t>
            </w:r>
            <w:r>
              <w:rPr>
                <w:rFonts w:hint="eastAsia"/>
              </w:rPr>
              <w:t>×</w:t>
            </w:r>
            <w:r>
              <w:t>3.0Mvar</w:t>
            </w:r>
            <w:r>
              <w:rPr>
                <w:rFonts w:hint="eastAsia"/>
              </w:rPr>
              <w:t>户外框架式并联电容器成套装置，户外布置于站区的南侧。</w:t>
            </w:r>
          </w:p>
          <w:p w14:paraId="2B026D79">
            <w:pPr>
              <w:pStyle w:val="3"/>
              <w:ind w:firstLine="480"/>
            </w:pPr>
            <w:r>
              <w:t>5</w:t>
            </w:r>
            <w:r>
              <w:rPr>
                <w:rFonts w:hint="eastAsia"/>
              </w:rPr>
              <w:t>）接地变装置及布置</w:t>
            </w:r>
          </w:p>
          <w:p w14:paraId="172E8943">
            <w:pPr>
              <w:pStyle w:val="3"/>
              <w:ind w:firstLine="480"/>
            </w:pPr>
            <w:r>
              <w:rPr>
                <w:rFonts w:hint="eastAsia"/>
              </w:rPr>
              <w:t>接地变兼站用变及消弧线圈本期采用</w:t>
            </w:r>
            <w:r>
              <w:t>800kVA</w:t>
            </w:r>
            <w:r>
              <w:rPr>
                <w:rFonts w:hint="eastAsia"/>
              </w:rPr>
              <w:t>成套装置，户外布置于站区的中间。</w:t>
            </w:r>
          </w:p>
          <w:p w14:paraId="6F547BB2">
            <w:pPr>
              <w:pStyle w:val="5"/>
            </w:pPr>
            <w:r>
              <w:rPr>
                <w:rFonts w:hint="eastAsia"/>
              </w:rPr>
              <w:t>贝江电站1</w:t>
            </w:r>
            <w:r>
              <w:t>10kV</w:t>
            </w:r>
            <w:r>
              <w:rPr>
                <w:rFonts w:hint="eastAsia"/>
              </w:rPr>
              <w:t>变电站</w:t>
            </w:r>
          </w:p>
          <w:p w14:paraId="171A49E3">
            <w:pPr>
              <w:pStyle w:val="3"/>
              <w:ind w:firstLine="480"/>
            </w:pPr>
            <w:r>
              <w:rPr>
                <w:rFonts w:hint="eastAsia"/>
              </w:rPr>
              <w:t>贝江</w:t>
            </w:r>
            <w:r>
              <w:t>110kV</w:t>
            </w:r>
            <w:r>
              <w:rPr>
                <w:rFonts w:hint="eastAsia"/>
              </w:rPr>
              <w:t>变电站为户外</w:t>
            </w:r>
            <w:r>
              <w:t>AIS</w:t>
            </w:r>
            <w:r>
              <w:rPr>
                <w:rFonts w:hint="eastAsia"/>
              </w:rPr>
              <w:t>变电站，</w:t>
            </w:r>
            <w:r>
              <w:t>110kV</w:t>
            </w:r>
            <w:r>
              <w:rPr>
                <w:rFonts w:hint="eastAsia"/>
              </w:rPr>
              <w:t>配电装置布置在站区东北侧，朝东出线。采用户外</w:t>
            </w:r>
            <w:r>
              <w:t>AIS</w:t>
            </w:r>
            <w:r>
              <w:rPr>
                <w:rFonts w:hint="eastAsia"/>
              </w:rPr>
              <w:t>，中型布置。本期线路的出线间隔布置在前期</w:t>
            </w:r>
            <w:r>
              <w:t>512</w:t>
            </w:r>
            <w:r>
              <w:rPr>
                <w:rFonts w:hint="eastAsia"/>
              </w:rPr>
              <w:t>（</w:t>
            </w:r>
            <w:r>
              <w:t>5U</w:t>
            </w:r>
            <w:r>
              <w:rPr>
                <w:rFonts w:hint="eastAsia"/>
              </w:rPr>
              <w:t>）出线间隔的空余场地，配电装置参数与原有</w:t>
            </w:r>
            <w:r>
              <w:t>110kV</w:t>
            </w:r>
            <w:r>
              <w:rPr>
                <w:rFonts w:hint="eastAsia"/>
              </w:rPr>
              <w:t>出线间隔一致，采用户外</w:t>
            </w:r>
            <w:r>
              <w:t>AIS</w:t>
            </w:r>
            <w:r>
              <w:rPr>
                <w:rFonts w:hint="eastAsia"/>
              </w:rPr>
              <w:t>设备，电缆转架空出线。</w:t>
            </w:r>
          </w:p>
          <w:p w14:paraId="6691446E">
            <w:pPr>
              <w:pStyle w:val="5"/>
            </w:pPr>
            <w:r>
              <w:rPr>
                <w:rFonts w:hint="eastAsia"/>
              </w:rPr>
              <w:t>施工布置情况</w:t>
            </w:r>
          </w:p>
          <w:p w14:paraId="2BC6F982">
            <w:pPr>
              <w:pStyle w:val="3"/>
              <w:ind w:firstLine="480"/>
            </w:pPr>
            <w:r>
              <w:rPr>
                <w:rFonts w:hint="eastAsia"/>
              </w:rPr>
              <w:t>根据《湖南省江华湾水源抽水蓄能电站施工电源110千伏线路工程电网项目水土方案保持报告表》，本项目施工布置情况如下：</w:t>
            </w:r>
          </w:p>
          <w:p w14:paraId="6DFB2E4A">
            <w:pPr>
              <w:pStyle w:val="3"/>
              <w:ind w:firstLine="480"/>
            </w:pPr>
            <w:r>
              <w:rPr>
                <w:rFonts w:hint="eastAsia"/>
              </w:rPr>
              <w:t>（</w:t>
            </w:r>
            <w:r>
              <w:t>1</w:t>
            </w:r>
            <w:r>
              <w:rPr>
                <w:rFonts w:hint="eastAsia"/>
              </w:rPr>
              <w:t>）塔基施工区</w:t>
            </w:r>
          </w:p>
          <w:p w14:paraId="582BB029">
            <w:pPr>
              <w:pStyle w:val="3"/>
              <w:ind w:firstLine="480"/>
              <w:rPr>
                <w:color w:val="000000" w:themeColor="text1"/>
                <w14:textFill>
                  <w14:solidFill>
                    <w14:schemeClr w14:val="tx1"/>
                  </w14:solidFill>
                </w14:textFill>
              </w:rPr>
            </w:pPr>
            <w:r>
              <w:rPr>
                <w:rFonts w:hint="eastAsia"/>
              </w:rPr>
              <w:t>在塔基施工过程中需设置施工场地，用来临时堆置土方、砂石料、水、材料和工具等。塔基施工混凝土用量小，且受运输条件限制，无法使用商品混凝土，在施工现场由人工拌和。施工完成后应清理场地，以消除混凝土残留，便于植被恢复。本工程铁塔采用全方位高低塔腿设计，占地面</w:t>
            </w:r>
            <w:r>
              <w:rPr>
                <w:rFonts w:hint="eastAsia"/>
                <w:color w:val="000000" w:themeColor="text1"/>
                <w14:textFill>
                  <w14:solidFill>
                    <w14:schemeClr w14:val="tx1"/>
                  </w14:solidFill>
                </w14:textFill>
              </w:rPr>
              <w:t>积为</w:t>
            </w:r>
            <w:r>
              <w:rPr>
                <w:color w:val="000000" w:themeColor="text1"/>
                <w14:textFill>
                  <w14:solidFill>
                    <w14:schemeClr w14:val="tx1"/>
                  </w14:solidFill>
                </w14:textFill>
              </w:rPr>
              <w:t>0.57hm</w:t>
            </w:r>
            <w:r>
              <w:rPr>
                <w:color w:val="000000" w:themeColor="text1"/>
                <w:vertAlign w:val="superscript"/>
                <w14:textFill>
                  <w14:solidFill>
                    <w14:schemeClr w14:val="tx1"/>
                  </w14:solidFill>
                </w14:textFill>
              </w:rPr>
              <w:t>2</w:t>
            </w:r>
            <w:r>
              <w:rPr>
                <w:rFonts w:hint="eastAsia"/>
              </w:rPr>
              <w:t>；周边施工区域（含接地线占地范围）计临时用地，总占地面</w:t>
            </w:r>
            <w:r>
              <w:rPr>
                <w:rFonts w:hint="eastAsia"/>
                <w:color w:val="000000" w:themeColor="text1"/>
                <w14:textFill>
                  <w14:solidFill>
                    <w14:schemeClr w14:val="tx1"/>
                  </w14:solidFill>
                </w14:textFill>
              </w:rPr>
              <w:t>积为</w:t>
            </w:r>
            <w:r>
              <w:rPr>
                <w:color w:val="000000" w:themeColor="text1"/>
                <w14:textFill>
                  <w14:solidFill>
                    <w14:schemeClr w14:val="tx1"/>
                  </w14:solidFill>
                </w14:textFill>
              </w:rPr>
              <w:t>0.7</w:t>
            </w:r>
            <w:r>
              <w:rPr>
                <w:rFonts w:hint="eastAsia"/>
                <w:color w:val="000000" w:themeColor="text1"/>
                <w14:textFill>
                  <w14:solidFill>
                    <w14:schemeClr w14:val="tx1"/>
                  </w14:solidFill>
                </w14:textFill>
              </w:rPr>
              <w:t>h</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1F1208A9">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）牵张场</w:t>
            </w:r>
          </w:p>
          <w:p w14:paraId="415C85EF">
            <w:pPr>
              <w:pStyle w:val="3"/>
              <w:ind w:firstLine="480"/>
            </w:pPr>
            <w:r>
              <w:rPr>
                <w:rFonts w:hint="eastAsia"/>
                <w:color w:val="000000" w:themeColor="text1"/>
                <w14:textFill>
                  <w14:solidFill>
                    <w14:schemeClr w14:val="tx1"/>
                  </w14:solidFill>
                </w14:textFill>
              </w:rPr>
              <w:t>项目拟设置</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处材料堆场和牵张场地，全部设置在较平坦的荒草地，平均每个牵张场面积控制在625m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左右（长度25m×宽度25m），牵张场总占地面积约0.38hm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19676944">
            <w:pPr>
              <w:pStyle w:val="3"/>
              <w:ind w:firstLine="480"/>
            </w:pPr>
            <w:r>
              <w:rPr>
                <w:rFonts w:hint="eastAsia"/>
              </w:rPr>
              <w:t>（</w:t>
            </w:r>
            <w:r>
              <w:t>3</w:t>
            </w:r>
            <w:r>
              <w:rPr>
                <w:rFonts w:hint="eastAsia"/>
              </w:rPr>
              <w:t>）跨越施工区</w:t>
            </w:r>
          </w:p>
          <w:p w14:paraId="2443E63E">
            <w:pPr>
              <w:pStyle w:val="3"/>
              <w:ind w:firstLine="480"/>
            </w:pPr>
            <w:r>
              <w:rPr>
                <w:rFonts w:hint="eastAsia"/>
              </w:rPr>
              <w:t>本工程跨越电力线、通信线、河道及公路等共43处，其中有9处跨越电力线、9处跨越通信线、3处县道、13处穿越乡道及机耕道、跨越东河和麻江各1处。其中部分跨越处需在两侧搭跨越架进行施工。为满足施工要求，需设置7 处跨越施工区，主要采用高跨方式跨越，每处跨越场地约60m</w:t>
            </w:r>
            <w:r>
              <w:rPr>
                <w:rFonts w:hint="eastAsia"/>
                <w:vertAlign w:val="superscript"/>
              </w:rPr>
              <w:t>2</w:t>
            </w:r>
            <w:r>
              <w:rPr>
                <w:rFonts w:hint="eastAsia"/>
              </w:rPr>
              <w:t>，施工跨越区总占地约0.04hm</w:t>
            </w:r>
            <w:r>
              <w:rPr>
                <w:rFonts w:hint="eastAsia"/>
                <w:vertAlign w:val="superscript"/>
              </w:rPr>
              <w:t>2</w:t>
            </w:r>
            <w:r>
              <w:rPr>
                <w:rFonts w:hint="eastAsia"/>
              </w:rPr>
              <w:t>，占用荒草地。</w:t>
            </w:r>
          </w:p>
          <w:p w14:paraId="4D98E8A7">
            <w:pPr>
              <w:pStyle w:val="3"/>
              <w:ind w:firstLine="480"/>
            </w:pPr>
            <w:r>
              <w:rPr>
                <w:rFonts w:hint="eastAsia"/>
              </w:rPr>
              <w:t>（4）施工临时道路</w:t>
            </w:r>
          </w:p>
          <w:p w14:paraId="0482C330">
            <w:pPr>
              <w:pStyle w:val="3"/>
              <w:ind w:firstLine="480"/>
            </w:pPr>
            <w:r>
              <w:rPr>
                <w:rFonts w:hint="eastAsia"/>
              </w:rPr>
              <w:t>经现场踏勘以及分析资料，线路无法到达塔基时布设临时施工道路。根据线路沿线地形以及现有道路情况，本工程送出道路沿线有S326 省道和X081 县道，方便机动车辆运输。根据后续施工方案和计划，本工程充分利用现有乡村道路和原有山间道路，采用马匹和人工将材料运至塔基处，减少项目临时占地。新建部分施工临时机车道，多数使用人（马）抬道。其中机车道1.47km，宽3米，人（马）抬道6.78km，宽1.0m，临时道路总占地面积1.12hm</w:t>
            </w:r>
            <w:r>
              <w:rPr>
                <w:rFonts w:hint="eastAsia"/>
                <w:vertAlign w:val="superscript"/>
              </w:rPr>
              <w:t>2</w:t>
            </w:r>
            <w:r>
              <w:rPr>
                <w:rFonts w:hint="eastAsia"/>
              </w:rPr>
              <w:t>，占地类型为林地。</w:t>
            </w:r>
          </w:p>
          <w:p w14:paraId="7FE8EFDA">
            <w:pPr>
              <w:pStyle w:val="3"/>
              <w:ind w:firstLine="480"/>
            </w:pPr>
            <w:r>
              <w:rPr>
                <w:rFonts w:hint="eastAsia"/>
              </w:rPr>
              <w:t>（</w:t>
            </w:r>
            <w:r>
              <w:t>4</w:t>
            </w:r>
            <w:r>
              <w:rPr>
                <w:rFonts w:hint="eastAsia"/>
              </w:rPr>
              <w:t>）施工营地的布设</w:t>
            </w:r>
          </w:p>
          <w:p w14:paraId="1FE1FFEE">
            <w:pPr>
              <w:pStyle w:val="3"/>
              <w:ind w:firstLine="480"/>
            </w:pPr>
            <w:r>
              <w:rPr>
                <w:rFonts w:hint="eastAsia"/>
              </w:rPr>
              <w:t>线路工程施工人员租赁附近民房，不另行设置施工营地。</w:t>
            </w:r>
          </w:p>
          <w:p w14:paraId="2F56C5E4">
            <w:pPr>
              <w:pStyle w:val="3"/>
              <w:ind w:firstLine="480"/>
            </w:pPr>
          </w:p>
          <w:p w14:paraId="5E49A95B">
            <w:pPr>
              <w:pStyle w:val="3"/>
              <w:ind w:firstLine="480"/>
            </w:pPr>
          </w:p>
          <w:p w14:paraId="2DAAD559">
            <w:pPr>
              <w:pStyle w:val="3"/>
              <w:ind w:firstLine="480"/>
            </w:pPr>
          </w:p>
          <w:p w14:paraId="264676C2">
            <w:pPr>
              <w:pStyle w:val="3"/>
              <w:ind w:firstLine="480"/>
            </w:pPr>
          </w:p>
        </w:tc>
      </w:tr>
      <w:tr w14:paraId="7DA6C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233" w:type="pct"/>
            <w:vAlign w:val="center"/>
          </w:tcPr>
          <w:p w14:paraId="4A8DC7FC">
            <w:pPr>
              <w:pStyle w:val="86"/>
            </w:pPr>
            <w:r>
              <w:t>施工方案</w:t>
            </w:r>
          </w:p>
        </w:tc>
        <w:tc>
          <w:tcPr>
            <w:tcW w:w="4767" w:type="pct"/>
            <w:vAlign w:val="center"/>
          </w:tcPr>
          <w:p w14:paraId="3C3DD8CD">
            <w:pPr>
              <w:pStyle w:val="5"/>
            </w:pPr>
            <w:r>
              <w:rPr>
                <w:rFonts w:hint="eastAsia"/>
              </w:rPr>
              <w:t>施工</w:t>
            </w:r>
            <w:r>
              <w:t>方案</w:t>
            </w:r>
          </w:p>
          <w:p w14:paraId="2BB30A8A">
            <w:pPr>
              <w:pStyle w:val="3"/>
              <w:ind w:firstLine="480"/>
            </w:pPr>
            <w:r>
              <w:rPr>
                <w:rFonts w:hint="eastAsia"/>
              </w:rPr>
              <w:t>（1）施工工序</w:t>
            </w:r>
          </w:p>
          <w:p w14:paraId="0EA8105A">
            <w:pPr>
              <w:pStyle w:val="3"/>
              <w:ind w:firstLine="480"/>
            </w:pPr>
            <w:r>
              <w:rPr>
                <w:rFonts w:hint="eastAsia"/>
              </w:rPr>
              <w:t>施工组织及场地规划，塔基基础开挖和浇筑，接地埋设，铁塔组立，线路架设，接地安装，质量总检，启动试验。</w:t>
            </w:r>
          </w:p>
          <w:p w14:paraId="6087F35B">
            <w:pPr>
              <w:pStyle w:val="3"/>
              <w:ind w:firstLine="480"/>
            </w:pPr>
            <w:r>
              <w:rPr>
                <w:rFonts w:hint="eastAsia"/>
              </w:rPr>
              <w:t>（2）施工力量的配置</w:t>
            </w:r>
          </w:p>
          <w:p w14:paraId="5A8FDFC5">
            <w:pPr>
              <w:pStyle w:val="3"/>
              <w:ind w:firstLine="480"/>
            </w:pPr>
            <w:r>
              <w:rPr>
                <w:rFonts w:hint="eastAsia"/>
              </w:rPr>
              <w:t>预计施工高峰期施工人员及工地管理人员约30人，施工人员就近租用民房，不另行设置施工营地。</w:t>
            </w:r>
          </w:p>
          <w:p w14:paraId="5C88701E">
            <w:pPr>
              <w:pStyle w:val="3"/>
              <w:ind w:firstLine="480"/>
            </w:pPr>
            <w:r>
              <w:rPr>
                <w:rFonts w:hint="eastAsia"/>
              </w:rPr>
              <w:t>（3）工程土石方平衡</w:t>
            </w:r>
          </w:p>
          <w:p w14:paraId="794209C9">
            <w:pPr>
              <w:pStyle w:val="3"/>
              <w:ind w:firstLine="480"/>
            </w:pPr>
            <w:r>
              <w:rPr>
                <w:rFonts w:hint="eastAsia"/>
              </w:rPr>
              <w:t>挖填量基本平衡，弃土就地平整。</w:t>
            </w:r>
          </w:p>
          <w:p w14:paraId="757E4A85">
            <w:pPr>
              <w:pStyle w:val="3"/>
              <w:ind w:firstLine="480"/>
            </w:pPr>
            <w:r>
              <w:rPr>
                <w:rFonts w:hint="eastAsia"/>
              </w:rPr>
              <w:t>（</w:t>
            </w:r>
            <w:r>
              <w:t>4</w:t>
            </w:r>
            <w:r>
              <w:rPr>
                <w:rFonts w:hint="eastAsia"/>
              </w:rPr>
              <w:t>）施工进度安排</w:t>
            </w:r>
          </w:p>
          <w:p w14:paraId="08FDBCBE">
            <w:pPr>
              <w:pStyle w:val="3"/>
              <w:ind w:firstLine="480"/>
            </w:pPr>
            <w:r>
              <w:rPr>
                <w:rFonts w:hint="eastAsia"/>
              </w:rPr>
              <w:t>根据本项目工程内容、工程条件及特点，本项目建设总工期约为</w:t>
            </w:r>
            <w:r>
              <w:t>8</w:t>
            </w:r>
            <w:r>
              <w:rPr>
                <w:rFonts w:hint="eastAsia"/>
              </w:rPr>
              <w:t>个月。</w:t>
            </w:r>
          </w:p>
          <w:p w14:paraId="093E7235">
            <w:pPr>
              <w:pStyle w:val="3"/>
              <w:ind w:firstLine="480"/>
            </w:pPr>
            <w:r>
              <w:rPr>
                <w:rFonts w:hint="eastAsia"/>
              </w:rPr>
              <w:t>（</w:t>
            </w:r>
            <w:r>
              <w:t>5</w:t>
            </w:r>
            <w:r>
              <w:rPr>
                <w:rFonts w:hint="eastAsia"/>
              </w:rPr>
              <w:t>）施工用水</w:t>
            </w:r>
          </w:p>
          <w:p w14:paraId="3BB02309">
            <w:pPr>
              <w:pStyle w:val="3"/>
              <w:ind w:firstLine="480"/>
            </w:pPr>
            <w:r>
              <w:rPr>
                <w:rFonts w:hint="eastAsia"/>
              </w:rPr>
              <w:t>施工用水就近取自附近自然水体。</w:t>
            </w:r>
          </w:p>
          <w:p w14:paraId="6F3CEA8E">
            <w:pPr>
              <w:pStyle w:val="3"/>
              <w:ind w:firstLine="480"/>
            </w:pPr>
            <w:r>
              <w:rPr>
                <w:rFonts w:hint="eastAsia"/>
              </w:rPr>
              <w:t>（</w:t>
            </w:r>
            <w:r>
              <w:t>6</w:t>
            </w:r>
            <w:r>
              <w:rPr>
                <w:rFonts w:hint="eastAsia"/>
              </w:rPr>
              <w:t>）施工用电</w:t>
            </w:r>
          </w:p>
          <w:p w14:paraId="0EFF4512">
            <w:pPr>
              <w:pStyle w:val="3"/>
              <w:ind w:firstLine="480"/>
            </w:pPr>
            <w:r>
              <w:rPr>
                <w:rFonts w:hint="eastAsia"/>
              </w:rPr>
              <w:t>施工用电及通讯可就近由附近已有设施直接引接。</w:t>
            </w:r>
          </w:p>
          <w:p w14:paraId="72098433">
            <w:pPr>
              <w:pStyle w:val="3"/>
              <w:ind w:firstLine="480"/>
            </w:pPr>
            <w:r>
              <w:rPr>
                <w:rFonts w:hint="eastAsia"/>
              </w:rPr>
              <w:t>（</w:t>
            </w:r>
            <w:r>
              <w:t>7</w:t>
            </w:r>
            <w:r>
              <w:rPr>
                <w:rFonts w:hint="eastAsia"/>
              </w:rPr>
              <w:t>）建筑材料供应</w:t>
            </w:r>
          </w:p>
          <w:p w14:paraId="72218F5C">
            <w:pPr>
              <w:pStyle w:val="3"/>
              <w:ind w:firstLine="480"/>
            </w:pPr>
            <w:r>
              <w:rPr>
                <w:rFonts w:hint="eastAsia"/>
              </w:rPr>
              <w:t>本项目塔基施工混凝土用量小，且受运输条件限制，无法使用商品混凝土，在施工现场由人工拌和。其余建筑材料均从附近的正规建材单位购买。</w:t>
            </w:r>
          </w:p>
          <w:p w14:paraId="0C85BFED">
            <w:pPr>
              <w:pStyle w:val="5"/>
            </w:pPr>
            <w:r>
              <w:rPr>
                <w:rFonts w:hint="eastAsia"/>
              </w:rPr>
              <w:t>输电线路施工工艺和方法</w:t>
            </w:r>
          </w:p>
          <w:p w14:paraId="0220922F">
            <w:pPr>
              <w:pStyle w:val="3"/>
              <w:ind w:firstLine="480"/>
            </w:pPr>
            <w:r>
              <w:rPr>
                <w:rFonts w:hint="eastAsia"/>
              </w:rPr>
              <w:t>a）架空线路工程施工工艺及方法</w:t>
            </w:r>
          </w:p>
          <w:p w14:paraId="3694D98F">
            <w:pPr>
              <w:pStyle w:val="3"/>
              <w:ind w:firstLine="480"/>
            </w:pPr>
            <w:r>
              <w:rPr>
                <w:rFonts w:hint="eastAsia"/>
              </w:rPr>
              <w:t>架空输电线路施工的工艺流程主要包括三个阶段，即准备工作、施工安装和启动验收。其中，施工安装通常又划分为土方、基础、杆塔、架线及接地五个工序。架空输电线路施工工艺流程详见图</w:t>
            </w:r>
            <w:r>
              <w:t>2.9-1</w:t>
            </w:r>
            <w:r>
              <w:rPr>
                <w:rFonts w:hint="eastAsia"/>
              </w:rPr>
              <w:t>。</w:t>
            </w:r>
            <w:r>
              <w:t xml:space="preserve"> </w:t>
            </w:r>
          </w:p>
          <w:p w14:paraId="076B1D8B">
            <w:pPr>
              <w:pStyle w:val="148"/>
            </w:pPr>
            <w:r>
              <w:drawing>
                <wp:inline distT="0" distB="0" distL="0" distR="0">
                  <wp:extent cx="4678680" cy="263080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78680" cy="2630805"/>
                          </a:xfrm>
                          <a:prstGeom prst="rect">
                            <a:avLst/>
                          </a:prstGeom>
                          <a:noFill/>
                          <a:ln>
                            <a:noFill/>
                          </a:ln>
                        </pic:spPr>
                      </pic:pic>
                    </a:graphicData>
                  </a:graphic>
                </wp:inline>
              </w:drawing>
            </w:r>
          </w:p>
          <w:p w14:paraId="335918C4">
            <w:pPr>
              <w:pStyle w:val="148"/>
            </w:pPr>
            <w:r>
              <w:t>图</w:t>
            </w:r>
            <w:r>
              <w:rPr>
                <w:b/>
                <w:bCs/>
              </w:rPr>
              <w:t xml:space="preserve">2.9-1  </w:t>
            </w:r>
            <w:r>
              <w:t xml:space="preserve">架空输电线路施工工艺流程 </w:t>
            </w:r>
          </w:p>
          <w:p w14:paraId="7C17E4AD">
            <w:pPr>
              <w:pStyle w:val="3"/>
              <w:ind w:firstLine="480"/>
            </w:pPr>
            <w:r>
              <w:t>1</w:t>
            </w:r>
            <w:r>
              <w:rPr>
                <w:rFonts w:hint="eastAsia"/>
              </w:rPr>
              <w:t>）准备工作</w:t>
            </w:r>
            <w:r>
              <w:t xml:space="preserve"> </w:t>
            </w:r>
          </w:p>
          <w:p w14:paraId="3BACBA02">
            <w:pPr>
              <w:pStyle w:val="3"/>
              <w:ind w:firstLine="480"/>
            </w:pPr>
            <w:r>
              <w:rPr>
                <w:rFonts w:hint="eastAsia"/>
              </w:rPr>
              <w:t>施工准备工作包括技术准备、物资准备、施工现场准备等，其中技术准备包括运输道路、物料供应（钢筋、混凝土、水、砂石等）、沿线食宿生活、重要交叉跨越等现场调查，以及编写施工组织设计和施工说明等工作；物资准备包括设备订货、材料加工、材料运输计划、工器具准备等；施工现场准备包括建设必要的临时施工道路或设施，采购钢筋、混凝土、砂石等材料，按施工段进行更细致的运输道路调查，对线路进行复测和分坑，以及材料的工地运输。</w:t>
            </w:r>
            <w:r>
              <w:t xml:space="preserve"> </w:t>
            </w:r>
          </w:p>
          <w:p w14:paraId="6C68ADA0">
            <w:pPr>
              <w:pStyle w:val="3"/>
              <w:ind w:firstLine="480"/>
            </w:pPr>
            <w:r>
              <w:t>2</w:t>
            </w:r>
            <w:r>
              <w:rPr>
                <w:rFonts w:hint="eastAsia"/>
              </w:rPr>
              <w:t>）施工安装</w:t>
            </w:r>
            <w:r>
              <w:t xml:space="preserve"> </w:t>
            </w:r>
          </w:p>
          <w:p w14:paraId="7F90B4AB">
            <w:pPr>
              <w:pStyle w:val="3"/>
              <w:ind w:firstLine="480"/>
              <w:rPr>
                <w:lang w:val="zh-CN"/>
              </w:rPr>
            </w:pPr>
            <w:r>
              <w:rPr>
                <w:rFonts w:hint="eastAsia"/>
              </w:rPr>
              <w:t>（</w:t>
            </w:r>
            <w:r>
              <w:t>1</w:t>
            </w:r>
            <w:r>
              <w:rPr>
                <w:rFonts w:hint="eastAsia"/>
              </w:rPr>
              <w:t>）基础施工。</w:t>
            </w:r>
            <w:r>
              <w:rPr>
                <w:lang w:val="zh-CN"/>
              </w:rPr>
              <w:t>根据本工程实际地形情况，自立式铁塔基础推荐采用</w:t>
            </w:r>
            <w:r>
              <w:t>掏挖基础</w:t>
            </w:r>
            <w:r>
              <w:rPr>
                <w:lang w:val="zh-CN"/>
              </w:rPr>
              <w:t>和挖孔</w:t>
            </w:r>
            <w:r>
              <w:t>桩</w:t>
            </w:r>
            <w:r>
              <w:rPr>
                <w:lang w:val="zh-CN"/>
              </w:rPr>
              <w:t>基础。</w:t>
            </w:r>
            <w:r>
              <w:rPr>
                <w:rFonts w:hint="eastAsia"/>
                <w:lang w:val="zh-CN"/>
              </w:rPr>
              <w:t>基础开挖主要利用机械和人工施工。基坑开挖尽量保持坑壁成型完好，并做好支护以，避免坑内积水，最大限度减小弃土对影响周围环境和破坏植被，基坑开挖好后尽快浇筑混凝土。</w:t>
            </w:r>
          </w:p>
          <w:p w14:paraId="2104469C">
            <w:pPr>
              <w:pStyle w:val="3"/>
              <w:ind w:firstLine="480"/>
              <w:rPr>
                <w:lang w:val="zh-CN"/>
              </w:rPr>
            </w:pPr>
            <w:r>
              <w:rPr>
                <w:rFonts w:hint="eastAsia"/>
                <w:lang w:val="zh-CN"/>
              </w:rPr>
              <w:t>塔基区临时堆土周边采用填土草袋进行拦挡，草袋挡墙横截面设计为上底宽0.5m、下底宽1.0m、高0.5m的梯形断面。堆土表面采用塑料彩条布进行临时苫盖，施工完毕后产生的多余弃渣平铺在塔基范围内。草袋填筑不另行拆除，可用于回填。多余土方待该塔基施工结束后就地平整，并进行植被恢复。</w:t>
            </w:r>
          </w:p>
          <w:p w14:paraId="69571FAF">
            <w:pPr>
              <w:pStyle w:val="3"/>
              <w:ind w:firstLine="480"/>
            </w:pPr>
            <w:r>
              <w:rPr>
                <w:rFonts w:hint="eastAsia"/>
              </w:rPr>
              <w:t>（</w:t>
            </w:r>
            <w:r>
              <w:t>2</w:t>
            </w:r>
            <w:r>
              <w:rPr>
                <w:rFonts w:hint="eastAsia"/>
              </w:rPr>
              <w:t>）杆塔施工。自立式铁塔单基较重，根据各种铁塔的特点，分别采用内/外悬浮式抱杆或悬浮、落地摇臂抱杆组立铁塔。</w:t>
            </w:r>
          </w:p>
          <w:p w14:paraId="4E6760D4">
            <w:pPr>
              <w:pStyle w:val="3"/>
              <w:ind w:firstLine="480"/>
            </w:pPr>
            <w:r>
              <w:rPr>
                <w:rFonts w:hint="eastAsia"/>
              </w:rPr>
              <w:t>（</w:t>
            </w:r>
            <w:r>
              <w:t>3</w:t>
            </w:r>
            <w:r>
              <w:rPr>
                <w:rFonts w:hint="eastAsia"/>
              </w:rPr>
              <w:t>）架线施工。架线施工的任务是将架空导（地）线按设计要求的架线应力（驰度）架设于已组立好的杆塔上。按照施工流程可分为：障碍的消除；搭设越线架；挂悬垂绝缘子串和放线滑车；放线；紧线与观测驰度；附件安装；导（地）线的连接。</w:t>
            </w:r>
            <w:r>
              <w:t xml:space="preserve"> </w:t>
            </w:r>
          </w:p>
          <w:p w14:paraId="6EFA8033">
            <w:pPr>
              <w:pStyle w:val="3"/>
              <w:ind w:firstLine="480"/>
            </w:pPr>
            <w:r>
              <w:rPr>
                <w:rFonts w:hint="eastAsia"/>
              </w:rPr>
              <w:t>（</w:t>
            </w:r>
            <w:r>
              <w:t>4</w:t>
            </w:r>
            <w:r>
              <w:rPr>
                <w:rFonts w:hint="eastAsia"/>
              </w:rPr>
              <w:t>）接地安装。接地装置（包括接地体和接地引下线）大部分为地下隐蔽工程，故在施工中应严格按照规定操作安装，并需测量接地电阻值，使其符合要求后，才能投入运行。</w:t>
            </w:r>
            <w:r>
              <w:t xml:space="preserve"> </w:t>
            </w:r>
          </w:p>
          <w:p w14:paraId="1B1526E8">
            <w:pPr>
              <w:pStyle w:val="3"/>
              <w:ind w:firstLine="480"/>
            </w:pPr>
            <w:r>
              <w:t>2</w:t>
            </w:r>
            <w:r>
              <w:rPr>
                <w:rFonts w:hint="eastAsia"/>
              </w:rPr>
              <w:t>）地下电缆</w:t>
            </w:r>
          </w:p>
          <w:p w14:paraId="158247DC">
            <w:pPr>
              <w:pStyle w:val="3"/>
              <w:ind w:firstLine="480"/>
            </w:pPr>
            <w:r>
              <w:rPr>
                <w:rFonts w:hint="eastAsia"/>
              </w:rPr>
              <w:t>本工程地下电缆路径长</w:t>
            </w:r>
            <w:r>
              <w:t>0.045km</w:t>
            </w:r>
            <w:r>
              <w:rPr>
                <w:rFonts w:hint="eastAsia"/>
              </w:rPr>
              <w:t>，站内采用电缆沟敷设，站外电缆直接从电缆井接入电缆终端塔。电缆管道施工采用大开挖施工，施工流程主要包括：施工准备、工作井施工、电缆沟开挖施工、铺设电缆四个工序。</w:t>
            </w:r>
          </w:p>
          <w:p w14:paraId="420B7187">
            <w:pPr>
              <w:pStyle w:val="3"/>
              <w:ind w:firstLine="480"/>
            </w:pPr>
            <w:r>
              <w:t>3</w:t>
            </w:r>
            <w:r>
              <w:rPr>
                <w:rFonts w:hint="eastAsia"/>
              </w:rPr>
              <w:t>）变电站间隔扩建</w:t>
            </w:r>
          </w:p>
          <w:p w14:paraId="4C0F2122">
            <w:pPr>
              <w:pStyle w:val="3"/>
              <w:ind w:firstLine="480"/>
            </w:pPr>
            <w:r>
              <w:rPr>
                <w:rFonts w:hint="eastAsia"/>
              </w:rPr>
              <w:t>本项目变电站扩建间隔工程施工工艺流程主要包括六个阶段，现有构筑物拆除、地基处理、土建施工、设备进场运输、设备及网架安装等，施工工艺流程详见图</w:t>
            </w:r>
            <w:r>
              <w:t>2.9-2</w:t>
            </w:r>
            <w:r>
              <w:rPr>
                <w:rFonts w:hint="eastAsia"/>
              </w:rPr>
              <w:t>。</w:t>
            </w:r>
            <w:r>
              <w:t xml:space="preserve"> </w:t>
            </w:r>
          </w:p>
          <w:p w14:paraId="7B76EE10">
            <w:pPr>
              <w:pStyle w:val="148"/>
            </w:pPr>
            <w:r>
              <w:drawing>
                <wp:inline distT="0" distB="0" distL="0" distR="0">
                  <wp:extent cx="2498725" cy="26066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rcRect t="6631"/>
                          <a:stretch>
                            <a:fillRect/>
                          </a:stretch>
                        </pic:blipFill>
                        <pic:spPr>
                          <a:xfrm>
                            <a:off x="0" y="0"/>
                            <a:ext cx="2549983" cy="2660221"/>
                          </a:xfrm>
                          <a:prstGeom prst="rect">
                            <a:avLst/>
                          </a:prstGeom>
                          <a:ln>
                            <a:noFill/>
                          </a:ln>
                        </pic:spPr>
                      </pic:pic>
                    </a:graphicData>
                  </a:graphic>
                </wp:inline>
              </w:drawing>
            </w:r>
          </w:p>
          <w:p w14:paraId="1C97DE6A">
            <w:pPr>
              <w:pStyle w:val="148"/>
            </w:pPr>
            <w:r>
              <w:rPr>
                <w:rFonts w:hint="eastAsia"/>
              </w:rPr>
              <w:t>图</w:t>
            </w:r>
            <w:r>
              <w:t xml:space="preserve"> </w:t>
            </w:r>
            <w:r>
              <w:rPr>
                <w:bCs/>
              </w:rPr>
              <w:t xml:space="preserve">2.9-2  </w:t>
            </w:r>
            <w:r>
              <w:rPr>
                <w:rFonts w:hint="eastAsia"/>
              </w:rPr>
              <w:t>变电站扩建间隔工程施工工艺流程</w:t>
            </w:r>
          </w:p>
          <w:p w14:paraId="6A4B5C62">
            <w:pPr>
              <w:pStyle w:val="5"/>
            </w:pPr>
            <w:r>
              <w:rPr>
                <w:rFonts w:hint="eastAsia"/>
              </w:rPr>
              <w:t>施工周期</w:t>
            </w:r>
          </w:p>
          <w:p w14:paraId="6824180E">
            <w:pPr>
              <w:pStyle w:val="3"/>
              <w:ind w:firstLine="480"/>
            </w:pPr>
            <w:r>
              <w:rPr>
                <w:rFonts w:hint="eastAsia"/>
              </w:rPr>
              <w:t>本工程计划</w:t>
            </w:r>
            <w:r>
              <w:t>2024</w:t>
            </w:r>
            <w:r>
              <w:rPr>
                <w:rFonts w:hint="eastAsia"/>
              </w:rPr>
              <w:t>年</w:t>
            </w:r>
            <w:r>
              <w:t>12</w:t>
            </w:r>
            <w:r>
              <w:rPr>
                <w:rFonts w:hint="eastAsia"/>
              </w:rPr>
              <w:t>月底开工，</w:t>
            </w:r>
            <w:r>
              <w:t>2025</w:t>
            </w:r>
            <w:r>
              <w:rPr>
                <w:rFonts w:hint="eastAsia"/>
              </w:rPr>
              <w:t>年</w:t>
            </w:r>
            <w:r>
              <w:t>8</w:t>
            </w:r>
            <w:r>
              <w:rPr>
                <w:rFonts w:hint="eastAsia"/>
              </w:rPr>
              <w:t>月底建成投入运行。</w:t>
            </w:r>
          </w:p>
          <w:p w14:paraId="4BBBC5F9"/>
        </w:tc>
      </w:tr>
      <w:tr w14:paraId="459D1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233" w:type="pct"/>
            <w:vAlign w:val="center"/>
          </w:tcPr>
          <w:p w14:paraId="027D0C7D">
            <w:pPr>
              <w:pStyle w:val="86"/>
            </w:pPr>
            <w:r>
              <w:t>其他</w:t>
            </w:r>
          </w:p>
        </w:tc>
        <w:tc>
          <w:tcPr>
            <w:tcW w:w="4767" w:type="pct"/>
            <w:vAlign w:val="center"/>
          </w:tcPr>
          <w:p w14:paraId="5B5971E6">
            <w:pPr>
              <w:pStyle w:val="159"/>
            </w:pPr>
            <w:r>
              <w:rPr>
                <w:rFonts w:hint="eastAsia"/>
              </w:rPr>
              <w:t>无</w:t>
            </w:r>
          </w:p>
          <w:p w14:paraId="1C203695"/>
          <w:p w14:paraId="3E4F8BC5"/>
          <w:p w14:paraId="44997B52"/>
          <w:p w14:paraId="48989DA3"/>
          <w:p w14:paraId="1329CCA8">
            <w:pPr>
              <w:pStyle w:val="93"/>
            </w:pPr>
          </w:p>
        </w:tc>
      </w:tr>
    </w:tbl>
    <w:p w14:paraId="36053111">
      <w:pPr>
        <w:pStyle w:val="37"/>
        <w:adjustRightInd w:val="0"/>
        <w:snapToGrid w:val="0"/>
        <w:jc w:val="center"/>
        <w:outlineLvl w:val="0"/>
        <w:rPr>
          <w:rFonts w:ascii="黑体" w:hAnsi="黑体" w:eastAsia="黑体"/>
          <w:snapToGrid w:val="0"/>
          <w:sz w:val="30"/>
          <w:szCs w:val="30"/>
        </w:rPr>
      </w:pPr>
      <w:r>
        <w:rPr>
          <w:rFonts w:eastAsia="仿宋_GB2312"/>
          <w:b/>
          <w:bCs/>
        </w:rPr>
        <w:br w:type="page"/>
      </w:r>
      <w:bookmarkStart w:id="45" w:name="_Toc99093525"/>
      <w:bookmarkStart w:id="46" w:name="_Toc95916521"/>
      <w:bookmarkStart w:id="47" w:name="_Toc99090774"/>
      <w:bookmarkStart w:id="48" w:name="_Toc99093231"/>
      <w:bookmarkStart w:id="49" w:name="_Toc95916441"/>
      <w:bookmarkStart w:id="50" w:name="_Toc186810105"/>
      <w:r>
        <w:rPr>
          <w:rFonts w:hint="eastAsia" w:ascii="黑体" w:hAnsi="黑体" w:eastAsia="黑体"/>
          <w:snapToGrid w:val="0"/>
          <w:sz w:val="30"/>
          <w:szCs w:val="30"/>
        </w:rPr>
        <w:t>三、生态环境现状、保护目标及评价标准</w:t>
      </w:r>
      <w:bookmarkEnd w:id="45"/>
      <w:bookmarkEnd w:id="46"/>
      <w:bookmarkEnd w:id="47"/>
      <w:bookmarkEnd w:id="48"/>
      <w:bookmarkEnd w:id="49"/>
      <w:bookmarkEnd w:id="50"/>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8707"/>
      </w:tblGrid>
      <w:tr w14:paraId="60418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312" w:type="pct"/>
            <w:vAlign w:val="center"/>
          </w:tcPr>
          <w:p w14:paraId="00382F46">
            <w:pPr>
              <w:pStyle w:val="86"/>
            </w:pPr>
            <w:r>
              <w:t>生态环境现状</w:t>
            </w:r>
          </w:p>
        </w:tc>
        <w:tc>
          <w:tcPr>
            <w:tcW w:w="4688" w:type="pct"/>
            <w:vAlign w:val="center"/>
          </w:tcPr>
          <w:p w14:paraId="067A3898">
            <w:pPr>
              <w:pStyle w:val="2"/>
            </w:pPr>
            <w:bookmarkStart w:id="51" w:name="_Toc99090775"/>
            <w:bookmarkStart w:id="52" w:name="_Toc166056880"/>
            <w:bookmarkStart w:id="53" w:name="_Toc99098748"/>
            <w:bookmarkStart w:id="54" w:name="_Toc99093526"/>
            <w:bookmarkStart w:id="55" w:name="_Toc95916442"/>
            <w:bookmarkStart w:id="56" w:name="_Toc99093232"/>
            <w:bookmarkStart w:id="57" w:name="_Toc95916522"/>
            <w:bookmarkStart w:id="58" w:name="_Toc186810106"/>
            <w:r>
              <w:rPr>
                <w:rFonts w:hint="eastAsia"/>
                <w:snapToGrid w:val="0"/>
              </w:rPr>
              <w:t>生态环境现状、保护目标及评价标准</w:t>
            </w:r>
            <w:bookmarkEnd w:id="51"/>
            <w:bookmarkEnd w:id="52"/>
            <w:bookmarkEnd w:id="53"/>
            <w:bookmarkEnd w:id="54"/>
            <w:bookmarkEnd w:id="55"/>
            <w:bookmarkEnd w:id="56"/>
            <w:bookmarkEnd w:id="57"/>
            <w:bookmarkEnd w:id="58"/>
          </w:p>
          <w:p w14:paraId="19D9E07C">
            <w:pPr>
              <w:pStyle w:val="5"/>
            </w:pPr>
            <w:r>
              <w:rPr>
                <w:rFonts w:hint="eastAsia"/>
              </w:rPr>
              <w:t>生态环境现状</w:t>
            </w:r>
          </w:p>
          <w:p w14:paraId="58C01DB4">
            <w:pPr>
              <w:pStyle w:val="3"/>
              <w:ind w:firstLine="480"/>
            </w:pPr>
            <w:bookmarkStart w:id="59" w:name="_Toc95916444"/>
            <w:bookmarkStart w:id="60" w:name="_Toc99093234"/>
            <w:bookmarkStart w:id="61" w:name="_Toc99090777"/>
            <w:bookmarkStart w:id="62" w:name="_Toc99093528"/>
            <w:r>
              <w:rPr>
                <w:rFonts w:hint="eastAsia"/>
              </w:rPr>
              <w:t>评价范围内以森林生态系统为主，用地类型主要为林地，评价区植被类型简单，外貌较整齐，主要有杉木、马尾松、湿地松、桉树、枫杨和一些常绿慢生性阔叶树种如黧蒴锥、红锥等植物，均为当地常见物种。评价区未发现珍稀濒危保护植物及古树名木。评价区周边有一定人为活动，野生动物出现较少，多为常见种。详见生态影响专项评价。</w:t>
            </w:r>
          </w:p>
          <w:p w14:paraId="63F9DDB3">
            <w:pPr>
              <w:pStyle w:val="5"/>
            </w:pPr>
            <w:r>
              <w:t>地表水环境质量现状</w:t>
            </w:r>
            <w:bookmarkEnd w:id="59"/>
            <w:bookmarkEnd w:id="60"/>
            <w:bookmarkEnd w:id="61"/>
            <w:bookmarkEnd w:id="62"/>
          </w:p>
          <w:p w14:paraId="03BB1783">
            <w:pPr>
              <w:pStyle w:val="3"/>
              <w:ind w:firstLine="480"/>
            </w:pPr>
            <w:r>
              <w:rPr>
                <w:rFonts w:hint="eastAsia"/>
              </w:rPr>
              <w:t>评价收集了永州市生态环境局发布的</w:t>
            </w:r>
            <w:r>
              <w:t>2023</w:t>
            </w:r>
            <w:r>
              <w:rPr>
                <w:rFonts w:hint="eastAsia"/>
              </w:rPr>
              <w:t>年</w:t>
            </w:r>
            <w:r>
              <w:t>1~12</w:t>
            </w:r>
            <w:r>
              <w:rPr>
                <w:rFonts w:hint="eastAsia"/>
              </w:rPr>
              <w:t>月环境质量状况中的地表水环境现状资料，本项目所在区域监测断面为涔天河水库上游</w:t>
            </w:r>
            <w:r>
              <w:t>1000</w:t>
            </w:r>
            <w:r>
              <w:rPr>
                <w:rFonts w:hint="eastAsia"/>
              </w:rPr>
              <w:t>m断面，</w:t>
            </w:r>
            <w:r>
              <w:t>2023</w:t>
            </w:r>
            <w:r>
              <w:rPr>
                <w:rFonts w:hint="eastAsia"/>
              </w:rPr>
              <w:t>年水质达到《地表水环境质量标准》</w:t>
            </w:r>
            <w:r>
              <w:fldChar w:fldCharType="begin"/>
            </w:r>
            <w:r>
              <w:instrText xml:space="preserve"> = 2 \* ROMAN </w:instrText>
            </w:r>
            <w:r>
              <w:fldChar w:fldCharType="separate"/>
            </w:r>
            <w:r>
              <w:t>II</w:t>
            </w:r>
            <w:r>
              <w:fldChar w:fldCharType="end"/>
            </w:r>
            <w:r>
              <w:rPr>
                <w:rFonts w:hint="eastAsia"/>
              </w:rPr>
              <w:t>类及以上标准，水质较好。</w:t>
            </w:r>
          </w:p>
          <w:p w14:paraId="3B81BD41">
            <w:pPr>
              <w:pStyle w:val="148"/>
            </w:pPr>
            <w:r>
              <w:rPr>
                <w:rFonts w:hint="eastAsia"/>
              </w:rPr>
              <w:t>表3</w:t>
            </w:r>
            <w:r>
              <w:t>.2</w:t>
            </w:r>
            <w:r>
              <w:rPr>
                <w:rFonts w:hint="eastAsia"/>
              </w:rPr>
              <w:t>-</w:t>
            </w:r>
            <w:r>
              <w:t xml:space="preserve">1   </w:t>
            </w:r>
            <w:r>
              <w:rPr>
                <w:rFonts w:hint="eastAsia" w:cs="宋体"/>
                <w:color w:val="000000"/>
                <w:szCs w:val="24"/>
              </w:rPr>
              <w:t>涔天河水库上游</w:t>
            </w:r>
            <w:r>
              <w:rPr>
                <w:color w:val="000000"/>
                <w:szCs w:val="24"/>
              </w:rPr>
              <w:t>1000</w:t>
            </w:r>
            <w:r>
              <w:rPr>
                <w:rFonts w:hint="eastAsia" w:cs="宋体"/>
                <w:color w:val="000000"/>
                <w:szCs w:val="24"/>
              </w:rPr>
              <w:t>米断面</w:t>
            </w:r>
            <w:r>
              <w:rPr>
                <w:rFonts w:hint="eastAsia"/>
              </w:rPr>
              <w:t>水质类别</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1055"/>
              <w:gridCol w:w="1055"/>
              <w:gridCol w:w="993"/>
              <w:gridCol w:w="1181"/>
              <w:gridCol w:w="1181"/>
              <w:gridCol w:w="1181"/>
            </w:tblGrid>
            <w:tr w14:paraId="1456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2" w:type="pct"/>
                  <w:shd w:val="clear" w:color="auto" w:fill="auto"/>
                  <w:vAlign w:val="center"/>
                </w:tcPr>
                <w:p w14:paraId="7B463715">
                  <w:pPr>
                    <w:pStyle w:val="159"/>
                  </w:pPr>
                  <w:r>
                    <w:rPr>
                      <w:rFonts w:hint="eastAsia"/>
                    </w:rPr>
                    <w:t>日期</w:t>
                  </w:r>
                </w:p>
              </w:tc>
              <w:tc>
                <w:tcPr>
                  <w:tcW w:w="622" w:type="pct"/>
                  <w:shd w:val="clear" w:color="auto" w:fill="auto"/>
                  <w:vAlign w:val="center"/>
                </w:tcPr>
                <w:p w14:paraId="4FBC23FA">
                  <w:pPr>
                    <w:pStyle w:val="159"/>
                  </w:pPr>
                  <w:r>
                    <w:t>1</w:t>
                  </w:r>
                  <w:r>
                    <w:rPr>
                      <w:rFonts w:hint="eastAsia"/>
                    </w:rPr>
                    <w:t>月</w:t>
                  </w:r>
                </w:p>
              </w:tc>
              <w:tc>
                <w:tcPr>
                  <w:tcW w:w="622" w:type="pct"/>
                  <w:shd w:val="clear" w:color="auto" w:fill="auto"/>
                  <w:vAlign w:val="center"/>
                </w:tcPr>
                <w:p w14:paraId="7FBD17B1">
                  <w:pPr>
                    <w:pStyle w:val="159"/>
                  </w:pPr>
                  <w:r>
                    <w:t>2</w:t>
                  </w:r>
                  <w:r>
                    <w:rPr>
                      <w:rFonts w:hint="eastAsia"/>
                    </w:rPr>
                    <w:t>月</w:t>
                  </w:r>
                </w:p>
              </w:tc>
              <w:tc>
                <w:tcPr>
                  <w:tcW w:w="585" w:type="pct"/>
                  <w:shd w:val="clear" w:color="auto" w:fill="auto"/>
                  <w:vAlign w:val="center"/>
                </w:tcPr>
                <w:p w14:paraId="1442D465">
                  <w:pPr>
                    <w:pStyle w:val="159"/>
                  </w:pPr>
                  <w:r>
                    <w:t>3月</w:t>
                  </w:r>
                </w:p>
              </w:tc>
              <w:tc>
                <w:tcPr>
                  <w:tcW w:w="696" w:type="pct"/>
                  <w:shd w:val="clear" w:color="auto" w:fill="auto"/>
                  <w:vAlign w:val="center"/>
                </w:tcPr>
                <w:p w14:paraId="62DADA2A">
                  <w:pPr>
                    <w:pStyle w:val="159"/>
                  </w:pPr>
                  <w:r>
                    <w:t>4月</w:t>
                  </w:r>
                </w:p>
              </w:tc>
              <w:tc>
                <w:tcPr>
                  <w:tcW w:w="696" w:type="pct"/>
                  <w:shd w:val="clear" w:color="auto" w:fill="auto"/>
                  <w:vAlign w:val="center"/>
                </w:tcPr>
                <w:p w14:paraId="00F0754C">
                  <w:pPr>
                    <w:pStyle w:val="159"/>
                  </w:pPr>
                  <w:r>
                    <w:t>5月</w:t>
                  </w:r>
                </w:p>
              </w:tc>
              <w:tc>
                <w:tcPr>
                  <w:tcW w:w="696" w:type="pct"/>
                  <w:shd w:val="clear" w:color="auto" w:fill="auto"/>
                  <w:vAlign w:val="center"/>
                </w:tcPr>
                <w:p w14:paraId="23D097A3">
                  <w:pPr>
                    <w:pStyle w:val="159"/>
                  </w:pPr>
                  <w:r>
                    <w:t>6月</w:t>
                  </w:r>
                </w:p>
              </w:tc>
            </w:tr>
            <w:tr w14:paraId="4B43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2" w:type="pct"/>
                  <w:shd w:val="clear" w:color="auto" w:fill="auto"/>
                  <w:vAlign w:val="center"/>
                </w:tcPr>
                <w:p w14:paraId="45A7C44E">
                  <w:pPr>
                    <w:pStyle w:val="159"/>
                  </w:pPr>
                  <w:r>
                    <w:rPr>
                      <w:rFonts w:hint="eastAsia"/>
                    </w:rPr>
                    <w:t>水质类别</w:t>
                  </w:r>
                </w:p>
              </w:tc>
              <w:tc>
                <w:tcPr>
                  <w:tcW w:w="622" w:type="pct"/>
                  <w:shd w:val="clear" w:color="auto" w:fill="auto"/>
                  <w:vAlign w:val="center"/>
                </w:tcPr>
                <w:p w14:paraId="5022BEF6">
                  <w:pPr>
                    <w:pStyle w:val="159"/>
                  </w:pP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类</w:t>
                  </w:r>
                </w:p>
              </w:tc>
              <w:tc>
                <w:tcPr>
                  <w:tcW w:w="622" w:type="pct"/>
                  <w:shd w:val="clear" w:color="auto" w:fill="auto"/>
                  <w:vAlign w:val="center"/>
                </w:tcPr>
                <w:p w14:paraId="6004C49F">
                  <w:pPr>
                    <w:pStyle w:val="159"/>
                  </w:pP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类</w:t>
                  </w:r>
                </w:p>
              </w:tc>
              <w:tc>
                <w:tcPr>
                  <w:tcW w:w="585" w:type="pct"/>
                  <w:shd w:val="clear" w:color="auto" w:fill="auto"/>
                  <w:vAlign w:val="center"/>
                </w:tcPr>
                <w:p w14:paraId="31F7FF20">
                  <w:pPr>
                    <w:pStyle w:val="159"/>
                  </w:pP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类</w:t>
                  </w:r>
                </w:p>
              </w:tc>
              <w:tc>
                <w:tcPr>
                  <w:tcW w:w="696" w:type="pct"/>
                  <w:shd w:val="clear" w:color="auto" w:fill="auto"/>
                  <w:noWrap/>
                  <w:vAlign w:val="center"/>
                </w:tcPr>
                <w:p w14:paraId="12032FAA">
                  <w:pPr>
                    <w:pStyle w:val="159"/>
                  </w:pP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类</w:t>
                  </w:r>
                </w:p>
              </w:tc>
              <w:tc>
                <w:tcPr>
                  <w:tcW w:w="696" w:type="pct"/>
                  <w:shd w:val="clear" w:color="auto" w:fill="auto"/>
                  <w:noWrap/>
                  <w:vAlign w:val="center"/>
                </w:tcPr>
                <w:p w14:paraId="1F4859B6">
                  <w:pPr>
                    <w:pStyle w:val="159"/>
                  </w:pP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类</w:t>
                  </w:r>
                </w:p>
              </w:tc>
              <w:tc>
                <w:tcPr>
                  <w:tcW w:w="696" w:type="pct"/>
                  <w:shd w:val="clear" w:color="auto" w:fill="auto"/>
                  <w:noWrap/>
                  <w:vAlign w:val="center"/>
                </w:tcPr>
                <w:p w14:paraId="35A66380">
                  <w:pPr>
                    <w:pStyle w:val="159"/>
                  </w:pP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类</w:t>
                  </w:r>
                </w:p>
              </w:tc>
            </w:tr>
            <w:tr w14:paraId="615D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2" w:type="pct"/>
                  <w:shd w:val="clear" w:color="auto" w:fill="auto"/>
                  <w:vAlign w:val="center"/>
                </w:tcPr>
                <w:p w14:paraId="0793E1B7">
                  <w:pPr>
                    <w:pStyle w:val="159"/>
                  </w:pPr>
                  <w:r>
                    <w:rPr>
                      <w:rFonts w:hint="eastAsia"/>
                    </w:rPr>
                    <w:t>日期</w:t>
                  </w:r>
                </w:p>
              </w:tc>
              <w:tc>
                <w:tcPr>
                  <w:tcW w:w="622" w:type="pct"/>
                  <w:shd w:val="clear" w:color="auto" w:fill="auto"/>
                  <w:vAlign w:val="center"/>
                </w:tcPr>
                <w:p w14:paraId="4F46ED24">
                  <w:pPr>
                    <w:pStyle w:val="159"/>
                  </w:pPr>
                  <w:r>
                    <w:t>7月</w:t>
                  </w:r>
                </w:p>
              </w:tc>
              <w:tc>
                <w:tcPr>
                  <w:tcW w:w="622" w:type="pct"/>
                  <w:shd w:val="clear" w:color="auto" w:fill="auto"/>
                  <w:vAlign w:val="center"/>
                </w:tcPr>
                <w:p w14:paraId="6F0458BD">
                  <w:pPr>
                    <w:pStyle w:val="159"/>
                  </w:pPr>
                  <w:r>
                    <w:t>8月</w:t>
                  </w:r>
                </w:p>
              </w:tc>
              <w:tc>
                <w:tcPr>
                  <w:tcW w:w="585" w:type="pct"/>
                  <w:shd w:val="clear" w:color="auto" w:fill="auto"/>
                  <w:vAlign w:val="center"/>
                </w:tcPr>
                <w:p w14:paraId="14CD42A0">
                  <w:pPr>
                    <w:pStyle w:val="159"/>
                  </w:pPr>
                  <w:r>
                    <w:t>9月</w:t>
                  </w:r>
                </w:p>
              </w:tc>
              <w:tc>
                <w:tcPr>
                  <w:tcW w:w="696" w:type="pct"/>
                  <w:shd w:val="clear" w:color="auto" w:fill="auto"/>
                  <w:noWrap/>
                  <w:vAlign w:val="center"/>
                </w:tcPr>
                <w:p w14:paraId="2181A043">
                  <w:pPr>
                    <w:pStyle w:val="159"/>
                  </w:pPr>
                  <w:r>
                    <w:t>10月</w:t>
                  </w:r>
                </w:p>
              </w:tc>
              <w:tc>
                <w:tcPr>
                  <w:tcW w:w="696" w:type="pct"/>
                  <w:shd w:val="clear" w:color="auto" w:fill="auto"/>
                  <w:noWrap/>
                  <w:vAlign w:val="center"/>
                </w:tcPr>
                <w:p w14:paraId="04EDDD4C">
                  <w:pPr>
                    <w:pStyle w:val="159"/>
                  </w:pPr>
                  <w:r>
                    <w:t>11月</w:t>
                  </w:r>
                </w:p>
              </w:tc>
              <w:tc>
                <w:tcPr>
                  <w:tcW w:w="696" w:type="pct"/>
                  <w:shd w:val="clear" w:color="auto" w:fill="auto"/>
                  <w:noWrap/>
                  <w:vAlign w:val="center"/>
                </w:tcPr>
                <w:p w14:paraId="344F4D81">
                  <w:pPr>
                    <w:pStyle w:val="159"/>
                  </w:pPr>
                  <w:r>
                    <w:t>12月</w:t>
                  </w:r>
                </w:p>
              </w:tc>
            </w:tr>
            <w:tr w14:paraId="3B0F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2" w:type="pct"/>
                  <w:shd w:val="clear" w:color="auto" w:fill="auto"/>
                  <w:vAlign w:val="center"/>
                </w:tcPr>
                <w:p w14:paraId="4C4AA743">
                  <w:pPr>
                    <w:pStyle w:val="159"/>
                  </w:pPr>
                  <w:r>
                    <w:rPr>
                      <w:rFonts w:hint="eastAsia"/>
                    </w:rPr>
                    <w:t>水质类别</w:t>
                  </w:r>
                </w:p>
              </w:tc>
              <w:tc>
                <w:tcPr>
                  <w:tcW w:w="622" w:type="pct"/>
                  <w:shd w:val="clear" w:color="auto" w:fill="auto"/>
                  <w:vAlign w:val="center"/>
                </w:tcPr>
                <w:p w14:paraId="66FF99BE">
                  <w:pPr>
                    <w:pStyle w:val="159"/>
                  </w:pP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类</w:t>
                  </w:r>
                </w:p>
              </w:tc>
              <w:tc>
                <w:tcPr>
                  <w:tcW w:w="622" w:type="pct"/>
                  <w:shd w:val="clear" w:color="auto" w:fill="auto"/>
                  <w:vAlign w:val="center"/>
                </w:tcPr>
                <w:p w14:paraId="76B9F725">
                  <w:pPr>
                    <w:pStyle w:val="159"/>
                  </w:pP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类</w:t>
                  </w:r>
                </w:p>
              </w:tc>
              <w:tc>
                <w:tcPr>
                  <w:tcW w:w="585" w:type="pct"/>
                  <w:shd w:val="clear" w:color="auto" w:fill="auto"/>
                  <w:vAlign w:val="center"/>
                </w:tcPr>
                <w:p w14:paraId="574B4093">
                  <w:pPr>
                    <w:pStyle w:val="159"/>
                  </w:pP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类</w:t>
                  </w:r>
                </w:p>
              </w:tc>
              <w:tc>
                <w:tcPr>
                  <w:tcW w:w="696" w:type="pct"/>
                  <w:shd w:val="clear" w:color="auto" w:fill="auto"/>
                  <w:noWrap/>
                  <w:vAlign w:val="center"/>
                </w:tcPr>
                <w:p w14:paraId="7CF9243C">
                  <w:pPr>
                    <w:pStyle w:val="159"/>
                  </w:pP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类</w:t>
                  </w:r>
                </w:p>
              </w:tc>
              <w:tc>
                <w:tcPr>
                  <w:tcW w:w="696" w:type="pct"/>
                  <w:shd w:val="clear" w:color="auto" w:fill="auto"/>
                  <w:noWrap/>
                  <w:vAlign w:val="center"/>
                </w:tcPr>
                <w:p w14:paraId="7CF01405">
                  <w:pPr>
                    <w:pStyle w:val="159"/>
                  </w:pP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类</w:t>
                  </w:r>
                </w:p>
              </w:tc>
              <w:tc>
                <w:tcPr>
                  <w:tcW w:w="696" w:type="pct"/>
                  <w:shd w:val="clear" w:color="auto" w:fill="auto"/>
                  <w:noWrap/>
                  <w:vAlign w:val="center"/>
                </w:tcPr>
                <w:p w14:paraId="213CF855">
                  <w:pPr>
                    <w:pStyle w:val="159"/>
                    <w:rPr>
                      <w:rFonts w:eastAsia="Times New Roman"/>
                    </w:rPr>
                  </w:pP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类</w:t>
                  </w:r>
                </w:p>
              </w:tc>
            </w:tr>
          </w:tbl>
          <w:p w14:paraId="6089BEBA">
            <w:pPr>
              <w:pStyle w:val="3"/>
              <w:ind w:firstLine="220"/>
              <w:rPr>
                <w:sz w:val="11"/>
                <w:szCs w:val="11"/>
              </w:rPr>
            </w:pPr>
          </w:p>
          <w:p w14:paraId="440DF951">
            <w:bookmarkStart w:id="63" w:name="_Toc95916445"/>
            <w:bookmarkStart w:id="64" w:name="_Toc99093235"/>
            <w:bookmarkStart w:id="65" w:name="_Toc99093529"/>
            <w:bookmarkStart w:id="66" w:name="_Toc99090778"/>
          </w:p>
          <w:p w14:paraId="1F66C1F6">
            <w:pPr>
              <w:pStyle w:val="5"/>
            </w:pPr>
            <w:r>
              <w:rPr>
                <w:rFonts w:hint="eastAsia"/>
              </w:rPr>
              <w:t>大气</w:t>
            </w:r>
            <w:r>
              <w:t>环境质量现状</w:t>
            </w:r>
            <w:bookmarkEnd w:id="63"/>
            <w:bookmarkEnd w:id="64"/>
            <w:bookmarkEnd w:id="65"/>
            <w:bookmarkEnd w:id="66"/>
          </w:p>
          <w:p w14:paraId="442BAC6B">
            <w:pPr>
              <w:pStyle w:val="3"/>
              <w:ind w:firstLine="480"/>
            </w:pPr>
            <w:r>
              <w:rPr>
                <w:rFonts w:hint="eastAsia"/>
              </w:rPr>
              <w:t>为了解项目所在区域的空气环境质量现状，本次评价采用永州市生态环境局发布的《2023年1-12月全市环境质量状况的通报》中江华县环境空气质量现状数据，监测数据详见表</w:t>
            </w:r>
            <w:r>
              <w:t>3.</w:t>
            </w:r>
            <w:r>
              <w:rPr>
                <w:rFonts w:hint="eastAsia"/>
              </w:rPr>
              <w:t>3-1。</w:t>
            </w:r>
          </w:p>
          <w:p w14:paraId="5A826B99">
            <w:pPr>
              <w:pStyle w:val="148"/>
            </w:pPr>
            <w:r>
              <w:rPr>
                <w:rFonts w:hint="eastAsia"/>
              </w:rPr>
              <w:t>表</w:t>
            </w:r>
            <w:r>
              <w:t>3.3</w:t>
            </w:r>
            <w:r>
              <w:rPr>
                <w:rFonts w:hint="eastAsia"/>
              </w:rPr>
              <w:t>-1</w:t>
            </w:r>
            <w:r>
              <w:t xml:space="preserve"> </w:t>
            </w:r>
            <w:r>
              <w:rPr>
                <w:rFonts w:hint="eastAsia"/>
              </w:rPr>
              <w:t xml:space="preserve"> </w:t>
            </w:r>
            <w:r>
              <w:t xml:space="preserve"> </w:t>
            </w:r>
            <w:r>
              <w:rPr>
                <w:rFonts w:hint="eastAsia"/>
              </w:rPr>
              <w:t>2023年江华县环境空气质量状况</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2007"/>
              <w:gridCol w:w="1382"/>
              <w:gridCol w:w="1382"/>
              <w:gridCol w:w="1467"/>
              <w:gridCol w:w="990"/>
            </w:tblGrid>
            <w:tr w14:paraId="0002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pct"/>
                  <w:vAlign w:val="center"/>
                </w:tcPr>
                <w:p w14:paraId="5866A78B">
                  <w:pPr>
                    <w:pStyle w:val="159"/>
                  </w:pPr>
                  <w:r>
                    <w:rPr>
                      <w:rFonts w:hint="eastAsia"/>
                    </w:rPr>
                    <w:t>监测因子</w:t>
                  </w:r>
                </w:p>
              </w:tc>
              <w:tc>
                <w:tcPr>
                  <w:tcW w:w="1183" w:type="pct"/>
                  <w:vAlign w:val="center"/>
                </w:tcPr>
                <w:p w14:paraId="75366CF7">
                  <w:pPr>
                    <w:pStyle w:val="159"/>
                  </w:pPr>
                  <w:r>
                    <w:rPr>
                      <w:rFonts w:hint="eastAsia"/>
                    </w:rPr>
                    <w:t>评价指标</w:t>
                  </w:r>
                </w:p>
              </w:tc>
              <w:tc>
                <w:tcPr>
                  <w:tcW w:w="815" w:type="pct"/>
                  <w:vAlign w:val="center"/>
                </w:tcPr>
                <w:p w14:paraId="43FF2808">
                  <w:pPr>
                    <w:pStyle w:val="159"/>
                  </w:pPr>
                  <w:r>
                    <w:rPr>
                      <w:rFonts w:hint="eastAsia"/>
                    </w:rPr>
                    <w:t>监测浓度</w:t>
                  </w:r>
                </w:p>
                <w:p w14:paraId="2EAF8EC1">
                  <w:pPr>
                    <w:pStyle w:val="159"/>
                  </w:pPr>
                  <w:r>
                    <w:rPr>
                      <w:rFonts w:hint="eastAsia"/>
                    </w:rPr>
                    <w:t>（μg/m</w:t>
                  </w:r>
                  <w:r>
                    <w:rPr>
                      <w:rFonts w:hint="eastAsia"/>
                      <w:vertAlign w:val="superscript"/>
                    </w:rPr>
                    <w:t>3</w:t>
                  </w:r>
                  <w:r>
                    <w:rPr>
                      <w:rFonts w:hint="eastAsia"/>
                    </w:rPr>
                    <w:t>）</w:t>
                  </w:r>
                </w:p>
              </w:tc>
              <w:tc>
                <w:tcPr>
                  <w:tcW w:w="815" w:type="pct"/>
                  <w:vAlign w:val="center"/>
                </w:tcPr>
                <w:p w14:paraId="20043F68">
                  <w:pPr>
                    <w:pStyle w:val="159"/>
                  </w:pPr>
                  <w:r>
                    <w:rPr>
                      <w:rFonts w:hint="eastAsia"/>
                    </w:rPr>
                    <w:t>标准值</w:t>
                  </w:r>
                </w:p>
                <w:p w14:paraId="5E014296">
                  <w:pPr>
                    <w:pStyle w:val="159"/>
                  </w:pPr>
                  <w:r>
                    <w:rPr>
                      <w:rFonts w:hint="eastAsia"/>
                    </w:rPr>
                    <w:t>（μg/m</w:t>
                  </w:r>
                  <w:r>
                    <w:rPr>
                      <w:rFonts w:hint="eastAsia"/>
                      <w:vertAlign w:val="superscript"/>
                    </w:rPr>
                    <w:t>3</w:t>
                  </w:r>
                  <w:r>
                    <w:rPr>
                      <w:rFonts w:hint="eastAsia"/>
                    </w:rPr>
                    <w:t>）</w:t>
                  </w:r>
                </w:p>
              </w:tc>
              <w:tc>
                <w:tcPr>
                  <w:tcW w:w="865" w:type="pct"/>
                  <w:vAlign w:val="center"/>
                </w:tcPr>
                <w:p w14:paraId="71644B1B">
                  <w:pPr>
                    <w:pStyle w:val="159"/>
                  </w:pPr>
                  <w:r>
                    <w:rPr>
                      <w:rFonts w:hint="eastAsia"/>
                    </w:rPr>
                    <w:t>占标率（%）</w:t>
                  </w:r>
                </w:p>
              </w:tc>
              <w:tc>
                <w:tcPr>
                  <w:tcW w:w="583" w:type="pct"/>
                  <w:vAlign w:val="center"/>
                </w:tcPr>
                <w:p w14:paraId="31F27898">
                  <w:pPr>
                    <w:pStyle w:val="159"/>
                  </w:pPr>
                  <w:r>
                    <w:rPr>
                      <w:rFonts w:hint="eastAsia"/>
                    </w:rPr>
                    <w:t>达标</w:t>
                  </w:r>
                </w:p>
                <w:p w14:paraId="2FA24A1D">
                  <w:pPr>
                    <w:pStyle w:val="159"/>
                  </w:pPr>
                  <w:r>
                    <w:rPr>
                      <w:rFonts w:hint="eastAsia"/>
                    </w:rPr>
                    <w:t>情况</w:t>
                  </w:r>
                </w:p>
              </w:tc>
            </w:tr>
            <w:tr w14:paraId="3462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pct"/>
                  <w:vAlign w:val="center"/>
                </w:tcPr>
                <w:p w14:paraId="68959269">
                  <w:pPr>
                    <w:pStyle w:val="159"/>
                  </w:pPr>
                  <w:r>
                    <w:rPr>
                      <w:rFonts w:hint="eastAsia"/>
                    </w:rPr>
                    <w:t>PM</w:t>
                  </w:r>
                  <w:r>
                    <w:rPr>
                      <w:rFonts w:hint="eastAsia"/>
                      <w:vertAlign w:val="subscript"/>
                    </w:rPr>
                    <w:t>10</w:t>
                  </w:r>
                </w:p>
              </w:tc>
              <w:tc>
                <w:tcPr>
                  <w:tcW w:w="1183" w:type="pct"/>
                  <w:vMerge w:val="restart"/>
                  <w:vAlign w:val="center"/>
                </w:tcPr>
                <w:p w14:paraId="4D1EB21E">
                  <w:pPr>
                    <w:pStyle w:val="159"/>
                  </w:pPr>
                  <w:r>
                    <w:rPr>
                      <w:rFonts w:hint="eastAsia"/>
                    </w:rPr>
                    <w:t>年平均质量浓度</w:t>
                  </w:r>
                </w:p>
              </w:tc>
              <w:tc>
                <w:tcPr>
                  <w:tcW w:w="815" w:type="pct"/>
                  <w:vAlign w:val="center"/>
                </w:tcPr>
                <w:p w14:paraId="2DA406C9">
                  <w:pPr>
                    <w:pStyle w:val="159"/>
                  </w:pPr>
                  <w:r>
                    <w:rPr>
                      <w:rFonts w:hint="eastAsia"/>
                    </w:rPr>
                    <w:t>39</w:t>
                  </w:r>
                </w:p>
              </w:tc>
              <w:tc>
                <w:tcPr>
                  <w:tcW w:w="815" w:type="pct"/>
                  <w:vAlign w:val="center"/>
                </w:tcPr>
                <w:p w14:paraId="08A5175A">
                  <w:pPr>
                    <w:pStyle w:val="159"/>
                  </w:pPr>
                  <w:r>
                    <w:rPr>
                      <w:rFonts w:hint="eastAsia"/>
                    </w:rPr>
                    <w:t>70</w:t>
                  </w:r>
                </w:p>
              </w:tc>
              <w:tc>
                <w:tcPr>
                  <w:tcW w:w="865" w:type="pct"/>
                  <w:vAlign w:val="center"/>
                </w:tcPr>
                <w:p w14:paraId="407D925D">
                  <w:pPr>
                    <w:pStyle w:val="159"/>
                  </w:pPr>
                  <w:r>
                    <w:rPr>
                      <w:rFonts w:hint="eastAsia"/>
                    </w:rPr>
                    <w:t>55.71</w:t>
                  </w:r>
                </w:p>
              </w:tc>
              <w:tc>
                <w:tcPr>
                  <w:tcW w:w="583" w:type="pct"/>
                  <w:vAlign w:val="center"/>
                </w:tcPr>
                <w:p w14:paraId="2C64DC3E">
                  <w:pPr>
                    <w:pStyle w:val="159"/>
                  </w:pPr>
                  <w:r>
                    <w:rPr>
                      <w:rFonts w:hint="eastAsia"/>
                    </w:rPr>
                    <w:t>达标</w:t>
                  </w:r>
                </w:p>
              </w:tc>
            </w:tr>
            <w:tr w14:paraId="505E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pct"/>
                  <w:vAlign w:val="center"/>
                </w:tcPr>
                <w:p w14:paraId="2F3D66ED">
                  <w:pPr>
                    <w:pStyle w:val="159"/>
                  </w:pPr>
                  <w:r>
                    <w:rPr>
                      <w:rFonts w:hint="eastAsia"/>
                    </w:rPr>
                    <w:t>PM</w:t>
                  </w:r>
                  <w:r>
                    <w:rPr>
                      <w:rFonts w:hint="eastAsia"/>
                      <w:vertAlign w:val="subscript"/>
                    </w:rPr>
                    <w:t>2.5</w:t>
                  </w:r>
                </w:p>
              </w:tc>
              <w:tc>
                <w:tcPr>
                  <w:tcW w:w="1183" w:type="pct"/>
                  <w:vMerge w:val="continue"/>
                  <w:vAlign w:val="center"/>
                </w:tcPr>
                <w:p w14:paraId="61A2650B">
                  <w:pPr>
                    <w:pStyle w:val="159"/>
                  </w:pPr>
                </w:p>
              </w:tc>
              <w:tc>
                <w:tcPr>
                  <w:tcW w:w="815" w:type="pct"/>
                  <w:vAlign w:val="center"/>
                </w:tcPr>
                <w:p w14:paraId="2E0B33C2">
                  <w:pPr>
                    <w:pStyle w:val="159"/>
                  </w:pPr>
                  <w:r>
                    <w:rPr>
                      <w:rFonts w:hint="eastAsia"/>
                    </w:rPr>
                    <w:t>27</w:t>
                  </w:r>
                </w:p>
              </w:tc>
              <w:tc>
                <w:tcPr>
                  <w:tcW w:w="815" w:type="pct"/>
                  <w:vAlign w:val="center"/>
                </w:tcPr>
                <w:p w14:paraId="7ECD6E5E">
                  <w:pPr>
                    <w:pStyle w:val="159"/>
                  </w:pPr>
                  <w:r>
                    <w:rPr>
                      <w:rFonts w:hint="eastAsia"/>
                    </w:rPr>
                    <w:t>35</w:t>
                  </w:r>
                </w:p>
              </w:tc>
              <w:tc>
                <w:tcPr>
                  <w:tcW w:w="865" w:type="pct"/>
                  <w:vAlign w:val="center"/>
                </w:tcPr>
                <w:p w14:paraId="2A1004A3">
                  <w:pPr>
                    <w:pStyle w:val="159"/>
                  </w:pPr>
                  <w:r>
                    <w:rPr>
                      <w:rFonts w:hint="eastAsia"/>
                    </w:rPr>
                    <w:t>77.1</w:t>
                  </w:r>
                </w:p>
              </w:tc>
              <w:tc>
                <w:tcPr>
                  <w:tcW w:w="583" w:type="pct"/>
                  <w:vAlign w:val="center"/>
                </w:tcPr>
                <w:p w14:paraId="438E97B0">
                  <w:pPr>
                    <w:pStyle w:val="159"/>
                  </w:pPr>
                  <w:r>
                    <w:rPr>
                      <w:rFonts w:hint="eastAsia"/>
                    </w:rPr>
                    <w:t>达标</w:t>
                  </w:r>
                </w:p>
              </w:tc>
            </w:tr>
            <w:tr w14:paraId="273B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pct"/>
                  <w:vAlign w:val="center"/>
                </w:tcPr>
                <w:p w14:paraId="449D8479">
                  <w:pPr>
                    <w:pStyle w:val="159"/>
                  </w:pPr>
                  <w:r>
                    <w:rPr>
                      <w:rFonts w:hint="eastAsia"/>
                    </w:rPr>
                    <w:t>SO</w:t>
                  </w:r>
                  <w:r>
                    <w:rPr>
                      <w:vertAlign w:val="subscript"/>
                    </w:rPr>
                    <w:t>2</w:t>
                  </w:r>
                </w:p>
              </w:tc>
              <w:tc>
                <w:tcPr>
                  <w:tcW w:w="1183" w:type="pct"/>
                  <w:vMerge w:val="continue"/>
                  <w:vAlign w:val="center"/>
                </w:tcPr>
                <w:p w14:paraId="69EFF32A">
                  <w:pPr>
                    <w:pStyle w:val="159"/>
                  </w:pPr>
                </w:p>
              </w:tc>
              <w:tc>
                <w:tcPr>
                  <w:tcW w:w="815" w:type="pct"/>
                  <w:vAlign w:val="center"/>
                </w:tcPr>
                <w:p w14:paraId="355090F6">
                  <w:pPr>
                    <w:pStyle w:val="159"/>
                  </w:pPr>
                  <w:r>
                    <w:rPr>
                      <w:rFonts w:hint="eastAsia"/>
                    </w:rPr>
                    <w:t>7</w:t>
                  </w:r>
                </w:p>
              </w:tc>
              <w:tc>
                <w:tcPr>
                  <w:tcW w:w="815" w:type="pct"/>
                  <w:vAlign w:val="center"/>
                </w:tcPr>
                <w:p w14:paraId="6ED60D1F">
                  <w:pPr>
                    <w:pStyle w:val="159"/>
                  </w:pPr>
                  <w:r>
                    <w:rPr>
                      <w:rFonts w:hint="eastAsia"/>
                    </w:rPr>
                    <w:t>6</w:t>
                  </w:r>
                  <w:r>
                    <w:t>0</w:t>
                  </w:r>
                </w:p>
              </w:tc>
              <w:tc>
                <w:tcPr>
                  <w:tcW w:w="865" w:type="pct"/>
                  <w:vAlign w:val="center"/>
                </w:tcPr>
                <w:p w14:paraId="24C263B6">
                  <w:pPr>
                    <w:pStyle w:val="159"/>
                  </w:pPr>
                  <w:r>
                    <w:rPr>
                      <w:rFonts w:hint="eastAsia"/>
                    </w:rPr>
                    <w:t>11.66</w:t>
                  </w:r>
                </w:p>
              </w:tc>
              <w:tc>
                <w:tcPr>
                  <w:tcW w:w="583" w:type="pct"/>
                  <w:vAlign w:val="center"/>
                </w:tcPr>
                <w:p w14:paraId="507803EC">
                  <w:pPr>
                    <w:pStyle w:val="159"/>
                  </w:pPr>
                  <w:r>
                    <w:rPr>
                      <w:rFonts w:hint="eastAsia"/>
                    </w:rPr>
                    <w:t>达标</w:t>
                  </w:r>
                </w:p>
              </w:tc>
            </w:tr>
            <w:tr w14:paraId="56F0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pct"/>
                  <w:vAlign w:val="center"/>
                </w:tcPr>
                <w:p w14:paraId="2CFF6403">
                  <w:pPr>
                    <w:pStyle w:val="159"/>
                  </w:pPr>
                  <w:r>
                    <w:rPr>
                      <w:rFonts w:hint="eastAsia"/>
                    </w:rPr>
                    <w:t>NO</w:t>
                  </w:r>
                  <w:r>
                    <w:rPr>
                      <w:vertAlign w:val="subscript"/>
                    </w:rPr>
                    <w:t>2</w:t>
                  </w:r>
                </w:p>
              </w:tc>
              <w:tc>
                <w:tcPr>
                  <w:tcW w:w="1183" w:type="pct"/>
                  <w:vMerge w:val="continue"/>
                  <w:vAlign w:val="center"/>
                </w:tcPr>
                <w:p w14:paraId="5CAC82E2">
                  <w:pPr>
                    <w:pStyle w:val="159"/>
                  </w:pPr>
                </w:p>
              </w:tc>
              <w:tc>
                <w:tcPr>
                  <w:tcW w:w="815" w:type="pct"/>
                  <w:vAlign w:val="center"/>
                </w:tcPr>
                <w:p w14:paraId="6125EFFE">
                  <w:pPr>
                    <w:pStyle w:val="159"/>
                  </w:pPr>
                  <w:r>
                    <w:rPr>
                      <w:rFonts w:hint="eastAsia"/>
                    </w:rPr>
                    <w:t>9</w:t>
                  </w:r>
                </w:p>
              </w:tc>
              <w:tc>
                <w:tcPr>
                  <w:tcW w:w="815" w:type="pct"/>
                  <w:vAlign w:val="center"/>
                </w:tcPr>
                <w:p w14:paraId="0774BF97">
                  <w:pPr>
                    <w:pStyle w:val="159"/>
                  </w:pPr>
                  <w:r>
                    <w:rPr>
                      <w:rFonts w:hint="eastAsia"/>
                    </w:rPr>
                    <w:t>4</w:t>
                  </w:r>
                  <w:r>
                    <w:t>0</w:t>
                  </w:r>
                </w:p>
              </w:tc>
              <w:tc>
                <w:tcPr>
                  <w:tcW w:w="865" w:type="pct"/>
                  <w:vAlign w:val="center"/>
                </w:tcPr>
                <w:p w14:paraId="24E6AEF1">
                  <w:pPr>
                    <w:pStyle w:val="159"/>
                  </w:pPr>
                  <w:r>
                    <w:rPr>
                      <w:rFonts w:hint="eastAsia"/>
                    </w:rPr>
                    <w:t>22.5</w:t>
                  </w:r>
                </w:p>
              </w:tc>
              <w:tc>
                <w:tcPr>
                  <w:tcW w:w="583" w:type="pct"/>
                  <w:vAlign w:val="center"/>
                </w:tcPr>
                <w:p w14:paraId="40D21809">
                  <w:pPr>
                    <w:pStyle w:val="159"/>
                  </w:pPr>
                  <w:r>
                    <w:rPr>
                      <w:rFonts w:hint="eastAsia"/>
                    </w:rPr>
                    <w:t>达标</w:t>
                  </w:r>
                </w:p>
              </w:tc>
            </w:tr>
            <w:tr w14:paraId="454F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pct"/>
                  <w:vAlign w:val="center"/>
                </w:tcPr>
                <w:p w14:paraId="7395218C">
                  <w:pPr>
                    <w:pStyle w:val="159"/>
                  </w:pPr>
                  <w:r>
                    <w:rPr>
                      <w:rFonts w:hint="eastAsia"/>
                    </w:rPr>
                    <w:t>O</w:t>
                  </w:r>
                  <w:r>
                    <w:rPr>
                      <w:rFonts w:hint="eastAsia"/>
                      <w:vertAlign w:val="subscript"/>
                    </w:rPr>
                    <w:t>3</w:t>
                  </w:r>
                </w:p>
              </w:tc>
              <w:tc>
                <w:tcPr>
                  <w:tcW w:w="1183" w:type="pct"/>
                  <w:vAlign w:val="center"/>
                </w:tcPr>
                <w:p w14:paraId="799ED53F">
                  <w:pPr>
                    <w:pStyle w:val="159"/>
                  </w:pPr>
                  <w:r>
                    <w:rPr>
                      <w:rFonts w:hint="eastAsia"/>
                    </w:rPr>
                    <w:t>日最大8h第90百分位数</w:t>
                  </w:r>
                  <w:r>
                    <w:t>浓度</w:t>
                  </w:r>
                </w:p>
              </w:tc>
              <w:tc>
                <w:tcPr>
                  <w:tcW w:w="815" w:type="pct"/>
                  <w:vAlign w:val="center"/>
                </w:tcPr>
                <w:p w14:paraId="5D67CE1E">
                  <w:pPr>
                    <w:pStyle w:val="159"/>
                  </w:pPr>
                  <w:r>
                    <w:rPr>
                      <w:rFonts w:hint="eastAsia"/>
                    </w:rPr>
                    <w:t>115</w:t>
                  </w:r>
                </w:p>
              </w:tc>
              <w:tc>
                <w:tcPr>
                  <w:tcW w:w="815" w:type="pct"/>
                  <w:vAlign w:val="center"/>
                </w:tcPr>
                <w:p w14:paraId="725B3507">
                  <w:pPr>
                    <w:pStyle w:val="159"/>
                  </w:pPr>
                  <w:r>
                    <w:rPr>
                      <w:rFonts w:hint="eastAsia"/>
                    </w:rPr>
                    <w:t>160</w:t>
                  </w:r>
                </w:p>
              </w:tc>
              <w:tc>
                <w:tcPr>
                  <w:tcW w:w="865" w:type="pct"/>
                  <w:vAlign w:val="center"/>
                </w:tcPr>
                <w:p w14:paraId="300E4F78">
                  <w:pPr>
                    <w:pStyle w:val="159"/>
                  </w:pPr>
                  <w:r>
                    <w:rPr>
                      <w:rFonts w:hint="eastAsia"/>
                    </w:rPr>
                    <w:t>71.87</w:t>
                  </w:r>
                </w:p>
              </w:tc>
              <w:tc>
                <w:tcPr>
                  <w:tcW w:w="583" w:type="pct"/>
                  <w:vAlign w:val="center"/>
                </w:tcPr>
                <w:p w14:paraId="300B873C">
                  <w:pPr>
                    <w:pStyle w:val="159"/>
                  </w:pPr>
                  <w:r>
                    <w:rPr>
                      <w:rFonts w:hint="eastAsia"/>
                    </w:rPr>
                    <w:t>达标</w:t>
                  </w:r>
                </w:p>
              </w:tc>
            </w:tr>
            <w:tr w14:paraId="3A31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pct"/>
                  <w:vAlign w:val="center"/>
                </w:tcPr>
                <w:p w14:paraId="240700C7">
                  <w:pPr>
                    <w:pStyle w:val="159"/>
                  </w:pPr>
                  <w:r>
                    <w:rPr>
                      <w:rFonts w:hint="eastAsia"/>
                    </w:rPr>
                    <w:t>C</w:t>
                  </w:r>
                  <w:r>
                    <w:t>O</w:t>
                  </w:r>
                </w:p>
              </w:tc>
              <w:tc>
                <w:tcPr>
                  <w:tcW w:w="1183" w:type="pct"/>
                  <w:vAlign w:val="center"/>
                </w:tcPr>
                <w:p w14:paraId="3BB59A86">
                  <w:pPr>
                    <w:pStyle w:val="159"/>
                  </w:pPr>
                  <w:r>
                    <w:rPr>
                      <w:rFonts w:hint="eastAsia"/>
                    </w:rPr>
                    <w:t>24小时</w:t>
                  </w:r>
                  <w:r>
                    <w:t>平均第</w:t>
                  </w:r>
                  <w:r>
                    <w:rPr>
                      <w:rFonts w:hint="eastAsia"/>
                    </w:rPr>
                    <w:t>95百分位数</w:t>
                  </w:r>
                  <w:r>
                    <w:t>浓度</w:t>
                  </w:r>
                </w:p>
              </w:tc>
              <w:tc>
                <w:tcPr>
                  <w:tcW w:w="815" w:type="pct"/>
                  <w:vAlign w:val="center"/>
                </w:tcPr>
                <w:p w14:paraId="40F5E46A">
                  <w:pPr>
                    <w:pStyle w:val="159"/>
                  </w:pPr>
                  <w:r>
                    <w:rPr>
                      <w:rFonts w:hint="eastAsia"/>
                    </w:rPr>
                    <w:t>0.8</w:t>
                  </w:r>
                </w:p>
              </w:tc>
              <w:tc>
                <w:tcPr>
                  <w:tcW w:w="815" w:type="pct"/>
                  <w:vAlign w:val="center"/>
                </w:tcPr>
                <w:p w14:paraId="34489944">
                  <w:pPr>
                    <w:pStyle w:val="159"/>
                  </w:pPr>
                  <w:r>
                    <w:rPr>
                      <w:rFonts w:hint="eastAsia"/>
                    </w:rPr>
                    <w:t>4</w:t>
                  </w:r>
                </w:p>
              </w:tc>
              <w:tc>
                <w:tcPr>
                  <w:tcW w:w="865" w:type="pct"/>
                  <w:vAlign w:val="center"/>
                </w:tcPr>
                <w:p w14:paraId="602C889D">
                  <w:pPr>
                    <w:pStyle w:val="159"/>
                  </w:pPr>
                  <w:r>
                    <w:rPr>
                      <w:rFonts w:hint="eastAsia"/>
                    </w:rPr>
                    <w:t>20</w:t>
                  </w:r>
                </w:p>
              </w:tc>
              <w:tc>
                <w:tcPr>
                  <w:tcW w:w="583" w:type="pct"/>
                  <w:vAlign w:val="center"/>
                </w:tcPr>
                <w:p w14:paraId="2781D0BE">
                  <w:pPr>
                    <w:pStyle w:val="159"/>
                  </w:pPr>
                  <w:r>
                    <w:rPr>
                      <w:rFonts w:hint="eastAsia"/>
                    </w:rPr>
                    <w:t>达标</w:t>
                  </w:r>
                </w:p>
              </w:tc>
            </w:tr>
          </w:tbl>
          <w:p w14:paraId="41BF58F6">
            <w:pPr>
              <w:pStyle w:val="3"/>
              <w:spacing w:line="240" w:lineRule="auto"/>
              <w:ind w:firstLine="480"/>
            </w:pPr>
          </w:p>
          <w:p w14:paraId="260A1345">
            <w:pPr>
              <w:pStyle w:val="3"/>
              <w:ind w:firstLine="480"/>
            </w:pPr>
            <w:r>
              <w:rPr>
                <w:rFonts w:hint="eastAsia"/>
              </w:rPr>
              <w:t>由表</w:t>
            </w:r>
            <w:r>
              <w:t>3.3</w:t>
            </w:r>
            <w:r>
              <w:rPr>
                <w:rFonts w:hint="eastAsia"/>
              </w:rPr>
              <w:t>-1可见，</w:t>
            </w:r>
            <w:r>
              <w:t>2023</w:t>
            </w:r>
            <w:r>
              <w:rPr>
                <w:rFonts w:hint="eastAsia"/>
              </w:rPr>
              <w:t>年江华县</w:t>
            </w:r>
            <w:r>
              <w:t>SO</w:t>
            </w:r>
            <w:r>
              <w:rPr>
                <w:sz w:val="16"/>
                <w:szCs w:val="16"/>
              </w:rPr>
              <w:t>2</w:t>
            </w:r>
            <w:r>
              <w:rPr>
                <w:rFonts w:hint="eastAsia"/>
              </w:rPr>
              <w:t>、</w:t>
            </w:r>
            <w:r>
              <w:t>NO</w:t>
            </w:r>
            <w:r>
              <w:rPr>
                <w:sz w:val="16"/>
                <w:szCs w:val="16"/>
              </w:rPr>
              <w:t>2</w:t>
            </w:r>
            <w:r>
              <w:rPr>
                <w:rFonts w:hint="eastAsia"/>
              </w:rPr>
              <w:t>、</w:t>
            </w:r>
            <w:r>
              <w:t>CO</w:t>
            </w:r>
            <w:r>
              <w:rPr>
                <w:rFonts w:hint="eastAsia"/>
              </w:rPr>
              <w:t>、</w:t>
            </w:r>
            <w:r>
              <w:t>O</w:t>
            </w:r>
            <w:r>
              <w:rPr>
                <w:sz w:val="16"/>
                <w:szCs w:val="16"/>
              </w:rPr>
              <w:t>3</w:t>
            </w:r>
            <w:r>
              <w:rPr>
                <w:rFonts w:hint="eastAsia"/>
              </w:rPr>
              <w:t>、</w:t>
            </w:r>
            <w:r>
              <w:t>PM</w:t>
            </w:r>
            <w:r>
              <w:rPr>
                <w:sz w:val="16"/>
                <w:szCs w:val="16"/>
              </w:rPr>
              <w:t>2.5</w:t>
            </w:r>
            <w:r>
              <w:rPr>
                <w:rFonts w:hint="eastAsia"/>
              </w:rPr>
              <w:t>、</w:t>
            </w:r>
            <w:r>
              <w:t>PM</w:t>
            </w:r>
            <w:r>
              <w:rPr>
                <w:sz w:val="16"/>
                <w:szCs w:val="16"/>
              </w:rPr>
              <w:t>10</w:t>
            </w:r>
            <w:r>
              <w:rPr>
                <w:rFonts w:hint="eastAsia"/>
              </w:rPr>
              <w:t>质量浓度满足《环境空气质量标准》（</w:t>
            </w:r>
            <w:r>
              <w:t>GB3095-2012</w:t>
            </w:r>
            <w:r>
              <w:rPr>
                <w:rFonts w:hint="eastAsia"/>
              </w:rPr>
              <w:t>）及其</w:t>
            </w:r>
            <w:r>
              <w:t>2018</w:t>
            </w:r>
            <w:r>
              <w:rPr>
                <w:rFonts w:hint="eastAsia"/>
              </w:rPr>
              <w:t>年修改单二级标准要求，项目所在区域为环境空气质量达标区域。</w:t>
            </w:r>
            <w:r>
              <w:t xml:space="preserve"> </w:t>
            </w:r>
          </w:p>
          <w:p w14:paraId="6B920D43">
            <w:pPr>
              <w:pStyle w:val="5"/>
            </w:pPr>
            <w:bookmarkStart w:id="67" w:name="_Toc99093530"/>
            <w:bookmarkStart w:id="68" w:name="_Toc99093236"/>
            <w:bookmarkStart w:id="69" w:name="_Toc95916446"/>
            <w:bookmarkStart w:id="70" w:name="_Toc99090779"/>
            <w:r>
              <w:t>声环境质量</w:t>
            </w:r>
            <w:r>
              <w:rPr>
                <w:rFonts w:hint="eastAsia"/>
              </w:rPr>
              <w:t>现状</w:t>
            </w:r>
            <w:bookmarkEnd w:id="67"/>
            <w:bookmarkEnd w:id="68"/>
            <w:bookmarkEnd w:id="69"/>
            <w:bookmarkEnd w:id="70"/>
          </w:p>
          <w:p w14:paraId="5D13C351">
            <w:pPr>
              <w:pStyle w:val="3"/>
              <w:ind w:firstLine="480"/>
            </w:pPr>
            <w:r>
              <w:rPr>
                <w:rFonts w:hint="eastAsia"/>
              </w:rPr>
              <w:t>本次评价委托湖南乾诚检测有限公司于202</w:t>
            </w:r>
            <w:r>
              <w:t>4</w:t>
            </w:r>
            <w:r>
              <w:rPr>
                <w:rFonts w:hint="eastAsia"/>
              </w:rPr>
              <w:t>年</w:t>
            </w:r>
            <w:r>
              <w:t>11</w:t>
            </w:r>
            <w:r>
              <w:rPr>
                <w:rFonts w:hint="eastAsia"/>
              </w:rPr>
              <w:t>月</w:t>
            </w:r>
            <w:r>
              <w:t>21</w:t>
            </w:r>
            <w:r>
              <w:rPr>
                <w:rFonts w:hint="eastAsia"/>
              </w:rPr>
              <w:t>日开展了一期声环境质量现状监测，共布设9个声环境监测点位，</w:t>
            </w:r>
            <w:r>
              <w:t>各监测点按昼间和夜间分段监测，监测1天。噪声监测数据统计结果详见表</w:t>
            </w:r>
            <w:r>
              <w:rPr>
                <w:rFonts w:hint="eastAsia"/>
              </w:rPr>
              <w:t>3</w:t>
            </w:r>
            <w:r>
              <w:t>.4-1。</w:t>
            </w:r>
          </w:p>
          <w:p w14:paraId="46C69E51">
            <w:pPr>
              <w:pStyle w:val="148"/>
              <w:rPr>
                <w:color w:val="FF0000"/>
              </w:rPr>
            </w:pPr>
            <w:r>
              <w:rPr>
                <w:rFonts w:hint="eastAsia"/>
              </w:rPr>
              <w:t>表3</w:t>
            </w:r>
            <w:r>
              <w:t xml:space="preserve">.4-1   </w:t>
            </w:r>
            <w:r>
              <w:rPr>
                <w:rFonts w:hint="eastAsia"/>
              </w:rPr>
              <w:t>声环境现状监测结果</w:t>
            </w:r>
            <w:bookmarkStart w:id="71" w:name="_Hlk526326800"/>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9"/>
              <w:gridCol w:w="3883"/>
              <w:gridCol w:w="919"/>
              <w:gridCol w:w="921"/>
              <w:gridCol w:w="919"/>
              <w:gridCol w:w="920"/>
            </w:tblGrid>
            <w:tr w14:paraId="3EE7C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42" w:type="pct"/>
                  <w:vMerge w:val="restart"/>
                  <w:vAlign w:val="center"/>
                </w:tcPr>
                <w:p w14:paraId="6E3147AE">
                  <w:pPr>
                    <w:pStyle w:val="159"/>
                  </w:pPr>
                  <w:r>
                    <w:t>编号</w:t>
                  </w:r>
                </w:p>
              </w:tc>
              <w:tc>
                <w:tcPr>
                  <w:tcW w:w="2289" w:type="pct"/>
                  <w:vMerge w:val="restart"/>
                  <w:vAlign w:val="center"/>
                </w:tcPr>
                <w:p w14:paraId="7397C695">
                  <w:pPr>
                    <w:pStyle w:val="159"/>
                  </w:pPr>
                  <w:r>
                    <w:t>监测点名称</w:t>
                  </w:r>
                </w:p>
              </w:tc>
              <w:tc>
                <w:tcPr>
                  <w:tcW w:w="1085" w:type="pct"/>
                  <w:gridSpan w:val="2"/>
                  <w:tcBorders>
                    <w:bottom w:val="single" w:color="auto" w:sz="4" w:space="0"/>
                  </w:tcBorders>
                  <w:vAlign w:val="center"/>
                </w:tcPr>
                <w:p w14:paraId="6C38CADD">
                  <w:pPr>
                    <w:pStyle w:val="159"/>
                  </w:pPr>
                  <w:r>
                    <w:rPr>
                      <w:rFonts w:hint="eastAsia"/>
                    </w:rPr>
                    <w:t>监测结果</w:t>
                  </w:r>
                </w:p>
                <w:p w14:paraId="126D9C0E">
                  <w:pPr>
                    <w:pStyle w:val="159"/>
                  </w:pPr>
                  <w:r>
                    <w:rPr>
                      <w:rFonts w:hint="eastAsia"/>
                    </w:rPr>
                    <w:t>（d</w:t>
                  </w:r>
                  <w:r>
                    <w:t>B</w:t>
                  </w:r>
                  <w:r>
                    <w:rPr>
                      <w:rFonts w:hint="eastAsia"/>
                    </w:rPr>
                    <w:t>(</w:t>
                  </w:r>
                  <w:r>
                    <w:t>A)</w:t>
                  </w:r>
                  <w:r>
                    <w:rPr>
                      <w:rFonts w:hint="eastAsia"/>
                    </w:rPr>
                    <w:t>）</w:t>
                  </w:r>
                </w:p>
              </w:tc>
              <w:tc>
                <w:tcPr>
                  <w:tcW w:w="1084" w:type="pct"/>
                  <w:gridSpan w:val="2"/>
                  <w:vAlign w:val="center"/>
                </w:tcPr>
                <w:p w14:paraId="2BB50709">
                  <w:pPr>
                    <w:pStyle w:val="159"/>
                  </w:pPr>
                  <w:r>
                    <w:rPr>
                      <w:rFonts w:hint="eastAsia"/>
                    </w:rPr>
                    <w:t>标准限值</w:t>
                  </w:r>
                </w:p>
                <w:p w14:paraId="3FD569AE">
                  <w:pPr>
                    <w:pStyle w:val="159"/>
                  </w:pPr>
                  <w:r>
                    <w:rPr>
                      <w:rFonts w:hint="eastAsia"/>
                    </w:rPr>
                    <w:t>（d</w:t>
                  </w:r>
                  <w:r>
                    <w:t>B</w:t>
                  </w:r>
                  <w:r>
                    <w:rPr>
                      <w:rFonts w:hint="eastAsia"/>
                    </w:rPr>
                    <w:t>(</w:t>
                  </w:r>
                  <w:r>
                    <w:t>A)</w:t>
                  </w:r>
                  <w:r>
                    <w:rPr>
                      <w:rFonts w:hint="eastAsia"/>
                    </w:rPr>
                    <w:t>）</w:t>
                  </w:r>
                </w:p>
              </w:tc>
            </w:tr>
            <w:tr w14:paraId="05860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42" w:type="pct"/>
                  <w:vMerge w:val="continue"/>
                  <w:vAlign w:val="center"/>
                </w:tcPr>
                <w:p w14:paraId="6A3F7DDE">
                  <w:pPr>
                    <w:pStyle w:val="159"/>
                  </w:pPr>
                </w:p>
              </w:tc>
              <w:tc>
                <w:tcPr>
                  <w:tcW w:w="2289" w:type="pct"/>
                  <w:vMerge w:val="continue"/>
                  <w:vAlign w:val="center"/>
                </w:tcPr>
                <w:p w14:paraId="20CCAB75">
                  <w:pPr>
                    <w:pStyle w:val="159"/>
                  </w:pPr>
                </w:p>
              </w:tc>
              <w:tc>
                <w:tcPr>
                  <w:tcW w:w="542" w:type="pct"/>
                  <w:tcBorders>
                    <w:top w:val="single" w:color="auto" w:sz="4" w:space="0"/>
                  </w:tcBorders>
                  <w:vAlign w:val="center"/>
                </w:tcPr>
                <w:p w14:paraId="66DA5A01">
                  <w:pPr>
                    <w:pStyle w:val="159"/>
                  </w:pPr>
                  <w:r>
                    <w:rPr>
                      <w:rFonts w:hint="eastAsia"/>
                    </w:rPr>
                    <w:t>昼间</w:t>
                  </w:r>
                </w:p>
              </w:tc>
              <w:tc>
                <w:tcPr>
                  <w:tcW w:w="543" w:type="pct"/>
                  <w:tcBorders>
                    <w:top w:val="single" w:color="auto" w:sz="4" w:space="0"/>
                  </w:tcBorders>
                  <w:vAlign w:val="center"/>
                </w:tcPr>
                <w:p w14:paraId="61BBC289">
                  <w:pPr>
                    <w:pStyle w:val="159"/>
                  </w:pPr>
                  <w:r>
                    <w:rPr>
                      <w:rFonts w:hint="eastAsia"/>
                    </w:rPr>
                    <w:t>夜间</w:t>
                  </w:r>
                </w:p>
              </w:tc>
              <w:tc>
                <w:tcPr>
                  <w:tcW w:w="542" w:type="pct"/>
                  <w:vAlign w:val="center"/>
                </w:tcPr>
                <w:p w14:paraId="1271591C">
                  <w:pPr>
                    <w:pStyle w:val="159"/>
                  </w:pPr>
                  <w:r>
                    <w:rPr>
                      <w:rFonts w:hint="eastAsia"/>
                    </w:rPr>
                    <w:t>昼间</w:t>
                  </w:r>
                </w:p>
              </w:tc>
              <w:tc>
                <w:tcPr>
                  <w:tcW w:w="542" w:type="pct"/>
                  <w:vAlign w:val="center"/>
                </w:tcPr>
                <w:p w14:paraId="21743A93">
                  <w:pPr>
                    <w:pStyle w:val="159"/>
                  </w:pPr>
                  <w:r>
                    <w:rPr>
                      <w:rFonts w:hint="eastAsia"/>
                    </w:rPr>
                    <w:t>夜间</w:t>
                  </w:r>
                </w:p>
              </w:tc>
            </w:tr>
            <w:tr w14:paraId="4AB04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42" w:type="pct"/>
                  <w:vAlign w:val="center"/>
                </w:tcPr>
                <w:p w14:paraId="5CC30CF3">
                  <w:pPr>
                    <w:pStyle w:val="159"/>
                  </w:pPr>
                  <w:r>
                    <w:rPr>
                      <w:rFonts w:hint="eastAsia"/>
                    </w:rPr>
                    <w:t>N</w:t>
                  </w:r>
                  <w:r>
                    <w:t>1</w:t>
                  </w:r>
                </w:p>
              </w:tc>
              <w:tc>
                <w:tcPr>
                  <w:tcW w:w="2289" w:type="pct"/>
                  <w:vAlign w:val="center"/>
                </w:tcPr>
                <w:p w14:paraId="41D4BBFD">
                  <w:pPr>
                    <w:pStyle w:val="159"/>
                  </w:pPr>
                  <w:r>
                    <w:rPr>
                      <w:rFonts w:hint="eastAsia"/>
                    </w:rPr>
                    <w:t>基地源变电站中心</w:t>
                  </w:r>
                </w:p>
              </w:tc>
              <w:tc>
                <w:tcPr>
                  <w:tcW w:w="542" w:type="pct"/>
                  <w:vAlign w:val="center"/>
                </w:tcPr>
                <w:p w14:paraId="79F29420">
                  <w:pPr>
                    <w:pStyle w:val="159"/>
                  </w:pPr>
                  <w:r>
                    <w:rPr>
                      <w:rFonts w:hint="eastAsia"/>
                    </w:rPr>
                    <w:t>4</w:t>
                  </w:r>
                  <w:r>
                    <w:t>2.6</w:t>
                  </w:r>
                </w:p>
              </w:tc>
              <w:tc>
                <w:tcPr>
                  <w:tcW w:w="543" w:type="pct"/>
                  <w:vAlign w:val="center"/>
                </w:tcPr>
                <w:p w14:paraId="6D1C7A6B">
                  <w:pPr>
                    <w:pStyle w:val="159"/>
                  </w:pPr>
                  <w:r>
                    <w:rPr>
                      <w:rFonts w:hint="eastAsia"/>
                    </w:rPr>
                    <w:t>3</w:t>
                  </w:r>
                  <w:r>
                    <w:t>8.6</w:t>
                  </w:r>
                </w:p>
              </w:tc>
              <w:tc>
                <w:tcPr>
                  <w:tcW w:w="542" w:type="pct"/>
                  <w:vAlign w:val="center"/>
                </w:tcPr>
                <w:p w14:paraId="7AF6BD51">
                  <w:pPr>
                    <w:pStyle w:val="159"/>
                  </w:pPr>
                  <w:r>
                    <w:t>60</w:t>
                  </w:r>
                </w:p>
              </w:tc>
              <w:tc>
                <w:tcPr>
                  <w:tcW w:w="542" w:type="pct"/>
                  <w:vAlign w:val="center"/>
                </w:tcPr>
                <w:p w14:paraId="66C9C0A4">
                  <w:pPr>
                    <w:pStyle w:val="159"/>
                  </w:pPr>
                  <w:r>
                    <w:t>50</w:t>
                  </w:r>
                </w:p>
              </w:tc>
            </w:tr>
            <w:tr w14:paraId="4D6C4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blHeader/>
                <w:jc w:val="center"/>
              </w:trPr>
              <w:tc>
                <w:tcPr>
                  <w:tcW w:w="542" w:type="pct"/>
                  <w:vAlign w:val="center"/>
                </w:tcPr>
                <w:p w14:paraId="680A579D">
                  <w:pPr>
                    <w:pStyle w:val="159"/>
                  </w:pPr>
                  <w:r>
                    <w:rPr>
                      <w:rFonts w:hint="eastAsia"/>
                    </w:rPr>
                    <w:t>N</w:t>
                  </w:r>
                  <w:r>
                    <w:t>2</w:t>
                  </w:r>
                </w:p>
              </w:tc>
              <w:tc>
                <w:tcPr>
                  <w:tcW w:w="2289" w:type="pct"/>
                  <w:vAlign w:val="center"/>
                </w:tcPr>
                <w:p w14:paraId="6FD00E74">
                  <w:pPr>
                    <w:pStyle w:val="159"/>
                  </w:pPr>
                  <w:r>
                    <w:rPr>
                      <w:rFonts w:hint="eastAsia"/>
                    </w:rPr>
                    <w:t>湘江村木源岔组居民房屋1</w:t>
                  </w:r>
                  <w:r>
                    <w:t xml:space="preserve"> </w:t>
                  </w:r>
                </w:p>
              </w:tc>
              <w:tc>
                <w:tcPr>
                  <w:tcW w:w="542" w:type="pct"/>
                  <w:vAlign w:val="center"/>
                </w:tcPr>
                <w:p w14:paraId="56A51397">
                  <w:pPr>
                    <w:pStyle w:val="159"/>
                  </w:pPr>
                  <w:r>
                    <w:rPr>
                      <w:rFonts w:hint="eastAsia"/>
                    </w:rPr>
                    <w:t>4</w:t>
                  </w:r>
                  <w:r>
                    <w:t>3.9</w:t>
                  </w:r>
                </w:p>
              </w:tc>
              <w:tc>
                <w:tcPr>
                  <w:tcW w:w="543" w:type="pct"/>
                  <w:vAlign w:val="center"/>
                </w:tcPr>
                <w:p w14:paraId="78323E2C">
                  <w:pPr>
                    <w:pStyle w:val="159"/>
                  </w:pPr>
                  <w:r>
                    <w:rPr>
                      <w:rFonts w:hint="eastAsia"/>
                    </w:rPr>
                    <w:t>3</w:t>
                  </w:r>
                  <w:r>
                    <w:t>9.7</w:t>
                  </w:r>
                </w:p>
              </w:tc>
              <w:tc>
                <w:tcPr>
                  <w:tcW w:w="542" w:type="pct"/>
                  <w:vAlign w:val="center"/>
                </w:tcPr>
                <w:p w14:paraId="6EE85E13">
                  <w:pPr>
                    <w:pStyle w:val="159"/>
                  </w:pPr>
                  <w:r>
                    <w:rPr>
                      <w:rFonts w:hint="eastAsia"/>
                    </w:rPr>
                    <w:t>5</w:t>
                  </w:r>
                  <w:r>
                    <w:t>5</w:t>
                  </w:r>
                </w:p>
              </w:tc>
              <w:tc>
                <w:tcPr>
                  <w:tcW w:w="542" w:type="pct"/>
                  <w:vAlign w:val="center"/>
                </w:tcPr>
                <w:p w14:paraId="636DDEBC">
                  <w:pPr>
                    <w:pStyle w:val="159"/>
                  </w:pPr>
                  <w:r>
                    <w:rPr>
                      <w:rFonts w:hint="eastAsia"/>
                    </w:rPr>
                    <w:t>4</w:t>
                  </w:r>
                  <w:r>
                    <w:t>5</w:t>
                  </w:r>
                </w:p>
              </w:tc>
            </w:tr>
            <w:tr w14:paraId="38847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blHeader/>
                <w:jc w:val="center"/>
              </w:trPr>
              <w:tc>
                <w:tcPr>
                  <w:tcW w:w="542" w:type="pct"/>
                  <w:vAlign w:val="center"/>
                </w:tcPr>
                <w:p w14:paraId="4D979901">
                  <w:pPr>
                    <w:pStyle w:val="159"/>
                  </w:pPr>
                  <w:r>
                    <w:rPr>
                      <w:rFonts w:hint="eastAsia"/>
                    </w:rPr>
                    <w:t>N</w:t>
                  </w:r>
                  <w:r>
                    <w:t>3</w:t>
                  </w:r>
                </w:p>
              </w:tc>
              <w:tc>
                <w:tcPr>
                  <w:tcW w:w="2289" w:type="pct"/>
                  <w:vAlign w:val="center"/>
                </w:tcPr>
                <w:p w14:paraId="4BD587DD">
                  <w:pPr>
                    <w:pStyle w:val="159"/>
                  </w:pPr>
                  <w:r>
                    <w:rPr>
                      <w:rFonts w:hint="eastAsia"/>
                    </w:rPr>
                    <w:t>湘江村木源岔组居民房屋</w:t>
                  </w:r>
                  <w:r>
                    <w:t xml:space="preserve">2 </w:t>
                  </w:r>
                </w:p>
              </w:tc>
              <w:tc>
                <w:tcPr>
                  <w:tcW w:w="542" w:type="pct"/>
                  <w:vAlign w:val="center"/>
                </w:tcPr>
                <w:p w14:paraId="50B54538">
                  <w:pPr>
                    <w:pStyle w:val="159"/>
                  </w:pPr>
                  <w:r>
                    <w:rPr>
                      <w:rFonts w:hint="eastAsia"/>
                    </w:rPr>
                    <w:t>4</w:t>
                  </w:r>
                  <w:r>
                    <w:t>7.7</w:t>
                  </w:r>
                </w:p>
              </w:tc>
              <w:tc>
                <w:tcPr>
                  <w:tcW w:w="543" w:type="pct"/>
                  <w:vAlign w:val="center"/>
                </w:tcPr>
                <w:p w14:paraId="0F7A118A">
                  <w:pPr>
                    <w:pStyle w:val="159"/>
                  </w:pPr>
                  <w:r>
                    <w:rPr>
                      <w:rFonts w:hint="eastAsia"/>
                    </w:rPr>
                    <w:t>4</w:t>
                  </w:r>
                  <w:r>
                    <w:t>0.3</w:t>
                  </w:r>
                </w:p>
              </w:tc>
              <w:tc>
                <w:tcPr>
                  <w:tcW w:w="542" w:type="pct"/>
                  <w:vAlign w:val="center"/>
                </w:tcPr>
                <w:p w14:paraId="61DDF72D">
                  <w:pPr>
                    <w:pStyle w:val="159"/>
                  </w:pPr>
                  <w:r>
                    <w:rPr>
                      <w:rFonts w:hint="eastAsia"/>
                    </w:rPr>
                    <w:t>5</w:t>
                  </w:r>
                  <w:r>
                    <w:t>5</w:t>
                  </w:r>
                </w:p>
              </w:tc>
              <w:tc>
                <w:tcPr>
                  <w:tcW w:w="542" w:type="pct"/>
                  <w:vAlign w:val="center"/>
                </w:tcPr>
                <w:p w14:paraId="1B60616D">
                  <w:pPr>
                    <w:pStyle w:val="159"/>
                  </w:pPr>
                  <w:r>
                    <w:rPr>
                      <w:rFonts w:hint="eastAsia"/>
                    </w:rPr>
                    <w:t>4</w:t>
                  </w:r>
                  <w:r>
                    <w:t>5</w:t>
                  </w:r>
                </w:p>
              </w:tc>
            </w:tr>
            <w:tr w14:paraId="7C7F3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42" w:type="pct"/>
                  <w:vAlign w:val="center"/>
                </w:tcPr>
                <w:p w14:paraId="4CB60186">
                  <w:pPr>
                    <w:pStyle w:val="159"/>
                  </w:pPr>
                  <w:r>
                    <w:rPr>
                      <w:rFonts w:hint="eastAsia"/>
                    </w:rPr>
                    <w:t>N4</w:t>
                  </w:r>
                </w:p>
              </w:tc>
              <w:tc>
                <w:tcPr>
                  <w:tcW w:w="2289" w:type="pct"/>
                  <w:vAlign w:val="center"/>
                </w:tcPr>
                <w:p w14:paraId="7D654A77">
                  <w:pPr>
                    <w:pStyle w:val="159"/>
                  </w:pPr>
                  <w:r>
                    <w:rPr>
                      <w:rFonts w:hint="eastAsia"/>
                    </w:rPr>
                    <w:t>湘江村大湾井组居民房屋1</w:t>
                  </w:r>
                  <w:r>
                    <w:t xml:space="preserve"> </w:t>
                  </w:r>
                </w:p>
              </w:tc>
              <w:tc>
                <w:tcPr>
                  <w:tcW w:w="542" w:type="pct"/>
                  <w:vAlign w:val="center"/>
                </w:tcPr>
                <w:p w14:paraId="49D2C6C0">
                  <w:pPr>
                    <w:pStyle w:val="159"/>
                  </w:pPr>
                  <w:r>
                    <w:rPr>
                      <w:rFonts w:hint="eastAsia"/>
                    </w:rPr>
                    <w:t>4</w:t>
                  </w:r>
                  <w:r>
                    <w:t>4.9</w:t>
                  </w:r>
                </w:p>
              </w:tc>
              <w:tc>
                <w:tcPr>
                  <w:tcW w:w="543" w:type="pct"/>
                  <w:vAlign w:val="center"/>
                </w:tcPr>
                <w:p w14:paraId="5D3FFD2A">
                  <w:pPr>
                    <w:pStyle w:val="159"/>
                  </w:pPr>
                  <w:r>
                    <w:rPr>
                      <w:rFonts w:hint="eastAsia"/>
                    </w:rPr>
                    <w:t>4</w:t>
                  </w:r>
                  <w:r>
                    <w:t>1.3</w:t>
                  </w:r>
                </w:p>
              </w:tc>
              <w:tc>
                <w:tcPr>
                  <w:tcW w:w="542" w:type="pct"/>
                  <w:vAlign w:val="center"/>
                </w:tcPr>
                <w:p w14:paraId="4AF2E4C9">
                  <w:pPr>
                    <w:pStyle w:val="159"/>
                  </w:pPr>
                  <w:r>
                    <w:rPr>
                      <w:rFonts w:hint="eastAsia"/>
                    </w:rPr>
                    <w:t>5</w:t>
                  </w:r>
                  <w:r>
                    <w:t>5</w:t>
                  </w:r>
                </w:p>
              </w:tc>
              <w:tc>
                <w:tcPr>
                  <w:tcW w:w="542" w:type="pct"/>
                  <w:vAlign w:val="center"/>
                </w:tcPr>
                <w:p w14:paraId="633FE210">
                  <w:pPr>
                    <w:pStyle w:val="159"/>
                  </w:pPr>
                  <w:r>
                    <w:rPr>
                      <w:rFonts w:hint="eastAsia"/>
                    </w:rPr>
                    <w:t>4</w:t>
                  </w:r>
                  <w:r>
                    <w:t>5</w:t>
                  </w:r>
                </w:p>
              </w:tc>
            </w:tr>
            <w:tr w14:paraId="1196C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42" w:type="pct"/>
                  <w:vAlign w:val="center"/>
                </w:tcPr>
                <w:p w14:paraId="389A3A5C">
                  <w:pPr>
                    <w:pStyle w:val="159"/>
                  </w:pPr>
                  <w:r>
                    <w:rPr>
                      <w:rFonts w:hint="eastAsia"/>
                    </w:rPr>
                    <w:t>N</w:t>
                  </w:r>
                  <w:r>
                    <w:t>5</w:t>
                  </w:r>
                </w:p>
              </w:tc>
              <w:tc>
                <w:tcPr>
                  <w:tcW w:w="2289" w:type="pct"/>
                  <w:vAlign w:val="center"/>
                </w:tcPr>
                <w:p w14:paraId="0FBDB244">
                  <w:pPr>
                    <w:pStyle w:val="159"/>
                  </w:pPr>
                  <w:r>
                    <w:rPr>
                      <w:rFonts w:hint="eastAsia"/>
                    </w:rPr>
                    <w:t>湘江村大湾井组居民房屋</w:t>
                  </w:r>
                  <w:r>
                    <w:t>2</w:t>
                  </w:r>
                  <w:r>
                    <w:rPr>
                      <w:rFonts w:hint="eastAsia"/>
                    </w:rPr>
                    <w:t xml:space="preserve"> </w:t>
                  </w:r>
                </w:p>
              </w:tc>
              <w:tc>
                <w:tcPr>
                  <w:tcW w:w="542" w:type="pct"/>
                  <w:vAlign w:val="center"/>
                </w:tcPr>
                <w:p w14:paraId="7328CFCB">
                  <w:pPr>
                    <w:pStyle w:val="159"/>
                  </w:pPr>
                  <w:r>
                    <w:rPr>
                      <w:rFonts w:hint="eastAsia"/>
                    </w:rPr>
                    <w:t>4</w:t>
                  </w:r>
                  <w:r>
                    <w:t>3.4</w:t>
                  </w:r>
                </w:p>
              </w:tc>
              <w:tc>
                <w:tcPr>
                  <w:tcW w:w="543" w:type="pct"/>
                  <w:vAlign w:val="center"/>
                </w:tcPr>
                <w:p w14:paraId="022A7401">
                  <w:pPr>
                    <w:pStyle w:val="159"/>
                  </w:pPr>
                  <w:r>
                    <w:rPr>
                      <w:rFonts w:hint="eastAsia"/>
                    </w:rPr>
                    <w:t>3</w:t>
                  </w:r>
                  <w:r>
                    <w:t>9.0</w:t>
                  </w:r>
                </w:p>
              </w:tc>
              <w:tc>
                <w:tcPr>
                  <w:tcW w:w="542" w:type="pct"/>
                  <w:vAlign w:val="center"/>
                </w:tcPr>
                <w:p w14:paraId="6925E0AA">
                  <w:pPr>
                    <w:pStyle w:val="159"/>
                  </w:pPr>
                  <w:r>
                    <w:rPr>
                      <w:rFonts w:hint="eastAsia"/>
                    </w:rPr>
                    <w:t>5</w:t>
                  </w:r>
                  <w:r>
                    <w:t>5</w:t>
                  </w:r>
                </w:p>
              </w:tc>
              <w:tc>
                <w:tcPr>
                  <w:tcW w:w="542" w:type="pct"/>
                  <w:vAlign w:val="center"/>
                </w:tcPr>
                <w:p w14:paraId="6D28C547">
                  <w:pPr>
                    <w:pStyle w:val="159"/>
                  </w:pPr>
                  <w:r>
                    <w:rPr>
                      <w:rFonts w:hint="eastAsia"/>
                    </w:rPr>
                    <w:t>4</w:t>
                  </w:r>
                  <w:r>
                    <w:t>5</w:t>
                  </w:r>
                </w:p>
              </w:tc>
            </w:tr>
            <w:tr w14:paraId="307D7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42" w:type="pct"/>
                  <w:vAlign w:val="center"/>
                </w:tcPr>
                <w:p w14:paraId="60CA95DF">
                  <w:pPr>
                    <w:pStyle w:val="159"/>
                  </w:pPr>
                  <w:r>
                    <w:rPr>
                      <w:rFonts w:hint="eastAsia"/>
                    </w:rPr>
                    <w:t>N</w:t>
                  </w:r>
                  <w:r>
                    <w:t>6</w:t>
                  </w:r>
                </w:p>
              </w:tc>
              <w:tc>
                <w:tcPr>
                  <w:tcW w:w="2289" w:type="pct"/>
                  <w:vAlign w:val="center"/>
                </w:tcPr>
                <w:p w14:paraId="56E47882">
                  <w:pPr>
                    <w:pStyle w:val="159"/>
                  </w:pPr>
                  <w:r>
                    <w:rPr>
                      <w:rFonts w:hint="eastAsia"/>
                    </w:rPr>
                    <w:t>贝江变电站东侧围墙外</w:t>
                  </w:r>
                </w:p>
              </w:tc>
              <w:tc>
                <w:tcPr>
                  <w:tcW w:w="542" w:type="pct"/>
                  <w:vAlign w:val="center"/>
                </w:tcPr>
                <w:p w14:paraId="6607A0DB">
                  <w:pPr>
                    <w:pStyle w:val="159"/>
                  </w:pPr>
                  <w:r>
                    <w:rPr>
                      <w:rFonts w:hint="eastAsia"/>
                    </w:rPr>
                    <w:t>4</w:t>
                  </w:r>
                  <w:r>
                    <w:t>7.4</w:t>
                  </w:r>
                </w:p>
              </w:tc>
              <w:tc>
                <w:tcPr>
                  <w:tcW w:w="543" w:type="pct"/>
                  <w:vAlign w:val="center"/>
                </w:tcPr>
                <w:p w14:paraId="7068575C">
                  <w:pPr>
                    <w:pStyle w:val="159"/>
                  </w:pPr>
                  <w:r>
                    <w:rPr>
                      <w:rFonts w:hint="eastAsia"/>
                    </w:rPr>
                    <w:t>4</w:t>
                  </w:r>
                  <w:r>
                    <w:t>1.8</w:t>
                  </w:r>
                </w:p>
              </w:tc>
              <w:tc>
                <w:tcPr>
                  <w:tcW w:w="542" w:type="pct"/>
                  <w:vAlign w:val="center"/>
                </w:tcPr>
                <w:p w14:paraId="3C72235A">
                  <w:pPr>
                    <w:pStyle w:val="159"/>
                  </w:pPr>
                  <w:r>
                    <w:t>60</w:t>
                  </w:r>
                </w:p>
              </w:tc>
              <w:tc>
                <w:tcPr>
                  <w:tcW w:w="542" w:type="pct"/>
                  <w:vAlign w:val="center"/>
                </w:tcPr>
                <w:p w14:paraId="01C2F530">
                  <w:pPr>
                    <w:pStyle w:val="159"/>
                  </w:pPr>
                  <w:r>
                    <w:t>50</w:t>
                  </w:r>
                </w:p>
              </w:tc>
            </w:tr>
            <w:tr w14:paraId="14530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blHeader/>
                <w:jc w:val="center"/>
              </w:trPr>
              <w:tc>
                <w:tcPr>
                  <w:tcW w:w="542" w:type="pct"/>
                  <w:vAlign w:val="center"/>
                </w:tcPr>
                <w:p w14:paraId="581D8B58">
                  <w:pPr>
                    <w:pStyle w:val="159"/>
                  </w:pPr>
                  <w:r>
                    <w:rPr>
                      <w:rFonts w:hint="eastAsia"/>
                    </w:rPr>
                    <w:t>N7</w:t>
                  </w:r>
                </w:p>
              </w:tc>
              <w:tc>
                <w:tcPr>
                  <w:tcW w:w="2289" w:type="pct"/>
                  <w:vAlign w:val="center"/>
                </w:tcPr>
                <w:p w14:paraId="0077A68F">
                  <w:pPr>
                    <w:pStyle w:val="159"/>
                  </w:pPr>
                  <w:r>
                    <w:rPr>
                      <w:rFonts w:hint="eastAsia"/>
                    </w:rPr>
                    <w:t>贝江变电站南侧围墙外</w:t>
                  </w:r>
                </w:p>
              </w:tc>
              <w:tc>
                <w:tcPr>
                  <w:tcW w:w="542" w:type="pct"/>
                  <w:vAlign w:val="center"/>
                </w:tcPr>
                <w:p w14:paraId="63032DC1">
                  <w:pPr>
                    <w:pStyle w:val="159"/>
                  </w:pPr>
                  <w:r>
                    <w:rPr>
                      <w:rFonts w:hint="eastAsia"/>
                    </w:rPr>
                    <w:t>4</w:t>
                  </w:r>
                  <w:r>
                    <w:t>7.9</w:t>
                  </w:r>
                </w:p>
              </w:tc>
              <w:tc>
                <w:tcPr>
                  <w:tcW w:w="543" w:type="pct"/>
                  <w:vAlign w:val="center"/>
                </w:tcPr>
                <w:p w14:paraId="1FCC0C16">
                  <w:pPr>
                    <w:pStyle w:val="159"/>
                  </w:pPr>
                  <w:r>
                    <w:rPr>
                      <w:rFonts w:hint="eastAsia"/>
                    </w:rPr>
                    <w:t>4</w:t>
                  </w:r>
                  <w:r>
                    <w:t>1.4</w:t>
                  </w:r>
                </w:p>
              </w:tc>
              <w:tc>
                <w:tcPr>
                  <w:tcW w:w="542" w:type="pct"/>
                  <w:vAlign w:val="center"/>
                </w:tcPr>
                <w:p w14:paraId="7FCAE3F9">
                  <w:pPr>
                    <w:pStyle w:val="159"/>
                  </w:pPr>
                  <w:r>
                    <w:t>60</w:t>
                  </w:r>
                </w:p>
              </w:tc>
              <w:tc>
                <w:tcPr>
                  <w:tcW w:w="542" w:type="pct"/>
                  <w:vAlign w:val="center"/>
                </w:tcPr>
                <w:p w14:paraId="2598CC62">
                  <w:pPr>
                    <w:pStyle w:val="159"/>
                  </w:pPr>
                  <w:r>
                    <w:t>50</w:t>
                  </w:r>
                </w:p>
              </w:tc>
            </w:tr>
            <w:tr w14:paraId="77A13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blHeader/>
                <w:jc w:val="center"/>
              </w:trPr>
              <w:tc>
                <w:tcPr>
                  <w:tcW w:w="542" w:type="pct"/>
                  <w:vAlign w:val="center"/>
                </w:tcPr>
                <w:p w14:paraId="4F5A0BA4">
                  <w:pPr>
                    <w:pStyle w:val="159"/>
                  </w:pPr>
                  <w:r>
                    <w:rPr>
                      <w:rFonts w:hint="eastAsia"/>
                    </w:rPr>
                    <w:t>N</w:t>
                  </w:r>
                  <w:r>
                    <w:t>8</w:t>
                  </w:r>
                </w:p>
              </w:tc>
              <w:tc>
                <w:tcPr>
                  <w:tcW w:w="2289" w:type="pct"/>
                  <w:vAlign w:val="center"/>
                </w:tcPr>
                <w:p w14:paraId="4C7D8255">
                  <w:pPr>
                    <w:pStyle w:val="159"/>
                  </w:pPr>
                  <w:r>
                    <w:rPr>
                      <w:rFonts w:hint="eastAsia"/>
                    </w:rPr>
                    <w:t>贝江变电站西侧围墙外</w:t>
                  </w:r>
                </w:p>
              </w:tc>
              <w:tc>
                <w:tcPr>
                  <w:tcW w:w="542" w:type="pct"/>
                  <w:vAlign w:val="center"/>
                </w:tcPr>
                <w:p w14:paraId="57FF6988">
                  <w:pPr>
                    <w:pStyle w:val="159"/>
                  </w:pPr>
                  <w:r>
                    <w:rPr>
                      <w:rFonts w:hint="eastAsia"/>
                    </w:rPr>
                    <w:t>4</w:t>
                  </w:r>
                  <w:r>
                    <w:t>6.4</w:t>
                  </w:r>
                </w:p>
              </w:tc>
              <w:tc>
                <w:tcPr>
                  <w:tcW w:w="543" w:type="pct"/>
                  <w:vAlign w:val="center"/>
                </w:tcPr>
                <w:p w14:paraId="60F94F55">
                  <w:pPr>
                    <w:pStyle w:val="159"/>
                  </w:pPr>
                  <w:r>
                    <w:rPr>
                      <w:rFonts w:hint="eastAsia"/>
                    </w:rPr>
                    <w:t>4</w:t>
                  </w:r>
                  <w:r>
                    <w:t>2.1</w:t>
                  </w:r>
                </w:p>
              </w:tc>
              <w:tc>
                <w:tcPr>
                  <w:tcW w:w="542" w:type="pct"/>
                  <w:vAlign w:val="center"/>
                </w:tcPr>
                <w:p w14:paraId="0DA1E46C">
                  <w:pPr>
                    <w:pStyle w:val="159"/>
                  </w:pPr>
                  <w:r>
                    <w:t>60</w:t>
                  </w:r>
                </w:p>
              </w:tc>
              <w:tc>
                <w:tcPr>
                  <w:tcW w:w="542" w:type="pct"/>
                  <w:vAlign w:val="center"/>
                </w:tcPr>
                <w:p w14:paraId="16C4BA9C">
                  <w:pPr>
                    <w:pStyle w:val="159"/>
                  </w:pPr>
                  <w:r>
                    <w:t>50</w:t>
                  </w:r>
                </w:p>
              </w:tc>
            </w:tr>
            <w:tr w14:paraId="7D52A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42" w:type="pct"/>
                  <w:vAlign w:val="center"/>
                </w:tcPr>
                <w:p w14:paraId="7F13600D">
                  <w:pPr>
                    <w:pStyle w:val="159"/>
                  </w:pPr>
                  <w:r>
                    <w:rPr>
                      <w:rFonts w:hint="eastAsia"/>
                    </w:rPr>
                    <w:t>N9</w:t>
                  </w:r>
                </w:p>
              </w:tc>
              <w:tc>
                <w:tcPr>
                  <w:tcW w:w="2289" w:type="pct"/>
                  <w:vAlign w:val="center"/>
                </w:tcPr>
                <w:p w14:paraId="2558CA89">
                  <w:pPr>
                    <w:pStyle w:val="159"/>
                  </w:pPr>
                  <w:r>
                    <w:rPr>
                      <w:rFonts w:hint="eastAsia"/>
                    </w:rPr>
                    <w:t>贝江变电站北侧围墙外</w:t>
                  </w:r>
                </w:p>
              </w:tc>
              <w:tc>
                <w:tcPr>
                  <w:tcW w:w="542" w:type="pct"/>
                  <w:vAlign w:val="center"/>
                </w:tcPr>
                <w:p w14:paraId="6666069F">
                  <w:pPr>
                    <w:pStyle w:val="159"/>
                  </w:pPr>
                  <w:r>
                    <w:rPr>
                      <w:rFonts w:hint="eastAsia"/>
                    </w:rPr>
                    <w:t>4</w:t>
                  </w:r>
                  <w:r>
                    <w:t>6.6</w:t>
                  </w:r>
                </w:p>
              </w:tc>
              <w:tc>
                <w:tcPr>
                  <w:tcW w:w="543" w:type="pct"/>
                  <w:vAlign w:val="center"/>
                </w:tcPr>
                <w:p w14:paraId="6539D8F6">
                  <w:pPr>
                    <w:pStyle w:val="159"/>
                  </w:pPr>
                  <w:r>
                    <w:rPr>
                      <w:rFonts w:hint="eastAsia"/>
                    </w:rPr>
                    <w:t>4</w:t>
                  </w:r>
                  <w:r>
                    <w:t>2.8</w:t>
                  </w:r>
                </w:p>
              </w:tc>
              <w:tc>
                <w:tcPr>
                  <w:tcW w:w="542" w:type="pct"/>
                  <w:vAlign w:val="center"/>
                </w:tcPr>
                <w:p w14:paraId="3743E216">
                  <w:pPr>
                    <w:pStyle w:val="159"/>
                  </w:pPr>
                  <w:r>
                    <w:t>60</w:t>
                  </w:r>
                </w:p>
              </w:tc>
              <w:tc>
                <w:tcPr>
                  <w:tcW w:w="542" w:type="pct"/>
                  <w:vAlign w:val="center"/>
                </w:tcPr>
                <w:p w14:paraId="424547B3">
                  <w:pPr>
                    <w:pStyle w:val="159"/>
                  </w:pPr>
                  <w:r>
                    <w:t>50</w:t>
                  </w:r>
                </w:p>
              </w:tc>
            </w:tr>
          </w:tbl>
          <w:p w14:paraId="2A6F9708">
            <w:pPr>
              <w:pStyle w:val="3"/>
              <w:spacing w:line="240" w:lineRule="auto"/>
              <w:ind w:firstLine="480"/>
            </w:pPr>
          </w:p>
          <w:p w14:paraId="771A6807">
            <w:pPr>
              <w:pStyle w:val="3"/>
              <w:ind w:firstLine="480"/>
            </w:pPr>
            <w:r>
              <w:rPr>
                <w:rFonts w:hint="eastAsia"/>
              </w:rPr>
              <w:t>由监测结果可见，贝江1</w:t>
            </w:r>
            <w:r>
              <w:t>10</w:t>
            </w:r>
            <w:r>
              <w:rPr>
                <w:rFonts w:hint="eastAsia"/>
              </w:rPr>
              <w:t>kV变电站周边、基地源1</w:t>
            </w:r>
            <w:r>
              <w:t>10</w:t>
            </w:r>
            <w:r>
              <w:rPr>
                <w:rFonts w:hint="eastAsia"/>
              </w:rPr>
              <w:t>kV变电站拟选址处声环境质量现状满足</w:t>
            </w:r>
            <w:r>
              <w:t>《声环境质量标准》（GB3096-2008）2类标准</w:t>
            </w:r>
            <w:r>
              <w:rPr>
                <w:rFonts w:hint="eastAsia"/>
              </w:rPr>
              <w:t>，输电线路沿线</w:t>
            </w:r>
            <w:r>
              <w:t>声环境质量现状</w:t>
            </w:r>
            <w:r>
              <w:rPr>
                <w:rFonts w:hint="eastAsia"/>
              </w:rPr>
              <w:t>均满足</w:t>
            </w:r>
            <w:r>
              <w:t>《声环境质量标准》（GB3096-2008）1类标准</w:t>
            </w:r>
            <w:r>
              <w:rPr>
                <w:rFonts w:hint="eastAsia"/>
              </w:rPr>
              <w:t>。</w:t>
            </w:r>
            <w:bookmarkEnd w:id="71"/>
          </w:p>
          <w:p w14:paraId="4B15CE14">
            <w:pPr>
              <w:pStyle w:val="5"/>
            </w:pPr>
            <w:r>
              <w:rPr>
                <w:rFonts w:hint="eastAsia"/>
              </w:rPr>
              <w:t>电磁环境现状</w:t>
            </w:r>
          </w:p>
          <w:p w14:paraId="07158951">
            <w:pPr>
              <w:pStyle w:val="3"/>
              <w:ind w:firstLine="480"/>
            </w:pPr>
            <w:r>
              <w:t>本项目电磁环境现状的监测情况详见电磁环境影响专项评价，此处仅列出结果。</w:t>
            </w:r>
            <w:r>
              <w:rPr>
                <w:rFonts w:hint="eastAsia"/>
              </w:rPr>
              <w:t>贝江1</w:t>
            </w:r>
            <w:r>
              <w:t>10kV</w:t>
            </w:r>
            <w:r>
              <w:rPr>
                <w:rFonts w:hint="eastAsia"/>
              </w:rPr>
              <w:t>变电站外工频电场强度监测值为</w:t>
            </w:r>
            <w:r>
              <w:t>308.42V/m</w:t>
            </w:r>
            <w:r>
              <w:rPr>
                <w:rFonts w:hint="eastAsia"/>
              </w:rPr>
              <w:t>、工频磁感应强度监测值为</w:t>
            </w:r>
            <w:r>
              <w:t>0.398μT</w:t>
            </w:r>
            <w:r>
              <w:rPr>
                <w:rFonts w:hint="eastAsia"/>
              </w:rPr>
              <w:t>；拟建1</w:t>
            </w:r>
            <w:r>
              <w:t>10kV</w:t>
            </w:r>
            <w:r>
              <w:rPr>
                <w:rFonts w:hint="eastAsia"/>
              </w:rPr>
              <w:t>基地源变电站站址处工频电场强度监测值</w:t>
            </w:r>
            <w:r>
              <w:t>5.929V/m</w:t>
            </w:r>
            <w:r>
              <w:rPr>
                <w:rFonts w:hint="eastAsia"/>
              </w:rPr>
              <w:t>、工频磁感应强度监测值为</w:t>
            </w:r>
            <w:r>
              <w:t>0.084μT</w:t>
            </w:r>
            <w:r>
              <w:rPr>
                <w:rFonts w:hint="eastAsia"/>
              </w:rPr>
              <w:t>；输电线路沿线环境敏感目标的工频电场最大监测值为</w:t>
            </w:r>
            <w:r>
              <w:t>17.09V/m</w:t>
            </w:r>
            <w:r>
              <w:rPr>
                <w:rFonts w:hint="eastAsia"/>
              </w:rPr>
              <w:t>，工频磁感应强度最大监测值为</w:t>
            </w:r>
            <w:r>
              <w:t>0.094μT</w:t>
            </w:r>
            <w:r>
              <w:rPr>
                <w:rFonts w:hint="eastAsia"/>
              </w:rPr>
              <w:t>。电磁环境现状满足《电磁环境控制限值》（</w:t>
            </w:r>
            <w:r>
              <w:t>GB 8702-2014</w:t>
            </w:r>
            <w:r>
              <w:rPr>
                <w:rFonts w:hint="eastAsia"/>
              </w:rPr>
              <w:t>）工频电场强度</w:t>
            </w:r>
            <w:r>
              <w:t>4000V/m</w:t>
            </w:r>
            <w:r>
              <w:rPr>
                <w:rFonts w:hint="eastAsia"/>
              </w:rPr>
              <w:t>、工频磁感应强度</w:t>
            </w:r>
            <w:r>
              <w:t xml:space="preserve">100μT </w:t>
            </w:r>
            <w:r>
              <w:rPr>
                <w:rFonts w:hint="eastAsia"/>
              </w:rPr>
              <w:t>的限值标准要求。</w:t>
            </w:r>
          </w:p>
        </w:tc>
      </w:tr>
      <w:tr w14:paraId="41DD5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312" w:type="pct"/>
            <w:vAlign w:val="center"/>
          </w:tcPr>
          <w:p w14:paraId="4DCD9832">
            <w:pPr>
              <w:pStyle w:val="86"/>
            </w:pPr>
            <w:r>
              <w:t>与项目有关的原有环境污染和生态破坏问题</w:t>
            </w:r>
          </w:p>
        </w:tc>
        <w:tc>
          <w:tcPr>
            <w:tcW w:w="4688" w:type="pct"/>
            <w:vAlign w:val="center"/>
          </w:tcPr>
          <w:p w14:paraId="47E20614">
            <w:pPr>
              <w:pStyle w:val="5"/>
            </w:pPr>
            <w:r>
              <w:rPr>
                <w:rFonts w:hint="eastAsia"/>
              </w:rPr>
              <w:t>与项目有关的原有环境污染和生态破坏问题</w:t>
            </w:r>
          </w:p>
          <w:p w14:paraId="635499E4">
            <w:pPr>
              <w:pStyle w:val="3"/>
              <w:ind w:firstLine="480"/>
            </w:pPr>
            <w:r>
              <w:rPr>
                <w:rFonts w:hint="eastAsia"/>
              </w:rPr>
              <w:t>a）贝江1</w:t>
            </w:r>
            <w:r>
              <w:t>10kV</w:t>
            </w:r>
            <w:r>
              <w:rPr>
                <w:rFonts w:hint="eastAsia"/>
              </w:rPr>
              <w:t>变电站</w:t>
            </w:r>
          </w:p>
          <w:p w14:paraId="257B1447">
            <w:pPr>
              <w:pStyle w:val="3"/>
              <w:ind w:firstLine="480"/>
            </w:pPr>
            <w:r>
              <w:rPr>
                <w:rFonts w:hint="eastAsia"/>
              </w:rPr>
              <w:t>贝江1</w:t>
            </w:r>
            <w:r>
              <w:t>10kV</w:t>
            </w:r>
            <w:r>
              <w:rPr>
                <w:rFonts w:hint="eastAsia"/>
              </w:rPr>
              <w:t>变电站始建于2</w:t>
            </w:r>
            <w:r>
              <w:t>001</w:t>
            </w:r>
            <w:r>
              <w:rPr>
                <w:rFonts w:hint="eastAsia"/>
              </w:rPr>
              <w:t>年1</w:t>
            </w:r>
            <w:r>
              <w:t>1</w:t>
            </w:r>
            <w:r>
              <w:rPr>
                <w:rFonts w:hint="eastAsia"/>
              </w:rPr>
              <w:t>月，二期工程建设于2</w:t>
            </w:r>
            <w:r>
              <w:t>003</w:t>
            </w:r>
            <w:r>
              <w:rPr>
                <w:rFonts w:hint="eastAsia"/>
              </w:rPr>
              <w:t>年6月。目前该变电站共有主变压器2台，主变容量</w:t>
            </w:r>
            <w:r>
              <w:t>25MVA+40MVA</w:t>
            </w:r>
            <w:r>
              <w:rPr>
                <w:rFonts w:hint="eastAsia"/>
              </w:rPr>
              <w:t>；110千伏出线4回、35千伏出线10回、10千伏出线16回，为“无人值班、少人职守”变电站。建成时间较早，由于历史原因，未办理环境影响评价手续。</w:t>
            </w:r>
          </w:p>
          <w:p w14:paraId="3779C551">
            <w:pPr>
              <w:pStyle w:val="3"/>
              <w:ind w:firstLine="480"/>
            </w:pPr>
            <w:r>
              <w:rPr>
                <w:rFonts w:hint="eastAsia"/>
              </w:rPr>
              <w:t>贝江1</w:t>
            </w:r>
            <w:r>
              <w:t>10kV</w:t>
            </w:r>
            <w:r>
              <w:rPr>
                <w:rFonts w:hint="eastAsia"/>
              </w:rPr>
              <w:t>变电站主变压器下方设有1座1</w:t>
            </w:r>
            <w:r>
              <w:t>2m</w:t>
            </w:r>
            <w:r>
              <w:rPr>
                <w:vertAlign w:val="superscript"/>
              </w:rPr>
              <w:t>3</w:t>
            </w:r>
            <w:r>
              <w:rPr>
                <w:rFonts w:hint="eastAsia"/>
              </w:rPr>
              <w:t>事故油池，两座变压器共用。根据调查走访，贝江1</w:t>
            </w:r>
            <w:r>
              <w:t>10kV</w:t>
            </w:r>
            <w:r>
              <w:rPr>
                <w:rFonts w:hint="eastAsia"/>
              </w:rPr>
              <w:t>变电站运行至今未发生过变压器漏油事故；变电站内设备维修由市级供电公司负责，维修产生的废弃蓄电池、废油等危险废物由市级供电公司统一收集后交有资质单位处置，站内无危废暂存；少量值守人员生活污水经旱厕化粪池收集后用作农肥，生活垃圾分类收集后送至环卫部门指定收集点。</w:t>
            </w:r>
          </w:p>
          <w:p w14:paraId="48016AD4">
            <w:pPr>
              <w:pStyle w:val="3"/>
              <w:ind w:firstLine="480"/>
            </w:pPr>
            <w:r>
              <w:rPr>
                <w:rFonts w:hint="eastAsia"/>
              </w:rPr>
              <w:t>为了解贝江1</w:t>
            </w:r>
            <w:r>
              <w:t>10kV</w:t>
            </w:r>
            <w:r>
              <w:rPr>
                <w:rFonts w:hint="eastAsia"/>
              </w:rPr>
              <w:t>变电站电磁辐射和噪声对周边环境影响情况，本次环评对变电站东、南、西、北侧站界进行了现状监测，监测结果见表3</w:t>
            </w:r>
            <w:r>
              <w:t>.6-2</w:t>
            </w:r>
            <w:r>
              <w:rPr>
                <w:rFonts w:hint="eastAsia"/>
              </w:rPr>
              <w:t>。</w:t>
            </w:r>
          </w:p>
          <w:p w14:paraId="5C3F577E">
            <w:pPr>
              <w:pStyle w:val="3"/>
              <w:ind w:firstLine="480"/>
            </w:pPr>
            <w:r>
              <w:rPr>
                <w:rFonts w:hint="eastAsia"/>
              </w:rPr>
              <w:t>1）监测布点和采样监测方法</w:t>
            </w:r>
          </w:p>
          <w:p w14:paraId="5848475E">
            <w:pPr>
              <w:pStyle w:val="3"/>
              <w:ind w:firstLine="480"/>
            </w:pPr>
            <w:r>
              <w:rPr>
                <w:rFonts w:hint="eastAsia"/>
              </w:rPr>
              <w:t>监测布点见表3</w:t>
            </w:r>
            <w:r>
              <w:t>.6-1</w:t>
            </w:r>
            <w:r>
              <w:rPr>
                <w:rFonts w:hint="eastAsia"/>
              </w:rPr>
              <w:t>所示。</w:t>
            </w:r>
          </w:p>
          <w:p w14:paraId="11C2245C">
            <w:pPr>
              <w:pStyle w:val="3"/>
              <w:ind w:firstLine="480"/>
              <w:rPr>
                <w:rFonts w:ascii="宋体" w:cs="宋体"/>
                <w:kern w:val="0"/>
                <w:szCs w:val="24"/>
              </w:rPr>
            </w:pPr>
            <w:r>
              <w:rPr>
                <w:rFonts w:hint="eastAsia"/>
              </w:rPr>
              <w:t>站界外工频电场和工频磁场采样监测方法按照</w:t>
            </w:r>
            <w:r>
              <w:rPr>
                <w:rFonts w:hint="eastAsia" w:ascii="宋体" w:cs="宋体"/>
                <w:kern w:val="0"/>
                <w:szCs w:val="24"/>
              </w:rPr>
              <w:t>《交流输变电工程电磁环境监测方法（试行）》</w:t>
            </w:r>
            <w:r>
              <w:rPr>
                <w:rFonts w:hint="eastAsia"/>
              </w:rPr>
              <w:t>（</w:t>
            </w:r>
            <w:r>
              <w:t>HJ681-2013</w:t>
            </w:r>
            <w:r>
              <w:rPr>
                <w:rFonts w:hint="eastAsia"/>
              </w:rPr>
              <w:t>）</w:t>
            </w:r>
            <w:r>
              <w:rPr>
                <w:rFonts w:hint="eastAsia" w:ascii="宋体" w:cs="宋体"/>
                <w:kern w:val="0"/>
                <w:szCs w:val="24"/>
              </w:rPr>
              <w:t>进行，噪声采样监测按照</w:t>
            </w:r>
            <w:r>
              <w:rPr>
                <w:rFonts w:hint="eastAsia"/>
              </w:rPr>
              <w:t>声环境满足《声环境质量标准》（</w:t>
            </w:r>
            <w:r>
              <w:t>GB3096-2008</w:t>
            </w:r>
            <w:r>
              <w:rPr>
                <w:rFonts w:hint="eastAsia"/>
              </w:rPr>
              <w:t>）</w:t>
            </w:r>
            <w:r>
              <w:rPr>
                <w:rFonts w:hint="eastAsia" w:ascii="宋体" w:cs="宋体"/>
                <w:kern w:val="0"/>
                <w:szCs w:val="24"/>
              </w:rPr>
              <w:t>进行。</w:t>
            </w:r>
          </w:p>
          <w:p w14:paraId="6FD31866">
            <w:pPr>
              <w:pStyle w:val="148"/>
            </w:pPr>
            <w:r>
              <w:rPr>
                <w:rFonts w:hint="eastAsia"/>
              </w:rPr>
              <w:t>表3</w:t>
            </w:r>
            <w:r>
              <w:t xml:space="preserve">.6-1  </w:t>
            </w:r>
            <w:r>
              <w:rPr>
                <w:rFonts w:hint="eastAsia"/>
              </w:rPr>
              <w:t>贝江1</w:t>
            </w:r>
            <w:r>
              <w:t>10kV</w:t>
            </w:r>
            <w:r>
              <w:rPr>
                <w:rFonts w:hint="eastAsia"/>
              </w:rPr>
              <w:t>变电站站界外监测布点一览表</w:t>
            </w:r>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81"/>
              <w:gridCol w:w="4028"/>
              <w:gridCol w:w="2972"/>
            </w:tblGrid>
            <w:tr w14:paraId="58BE9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873" w:type="pct"/>
                  <w:vAlign w:val="center"/>
                </w:tcPr>
                <w:p w14:paraId="63D8D0DC">
                  <w:pPr>
                    <w:pStyle w:val="159"/>
                  </w:pPr>
                  <w:r>
                    <w:rPr>
                      <w:rFonts w:hint="eastAsia"/>
                    </w:rPr>
                    <w:t>点位编号</w:t>
                  </w:r>
                </w:p>
              </w:tc>
              <w:tc>
                <w:tcPr>
                  <w:tcW w:w="2375" w:type="pct"/>
                  <w:vAlign w:val="center"/>
                </w:tcPr>
                <w:p w14:paraId="0FD165CF">
                  <w:pPr>
                    <w:pStyle w:val="159"/>
                  </w:pPr>
                  <w:r>
                    <w:rPr>
                      <w:rFonts w:hint="eastAsia"/>
                    </w:rPr>
                    <w:t>点位名称</w:t>
                  </w:r>
                </w:p>
              </w:tc>
              <w:tc>
                <w:tcPr>
                  <w:tcW w:w="1752" w:type="pct"/>
                  <w:vAlign w:val="center"/>
                </w:tcPr>
                <w:p w14:paraId="6F3B8087">
                  <w:pPr>
                    <w:pStyle w:val="167"/>
                    <w:adjustRightInd w:val="0"/>
                    <w:snapToGrid w:val="0"/>
                    <w:spacing w:line="240" w:lineRule="auto"/>
                  </w:pPr>
                  <w:r>
                    <w:rPr>
                      <w:rFonts w:hint="eastAsia"/>
                    </w:rPr>
                    <w:t>监测内容</w:t>
                  </w:r>
                </w:p>
              </w:tc>
            </w:tr>
            <w:tr w14:paraId="74D50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873" w:type="pct"/>
                  <w:vAlign w:val="center"/>
                </w:tcPr>
                <w:p w14:paraId="178D6DE9">
                  <w:pPr>
                    <w:pStyle w:val="159"/>
                  </w:pPr>
                  <w:r>
                    <w:rPr>
                      <w:rFonts w:hint="eastAsia"/>
                    </w:rPr>
                    <w:t>E</w:t>
                  </w:r>
                  <w:r>
                    <w:t>6</w:t>
                  </w:r>
                </w:p>
              </w:tc>
              <w:tc>
                <w:tcPr>
                  <w:tcW w:w="2375" w:type="pct"/>
                  <w:vAlign w:val="center"/>
                </w:tcPr>
                <w:p w14:paraId="27BE3D57">
                  <w:pPr>
                    <w:pStyle w:val="159"/>
                  </w:pPr>
                  <w:r>
                    <w:rPr>
                      <w:rFonts w:hint="eastAsia"/>
                    </w:rPr>
                    <w:t>贝江变电站东侧围墙外</w:t>
                  </w:r>
                </w:p>
              </w:tc>
              <w:tc>
                <w:tcPr>
                  <w:tcW w:w="1752" w:type="pct"/>
                  <w:vMerge w:val="restart"/>
                  <w:vAlign w:val="center"/>
                </w:tcPr>
                <w:p w14:paraId="48440733">
                  <w:pPr>
                    <w:pStyle w:val="167"/>
                    <w:adjustRightInd w:val="0"/>
                    <w:snapToGrid w:val="0"/>
                    <w:spacing w:line="240" w:lineRule="auto"/>
                  </w:pPr>
                  <w:r>
                    <w:rPr>
                      <w:rFonts w:hint="eastAsia"/>
                    </w:rPr>
                    <w:t>工频电场和工频磁场</w:t>
                  </w:r>
                </w:p>
              </w:tc>
            </w:tr>
            <w:tr w14:paraId="474B5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873" w:type="pct"/>
                  <w:vAlign w:val="center"/>
                </w:tcPr>
                <w:p w14:paraId="2C3F8809">
                  <w:pPr>
                    <w:pStyle w:val="159"/>
                  </w:pPr>
                  <w:r>
                    <w:rPr>
                      <w:rFonts w:hint="eastAsia"/>
                    </w:rPr>
                    <w:t>E7</w:t>
                  </w:r>
                </w:p>
              </w:tc>
              <w:tc>
                <w:tcPr>
                  <w:tcW w:w="2375" w:type="pct"/>
                  <w:vAlign w:val="center"/>
                </w:tcPr>
                <w:p w14:paraId="1C529BB6">
                  <w:pPr>
                    <w:pStyle w:val="159"/>
                  </w:pPr>
                  <w:r>
                    <w:rPr>
                      <w:rFonts w:hint="eastAsia"/>
                    </w:rPr>
                    <w:t>贝江变电站南侧围墙外</w:t>
                  </w:r>
                </w:p>
              </w:tc>
              <w:tc>
                <w:tcPr>
                  <w:tcW w:w="1752" w:type="pct"/>
                  <w:vMerge w:val="continue"/>
                  <w:vAlign w:val="center"/>
                </w:tcPr>
                <w:p w14:paraId="282C51D0">
                  <w:pPr>
                    <w:pStyle w:val="167"/>
                    <w:adjustRightInd w:val="0"/>
                    <w:snapToGrid w:val="0"/>
                    <w:spacing w:line="240" w:lineRule="auto"/>
                    <w:ind w:left="400"/>
                  </w:pPr>
                </w:p>
              </w:tc>
            </w:tr>
            <w:tr w14:paraId="4C1CE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873" w:type="pct"/>
                  <w:vAlign w:val="center"/>
                </w:tcPr>
                <w:p w14:paraId="2F6EA4C5">
                  <w:pPr>
                    <w:pStyle w:val="159"/>
                  </w:pPr>
                  <w:r>
                    <w:rPr>
                      <w:rFonts w:hint="eastAsia"/>
                    </w:rPr>
                    <w:t>E</w:t>
                  </w:r>
                  <w:r>
                    <w:t>8</w:t>
                  </w:r>
                </w:p>
              </w:tc>
              <w:tc>
                <w:tcPr>
                  <w:tcW w:w="2375" w:type="pct"/>
                  <w:vAlign w:val="center"/>
                </w:tcPr>
                <w:p w14:paraId="42B3EF82">
                  <w:pPr>
                    <w:pStyle w:val="159"/>
                  </w:pPr>
                  <w:r>
                    <w:rPr>
                      <w:rFonts w:hint="eastAsia"/>
                    </w:rPr>
                    <w:t>贝江变电站西侧围墙外</w:t>
                  </w:r>
                </w:p>
              </w:tc>
              <w:tc>
                <w:tcPr>
                  <w:tcW w:w="1752" w:type="pct"/>
                  <w:vMerge w:val="continue"/>
                  <w:vAlign w:val="center"/>
                </w:tcPr>
                <w:p w14:paraId="0BF8352E">
                  <w:pPr>
                    <w:pStyle w:val="167"/>
                    <w:adjustRightInd w:val="0"/>
                    <w:snapToGrid w:val="0"/>
                    <w:spacing w:line="240" w:lineRule="auto"/>
                    <w:ind w:left="400"/>
                  </w:pPr>
                </w:p>
              </w:tc>
            </w:tr>
            <w:tr w14:paraId="39FB4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873" w:type="pct"/>
                  <w:vAlign w:val="center"/>
                </w:tcPr>
                <w:p w14:paraId="0D11F217">
                  <w:pPr>
                    <w:pStyle w:val="159"/>
                  </w:pPr>
                  <w:r>
                    <w:rPr>
                      <w:rFonts w:hint="eastAsia"/>
                    </w:rPr>
                    <w:t>E9</w:t>
                  </w:r>
                </w:p>
              </w:tc>
              <w:tc>
                <w:tcPr>
                  <w:tcW w:w="2375" w:type="pct"/>
                  <w:vAlign w:val="center"/>
                </w:tcPr>
                <w:p w14:paraId="04811F6C">
                  <w:pPr>
                    <w:pStyle w:val="159"/>
                  </w:pPr>
                  <w:r>
                    <w:rPr>
                      <w:rFonts w:hint="eastAsia"/>
                    </w:rPr>
                    <w:t>贝江变电站北侧围墙外</w:t>
                  </w:r>
                </w:p>
              </w:tc>
              <w:tc>
                <w:tcPr>
                  <w:tcW w:w="1752" w:type="pct"/>
                  <w:vMerge w:val="continue"/>
                  <w:vAlign w:val="center"/>
                </w:tcPr>
                <w:p w14:paraId="689F1526">
                  <w:pPr>
                    <w:pStyle w:val="167"/>
                    <w:adjustRightInd w:val="0"/>
                    <w:snapToGrid w:val="0"/>
                    <w:spacing w:line="240" w:lineRule="auto"/>
                    <w:ind w:left="400"/>
                  </w:pPr>
                </w:p>
              </w:tc>
            </w:tr>
            <w:tr w14:paraId="07EAC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873" w:type="pct"/>
                  <w:vAlign w:val="center"/>
                </w:tcPr>
                <w:p w14:paraId="1E97D75E">
                  <w:pPr>
                    <w:pStyle w:val="159"/>
                  </w:pPr>
                  <w:r>
                    <w:rPr>
                      <w:rFonts w:hint="eastAsia"/>
                    </w:rPr>
                    <w:t>N</w:t>
                  </w:r>
                  <w:r>
                    <w:t>6</w:t>
                  </w:r>
                </w:p>
              </w:tc>
              <w:tc>
                <w:tcPr>
                  <w:tcW w:w="2375" w:type="pct"/>
                  <w:vAlign w:val="center"/>
                </w:tcPr>
                <w:p w14:paraId="422DF87B">
                  <w:pPr>
                    <w:pStyle w:val="159"/>
                    <w:rPr>
                      <w:b/>
                    </w:rPr>
                  </w:pPr>
                  <w:r>
                    <w:rPr>
                      <w:rFonts w:hint="eastAsia"/>
                    </w:rPr>
                    <w:t>贝江变电站东侧围墙外</w:t>
                  </w:r>
                </w:p>
              </w:tc>
              <w:tc>
                <w:tcPr>
                  <w:tcW w:w="1752" w:type="pct"/>
                  <w:vMerge w:val="restart"/>
                  <w:vAlign w:val="center"/>
                </w:tcPr>
                <w:p w14:paraId="78A25D86">
                  <w:pPr>
                    <w:pStyle w:val="167"/>
                    <w:adjustRightInd w:val="0"/>
                    <w:snapToGrid w:val="0"/>
                    <w:spacing w:line="240" w:lineRule="auto"/>
                  </w:pPr>
                  <w:r>
                    <w:rPr>
                      <w:rFonts w:hint="eastAsia"/>
                    </w:rPr>
                    <w:t>Leq（A）</w:t>
                  </w:r>
                </w:p>
              </w:tc>
            </w:tr>
            <w:tr w14:paraId="5F95A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873" w:type="pct"/>
                  <w:vAlign w:val="center"/>
                </w:tcPr>
                <w:p w14:paraId="137950F4">
                  <w:pPr>
                    <w:pStyle w:val="159"/>
                  </w:pPr>
                  <w:r>
                    <w:rPr>
                      <w:rFonts w:hint="eastAsia"/>
                    </w:rPr>
                    <w:t>N7</w:t>
                  </w:r>
                </w:p>
              </w:tc>
              <w:tc>
                <w:tcPr>
                  <w:tcW w:w="2375" w:type="pct"/>
                  <w:vAlign w:val="center"/>
                </w:tcPr>
                <w:p w14:paraId="30235C6F">
                  <w:pPr>
                    <w:pStyle w:val="159"/>
                    <w:rPr>
                      <w:b/>
                    </w:rPr>
                  </w:pPr>
                  <w:r>
                    <w:rPr>
                      <w:rFonts w:hint="eastAsia"/>
                    </w:rPr>
                    <w:t>贝江变电站南侧围墙外</w:t>
                  </w:r>
                </w:p>
              </w:tc>
              <w:tc>
                <w:tcPr>
                  <w:tcW w:w="1752" w:type="pct"/>
                  <w:vMerge w:val="continue"/>
                  <w:vAlign w:val="center"/>
                </w:tcPr>
                <w:p w14:paraId="579DE637">
                  <w:pPr>
                    <w:pStyle w:val="167"/>
                    <w:adjustRightInd w:val="0"/>
                    <w:snapToGrid w:val="0"/>
                    <w:spacing w:line="240" w:lineRule="auto"/>
                    <w:ind w:left="400"/>
                  </w:pPr>
                </w:p>
              </w:tc>
            </w:tr>
            <w:tr w14:paraId="379DC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873" w:type="pct"/>
                  <w:vAlign w:val="center"/>
                </w:tcPr>
                <w:p w14:paraId="0C37D29A">
                  <w:pPr>
                    <w:pStyle w:val="159"/>
                  </w:pPr>
                  <w:r>
                    <w:rPr>
                      <w:rFonts w:hint="eastAsia"/>
                    </w:rPr>
                    <w:t>N</w:t>
                  </w:r>
                  <w:r>
                    <w:t>8</w:t>
                  </w:r>
                </w:p>
              </w:tc>
              <w:tc>
                <w:tcPr>
                  <w:tcW w:w="2375" w:type="pct"/>
                  <w:vAlign w:val="center"/>
                </w:tcPr>
                <w:p w14:paraId="5497237B">
                  <w:pPr>
                    <w:pStyle w:val="159"/>
                    <w:rPr>
                      <w:b/>
                    </w:rPr>
                  </w:pPr>
                  <w:r>
                    <w:rPr>
                      <w:rFonts w:hint="eastAsia"/>
                    </w:rPr>
                    <w:t>贝江变电站西侧围墙外</w:t>
                  </w:r>
                </w:p>
              </w:tc>
              <w:tc>
                <w:tcPr>
                  <w:tcW w:w="1752" w:type="pct"/>
                  <w:vMerge w:val="continue"/>
                  <w:vAlign w:val="center"/>
                </w:tcPr>
                <w:p w14:paraId="453905BB">
                  <w:pPr>
                    <w:pStyle w:val="167"/>
                    <w:adjustRightInd w:val="0"/>
                    <w:snapToGrid w:val="0"/>
                    <w:spacing w:line="240" w:lineRule="auto"/>
                    <w:ind w:left="400"/>
                  </w:pPr>
                </w:p>
              </w:tc>
            </w:tr>
            <w:tr w14:paraId="080D3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873" w:type="pct"/>
                  <w:vAlign w:val="center"/>
                </w:tcPr>
                <w:p w14:paraId="6A17604C">
                  <w:pPr>
                    <w:pStyle w:val="159"/>
                  </w:pPr>
                  <w:r>
                    <w:rPr>
                      <w:rFonts w:hint="eastAsia"/>
                    </w:rPr>
                    <w:t>N9</w:t>
                  </w:r>
                </w:p>
              </w:tc>
              <w:tc>
                <w:tcPr>
                  <w:tcW w:w="2375" w:type="pct"/>
                  <w:vAlign w:val="center"/>
                </w:tcPr>
                <w:p w14:paraId="1DD63295">
                  <w:pPr>
                    <w:pStyle w:val="159"/>
                    <w:rPr>
                      <w:b/>
                    </w:rPr>
                  </w:pPr>
                  <w:r>
                    <w:rPr>
                      <w:rFonts w:hint="eastAsia"/>
                    </w:rPr>
                    <w:t>贝江变电站北侧围墙外</w:t>
                  </w:r>
                </w:p>
              </w:tc>
              <w:tc>
                <w:tcPr>
                  <w:tcW w:w="1752" w:type="pct"/>
                  <w:vMerge w:val="continue"/>
                  <w:vAlign w:val="center"/>
                </w:tcPr>
                <w:p w14:paraId="3D5F31FB">
                  <w:pPr>
                    <w:pStyle w:val="167"/>
                    <w:adjustRightInd w:val="0"/>
                    <w:snapToGrid w:val="0"/>
                    <w:spacing w:line="240" w:lineRule="auto"/>
                    <w:ind w:left="400"/>
                  </w:pPr>
                </w:p>
              </w:tc>
            </w:tr>
          </w:tbl>
          <w:p w14:paraId="2BD04AEA">
            <w:pPr>
              <w:pStyle w:val="3"/>
              <w:spacing w:line="240" w:lineRule="auto"/>
              <w:ind w:firstLine="480"/>
            </w:pPr>
          </w:p>
          <w:p w14:paraId="6640B4A7">
            <w:pPr>
              <w:pStyle w:val="3"/>
              <w:ind w:firstLine="480"/>
            </w:pPr>
            <w:r>
              <w:t>2</w:t>
            </w:r>
            <w:r>
              <w:rPr>
                <w:rFonts w:hint="eastAsia"/>
              </w:rPr>
              <w:t>）监测频次</w:t>
            </w:r>
          </w:p>
          <w:p w14:paraId="1E4ACA24">
            <w:pPr>
              <w:pStyle w:val="3"/>
              <w:ind w:firstLine="480"/>
            </w:pPr>
            <w:r>
              <w:rPr>
                <w:rFonts w:hint="eastAsia"/>
              </w:rPr>
              <w:t>工频电场和工频磁场监测1次；噪声监测</w:t>
            </w:r>
            <w:r>
              <w:t>1</w:t>
            </w:r>
            <w:r>
              <w:rPr>
                <w:rFonts w:hint="eastAsia"/>
              </w:rPr>
              <w:t>天，昼夜各1次。</w:t>
            </w:r>
          </w:p>
          <w:p w14:paraId="1AF1BF07">
            <w:pPr>
              <w:pStyle w:val="3"/>
              <w:ind w:firstLine="480"/>
            </w:pPr>
            <w:r>
              <w:t>3</w:t>
            </w:r>
            <w:r>
              <w:rPr>
                <w:rFonts w:hint="eastAsia"/>
              </w:rPr>
              <w:t>）监测结果</w:t>
            </w:r>
          </w:p>
          <w:p w14:paraId="473A330E">
            <w:pPr>
              <w:pStyle w:val="3"/>
              <w:ind w:firstLine="480"/>
            </w:pPr>
            <w:r>
              <w:rPr>
                <w:rFonts w:hint="eastAsia"/>
              </w:rPr>
              <w:t>监测布点见表3</w:t>
            </w:r>
            <w:r>
              <w:t>.6-2</w:t>
            </w:r>
            <w:r>
              <w:rPr>
                <w:rFonts w:hint="eastAsia"/>
              </w:rPr>
              <w:t>所示。</w:t>
            </w:r>
          </w:p>
          <w:p w14:paraId="623370E6">
            <w:pPr>
              <w:pStyle w:val="148"/>
            </w:pPr>
            <w:r>
              <w:rPr>
                <w:rFonts w:hint="eastAsia"/>
              </w:rPr>
              <w:t>表3</w:t>
            </w:r>
            <w:r>
              <w:t xml:space="preserve">.6-2  </w:t>
            </w:r>
            <w:r>
              <w:rPr>
                <w:rFonts w:hint="eastAsia"/>
              </w:rPr>
              <w:t>贝江1</w:t>
            </w:r>
            <w:r>
              <w:t>10kV</w:t>
            </w:r>
            <w:r>
              <w:rPr>
                <w:rFonts w:hint="eastAsia"/>
              </w:rPr>
              <w:t>变电站站界外监测结果</w:t>
            </w:r>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0"/>
              <w:gridCol w:w="2604"/>
              <w:gridCol w:w="1318"/>
              <w:gridCol w:w="1277"/>
              <w:gridCol w:w="1265"/>
              <w:gridCol w:w="1267"/>
            </w:tblGrid>
            <w:tr w14:paraId="17BC2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Merge w:val="restart"/>
                  <w:vAlign w:val="center"/>
                </w:tcPr>
                <w:p w14:paraId="6A7F079C">
                  <w:pPr>
                    <w:pStyle w:val="159"/>
                  </w:pPr>
                  <w:r>
                    <w:rPr>
                      <w:rFonts w:hint="eastAsia"/>
                    </w:rPr>
                    <w:t>点位编号</w:t>
                  </w:r>
                </w:p>
              </w:tc>
              <w:tc>
                <w:tcPr>
                  <w:tcW w:w="1535" w:type="pct"/>
                  <w:vMerge w:val="restart"/>
                  <w:vAlign w:val="center"/>
                </w:tcPr>
                <w:p w14:paraId="2653E6A2">
                  <w:pPr>
                    <w:pStyle w:val="159"/>
                  </w:pPr>
                  <w:r>
                    <w:rPr>
                      <w:rFonts w:hint="eastAsia"/>
                    </w:rPr>
                    <w:t>点位名称</w:t>
                  </w:r>
                </w:p>
              </w:tc>
              <w:tc>
                <w:tcPr>
                  <w:tcW w:w="1530" w:type="pct"/>
                  <w:gridSpan w:val="2"/>
                  <w:tcBorders>
                    <w:bottom w:val="single" w:color="auto" w:sz="4" w:space="0"/>
                  </w:tcBorders>
                  <w:vAlign w:val="center"/>
                </w:tcPr>
                <w:p w14:paraId="49D4353E">
                  <w:pPr>
                    <w:pStyle w:val="167"/>
                    <w:adjustRightInd w:val="0"/>
                    <w:snapToGrid w:val="0"/>
                    <w:spacing w:line="240" w:lineRule="auto"/>
                  </w:pPr>
                  <w:r>
                    <w:rPr>
                      <w:rFonts w:hint="eastAsia"/>
                    </w:rPr>
                    <w:t>监测内容</w:t>
                  </w:r>
                </w:p>
              </w:tc>
              <w:tc>
                <w:tcPr>
                  <w:tcW w:w="1493" w:type="pct"/>
                  <w:gridSpan w:val="2"/>
                  <w:vAlign w:val="center"/>
                </w:tcPr>
                <w:p w14:paraId="4D588F5F">
                  <w:pPr>
                    <w:pStyle w:val="167"/>
                    <w:adjustRightInd w:val="0"/>
                    <w:snapToGrid w:val="0"/>
                    <w:spacing w:line="240" w:lineRule="auto"/>
                  </w:pPr>
                  <w:r>
                    <w:rPr>
                      <w:rFonts w:hint="eastAsia"/>
                    </w:rPr>
                    <w:t>评价标准</w:t>
                  </w:r>
                </w:p>
              </w:tc>
            </w:tr>
            <w:tr w14:paraId="632AF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Merge w:val="continue"/>
                  <w:vAlign w:val="center"/>
                </w:tcPr>
                <w:p w14:paraId="3AA2B556">
                  <w:pPr>
                    <w:pStyle w:val="159"/>
                  </w:pPr>
                </w:p>
              </w:tc>
              <w:tc>
                <w:tcPr>
                  <w:tcW w:w="1535" w:type="pct"/>
                  <w:vMerge w:val="continue"/>
                  <w:vAlign w:val="center"/>
                </w:tcPr>
                <w:p w14:paraId="0F1387C0">
                  <w:pPr>
                    <w:pStyle w:val="159"/>
                  </w:pPr>
                </w:p>
              </w:tc>
              <w:tc>
                <w:tcPr>
                  <w:tcW w:w="777" w:type="pct"/>
                  <w:tcBorders>
                    <w:top w:val="single" w:color="auto" w:sz="4" w:space="0"/>
                  </w:tcBorders>
                  <w:vAlign w:val="center"/>
                </w:tcPr>
                <w:p w14:paraId="7B4B8C9D">
                  <w:pPr>
                    <w:pStyle w:val="167"/>
                    <w:adjustRightInd w:val="0"/>
                    <w:snapToGrid w:val="0"/>
                    <w:spacing w:line="240" w:lineRule="auto"/>
                  </w:pPr>
                  <w:r>
                    <w:rPr>
                      <w:rFonts w:hint="eastAsia"/>
                    </w:rPr>
                    <w:t>工频电场</w:t>
                  </w:r>
                  <w:r>
                    <w:rPr>
                      <w:rStyle w:val="160"/>
                      <w:rFonts w:hint="eastAsia"/>
                    </w:rPr>
                    <w:t>（</w:t>
                  </w:r>
                  <w:r>
                    <w:rPr>
                      <w:rStyle w:val="160"/>
                    </w:rPr>
                    <w:t>V/m</w:t>
                  </w:r>
                  <w:r>
                    <w:rPr>
                      <w:rStyle w:val="160"/>
                      <w:rFonts w:hint="eastAsia"/>
                    </w:rPr>
                    <w:t>）</w:t>
                  </w:r>
                </w:p>
              </w:tc>
              <w:tc>
                <w:tcPr>
                  <w:tcW w:w="753" w:type="pct"/>
                  <w:tcBorders>
                    <w:top w:val="single" w:color="auto" w:sz="4" w:space="0"/>
                  </w:tcBorders>
                  <w:vAlign w:val="center"/>
                </w:tcPr>
                <w:p w14:paraId="1AD49A3A">
                  <w:pPr>
                    <w:pStyle w:val="167"/>
                    <w:adjustRightInd w:val="0"/>
                    <w:snapToGrid w:val="0"/>
                    <w:spacing w:line="240" w:lineRule="auto"/>
                  </w:pPr>
                  <w:r>
                    <w:rPr>
                      <w:rFonts w:hint="eastAsia"/>
                    </w:rPr>
                    <w:t>工频磁场</w:t>
                  </w:r>
                </w:p>
                <w:p w14:paraId="1C5E6843">
                  <w:pPr>
                    <w:pStyle w:val="159"/>
                  </w:pPr>
                  <w:r>
                    <w:rPr>
                      <w:rFonts w:hint="eastAsia"/>
                    </w:rPr>
                    <w:t>（</w:t>
                  </w:r>
                  <w:r>
                    <w:rPr>
                      <w:rFonts w:hint="eastAsia" w:ascii="TimesNewRomanPS-BoldMT" w:eastAsia="TimesNewRomanPS-BoldMT" w:cs="TimesNewRomanPS-BoldMT"/>
                    </w:rPr>
                    <w:t>μ</w:t>
                  </w:r>
                  <w:r>
                    <w:rPr>
                      <w:rFonts w:ascii="TimesNewRomanPS-BoldMT" w:eastAsia="TimesNewRomanPS-BoldMT" w:cs="TimesNewRomanPS-BoldMT"/>
                    </w:rPr>
                    <w:t>T</w:t>
                  </w:r>
                  <w:r>
                    <w:rPr>
                      <w:rFonts w:hint="eastAsia"/>
                    </w:rPr>
                    <w:t>）</w:t>
                  </w:r>
                </w:p>
              </w:tc>
              <w:tc>
                <w:tcPr>
                  <w:tcW w:w="746" w:type="pct"/>
                  <w:vAlign w:val="center"/>
                </w:tcPr>
                <w:p w14:paraId="441AF357">
                  <w:pPr>
                    <w:pStyle w:val="167"/>
                    <w:adjustRightInd w:val="0"/>
                    <w:snapToGrid w:val="0"/>
                    <w:spacing w:line="240" w:lineRule="auto"/>
                  </w:pPr>
                  <w:r>
                    <w:rPr>
                      <w:rFonts w:hint="eastAsia"/>
                    </w:rPr>
                    <w:t>工频电场</w:t>
                  </w:r>
                  <w:r>
                    <w:rPr>
                      <w:rStyle w:val="160"/>
                      <w:rFonts w:hint="eastAsia"/>
                    </w:rPr>
                    <w:t>（</w:t>
                  </w:r>
                  <w:r>
                    <w:rPr>
                      <w:rStyle w:val="160"/>
                    </w:rPr>
                    <w:t>V/m</w:t>
                  </w:r>
                  <w:r>
                    <w:rPr>
                      <w:rStyle w:val="160"/>
                      <w:rFonts w:hint="eastAsia"/>
                    </w:rPr>
                    <w:t>）</w:t>
                  </w:r>
                </w:p>
              </w:tc>
              <w:tc>
                <w:tcPr>
                  <w:tcW w:w="746" w:type="pct"/>
                  <w:vAlign w:val="center"/>
                </w:tcPr>
                <w:p w14:paraId="4443DF99">
                  <w:pPr>
                    <w:pStyle w:val="167"/>
                    <w:adjustRightInd w:val="0"/>
                    <w:snapToGrid w:val="0"/>
                    <w:spacing w:line="240" w:lineRule="auto"/>
                  </w:pPr>
                  <w:r>
                    <w:rPr>
                      <w:rFonts w:hint="eastAsia"/>
                    </w:rPr>
                    <w:t>工频磁场</w:t>
                  </w:r>
                </w:p>
                <w:p w14:paraId="4919734B">
                  <w:pPr>
                    <w:pStyle w:val="167"/>
                    <w:adjustRightInd w:val="0"/>
                    <w:snapToGrid w:val="0"/>
                    <w:spacing w:line="240" w:lineRule="auto"/>
                  </w:pPr>
                  <w:r>
                    <w:rPr>
                      <w:rFonts w:hint="eastAsia"/>
                    </w:rPr>
                    <w:t>（</w:t>
                  </w:r>
                  <w:r>
                    <w:rPr>
                      <w:rFonts w:hint="eastAsia" w:ascii="TimesNewRomanPS-BoldMT" w:eastAsia="TimesNewRomanPS-BoldMT" w:cs="TimesNewRomanPS-BoldMT"/>
                    </w:rPr>
                    <w:t>μ</w:t>
                  </w:r>
                  <w:r>
                    <w:rPr>
                      <w:rFonts w:ascii="TimesNewRomanPS-BoldMT" w:eastAsia="TimesNewRomanPS-BoldMT" w:cs="TimesNewRomanPS-BoldMT"/>
                    </w:rPr>
                    <w:t>T</w:t>
                  </w:r>
                  <w:r>
                    <w:rPr>
                      <w:rFonts w:hint="eastAsia"/>
                    </w:rPr>
                    <w:t>）</w:t>
                  </w:r>
                </w:p>
              </w:tc>
            </w:tr>
            <w:tr w14:paraId="00AAD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Align w:val="center"/>
                </w:tcPr>
                <w:p w14:paraId="28D9E8DC">
                  <w:pPr>
                    <w:pStyle w:val="159"/>
                  </w:pPr>
                  <w:r>
                    <w:rPr>
                      <w:rFonts w:hint="eastAsia"/>
                    </w:rPr>
                    <w:t>E</w:t>
                  </w:r>
                  <w:r>
                    <w:t>6</w:t>
                  </w:r>
                </w:p>
              </w:tc>
              <w:tc>
                <w:tcPr>
                  <w:tcW w:w="1535" w:type="pct"/>
                  <w:vAlign w:val="center"/>
                </w:tcPr>
                <w:p w14:paraId="4AC6FC9D">
                  <w:pPr>
                    <w:pStyle w:val="159"/>
                  </w:pPr>
                  <w:r>
                    <w:rPr>
                      <w:rFonts w:hint="eastAsia"/>
                    </w:rPr>
                    <w:t>贝江变电站东侧围墙外</w:t>
                  </w:r>
                </w:p>
              </w:tc>
              <w:tc>
                <w:tcPr>
                  <w:tcW w:w="777" w:type="pct"/>
                  <w:vAlign w:val="center"/>
                </w:tcPr>
                <w:p w14:paraId="1FBEEBA7">
                  <w:pPr>
                    <w:pStyle w:val="159"/>
                  </w:pPr>
                  <w:r>
                    <w:rPr>
                      <w:rFonts w:hint="eastAsia"/>
                    </w:rPr>
                    <w:t>9</w:t>
                  </w:r>
                  <w:r>
                    <w:t>8.304</w:t>
                  </w:r>
                </w:p>
              </w:tc>
              <w:tc>
                <w:tcPr>
                  <w:tcW w:w="753" w:type="pct"/>
                  <w:vAlign w:val="center"/>
                </w:tcPr>
                <w:p w14:paraId="676AC768">
                  <w:pPr>
                    <w:pStyle w:val="159"/>
                  </w:pPr>
                  <w:r>
                    <w:rPr>
                      <w:rFonts w:hint="eastAsia"/>
                    </w:rPr>
                    <w:t>0</w:t>
                  </w:r>
                  <w:r>
                    <w:t>.152</w:t>
                  </w:r>
                </w:p>
              </w:tc>
              <w:tc>
                <w:tcPr>
                  <w:tcW w:w="746" w:type="pct"/>
                  <w:vAlign w:val="center"/>
                </w:tcPr>
                <w:p w14:paraId="786DB612">
                  <w:pPr>
                    <w:pStyle w:val="159"/>
                  </w:pPr>
                  <w:r>
                    <w:t>4000</w:t>
                  </w:r>
                </w:p>
              </w:tc>
              <w:tc>
                <w:tcPr>
                  <w:tcW w:w="746" w:type="pct"/>
                  <w:vAlign w:val="center"/>
                </w:tcPr>
                <w:p w14:paraId="041C6CA6">
                  <w:pPr>
                    <w:pStyle w:val="167"/>
                    <w:adjustRightInd w:val="0"/>
                    <w:snapToGrid w:val="0"/>
                    <w:spacing w:line="240" w:lineRule="auto"/>
                  </w:pPr>
                  <w:r>
                    <w:rPr>
                      <w:rFonts w:hint="eastAsia"/>
                    </w:rPr>
                    <w:t>1</w:t>
                  </w:r>
                  <w:r>
                    <w:t>00</w:t>
                  </w:r>
                </w:p>
              </w:tc>
            </w:tr>
            <w:tr w14:paraId="7FB33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Align w:val="center"/>
                </w:tcPr>
                <w:p w14:paraId="34F43589">
                  <w:pPr>
                    <w:pStyle w:val="159"/>
                  </w:pPr>
                  <w:r>
                    <w:rPr>
                      <w:rFonts w:hint="eastAsia"/>
                    </w:rPr>
                    <w:t>E7</w:t>
                  </w:r>
                </w:p>
              </w:tc>
              <w:tc>
                <w:tcPr>
                  <w:tcW w:w="1535" w:type="pct"/>
                  <w:vAlign w:val="center"/>
                </w:tcPr>
                <w:p w14:paraId="17B6895D">
                  <w:pPr>
                    <w:pStyle w:val="159"/>
                  </w:pPr>
                  <w:r>
                    <w:rPr>
                      <w:rFonts w:hint="eastAsia"/>
                    </w:rPr>
                    <w:t>贝江变电站南侧围墙外</w:t>
                  </w:r>
                </w:p>
              </w:tc>
              <w:tc>
                <w:tcPr>
                  <w:tcW w:w="777" w:type="pct"/>
                  <w:vAlign w:val="center"/>
                </w:tcPr>
                <w:p w14:paraId="49BC701A">
                  <w:pPr>
                    <w:pStyle w:val="159"/>
                  </w:pPr>
                  <w:r>
                    <w:rPr>
                      <w:rFonts w:hint="eastAsia"/>
                    </w:rPr>
                    <w:t>9</w:t>
                  </w:r>
                  <w:r>
                    <w:t>.661</w:t>
                  </w:r>
                </w:p>
              </w:tc>
              <w:tc>
                <w:tcPr>
                  <w:tcW w:w="753" w:type="pct"/>
                  <w:vAlign w:val="center"/>
                </w:tcPr>
                <w:p w14:paraId="2FF31D92">
                  <w:pPr>
                    <w:pStyle w:val="159"/>
                  </w:pPr>
                  <w:r>
                    <w:rPr>
                      <w:rFonts w:hint="eastAsia"/>
                    </w:rPr>
                    <w:t>0</w:t>
                  </w:r>
                  <w:r>
                    <w:t>.092</w:t>
                  </w:r>
                </w:p>
              </w:tc>
              <w:tc>
                <w:tcPr>
                  <w:tcW w:w="746" w:type="pct"/>
                  <w:vAlign w:val="center"/>
                </w:tcPr>
                <w:p w14:paraId="1CED2DA3">
                  <w:pPr>
                    <w:pStyle w:val="159"/>
                  </w:pPr>
                  <w:r>
                    <w:t>4000</w:t>
                  </w:r>
                </w:p>
              </w:tc>
              <w:tc>
                <w:tcPr>
                  <w:tcW w:w="746" w:type="pct"/>
                  <w:vAlign w:val="center"/>
                </w:tcPr>
                <w:p w14:paraId="54EC861F">
                  <w:pPr>
                    <w:pStyle w:val="159"/>
                  </w:pPr>
                  <w:r>
                    <w:rPr>
                      <w:rFonts w:hint="eastAsia"/>
                    </w:rPr>
                    <w:t>1</w:t>
                  </w:r>
                  <w:r>
                    <w:t>00</w:t>
                  </w:r>
                </w:p>
              </w:tc>
            </w:tr>
            <w:tr w14:paraId="4D2DA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Align w:val="center"/>
                </w:tcPr>
                <w:p w14:paraId="1A1F327F">
                  <w:pPr>
                    <w:pStyle w:val="159"/>
                  </w:pPr>
                  <w:r>
                    <w:rPr>
                      <w:rFonts w:hint="eastAsia"/>
                    </w:rPr>
                    <w:t>E</w:t>
                  </w:r>
                  <w:r>
                    <w:t>8</w:t>
                  </w:r>
                </w:p>
              </w:tc>
              <w:tc>
                <w:tcPr>
                  <w:tcW w:w="1535" w:type="pct"/>
                  <w:vAlign w:val="center"/>
                </w:tcPr>
                <w:p w14:paraId="39E0F7E5">
                  <w:pPr>
                    <w:pStyle w:val="159"/>
                  </w:pPr>
                  <w:r>
                    <w:rPr>
                      <w:rFonts w:hint="eastAsia"/>
                    </w:rPr>
                    <w:t>贝江变电站西侧围墙外</w:t>
                  </w:r>
                </w:p>
              </w:tc>
              <w:tc>
                <w:tcPr>
                  <w:tcW w:w="777" w:type="pct"/>
                  <w:vAlign w:val="center"/>
                </w:tcPr>
                <w:p w14:paraId="7EA9E684">
                  <w:pPr>
                    <w:pStyle w:val="159"/>
                  </w:pPr>
                  <w:r>
                    <w:rPr>
                      <w:rFonts w:hint="eastAsia"/>
                    </w:rPr>
                    <w:t>2</w:t>
                  </w:r>
                  <w:r>
                    <w:t>37.72</w:t>
                  </w:r>
                </w:p>
              </w:tc>
              <w:tc>
                <w:tcPr>
                  <w:tcW w:w="753" w:type="pct"/>
                  <w:vAlign w:val="center"/>
                </w:tcPr>
                <w:p w14:paraId="60D8C142">
                  <w:pPr>
                    <w:pStyle w:val="159"/>
                  </w:pPr>
                  <w:r>
                    <w:rPr>
                      <w:rFonts w:hint="eastAsia"/>
                    </w:rPr>
                    <w:t>0</w:t>
                  </w:r>
                  <w:r>
                    <w:t>.081</w:t>
                  </w:r>
                </w:p>
              </w:tc>
              <w:tc>
                <w:tcPr>
                  <w:tcW w:w="746" w:type="pct"/>
                  <w:vAlign w:val="center"/>
                </w:tcPr>
                <w:p w14:paraId="5EA163CA">
                  <w:pPr>
                    <w:pStyle w:val="159"/>
                  </w:pPr>
                  <w:r>
                    <w:t>4000</w:t>
                  </w:r>
                </w:p>
              </w:tc>
              <w:tc>
                <w:tcPr>
                  <w:tcW w:w="746" w:type="pct"/>
                  <w:vAlign w:val="center"/>
                </w:tcPr>
                <w:p w14:paraId="51983CB8">
                  <w:pPr>
                    <w:pStyle w:val="159"/>
                  </w:pPr>
                  <w:r>
                    <w:rPr>
                      <w:rFonts w:hint="eastAsia"/>
                    </w:rPr>
                    <w:t>1</w:t>
                  </w:r>
                  <w:r>
                    <w:t>00</w:t>
                  </w:r>
                </w:p>
              </w:tc>
            </w:tr>
            <w:tr w14:paraId="43B40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Align w:val="center"/>
                </w:tcPr>
                <w:p w14:paraId="6C17D124">
                  <w:pPr>
                    <w:pStyle w:val="159"/>
                  </w:pPr>
                  <w:r>
                    <w:rPr>
                      <w:rFonts w:hint="eastAsia"/>
                    </w:rPr>
                    <w:t>E9</w:t>
                  </w:r>
                </w:p>
              </w:tc>
              <w:tc>
                <w:tcPr>
                  <w:tcW w:w="1535" w:type="pct"/>
                  <w:vAlign w:val="center"/>
                </w:tcPr>
                <w:p w14:paraId="68BF34E8">
                  <w:pPr>
                    <w:pStyle w:val="159"/>
                  </w:pPr>
                  <w:r>
                    <w:rPr>
                      <w:rFonts w:hint="eastAsia"/>
                    </w:rPr>
                    <w:t>贝江变电站北侧围墙外</w:t>
                  </w:r>
                </w:p>
              </w:tc>
              <w:tc>
                <w:tcPr>
                  <w:tcW w:w="777" w:type="pct"/>
                  <w:vAlign w:val="center"/>
                </w:tcPr>
                <w:p w14:paraId="521274EE">
                  <w:pPr>
                    <w:pStyle w:val="159"/>
                  </w:pPr>
                  <w:r>
                    <w:rPr>
                      <w:rFonts w:hint="eastAsia"/>
                    </w:rPr>
                    <w:t>3</w:t>
                  </w:r>
                  <w:r>
                    <w:t>08.42</w:t>
                  </w:r>
                </w:p>
              </w:tc>
              <w:tc>
                <w:tcPr>
                  <w:tcW w:w="753" w:type="pct"/>
                  <w:vAlign w:val="center"/>
                </w:tcPr>
                <w:p w14:paraId="63BBC37D">
                  <w:pPr>
                    <w:pStyle w:val="159"/>
                  </w:pPr>
                  <w:r>
                    <w:rPr>
                      <w:rFonts w:hint="eastAsia"/>
                    </w:rPr>
                    <w:t>0</w:t>
                  </w:r>
                  <w:r>
                    <w:t>.398</w:t>
                  </w:r>
                </w:p>
              </w:tc>
              <w:tc>
                <w:tcPr>
                  <w:tcW w:w="746" w:type="pct"/>
                  <w:vAlign w:val="center"/>
                </w:tcPr>
                <w:p w14:paraId="323B2274">
                  <w:pPr>
                    <w:pStyle w:val="159"/>
                  </w:pPr>
                  <w:r>
                    <w:t>4000</w:t>
                  </w:r>
                </w:p>
              </w:tc>
              <w:tc>
                <w:tcPr>
                  <w:tcW w:w="746" w:type="pct"/>
                  <w:vAlign w:val="center"/>
                </w:tcPr>
                <w:p w14:paraId="30F96B86">
                  <w:pPr>
                    <w:pStyle w:val="159"/>
                  </w:pPr>
                  <w:r>
                    <w:rPr>
                      <w:rFonts w:hint="eastAsia"/>
                    </w:rPr>
                    <w:t>1</w:t>
                  </w:r>
                  <w:r>
                    <w:t>00</w:t>
                  </w:r>
                </w:p>
              </w:tc>
            </w:tr>
            <w:tr w14:paraId="7F82C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Merge w:val="restart"/>
                  <w:vAlign w:val="center"/>
                </w:tcPr>
                <w:p w14:paraId="5C6FA9BD">
                  <w:pPr>
                    <w:pStyle w:val="159"/>
                  </w:pPr>
                  <w:r>
                    <w:rPr>
                      <w:rFonts w:hint="eastAsia"/>
                    </w:rPr>
                    <w:t>点位编号</w:t>
                  </w:r>
                </w:p>
              </w:tc>
              <w:tc>
                <w:tcPr>
                  <w:tcW w:w="1535" w:type="pct"/>
                  <w:vMerge w:val="restart"/>
                  <w:vAlign w:val="center"/>
                </w:tcPr>
                <w:p w14:paraId="42CF9E2A">
                  <w:pPr>
                    <w:pStyle w:val="159"/>
                  </w:pPr>
                  <w:r>
                    <w:rPr>
                      <w:rFonts w:hint="eastAsia"/>
                    </w:rPr>
                    <w:t>点位名称</w:t>
                  </w:r>
                </w:p>
              </w:tc>
              <w:tc>
                <w:tcPr>
                  <w:tcW w:w="1530" w:type="pct"/>
                  <w:gridSpan w:val="2"/>
                  <w:vAlign w:val="center"/>
                </w:tcPr>
                <w:p w14:paraId="643531E5">
                  <w:pPr>
                    <w:pStyle w:val="159"/>
                  </w:pPr>
                  <w:r>
                    <w:rPr>
                      <w:rFonts w:hint="eastAsia"/>
                    </w:rPr>
                    <w:t>监测内容</w:t>
                  </w:r>
                </w:p>
              </w:tc>
              <w:tc>
                <w:tcPr>
                  <w:tcW w:w="1493" w:type="pct"/>
                  <w:gridSpan w:val="2"/>
                  <w:vAlign w:val="center"/>
                </w:tcPr>
                <w:p w14:paraId="4576020B">
                  <w:pPr>
                    <w:pStyle w:val="167"/>
                    <w:adjustRightInd w:val="0"/>
                    <w:snapToGrid w:val="0"/>
                    <w:spacing w:line="240" w:lineRule="auto"/>
                    <w:ind w:left="400"/>
                  </w:pPr>
                  <w:r>
                    <w:rPr>
                      <w:rFonts w:hint="eastAsia"/>
                    </w:rPr>
                    <w:t>评价标准</w:t>
                  </w:r>
                </w:p>
              </w:tc>
            </w:tr>
            <w:tr w14:paraId="77FDA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Merge w:val="continue"/>
                  <w:vAlign w:val="center"/>
                </w:tcPr>
                <w:p w14:paraId="6CB5A11B">
                  <w:pPr>
                    <w:pStyle w:val="159"/>
                  </w:pPr>
                </w:p>
              </w:tc>
              <w:tc>
                <w:tcPr>
                  <w:tcW w:w="1535" w:type="pct"/>
                  <w:vMerge w:val="continue"/>
                  <w:vAlign w:val="center"/>
                </w:tcPr>
                <w:p w14:paraId="0EF26AF8">
                  <w:pPr>
                    <w:pStyle w:val="159"/>
                  </w:pPr>
                </w:p>
              </w:tc>
              <w:tc>
                <w:tcPr>
                  <w:tcW w:w="777" w:type="pct"/>
                  <w:vAlign w:val="center"/>
                </w:tcPr>
                <w:p w14:paraId="29854AD1">
                  <w:pPr>
                    <w:pStyle w:val="159"/>
                  </w:pPr>
                  <w:r>
                    <w:rPr>
                      <w:rFonts w:hint="eastAsia"/>
                    </w:rPr>
                    <w:t>昼间噪声</w:t>
                  </w:r>
                </w:p>
                <w:p w14:paraId="04FE5DC6">
                  <w:pPr>
                    <w:pStyle w:val="159"/>
                  </w:pPr>
                  <w:r>
                    <w:rPr>
                      <w:rFonts w:hint="eastAsia"/>
                    </w:rPr>
                    <w:t>（d</w:t>
                  </w:r>
                  <w:r>
                    <w:t>B</w:t>
                  </w:r>
                  <w:r>
                    <w:rPr>
                      <w:rFonts w:hint="eastAsia"/>
                    </w:rPr>
                    <w:t>(</w:t>
                  </w:r>
                  <w:r>
                    <w:t>A)</w:t>
                  </w:r>
                  <w:r>
                    <w:rPr>
                      <w:rFonts w:hint="eastAsia"/>
                    </w:rPr>
                    <w:t>）</w:t>
                  </w:r>
                </w:p>
              </w:tc>
              <w:tc>
                <w:tcPr>
                  <w:tcW w:w="753" w:type="pct"/>
                  <w:vAlign w:val="center"/>
                </w:tcPr>
                <w:p w14:paraId="77DADD09">
                  <w:pPr>
                    <w:pStyle w:val="159"/>
                  </w:pPr>
                  <w:r>
                    <w:rPr>
                      <w:rFonts w:hint="eastAsia"/>
                    </w:rPr>
                    <w:t>夜间噪声</w:t>
                  </w:r>
                </w:p>
                <w:p w14:paraId="2D6038D1">
                  <w:pPr>
                    <w:pStyle w:val="159"/>
                  </w:pPr>
                  <w:r>
                    <w:rPr>
                      <w:rFonts w:hint="eastAsia"/>
                    </w:rPr>
                    <w:t>（d</w:t>
                  </w:r>
                  <w:r>
                    <w:t>B</w:t>
                  </w:r>
                  <w:r>
                    <w:rPr>
                      <w:rFonts w:hint="eastAsia"/>
                    </w:rPr>
                    <w:t>(</w:t>
                  </w:r>
                  <w:r>
                    <w:t>A)</w:t>
                  </w:r>
                  <w:r>
                    <w:rPr>
                      <w:rFonts w:hint="eastAsia"/>
                    </w:rPr>
                    <w:t>）</w:t>
                  </w:r>
                </w:p>
              </w:tc>
              <w:tc>
                <w:tcPr>
                  <w:tcW w:w="746" w:type="pct"/>
                  <w:vAlign w:val="center"/>
                </w:tcPr>
                <w:p w14:paraId="350E0D68">
                  <w:pPr>
                    <w:pStyle w:val="159"/>
                  </w:pPr>
                  <w:r>
                    <w:rPr>
                      <w:rFonts w:hint="eastAsia"/>
                    </w:rPr>
                    <w:t>昼间噪声</w:t>
                  </w:r>
                </w:p>
                <w:p w14:paraId="03590DAC">
                  <w:pPr>
                    <w:pStyle w:val="159"/>
                  </w:pPr>
                  <w:r>
                    <w:rPr>
                      <w:rFonts w:hint="eastAsia"/>
                    </w:rPr>
                    <w:t>（d</w:t>
                  </w:r>
                  <w:r>
                    <w:t>B</w:t>
                  </w:r>
                  <w:r>
                    <w:rPr>
                      <w:rFonts w:hint="eastAsia"/>
                    </w:rPr>
                    <w:t>(</w:t>
                  </w:r>
                  <w:r>
                    <w:t>A)</w:t>
                  </w:r>
                  <w:r>
                    <w:rPr>
                      <w:rFonts w:hint="eastAsia"/>
                    </w:rPr>
                    <w:t>）</w:t>
                  </w:r>
                </w:p>
              </w:tc>
              <w:tc>
                <w:tcPr>
                  <w:tcW w:w="746" w:type="pct"/>
                  <w:vAlign w:val="center"/>
                </w:tcPr>
                <w:p w14:paraId="66A5982A">
                  <w:pPr>
                    <w:pStyle w:val="159"/>
                  </w:pPr>
                  <w:r>
                    <w:rPr>
                      <w:rFonts w:hint="eastAsia"/>
                    </w:rPr>
                    <w:t>夜间噪声</w:t>
                  </w:r>
                </w:p>
                <w:p w14:paraId="3A983901">
                  <w:pPr>
                    <w:pStyle w:val="159"/>
                  </w:pPr>
                  <w:r>
                    <w:rPr>
                      <w:rFonts w:hint="eastAsia"/>
                    </w:rPr>
                    <w:t>（d</w:t>
                  </w:r>
                  <w:r>
                    <w:t>B</w:t>
                  </w:r>
                  <w:r>
                    <w:rPr>
                      <w:rFonts w:hint="eastAsia"/>
                    </w:rPr>
                    <w:t>(</w:t>
                  </w:r>
                  <w:r>
                    <w:t>A)</w:t>
                  </w:r>
                  <w:r>
                    <w:rPr>
                      <w:rFonts w:hint="eastAsia"/>
                    </w:rPr>
                    <w:t>）</w:t>
                  </w:r>
                </w:p>
              </w:tc>
            </w:tr>
            <w:tr w14:paraId="49649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Align w:val="center"/>
                </w:tcPr>
                <w:p w14:paraId="6CF5B169">
                  <w:pPr>
                    <w:pStyle w:val="159"/>
                  </w:pPr>
                  <w:r>
                    <w:rPr>
                      <w:rFonts w:hint="eastAsia"/>
                    </w:rPr>
                    <w:t>N</w:t>
                  </w:r>
                  <w:r>
                    <w:t>6</w:t>
                  </w:r>
                </w:p>
              </w:tc>
              <w:tc>
                <w:tcPr>
                  <w:tcW w:w="1535" w:type="pct"/>
                  <w:vAlign w:val="center"/>
                </w:tcPr>
                <w:p w14:paraId="28A3FB0A">
                  <w:pPr>
                    <w:pStyle w:val="159"/>
                    <w:rPr>
                      <w:b/>
                    </w:rPr>
                  </w:pPr>
                  <w:r>
                    <w:rPr>
                      <w:rFonts w:hint="eastAsia"/>
                    </w:rPr>
                    <w:t>贝江变电站东侧围墙外</w:t>
                  </w:r>
                </w:p>
              </w:tc>
              <w:tc>
                <w:tcPr>
                  <w:tcW w:w="777" w:type="pct"/>
                  <w:vAlign w:val="center"/>
                </w:tcPr>
                <w:p w14:paraId="4C1AFC04">
                  <w:pPr>
                    <w:pStyle w:val="159"/>
                  </w:pPr>
                  <w:r>
                    <w:rPr>
                      <w:rFonts w:hint="eastAsia"/>
                    </w:rPr>
                    <w:t>4</w:t>
                  </w:r>
                  <w:r>
                    <w:t>7.4</w:t>
                  </w:r>
                </w:p>
              </w:tc>
              <w:tc>
                <w:tcPr>
                  <w:tcW w:w="753" w:type="pct"/>
                  <w:vAlign w:val="center"/>
                </w:tcPr>
                <w:p w14:paraId="158B65D0">
                  <w:pPr>
                    <w:pStyle w:val="159"/>
                  </w:pPr>
                  <w:r>
                    <w:rPr>
                      <w:rFonts w:hint="eastAsia"/>
                    </w:rPr>
                    <w:t>4</w:t>
                  </w:r>
                  <w:r>
                    <w:t>1.8</w:t>
                  </w:r>
                </w:p>
              </w:tc>
              <w:tc>
                <w:tcPr>
                  <w:tcW w:w="746" w:type="pct"/>
                  <w:vAlign w:val="center"/>
                </w:tcPr>
                <w:p w14:paraId="415DD0C3">
                  <w:pPr>
                    <w:pStyle w:val="159"/>
                  </w:pPr>
                  <w:r>
                    <w:t>60</w:t>
                  </w:r>
                </w:p>
              </w:tc>
              <w:tc>
                <w:tcPr>
                  <w:tcW w:w="746" w:type="pct"/>
                  <w:vAlign w:val="center"/>
                </w:tcPr>
                <w:p w14:paraId="47BD99AF">
                  <w:pPr>
                    <w:pStyle w:val="159"/>
                  </w:pPr>
                  <w:r>
                    <w:t>50</w:t>
                  </w:r>
                </w:p>
              </w:tc>
            </w:tr>
            <w:tr w14:paraId="5E31E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Align w:val="center"/>
                </w:tcPr>
                <w:p w14:paraId="331A1B9C">
                  <w:pPr>
                    <w:pStyle w:val="159"/>
                  </w:pPr>
                  <w:r>
                    <w:rPr>
                      <w:rFonts w:hint="eastAsia"/>
                    </w:rPr>
                    <w:t>N7</w:t>
                  </w:r>
                </w:p>
              </w:tc>
              <w:tc>
                <w:tcPr>
                  <w:tcW w:w="1535" w:type="pct"/>
                  <w:vAlign w:val="center"/>
                </w:tcPr>
                <w:p w14:paraId="0BA20FE2">
                  <w:pPr>
                    <w:pStyle w:val="159"/>
                    <w:rPr>
                      <w:b/>
                    </w:rPr>
                  </w:pPr>
                  <w:r>
                    <w:rPr>
                      <w:rFonts w:hint="eastAsia"/>
                    </w:rPr>
                    <w:t>贝江变电站南侧围墙外</w:t>
                  </w:r>
                </w:p>
              </w:tc>
              <w:tc>
                <w:tcPr>
                  <w:tcW w:w="777" w:type="pct"/>
                  <w:vAlign w:val="center"/>
                </w:tcPr>
                <w:p w14:paraId="1D462912">
                  <w:pPr>
                    <w:pStyle w:val="159"/>
                  </w:pPr>
                  <w:r>
                    <w:rPr>
                      <w:rFonts w:hint="eastAsia"/>
                    </w:rPr>
                    <w:t>4</w:t>
                  </w:r>
                  <w:r>
                    <w:t>7.9</w:t>
                  </w:r>
                </w:p>
              </w:tc>
              <w:tc>
                <w:tcPr>
                  <w:tcW w:w="753" w:type="pct"/>
                  <w:vAlign w:val="center"/>
                </w:tcPr>
                <w:p w14:paraId="2F5D3BCD">
                  <w:pPr>
                    <w:pStyle w:val="159"/>
                  </w:pPr>
                  <w:r>
                    <w:rPr>
                      <w:rFonts w:hint="eastAsia"/>
                    </w:rPr>
                    <w:t>4</w:t>
                  </w:r>
                  <w:r>
                    <w:t>1.4</w:t>
                  </w:r>
                </w:p>
              </w:tc>
              <w:tc>
                <w:tcPr>
                  <w:tcW w:w="746" w:type="pct"/>
                  <w:vAlign w:val="center"/>
                </w:tcPr>
                <w:p w14:paraId="7DFA7761">
                  <w:pPr>
                    <w:pStyle w:val="159"/>
                  </w:pPr>
                  <w:r>
                    <w:t>60</w:t>
                  </w:r>
                </w:p>
              </w:tc>
              <w:tc>
                <w:tcPr>
                  <w:tcW w:w="746" w:type="pct"/>
                  <w:vAlign w:val="center"/>
                </w:tcPr>
                <w:p w14:paraId="3899CBB3">
                  <w:pPr>
                    <w:pStyle w:val="159"/>
                  </w:pPr>
                  <w:r>
                    <w:t>50</w:t>
                  </w:r>
                </w:p>
              </w:tc>
            </w:tr>
            <w:tr w14:paraId="29533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Align w:val="center"/>
                </w:tcPr>
                <w:p w14:paraId="3B156465">
                  <w:pPr>
                    <w:pStyle w:val="159"/>
                  </w:pPr>
                  <w:r>
                    <w:rPr>
                      <w:rFonts w:hint="eastAsia"/>
                    </w:rPr>
                    <w:t>N</w:t>
                  </w:r>
                  <w:r>
                    <w:t>8</w:t>
                  </w:r>
                </w:p>
              </w:tc>
              <w:tc>
                <w:tcPr>
                  <w:tcW w:w="1535" w:type="pct"/>
                  <w:vAlign w:val="center"/>
                </w:tcPr>
                <w:p w14:paraId="3EB94A03">
                  <w:pPr>
                    <w:pStyle w:val="159"/>
                    <w:rPr>
                      <w:b/>
                    </w:rPr>
                  </w:pPr>
                  <w:r>
                    <w:rPr>
                      <w:rFonts w:hint="eastAsia"/>
                    </w:rPr>
                    <w:t>贝江变电站西侧围墙外</w:t>
                  </w:r>
                </w:p>
              </w:tc>
              <w:tc>
                <w:tcPr>
                  <w:tcW w:w="777" w:type="pct"/>
                  <w:vAlign w:val="center"/>
                </w:tcPr>
                <w:p w14:paraId="1963BBC6">
                  <w:pPr>
                    <w:pStyle w:val="159"/>
                  </w:pPr>
                  <w:r>
                    <w:rPr>
                      <w:rFonts w:hint="eastAsia"/>
                    </w:rPr>
                    <w:t>4</w:t>
                  </w:r>
                  <w:r>
                    <w:t>6.4</w:t>
                  </w:r>
                </w:p>
              </w:tc>
              <w:tc>
                <w:tcPr>
                  <w:tcW w:w="753" w:type="pct"/>
                  <w:vAlign w:val="center"/>
                </w:tcPr>
                <w:p w14:paraId="7A69B698">
                  <w:pPr>
                    <w:pStyle w:val="159"/>
                  </w:pPr>
                  <w:r>
                    <w:rPr>
                      <w:rFonts w:hint="eastAsia"/>
                    </w:rPr>
                    <w:t>4</w:t>
                  </w:r>
                  <w:r>
                    <w:t>2.1</w:t>
                  </w:r>
                </w:p>
              </w:tc>
              <w:tc>
                <w:tcPr>
                  <w:tcW w:w="746" w:type="pct"/>
                  <w:vAlign w:val="center"/>
                </w:tcPr>
                <w:p w14:paraId="259284D6">
                  <w:pPr>
                    <w:pStyle w:val="159"/>
                  </w:pPr>
                  <w:r>
                    <w:t>60</w:t>
                  </w:r>
                </w:p>
              </w:tc>
              <w:tc>
                <w:tcPr>
                  <w:tcW w:w="746" w:type="pct"/>
                  <w:vAlign w:val="center"/>
                </w:tcPr>
                <w:p w14:paraId="4C0CBD57">
                  <w:pPr>
                    <w:pStyle w:val="159"/>
                  </w:pPr>
                  <w:r>
                    <w:t>50</w:t>
                  </w:r>
                </w:p>
              </w:tc>
            </w:tr>
            <w:tr w14:paraId="3FF51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42" w:type="pct"/>
                  <w:vAlign w:val="center"/>
                </w:tcPr>
                <w:p w14:paraId="77DECC9D">
                  <w:pPr>
                    <w:pStyle w:val="159"/>
                  </w:pPr>
                  <w:r>
                    <w:rPr>
                      <w:rFonts w:hint="eastAsia"/>
                    </w:rPr>
                    <w:t>N9</w:t>
                  </w:r>
                </w:p>
              </w:tc>
              <w:tc>
                <w:tcPr>
                  <w:tcW w:w="1535" w:type="pct"/>
                  <w:vAlign w:val="center"/>
                </w:tcPr>
                <w:p w14:paraId="395C94A1">
                  <w:pPr>
                    <w:pStyle w:val="159"/>
                    <w:rPr>
                      <w:b/>
                    </w:rPr>
                  </w:pPr>
                  <w:r>
                    <w:rPr>
                      <w:rFonts w:hint="eastAsia"/>
                    </w:rPr>
                    <w:t>贝江变电站北侧围墙外</w:t>
                  </w:r>
                </w:p>
              </w:tc>
              <w:tc>
                <w:tcPr>
                  <w:tcW w:w="777" w:type="pct"/>
                  <w:vAlign w:val="center"/>
                </w:tcPr>
                <w:p w14:paraId="5956992F">
                  <w:pPr>
                    <w:pStyle w:val="159"/>
                  </w:pPr>
                  <w:r>
                    <w:rPr>
                      <w:rFonts w:hint="eastAsia"/>
                    </w:rPr>
                    <w:t>4</w:t>
                  </w:r>
                  <w:r>
                    <w:t>6.6</w:t>
                  </w:r>
                </w:p>
              </w:tc>
              <w:tc>
                <w:tcPr>
                  <w:tcW w:w="753" w:type="pct"/>
                  <w:vAlign w:val="center"/>
                </w:tcPr>
                <w:p w14:paraId="39157135">
                  <w:pPr>
                    <w:pStyle w:val="159"/>
                  </w:pPr>
                  <w:r>
                    <w:rPr>
                      <w:rFonts w:hint="eastAsia"/>
                    </w:rPr>
                    <w:t>4</w:t>
                  </w:r>
                  <w:r>
                    <w:t>2.8</w:t>
                  </w:r>
                </w:p>
              </w:tc>
              <w:tc>
                <w:tcPr>
                  <w:tcW w:w="746" w:type="pct"/>
                  <w:vAlign w:val="center"/>
                </w:tcPr>
                <w:p w14:paraId="49E5EA8E">
                  <w:pPr>
                    <w:pStyle w:val="159"/>
                  </w:pPr>
                  <w:r>
                    <w:t>60</w:t>
                  </w:r>
                </w:p>
              </w:tc>
              <w:tc>
                <w:tcPr>
                  <w:tcW w:w="746" w:type="pct"/>
                  <w:vAlign w:val="center"/>
                </w:tcPr>
                <w:p w14:paraId="69BB5A5D">
                  <w:pPr>
                    <w:pStyle w:val="159"/>
                  </w:pPr>
                  <w:r>
                    <w:t>50</w:t>
                  </w:r>
                </w:p>
              </w:tc>
            </w:tr>
          </w:tbl>
          <w:p w14:paraId="6122F2DC">
            <w:pPr>
              <w:pStyle w:val="3"/>
              <w:spacing w:line="240" w:lineRule="auto"/>
              <w:ind w:firstLine="480"/>
            </w:pPr>
          </w:p>
          <w:p w14:paraId="1290D9C2">
            <w:pPr>
              <w:pStyle w:val="3"/>
              <w:ind w:firstLine="480"/>
            </w:pPr>
            <w:r>
              <w:t>根据监测结果</w:t>
            </w:r>
            <w:r>
              <w:rPr>
                <w:rFonts w:hint="eastAsia"/>
              </w:rPr>
              <w:t>可知，贝江1</w:t>
            </w:r>
            <w:r>
              <w:t>10</w:t>
            </w:r>
            <w:r>
              <w:rPr>
                <w:rFonts w:hint="eastAsia"/>
              </w:rPr>
              <w:t>kV变电站站界外工频电场强度和工频磁场强度均符合《电磁环境控制限值》（GB8702-2014）中规定的公众曝露控制限值（电场强度4000V/m和磁感应强度100μT）要求，声环境满足《声环境质量标准》（</w:t>
            </w:r>
            <w:r>
              <w:t>GB3096-2008</w:t>
            </w:r>
            <w:r>
              <w:rPr>
                <w:rFonts w:hint="eastAsia"/>
              </w:rPr>
              <w:t>）</w:t>
            </w:r>
            <w:r>
              <w:t>2</w:t>
            </w:r>
            <w:r>
              <w:rPr>
                <w:rFonts w:hint="eastAsia"/>
              </w:rPr>
              <w:t>类标准要求，电磁辐射和噪声对周边环境影响较小。</w:t>
            </w:r>
          </w:p>
          <w:p w14:paraId="1397F43B">
            <w:pPr>
              <w:pStyle w:val="3"/>
              <w:ind w:firstLine="480"/>
            </w:pPr>
            <w:r>
              <w:rPr>
                <w:rFonts w:hint="eastAsia"/>
              </w:rPr>
              <w:t>b）江华湾水源抽水蓄能电站</w:t>
            </w:r>
          </w:p>
          <w:p w14:paraId="3556CCE1">
            <w:pPr>
              <w:pStyle w:val="3"/>
              <w:ind w:firstLine="480"/>
            </w:pPr>
            <w:r>
              <w:rPr>
                <w:rFonts w:hint="eastAsia"/>
              </w:rPr>
              <w:t>江华湾水源抽水蓄能电站开发任务是承担湖南电网的调峰、填谷、调频、调相、储能和紧急事故备用等，电站装机容量1</w:t>
            </w:r>
            <w:r>
              <w:t>4</w:t>
            </w:r>
            <w:r>
              <w:rPr>
                <w:rFonts w:hint="eastAsia"/>
              </w:rPr>
              <w:t>00MW，装机4台，单机容量3</w:t>
            </w:r>
            <w:r>
              <w:t>5</w:t>
            </w:r>
            <w:r>
              <w:rPr>
                <w:rFonts w:hint="eastAsia"/>
              </w:rPr>
              <w:t>0MW，已于202</w:t>
            </w:r>
            <w:r>
              <w:t>3</w:t>
            </w:r>
            <w:r>
              <w:rPr>
                <w:rFonts w:hint="eastAsia"/>
              </w:rPr>
              <w:t>年</w:t>
            </w:r>
            <w:r>
              <w:t>6</w:t>
            </w:r>
            <w:r>
              <w:rPr>
                <w:rFonts w:hint="eastAsia"/>
              </w:rPr>
              <w:t>月</w:t>
            </w:r>
            <w:r>
              <w:t>9</w:t>
            </w:r>
            <w:r>
              <w:rPr>
                <w:rFonts w:hint="eastAsia"/>
              </w:rPr>
              <w:t>日取得永州市生态环境局出具的环评批复（永环评﹝202</w:t>
            </w:r>
            <w:r>
              <w:t>3</w:t>
            </w:r>
            <w:r>
              <w:rPr>
                <w:rFonts w:hint="eastAsia"/>
              </w:rPr>
              <w:t>﹞</w:t>
            </w:r>
            <w:r>
              <w:t>23</w:t>
            </w:r>
            <w:r>
              <w:rPr>
                <w:rFonts w:hint="eastAsia"/>
              </w:rPr>
              <w:t>号）。</w:t>
            </w:r>
          </w:p>
          <w:p w14:paraId="47812E62">
            <w:pPr>
              <w:pStyle w:val="3"/>
              <w:ind w:firstLine="480"/>
            </w:pPr>
            <w:r>
              <w:rPr>
                <w:rFonts w:hint="eastAsia"/>
              </w:rPr>
              <w:t>该项目目前正在筹备中，尚未开工建设，无与本项目有关的环境问题。</w:t>
            </w:r>
          </w:p>
        </w:tc>
      </w:tr>
      <w:tr w14:paraId="09579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312" w:type="pct"/>
            <w:vAlign w:val="center"/>
          </w:tcPr>
          <w:p w14:paraId="62CE8194">
            <w:pPr>
              <w:pStyle w:val="86"/>
            </w:pPr>
            <w:r>
              <w:t>生态环境保护目标</w:t>
            </w:r>
          </w:p>
        </w:tc>
        <w:tc>
          <w:tcPr>
            <w:tcW w:w="4688" w:type="pct"/>
            <w:vAlign w:val="center"/>
          </w:tcPr>
          <w:p w14:paraId="274DFCBC">
            <w:pPr>
              <w:pStyle w:val="5"/>
            </w:pPr>
            <w:r>
              <w:rPr>
                <w:rFonts w:hint="eastAsia"/>
              </w:rPr>
              <w:t>环境保护目标</w:t>
            </w:r>
          </w:p>
          <w:p w14:paraId="75E57656">
            <w:pPr>
              <w:pStyle w:val="3"/>
              <w:ind w:firstLine="480"/>
            </w:pPr>
            <w:r>
              <w:rPr>
                <w:rFonts w:hint="eastAsia"/>
              </w:rPr>
              <w:t>（1）生态环境敏感目标</w:t>
            </w:r>
          </w:p>
          <w:p w14:paraId="7EF9AA5D">
            <w:pPr>
              <w:pStyle w:val="3"/>
              <w:ind w:firstLine="480"/>
            </w:pPr>
            <w:r>
              <w:rPr>
                <w:rFonts w:hint="eastAsia"/>
              </w:rPr>
              <w:t>详见生态影响专项评价。</w:t>
            </w:r>
          </w:p>
          <w:p w14:paraId="4B09ABFE">
            <w:pPr>
              <w:pStyle w:val="3"/>
              <w:ind w:firstLine="480"/>
            </w:pPr>
            <w:r>
              <w:rPr>
                <w:rFonts w:hint="eastAsia"/>
              </w:rPr>
              <w:t>（2）水环境保护目标</w:t>
            </w:r>
          </w:p>
          <w:p w14:paraId="0DE726BE">
            <w:pPr>
              <w:pStyle w:val="3"/>
              <w:ind w:firstLine="480"/>
            </w:pPr>
            <w:r>
              <w:rPr>
                <w:rFonts w:hint="eastAsia"/>
              </w:rPr>
              <w:t>本项目沿线水环境保护目标为麻江、竹瓦河、枫木溪、木源溪及涔天河水库；经与地方环保部门核实，线路沿线不涉及饮用水源保护区。</w:t>
            </w:r>
          </w:p>
          <w:p w14:paraId="0D97EAF7">
            <w:pPr>
              <w:pStyle w:val="148"/>
            </w:pPr>
            <w:r>
              <w:rPr>
                <w:rFonts w:hint="eastAsia"/>
              </w:rPr>
              <w:t>表</w:t>
            </w:r>
            <w:r>
              <w:t xml:space="preserve">3.7-1  </w:t>
            </w:r>
            <w:r>
              <w:rPr>
                <w:rFonts w:hint="eastAsia"/>
              </w:rPr>
              <w:t>项目周边地表水环境保护目标一览表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2552"/>
              <w:gridCol w:w="1487"/>
              <w:gridCol w:w="1487"/>
              <w:gridCol w:w="1487"/>
            </w:tblGrid>
            <w:tr w14:paraId="16C9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1" w:type="dxa"/>
                  <w:vAlign w:val="center"/>
                </w:tcPr>
                <w:p w14:paraId="20DB1FCF">
                  <w:pPr>
                    <w:pStyle w:val="159"/>
                  </w:pPr>
                  <w:r>
                    <w:rPr>
                      <w:rFonts w:hint="eastAsia"/>
                    </w:rPr>
                    <w:t>河流名称</w:t>
                  </w:r>
                </w:p>
              </w:tc>
              <w:tc>
                <w:tcPr>
                  <w:tcW w:w="2552" w:type="dxa"/>
                  <w:vAlign w:val="center"/>
                </w:tcPr>
                <w:p w14:paraId="1160069E">
                  <w:pPr>
                    <w:pStyle w:val="159"/>
                  </w:pPr>
                  <w:r>
                    <w:rPr>
                      <w:rFonts w:hint="eastAsia"/>
                    </w:rPr>
                    <w:t>规模及特征</w:t>
                  </w:r>
                </w:p>
              </w:tc>
              <w:tc>
                <w:tcPr>
                  <w:tcW w:w="1487" w:type="dxa"/>
                  <w:vAlign w:val="center"/>
                </w:tcPr>
                <w:p w14:paraId="2BEA9AA4">
                  <w:pPr>
                    <w:pStyle w:val="159"/>
                  </w:pPr>
                  <w:r>
                    <w:t xml:space="preserve"> </w:t>
                  </w:r>
                  <w:r>
                    <w:rPr>
                      <w:rFonts w:hint="eastAsia"/>
                    </w:rPr>
                    <w:t>与工程关系及特性</w:t>
                  </w:r>
                  <w:r>
                    <w:t xml:space="preserve"> </w:t>
                  </w:r>
                </w:p>
              </w:tc>
              <w:tc>
                <w:tcPr>
                  <w:tcW w:w="1487" w:type="dxa"/>
                  <w:vAlign w:val="center"/>
                </w:tcPr>
                <w:p w14:paraId="0D4C17BB">
                  <w:pPr>
                    <w:pStyle w:val="159"/>
                  </w:pPr>
                  <w:r>
                    <w:rPr>
                      <w:rFonts w:hint="eastAsia"/>
                    </w:rPr>
                    <w:t>影响源</w:t>
                  </w:r>
                </w:p>
                <w:p w14:paraId="623B44BE">
                  <w:pPr>
                    <w:pStyle w:val="159"/>
                  </w:pPr>
                  <w:r>
                    <w:rPr>
                      <w:rFonts w:hint="eastAsia"/>
                    </w:rPr>
                    <w:t>和时段</w:t>
                  </w:r>
                  <w:r>
                    <w:t xml:space="preserve"> </w:t>
                  </w:r>
                </w:p>
              </w:tc>
              <w:tc>
                <w:tcPr>
                  <w:tcW w:w="1487" w:type="dxa"/>
                  <w:vAlign w:val="center"/>
                </w:tcPr>
                <w:p w14:paraId="73A8CEF6">
                  <w:pPr>
                    <w:pStyle w:val="159"/>
                  </w:pPr>
                  <w:r>
                    <w:rPr>
                      <w:rFonts w:hint="eastAsia"/>
                    </w:rPr>
                    <w:t>保护要求</w:t>
                  </w:r>
                </w:p>
              </w:tc>
            </w:tr>
            <w:tr w14:paraId="2EE2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1" w:type="dxa"/>
                  <w:vAlign w:val="center"/>
                </w:tcPr>
                <w:p w14:paraId="39CE35CF">
                  <w:pPr>
                    <w:pStyle w:val="159"/>
                  </w:pPr>
                  <w:r>
                    <w:rPr>
                      <w:rFonts w:hint="eastAsia"/>
                    </w:rPr>
                    <w:t>麻江</w:t>
                  </w:r>
                </w:p>
              </w:tc>
              <w:tc>
                <w:tcPr>
                  <w:tcW w:w="2552" w:type="dxa"/>
                  <w:vAlign w:val="center"/>
                </w:tcPr>
                <w:p w14:paraId="36F32882">
                  <w:pPr>
                    <w:pStyle w:val="159"/>
                  </w:pPr>
                  <w:r>
                    <w:rPr>
                      <w:rFonts w:hint="eastAsia"/>
                    </w:rPr>
                    <w:t>为潇水东河段右岸支流，麻江全长53km，流域面积241km²，落差1185m，河道平均比降9.08‰。工程区附近多年平均流量4</w:t>
                  </w:r>
                  <w:r>
                    <w:t>.11</w:t>
                  </w:r>
                  <w:r>
                    <w:rPr>
                      <w:rFonts w:hint="eastAsia"/>
                    </w:rPr>
                    <w:t>m</w:t>
                  </w:r>
                  <w:r>
                    <w:rPr>
                      <w:vertAlign w:val="superscript"/>
                    </w:rPr>
                    <w:t>3</w:t>
                  </w:r>
                  <w:r>
                    <w:rPr>
                      <w:rFonts w:hint="eastAsia"/>
                    </w:rPr>
                    <w:t>/</w:t>
                  </w:r>
                  <w:r>
                    <w:t>s</w:t>
                  </w:r>
                </w:p>
              </w:tc>
              <w:tc>
                <w:tcPr>
                  <w:tcW w:w="1487" w:type="dxa"/>
                  <w:vAlign w:val="center"/>
                </w:tcPr>
                <w:p w14:paraId="2965C2B1">
                  <w:pPr>
                    <w:pStyle w:val="159"/>
                  </w:pPr>
                  <w:r>
                    <w:rPr>
                      <w:rFonts w:hint="eastAsia"/>
                    </w:rPr>
                    <w:t>线路西侧，最近距离1</w:t>
                  </w:r>
                  <w:r>
                    <w:t>15m</w:t>
                  </w:r>
                </w:p>
              </w:tc>
              <w:tc>
                <w:tcPr>
                  <w:tcW w:w="1487" w:type="dxa"/>
                  <w:vMerge w:val="restart"/>
                  <w:vAlign w:val="center"/>
                </w:tcPr>
                <w:p w14:paraId="3FEAD45F">
                  <w:pPr>
                    <w:pStyle w:val="159"/>
                  </w:pPr>
                  <w:r>
                    <w:rPr>
                      <w:rFonts w:hint="eastAsia"/>
                    </w:rPr>
                    <w:t>施工期，水土流失、施工弃渣处理不当时可能对水质的影响</w:t>
                  </w:r>
                </w:p>
              </w:tc>
              <w:tc>
                <w:tcPr>
                  <w:tcW w:w="1487" w:type="dxa"/>
                  <w:vMerge w:val="restart"/>
                  <w:vAlign w:val="center"/>
                </w:tcPr>
                <w:p w14:paraId="019A1D3A">
                  <w:pPr>
                    <w:pStyle w:val="159"/>
                  </w:pPr>
                  <w:r>
                    <w:rPr>
                      <w:rFonts w:hint="eastAsia"/>
                    </w:rPr>
                    <w:t>《地表水环境质量标准》（</w:t>
                  </w:r>
                  <w:r>
                    <w:t>GB3838-2002</w:t>
                  </w:r>
                  <w:r>
                    <w:rPr>
                      <w:rFonts w:hint="eastAsia"/>
                    </w:rPr>
                    <w:t>）</w:t>
                  </w:r>
                  <w:r>
                    <w:t>Ⅲ</w:t>
                  </w:r>
                  <w:r>
                    <w:rPr>
                      <w:rFonts w:hint="eastAsia"/>
                    </w:rPr>
                    <w:t>类标准</w:t>
                  </w:r>
                </w:p>
              </w:tc>
            </w:tr>
            <w:tr w14:paraId="6BE6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1" w:type="dxa"/>
                  <w:vAlign w:val="center"/>
                </w:tcPr>
                <w:p w14:paraId="0E72A58D">
                  <w:pPr>
                    <w:pStyle w:val="159"/>
                  </w:pPr>
                  <w:r>
                    <w:rPr>
                      <w:rFonts w:hint="eastAsia"/>
                    </w:rPr>
                    <w:t>竹瓦河</w:t>
                  </w:r>
                </w:p>
              </w:tc>
              <w:tc>
                <w:tcPr>
                  <w:tcW w:w="2552" w:type="dxa"/>
                  <w:vAlign w:val="center"/>
                </w:tcPr>
                <w:p w14:paraId="5F45B8F6">
                  <w:pPr>
                    <w:pStyle w:val="159"/>
                  </w:pPr>
                  <w:r>
                    <w:rPr>
                      <w:rFonts w:hint="eastAsia"/>
                    </w:rPr>
                    <w:t>为麻江主要支流，流域面积6</w:t>
                  </w:r>
                  <w:r>
                    <w:t>4.16</w:t>
                  </w:r>
                  <w:r>
                    <w:rPr>
                      <w:rFonts w:hint="eastAsia"/>
                    </w:rPr>
                    <w:t>km</w:t>
                  </w:r>
                  <w:r>
                    <w:rPr>
                      <w:vertAlign w:val="superscript"/>
                    </w:rPr>
                    <w:t>2</w:t>
                  </w:r>
                  <w:r>
                    <w:rPr>
                      <w:rFonts w:hint="eastAsia"/>
                    </w:rPr>
                    <w:t>，河长1</w:t>
                  </w:r>
                  <w:r>
                    <w:t>8.14</w:t>
                  </w:r>
                  <w:r>
                    <w:rPr>
                      <w:rFonts w:hint="eastAsia"/>
                    </w:rPr>
                    <w:t>km，平均坡降3</w:t>
                  </w:r>
                  <w:r>
                    <w:t>7.22</w:t>
                  </w:r>
                  <w:r>
                    <w:rPr>
                      <w:rFonts w:hint="eastAsia"/>
                    </w:rPr>
                    <w:t>‰</w:t>
                  </w:r>
                </w:p>
              </w:tc>
              <w:tc>
                <w:tcPr>
                  <w:tcW w:w="1487" w:type="dxa"/>
                  <w:vMerge w:val="restart"/>
                  <w:vAlign w:val="center"/>
                </w:tcPr>
                <w:p w14:paraId="10D58BB0">
                  <w:pPr>
                    <w:pStyle w:val="159"/>
                  </w:pPr>
                  <w:r>
                    <w:rPr>
                      <w:rFonts w:hint="eastAsia"/>
                    </w:rPr>
                    <w:t>线路架空跨越</w:t>
                  </w:r>
                </w:p>
              </w:tc>
              <w:tc>
                <w:tcPr>
                  <w:tcW w:w="1487" w:type="dxa"/>
                  <w:vMerge w:val="continue"/>
                  <w:vAlign w:val="center"/>
                </w:tcPr>
                <w:p w14:paraId="6B5C9C00">
                  <w:pPr>
                    <w:pStyle w:val="159"/>
                  </w:pPr>
                </w:p>
              </w:tc>
              <w:tc>
                <w:tcPr>
                  <w:tcW w:w="1487" w:type="dxa"/>
                  <w:vMerge w:val="continue"/>
                  <w:vAlign w:val="center"/>
                </w:tcPr>
                <w:p w14:paraId="5AD9ADA0">
                  <w:pPr>
                    <w:pStyle w:val="159"/>
                  </w:pPr>
                </w:p>
              </w:tc>
            </w:tr>
            <w:tr w14:paraId="2AEA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1" w:type="dxa"/>
                  <w:vAlign w:val="center"/>
                </w:tcPr>
                <w:p w14:paraId="0066FECB">
                  <w:pPr>
                    <w:pStyle w:val="159"/>
                  </w:pPr>
                  <w:r>
                    <w:rPr>
                      <w:rFonts w:hint="eastAsia"/>
                    </w:rPr>
                    <w:t>枫木溪</w:t>
                  </w:r>
                </w:p>
              </w:tc>
              <w:tc>
                <w:tcPr>
                  <w:tcW w:w="2552" w:type="dxa"/>
                  <w:vAlign w:val="center"/>
                </w:tcPr>
                <w:p w14:paraId="0A49635A">
                  <w:pPr>
                    <w:pStyle w:val="159"/>
                  </w:pPr>
                  <w:r>
                    <w:rPr>
                      <w:rFonts w:hint="eastAsia"/>
                    </w:rPr>
                    <w:t>竹瓦河支流，小河</w:t>
                  </w:r>
                </w:p>
              </w:tc>
              <w:tc>
                <w:tcPr>
                  <w:tcW w:w="1487" w:type="dxa"/>
                  <w:vMerge w:val="continue"/>
                  <w:vAlign w:val="center"/>
                </w:tcPr>
                <w:p w14:paraId="3C75309D">
                  <w:pPr>
                    <w:pStyle w:val="159"/>
                  </w:pPr>
                </w:p>
              </w:tc>
              <w:tc>
                <w:tcPr>
                  <w:tcW w:w="1487" w:type="dxa"/>
                  <w:vMerge w:val="continue"/>
                  <w:vAlign w:val="center"/>
                </w:tcPr>
                <w:p w14:paraId="76D6D2BC">
                  <w:pPr>
                    <w:pStyle w:val="159"/>
                  </w:pPr>
                </w:p>
              </w:tc>
              <w:tc>
                <w:tcPr>
                  <w:tcW w:w="1487" w:type="dxa"/>
                  <w:vMerge w:val="continue"/>
                  <w:vAlign w:val="center"/>
                </w:tcPr>
                <w:p w14:paraId="2A5F73CE">
                  <w:pPr>
                    <w:pStyle w:val="159"/>
                  </w:pPr>
                </w:p>
              </w:tc>
            </w:tr>
            <w:tr w14:paraId="3685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1" w:type="dxa"/>
                  <w:vAlign w:val="center"/>
                </w:tcPr>
                <w:p w14:paraId="28E71A93">
                  <w:pPr>
                    <w:pStyle w:val="159"/>
                  </w:pPr>
                  <w:r>
                    <w:rPr>
                      <w:rFonts w:hint="eastAsia"/>
                    </w:rPr>
                    <w:t>木源溪</w:t>
                  </w:r>
                </w:p>
              </w:tc>
              <w:tc>
                <w:tcPr>
                  <w:tcW w:w="2552" w:type="dxa"/>
                  <w:vAlign w:val="center"/>
                </w:tcPr>
                <w:p w14:paraId="44F33220">
                  <w:pPr>
                    <w:pStyle w:val="159"/>
                  </w:pPr>
                  <w:r>
                    <w:rPr>
                      <w:rFonts w:hint="eastAsia"/>
                    </w:rPr>
                    <w:t>枫木溪支流，小河</w:t>
                  </w:r>
                </w:p>
              </w:tc>
              <w:tc>
                <w:tcPr>
                  <w:tcW w:w="1487" w:type="dxa"/>
                  <w:vMerge w:val="continue"/>
                  <w:vAlign w:val="center"/>
                </w:tcPr>
                <w:p w14:paraId="40D6BC5C">
                  <w:pPr>
                    <w:pStyle w:val="159"/>
                  </w:pPr>
                </w:p>
              </w:tc>
              <w:tc>
                <w:tcPr>
                  <w:tcW w:w="1487" w:type="dxa"/>
                  <w:vMerge w:val="continue"/>
                  <w:vAlign w:val="center"/>
                </w:tcPr>
                <w:p w14:paraId="0904DAE2">
                  <w:pPr>
                    <w:pStyle w:val="159"/>
                  </w:pPr>
                </w:p>
              </w:tc>
              <w:tc>
                <w:tcPr>
                  <w:tcW w:w="1487" w:type="dxa"/>
                  <w:vMerge w:val="continue"/>
                  <w:vAlign w:val="center"/>
                </w:tcPr>
                <w:p w14:paraId="1A4DD231">
                  <w:pPr>
                    <w:pStyle w:val="159"/>
                  </w:pPr>
                </w:p>
              </w:tc>
            </w:tr>
            <w:tr w14:paraId="3368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1" w:type="dxa"/>
                  <w:vAlign w:val="center"/>
                </w:tcPr>
                <w:p w14:paraId="6313451B">
                  <w:pPr>
                    <w:pStyle w:val="159"/>
                  </w:pPr>
                  <w:r>
                    <w:rPr>
                      <w:rFonts w:hint="eastAsia"/>
                    </w:rPr>
                    <w:t>涔天河水库</w:t>
                  </w:r>
                </w:p>
              </w:tc>
              <w:tc>
                <w:tcPr>
                  <w:tcW w:w="2552" w:type="dxa"/>
                  <w:vAlign w:val="center"/>
                </w:tcPr>
                <w:p w14:paraId="754F0388">
                  <w:pPr>
                    <w:pStyle w:val="159"/>
                  </w:pPr>
                  <w:r>
                    <w:rPr>
                      <w:rFonts w:hint="eastAsia"/>
                    </w:rPr>
                    <w:t>涔天河水库水正常蓄水位313.3米，总库容15.1亿立方米，水库功能包括灌溉、防洪、下游补水和发电，兼顾航运等综合利用。</w:t>
                  </w:r>
                </w:p>
              </w:tc>
              <w:tc>
                <w:tcPr>
                  <w:tcW w:w="1487" w:type="dxa"/>
                  <w:vAlign w:val="center"/>
                </w:tcPr>
                <w:p w14:paraId="734779BB">
                  <w:pPr>
                    <w:pStyle w:val="159"/>
                  </w:pPr>
                  <w:r>
                    <w:rPr>
                      <w:rFonts w:hint="eastAsia"/>
                    </w:rPr>
                    <w:t>线路架空跨越</w:t>
                  </w:r>
                </w:p>
              </w:tc>
              <w:tc>
                <w:tcPr>
                  <w:tcW w:w="1487" w:type="dxa"/>
                  <w:vMerge w:val="continue"/>
                  <w:vAlign w:val="center"/>
                </w:tcPr>
                <w:p w14:paraId="1815E88E">
                  <w:pPr>
                    <w:pStyle w:val="159"/>
                  </w:pPr>
                </w:p>
              </w:tc>
              <w:tc>
                <w:tcPr>
                  <w:tcW w:w="1487" w:type="dxa"/>
                  <w:vMerge w:val="continue"/>
                  <w:vAlign w:val="center"/>
                </w:tcPr>
                <w:p w14:paraId="1B875F89">
                  <w:pPr>
                    <w:pStyle w:val="159"/>
                  </w:pPr>
                </w:p>
              </w:tc>
            </w:tr>
          </w:tbl>
          <w:p w14:paraId="1C82577A">
            <w:pPr>
              <w:pStyle w:val="3"/>
              <w:spacing w:line="240" w:lineRule="auto"/>
              <w:ind w:firstLine="480"/>
            </w:pPr>
          </w:p>
          <w:p w14:paraId="565FB736">
            <w:pPr>
              <w:pStyle w:val="3"/>
              <w:ind w:firstLine="480"/>
            </w:pPr>
            <w:r>
              <w:rPr>
                <w:rFonts w:hint="eastAsia"/>
              </w:rPr>
              <w:t>（3）声环境保护目标</w:t>
            </w:r>
          </w:p>
          <w:p w14:paraId="7D12DA57">
            <w:pPr>
              <w:pStyle w:val="3"/>
              <w:ind w:firstLine="480"/>
            </w:pPr>
            <w:r>
              <w:rPr>
                <w:rFonts w:hint="eastAsia"/>
              </w:rPr>
              <w:t>声环境敏感目标主要为输电线路附近的医院、学校、机关、科研单位、住宅等对噪声敏感的建筑物。根据现场调查确定，贝江1</w:t>
            </w:r>
            <w:r>
              <w:t>10</w:t>
            </w:r>
            <w:r>
              <w:rPr>
                <w:rFonts w:hint="eastAsia"/>
              </w:rPr>
              <w:t>kV变电站周边5</w:t>
            </w:r>
            <w:r>
              <w:t>0m</w:t>
            </w:r>
            <w:r>
              <w:rPr>
                <w:rFonts w:hint="eastAsia"/>
              </w:rPr>
              <w:t>无声环境保护目标，输电线路边导线外</w:t>
            </w:r>
            <w:r>
              <w:t>30m</w:t>
            </w:r>
            <w:r>
              <w:rPr>
                <w:rFonts w:hint="eastAsia"/>
              </w:rPr>
              <w:t>范围内声环境敏感目标详见表</w:t>
            </w:r>
            <w:r>
              <w:t>3.7-2</w:t>
            </w:r>
            <w:r>
              <w:rPr>
                <w:rFonts w:hint="eastAsia"/>
              </w:rPr>
              <w:t>。</w:t>
            </w:r>
          </w:p>
          <w:p w14:paraId="3E320B78">
            <w:pPr>
              <w:pStyle w:val="148"/>
            </w:pPr>
            <w:r>
              <w:rPr>
                <w:rFonts w:hint="eastAsia"/>
              </w:rPr>
              <w:t>表3</w:t>
            </w:r>
            <w:r>
              <w:t xml:space="preserve">.7-2  </w:t>
            </w:r>
            <w:r>
              <w:rPr>
                <w:rFonts w:hint="eastAsia"/>
              </w:rPr>
              <w:t>声环境保护目标一览表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1359"/>
              <w:gridCol w:w="1540"/>
              <w:gridCol w:w="1316"/>
              <w:gridCol w:w="1974"/>
              <w:gridCol w:w="1060"/>
              <w:gridCol w:w="755"/>
            </w:tblGrid>
            <w:tr w14:paraId="66DF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706B7E79">
                  <w:pPr>
                    <w:pStyle w:val="159"/>
                  </w:pPr>
                  <w:r>
                    <w:rPr>
                      <w:rFonts w:hint="eastAsia"/>
                    </w:rPr>
                    <w:t>序号</w:t>
                  </w:r>
                </w:p>
              </w:tc>
              <w:tc>
                <w:tcPr>
                  <w:tcW w:w="801" w:type="pct"/>
                  <w:vAlign w:val="center"/>
                </w:tcPr>
                <w:p w14:paraId="3B42A804">
                  <w:pPr>
                    <w:pStyle w:val="159"/>
                    <w:rPr>
                      <w:rFonts w:ascii="宋体" w:cs="宋体"/>
                      <w:color w:val="000000"/>
                      <w:kern w:val="0"/>
                      <w:szCs w:val="21"/>
                    </w:rPr>
                  </w:pPr>
                  <w:r>
                    <w:rPr>
                      <w:rFonts w:hint="eastAsia" w:ascii="宋体" w:cs="宋体"/>
                      <w:color w:val="000000"/>
                      <w:kern w:val="0"/>
                      <w:szCs w:val="21"/>
                    </w:rPr>
                    <w:t>敏感目标名称</w:t>
                  </w:r>
                  <w:r>
                    <w:rPr>
                      <w:rFonts w:ascii="宋体" w:cs="宋体"/>
                      <w:color w:val="000000"/>
                      <w:kern w:val="0"/>
                      <w:szCs w:val="21"/>
                    </w:rPr>
                    <w:t xml:space="preserve"> </w:t>
                  </w:r>
                </w:p>
              </w:tc>
              <w:tc>
                <w:tcPr>
                  <w:tcW w:w="908" w:type="pct"/>
                  <w:vAlign w:val="center"/>
                </w:tcPr>
                <w:p w14:paraId="073483EA">
                  <w:pPr>
                    <w:pStyle w:val="159"/>
                    <w:rPr>
                      <w:rFonts w:ascii="宋体" w:cs="宋体"/>
                      <w:color w:val="000000"/>
                      <w:kern w:val="0"/>
                      <w:szCs w:val="21"/>
                    </w:rPr>
                  </w:pPr>
                  <w:r>
                    <w:rPr>
                      <w:rFonts w:hint="eastAsia" w:ascii="宋体" w:cs="宋体"/>
                      <w:color w:val="000000"/>
                      <w:kern w:val="0"/>
                      <w:szCs w:val="21"/>
                    </w:rPr>
                    <w:t>分布及与边导线地面投影最近水平距离</w:t>
                  </w:r>
                </w:p>
              </w:tc>
              <w:tc>
                <w:tcPr>
                  <w:tcW w:w="776" w:type="pct"/>
                  <w:vAlign w:val="center"/>
                </w:tcPr>
                <w:p w14:paraId="04B54F0D">
                  <w:pPr>
                    <w:pStyle w:val="159"/>
                    <w:rPr>
                      <w:rFonts w:ascii="宋体" w:cs="宋体"/>
                      <w:color w:val="000000"/>
                      <w:kern w:val="0"/>
                      <w:szCs w:val="21"/>
                    </w:rPr>
                  </w:pPr>
                  <w:r>
                    <w:rPr>
                      <w:rFonts w:hint="eastAsia" w:ascii="宋体" w:cs="宋体"/>
                      <w:color w:val="000000"/>
                      <w:kern w:val="0"/>
                      <w:szCs w:val="21"/>
                    </w:rPr>
                    <w:t>评价范围内敏感目标功能及数量</w:t>
                  </w:r>
                </w:p>
              </w:tc>
              <w:tc>
                <w:tcPr>
                  <w:tcW w:w="1164" w:type="pct"/>
                  <w:vAlign w:val="center"/>
                </w:tcPr>
                <w:p w14:paraId="3AA64B30">
                  <w:pPr>
                    <w:pStyle w:val="159"/>
                    <w:rPr>
                      <w:rFonts w:ascii="宋体" w:cs="宋体"/>
                      <w:color w:val="000000"/>
                      <w:kern w:val="0"/>
                      <w:szCs w:val="21"/>
                    </w:rPr>
                  </w:pPr>
                  <w:r>
                    <w:rPr>
                      <w:rFonts w:hint="eastAsia" w:ascii="宋体" w:cs="宋体"/>
                      <w:color w:val="000000"/>
                      <w:kern w:val="0"/>
                      <w:szCs w:val="21"/>
                    </w:rPr>
                    <w:t>建筑物楼层及高度</w:t>
                  </w:r>
                </w:p>
              </w:tc>
              <w:tc>
                <w:tcPr>
                  <w:tcW w:w="625" w:type="pct"/>
                  <w:vAlign w:val="center"/>
                </w:tcPr>
                <w:p w14:paraId="189F4363">
                  <w:pPr>
                    <w:pStyle w:val="159"/>
                    <w:rPr>
                      <w:rFonts w:ascii="宋体" w:cs="宋体"/>
                      <w:kern w:val="0"/>
                      <w:szCs w:val="21"/>
                    </w:rPr>
                  </w:pPr>
                  <w:r>
                    <w:rPr>
                      <w:rFonts w:hint="eastAsia" w:ascii="宋体" w:cs="宋体"/>
                      <w:kern w:val="0"/>
                      <w:szCs w:val="21"/>
                    </w:rPr>
                    <w:t>导线对地高度（</w:t>
                  </w:r>
                  <w:r>
                    <w:rPr>
                      <w:kern w:val="0"/>
                      <w:szCs w:val="21"/>
                    </w:rPr>
                    <w:t>m</w:t>
                  </w:r>
                  <w:r>
                    <w:rPr>
                      <w:rFonts w:hint="eastAsia" w:ascii="宋体" w:cs="宋体"/>
                      <w:kern w:val="0"/>
                      <w:szCs w:val="21"/>
                    </w:rPr>
                    <w:t>）</w:t>
                  </w:r>
                </w:p>
              </w:tc>
              <w:tc>
                <w:tcPr>
                  <w:tcW w:w="445" w:type="pct"/>
                  <w:vAlign w:val="center"/>
                </w:tcPr>
                <w:p w14:paraId="30E8E35D">
                  <w:pPr>
                    <w:pStyle w:val="159"/>
                    <w:rPr>
                      <w:rFonts w:ascii="宋体" w:cs="宋体"/>
                      <w:color w:val="000000"/>
                      <w:kern w:val="0"/>
                      <w:szCs w:val="21"/>
                    </w:rPr>
                  </w:pPr>
                  <w:r>
                    <w:rPr>
                      <w:rFonts w:hint="eastAsia" w:ascii="宋体" w:cs="宋体"/>
                      <w:color w:val="000000"/>
                      <w:kern w:val="0"/>
                      <w:szCs w:val="21"/>
                    </w:rPr>
                    <w:t>保护类别</w:t>
                  </w:r>
                </w:p>
              </w:tc>
            </w:tr>
            <w:tr w14:paraId="35AC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03D51DB8">
                  <w:pPr>
                    <w:pStyle w:val="159"/>
                    <w:rPr>
                      <w:color w:val="000000"/>
                      <w:kern w:val="0"/>
                      <w:szCs w:val="21"/>
                    </w:rPr>
                  </w:pPr>
                  <w:r>
                    <w:rPr>
                      <w:color w:val="000000"/>
                      <w:kern w:val="0"/>
                      <w:szCs w:val="21"/>
                    </w:rPr>
                    <w:t>1</w:t>
                  </w:r>
                </w:p>
              </w:tc>
              <w:tc>
                <w:tcPr>
                  <w:tcW w:w="801" w:type="pct"/>
                  <w:vAlign w:val="center"/>
                </w:tcPr>
                <w:p w14:paraId="21E1D158">
                  <w:pPr>
                    <w:pStyle w:val="159"/>
                    <w:rPr>
                      <w:rFonts w:ascii="宋体" w:cs="宋体"/>
                      <w:color w:val="000000"/>
                      <w:kern w:val="0"/>
                      <w:szCs w:val="21"/>
                    </w:rPr>
                  </w:pPr>
                  <w:r>
                    <w:rPr>
                      <w:rFonts w:hint="eastAsia"/>
                    </w:rPr>
                    <w:t>湘江村木源岔组居民1</w:t>
                  </w:r>
                  <w:r>
                    <w:rPr>
                      <w:rFonts w:ascii="宋体" w:cs="宋体"/>
                      <w:color w:val="000000"/>
                      <w:kern w:val="0"/>
                      <w:szCs w:val="21"/>
                    </w:rPr>
                    <w:t xml:space="preserve"> </w:t>
                  </w:r>
                </w:p>
              </w:tc>
              <w:tc>
                <w:tcPr>
                  <w:tcW w:w="908" w:type="pct"/>
                  <w:vAlign w:val="center"/>
                </w:tcPr>
                <w:p w14:paraId="6F28EAF7">
                  <w:pPr>
                    <w:pStyle w:val="159"/>
                    <w:rPr>
                      <w:kern w:val="0"/>
                      <w:szCs w:val="21"/>
                    </w:rPr>
                  </w:pPr>
                  <w:r>
                    <w:rPr>
                      <w:rFonts w:hint="eastAsia" w:ascii="宋体" w:cs="宋体"/>
                      <w:kern w:val="0"/>
                      <w:szCs w:val="21"/>
                    </w:rPr>
                    <w:t>西向约</w:t>
                  </w:r>
                  <w:r>
                    <w:t>26</w:t>
                  </w:r>
                  <w:r>
                    <w:rPr>
                      <w:kern w:val="0"/>
                      <w:szCs w:val="21"/>
                    </w:rPr>
                    <w:t>m</w:t>
                  </w:r>
                </w:p>
              </w:tc>
              <w:tc>
                <w:tcPr>
                  <w:tcW w:w="776" w:type="pct"/>
                  <w:vAlign w:val="center"/>
                </w:tcPr>
                <w:p w14:paraId="0FCB094F">
                  <w:pPr>
                    <w:pStyle w:val="159"/>
                    <w:rPr>
                      <w:rFonts w:ascii="宋体" w:cs="宋体"/>
                      <w:color w:val="000000"/>
                      <w:kern w:val="0"/>
                      <w:szCs w:val="21"/>
                    </w:rPr>
                  </w:pPr>
                  <w:r>
                    <w:rPr>
                      <w:rFonts w:hint="eastAsia" w:ascii="宋体" w:cs="宋体"/>
                      <w:color w:val="000000"/>
                      <w:kern w:val="0"/>
                      <w:szCs w:val="21"/>
                    </w:rPr>
                    <w:t>1户</w:t>
                  </w:r>
                </w:p>
              </w:tc>
              <w:tc>
                <w:tcPr>
                  <w:tcW w:w="1164" w:type="pct"/>
                  <w:vAlign w:val="center"/>
                </w:tcPr>
                <w:p w14:paraId="7B30CDAC">
                  <w:pPr>
                    <w:pStyle w:val="159"/>
                    <w:rPr>
                      <w:color w:val="000000"/>
                      <w:kern w:val="0"/>
                      <w:szCs w:val="21"/>
                    </w:rPr>
                  </w:pPr>
                  <w:r>
                    <w:t>2</w:t>
                  </w:r>
                  <w:r>
                    <w:rPr>
                      <w:rFonts w:hint="eastAsia"/>
                    </w:rPr>
                    <w:t>层，</w:t>
                  </w:r>
                  <w:r>
                    <w:t>层高约3m</w:t>
                  </w:r>
                </w:p>
              </w:tc>
              <w:tc>
                <w:tcPr>
                  <w:tcW w:w="625" w:type="pct"/>
                  <w:vAlign w:val="center"/>
                </w:tcPr>
                <w:p w14:paraId="1A4F459C">
                  <w:pPr>
                    <w:pStyle w:val="159"/>
                    <w:rPr>
                      <w:kern w:val="0"/>
                      <w:szCs w:val="21"/>
                    </w:rPr>
                  </w:pPr>
                  <w:r>
                    <w:rPr>
                      <w:kern w:val="0"/>
                      <w:szCs w:val="21"/>
                    </w:rPr>
                    <w:t>23</w:t>
                  </w:r>
                </w:p>
              </w:tc>
              <w:tc>
                <w:tcPr>
                  <w:tcW w:w="445" w:type="pct"/>
                  <w:vAlign w:val="center"/>
                </w:tcPr>
                <w:p w14:paraId="6E2E2A8A">
                  <w:pPr>
                    <w:pStyle w:val="159"/>
                    <w:rPr>
                      <w:color w:val="000000"/>
                      <w:kern w:val="0"/>
                      <w:szCs w:val="21"/>
                    </w:rPr>
                  </w:pPr>
                  <w:r>
                    <w:rPr>
                      <w:rFonts w:hint="eastAsia"/>
                      <w:color w:val="000000"/>
                      <w:kern w:val="0"/>
                      <w:szCs w:val="21"/>
                    </w:rPr>
                    <w:t>1级</w:t>
                  </w:r>
                </w:p>
              </w:tc>
            </w:tr>
            <w:tr w14:paraId="45FA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00C5ADA9">
                  <w:pPr>
                    <w:pStyle w:val="159"/>
                  </w:pPr>
                  <w:r>
                    <w:rPr>
                      <w:rFonts w:hint="eastAsia"/>
                    </w:rPr>
                    <w:t>2</w:t>
                  </w:r>
                </w:p>
              </w:tc>
              <w:tc>
                <w:tcPr>
                  <w:tcW w:w="801" w:type="pct"/>
                  <w:vAlign w:val="center"/>
                </w:tcPr>
                <w:p w14:paraId="3AA3D382">
                  <w:pPr>
                    <w:pStyle w:val="159"/>
                    <w:rPr>
                      <w:rFonts w:ascii="宋体" w:cs="宋体"/>
                      <w:color w:val="000000"/>
                      <w:kern w:val="0"/>
                      <w:szCs w:val="21"/>
                    </w:rPr>
                  </w:pPr>
                  <w:r>
                    <w:rPr>
                      <w:rFonts w:hint="eastAsia"/>
                    </w:rPr>
                    <w:t>湘江村木源岔组居民2</w:t>
                  </w:r>
                </w:p>
              </w:tc>
              <w:tc>
                <w:tcPr>
                  <w:tcW w:w="908" w:type="pct"/>
                  <w:vAlign w:val="center"/>
                </w:tcPr>
                <w:p w14:paraId="39F5F506">
                  <w:pPr>
                    <w:pStyle w:val="159"/>
                    <w:rPr>
                      <w:rFonts w:ascii="宋体" w:cs="宋体"/>
                      <w:kern w:val="0"/>
                      <w:szCs w:val="21"/>
                    </w:rPr>
                  </w:pPr>
                  <w:r>
                    <w:rPr>
                      <w:rFonts w:hint="eastAsia" w:ascii="宋体" w:cs="宋体"/>
                      <w:kern w:val="0"/>
                      <w:szCs w:val="21"/>
                    </w:rPr>
                    <w:t>西向约</w:t>
                  </w:r>
                  <w:r>
                    <w:t>22</w:t>
                  </w:r>
                  <w:r>
                    <w:rPr>
                      <w:kern w:val="0"/>
                      <w:szCs w:val="21"/>
                    </w:rPr>
                    <w:t>m</w:t>
                  </w:r>
                </w:p>
              </w:tc>
              <w:tc>
                <w:tcPr>
                  <w:tcW w:w="776" w:type="pct"/>
                  <w:vAlign w:val="center"/>
                </w:tcPr>
                <w:p w14:paraId="2BC5C178">
                  <w:pPr>
                    <w:pStyle w:val="159"/>
                    <w:rPr>
                      <w:rFonts w:ascii="宋体" w:cs="宋体"/>
                      <w:color w:val="000000"/>
                      <w:kern w:val="0"/>
                      <w:szCs w:val="21"/>
                    </w:rPr>
                  </w:pPr>
                  <w:r>
                    <w:rPr>
                      <w:rFonts w:hint="eastAsia" w:ascii="宋体" w:cs="宋体"/>
                      <w:color w:val="000000"/>
                      <w:kern w:val="0"/>
                      <w:szCs w:val="21"/>
                    </w:rPr>
                    <w:t>1户</w:t>
                  </w:r>
                </w:p>
              </w:tc>
              <w:tc>
                <w:tcPr>
                  <w:tcW w:w="1164" w:type="pct"/>
                  <w:vAlign w:val="center"/>
                </w:tcPr>
                <w:p w14:paraId="5C9BEDB6">
                  <w:pPr>
                    <w:pStyle w:val="159"/>
                    <w:rPr>
                      <w:rFonts w:ascii="宋体" w:cs="宋体"/>
                      <w:color w:val="000000"/>
                      <w:kern w:val="0"/>
                      <w:szCs w:val="21"/>
                    </w:rPr>
                  </w:pPr>
                  <w:r>
                    <w:t>2</w:t>
                  </w:r>
                  <w:r>
                    <w:rPr>
                      <w:rFonts w:hint="eastAsia"/>
                    </w:rPr>
                    <w:t>层，</w:t>
                  </w:r>
                  <w:r>
                    <w:t>层高约3m</w:t>
                  </w:r>
                </w:p>
              </w:tc>
              <w:tc>
                <w:tcPr>
                  <w:tcW w:w="625" w:type="pct"/>
                  <w:vAlign w:val="center"/>
                </w:tcPr>
                <w:p w14:paraId="64FB4624">
                  <w:pPr>
                    <w:pStyle w:val="159"/>
                    <w:rPr>
                      <w:kern w:val="0"/>
                      <w:szCs w:val="21"/>
                    </w:rPr>
                  </w:pPr>
                  <w:r>
                    <w:rPr>
                      <w:rFonts w:hint="eastAsia"/>
                      <w:kern w:val="0"/>
                      <w:szCs w:val="21"/>
                    </w:rPr>
                    <w:t>2</w:t>
                  </w:r>
                  <w:r>
                    <w:rPr>
                      <w:kern w:val="0"/>
                      <w:szCs w:val="21"/>
                    </w:rPr>
                    <w:t>3</w:t>
                  </w:r>
                </w:p>
              </w:tc>
              <w:tc>
                <w:tcPr>
                  <w:tcW w:w="445" w:type="pct"/>
                  <w:vAlign w:val="center"/>
                </w:tcPr>
                <w:p w14:paraId="16BEC9EB">
                  <w:pPr>
                    <w:pStyle w:val="159"/>
                    <w:rPr>
                      <w:color w:val="000000"/>
                      <w:kern w:val="0"/>
                      <w:szCs w:val="21"/>
                    </w:rPr>
                  </w:pPr>
                  <w:r>
                    <w:rPr>
                      <w:rFonts w:hint="eastAsia"/>
                      <w:color w:val="000000"/>
                      <w:kern w:val="0"/>
                      <w:szCs w:val="21"/>
                    </w:rPr>
                    <w:t>1级</w:t>
                  </w:r>
                </w:p>
              </w:tc>
            </w:tr>
            <w:tr w14:paraId="0BBD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087CD4FD">
                  <w:pPr>
                    <w:pStyle w:val="159"/>
                  </w:pPr>
                  <w:r>
                    <w:rPr>
                      <w:rFonts w:hint="eastAsia"/>
                    </w:rPr>
                    <w:t>3</w:t>
                  </w:r>
                </w:p>
              </w:tc>
              <w:tc>
                <w:tcPr>
                  <w:tcW w:w="801" w:type="pct"/>
                  <w:vAlign w:val="center"/>
                </w:tcPr>
                <w:p w14:paraId="3803A788">
                  <w:pPr>
                    <w:pStyle w:val="159"/>
                    <w:rPr>
                      <w:rFonts w:ascii="宋体" w:cs="宋体"/>
                      <w:color w:val="000000"/>
                      <w:kern w:val="0"/>
                      <w:szCs w:val="21"/>
                    </w:rPr>
                  </w:pPr>
                  <w:r>
                    <w:rPr>
                      <w:rFonts w:hint="eastAsia"/>
                    </w:rPr>
                    <w:t>湘江村大湾井组居民1</w:t>
                  </w:r>
                </w:p>
              </w:tc>
              <w:tc>
                <w:tcPr>
                  <w:tcW w:w="908" w:type="pct"/>
                  <w:vAlign w:val="center"/>
                </w:tcPr>
                <w:p w14:paraId="7F3EDA07">
                  <w:pPr>
                    <w:pStyle w:val="159"/>
                    <w:rPr>
                      <w:rFonts w:ascii="宋体" w:cs="宋体"/>
                      <w:color w:val="000000"/>
                      <w:kern w:val="0"/>
                      <w:szCs w:val="21"/>
                    </w:rPr>
                  </w:pPr>
                  <w:r>
                    <w:t>西向约7m</w:t>
                  </w:r>
                </w:p>
              </w:tc>
              <w:tc>
                <w:tcPr>
                  <w:tcW w:w="776" w:type="pct"/>
                  <w:vAlign w:val="center"/>
                </w:tcPr>
                <w:p w14:paraId="293F45A4">
                  <w:pPr>
                    <w:pStyle w:val="159"/>
                    <w:rPr>
                      <w:rFonts w:ascii="宋体" w:cs="宋体"/>
                      <w:color w:val="000000"/>
                      <w:kern w:val="0"/>
                      <w:szCs w:val="21"/>
                    </w:rPr>
                  </w:pPr>
                  <w:r>
                    <w:rPr>
                      <w:rFonts w:hint="eastAsia" w:ascii="宋体" w:cs="宋体"/>
                      <w:color w:val="000000"/>
                      <w:kern w:val="0"/>
                      <w:szCs w:val="21"/>
                    </w:rPr>
                    <w:t>1户</w:t>
                  </w:r>
                </w:p>
              </w:tc>
              <w:tc>
                <w:tcPr>
                  <w:tcW w:w="1164" w:type="pct"/>
                  <w:vAlign w:val="center"/>
                </w:tcPr>
                <w:p w14:paraId="7B5F6B3B">
                  <w:pPr>
                    <w:pStyle w:val="159"/>
                    <w:rPr>
                      <w:rFonts w:ascii="宋体" w:cs="宋体"/>
                      <w:color w:val="000000"/>
                      <w:kern w:val="0"/>
                      <w:szCs w:val="21"/>
                    </w:rPr>
                  </w:pPr>
                  <w:r>
                    <w:rPr>
                      <w:rFonts w:hint="eastAsia"/>
                    </w:rPr>
                    <w:t>2栋房屋为1户所有，老屋</w:t>
                  </w:r>
                  <w:r>
                    <w:t>为1</w:t>
                  </w:r>
                  <w:r>
                    <w:rPr>
                      <w:rFonts w:hint="eastAsia"/>
                    </w:rPr>
                    <w:t>层</w:t>
                  </w:r>
                  <w:r>
                    <w:t>，层高约3m；</w:t>
                  </w:r>
                  <w:r>
                    <w:rPr>
                      <w:rFonts w:hint="eastAsia"/>
                    </w:rPr>
                    <w:t>主屋为</w:t>
                  </w:r>
                  <w:r>
                    <w:t>2</w:t>
                  </w:r>
                  <w:r>
                    <w:rPr>
                      <w:rFonts w:hint="eastAsia"/>
                    </w:rPr>
                    <w:t>层半</w:t>
                  </w:r>
                  <w:r>
                    <w:t>平顶，高约7.5m</w:t>
                  </w:r>
                </w:p>
              </w:tc>
              <w:tc>
                <w:tcPr>
                  <w:tcW w:w="625" w:type="pct"/>
                  <w:vAlign w:val="center"/>
                </w:tcPr>
                <w:p w14:paraId="16A1C1A7">
                  <w:pPr>
                    <w:pStyle w:val="159"/>
                    <w:rPr>
                      <w:kern w:val="0"/>
                      <w:szCs w:val="21"/>
                    </w:rPr>
                  </w:pPr>
                  <w:r>
                    <w:rPr>
                      <w:rFonts w:hint="eastAsia"/>
                      <w:kern w:val="0"/>
                      <w:szCs w:val="21"/>
                    </w:rPr>
                    <w:t>2</w:t>
                  </w:r>
                  <w:r>
                    <w:rPr>
                      <w:kern w:val="0"/>
                      <w:szCs w:val="21"/>
                    </w:rPr>
                    <w:t>8</w:t>
                  </w:r>
                </w:p>
              </w:tc>
              <w:tc>
                <w:tcPr>
                  <w:tcW w:w="445" w:type="pct"/>
                  <w:vAlign w:val="center"/>
                </w:tcPr>
                <w:p w14:paraId="568EEA06">
                  <w:pPr>
                    <w:pStyle w:val="159"/>
                    <w:rPr>
                      <w:color w:val="000000"/>
                      <w:kern w:val="0"/>
                      <w:szCs w:val="21"/>
                    </w:rPr>
                  </w:pPr>
                  <w:r>
                    <w:rPr>
                      <w:rFonts w:hint="eastAsia"/>
                      <w:color w:val="000000"/>
                      <w:kern w:val="0"/>
                      <w:szCs w:val="21"/>
                    </w:rPr>
                    <w:t>1级</w:t>
                  </w:r>
                </w:p>
              </w:tc>
            </w:tr>
            <w:tr w14:paraId="28B1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425CB094">
                  <w:pPr>
                    <w:pStyle w:val="159"/>
                  </w:pPr>
                  <w:r>
                    <w:rPr>
                      <w:rFonts w:hint="eastAsia"/>
                    </w:rPr>
                    <w:t>4</w:t>
                  </w:r>
                </w:p>
              </w:tc>
              <w:tc>
                <w:tcPr>
                  <w:tcW w:w="801" w:type="pct"/>
                  <w:vAlign w:val="center"/>
                </w:tcPr>
                <w:p w14:paraId="78EEEE16">
                  <w:pPr>
                    <w:pStyle w:val="159"/>
                    <w:rPr>
                      <w:rFonts w:ascii="宋体" w:cs="宋体"/>
                      <w:color w:val="000000"/>
                      <w:kern w:val="0"/>
                      <w:szCs w:val="21"/>
                    </w:rPr>
                  </w:pPr>
                  <w:r>
                    <w:rPr>
                      <w:rFonts w:hint="eastAsia"/>
                    </w:rPr>
                    <w:t>湘江村大湾井组居民</w:t>
                  </w:r>
                  <w:r>
                    <w:t>2</w:t>
                  </w:r>
                  <w:r>
                    <w:rPr>
                      <w:rFonts w:hint="eastAsia" w:ascii="宋体" w:cs="宋体"/>
                      <w:color w:val="000000"/>
                      <w:kern w:val="0"/>
                      <w:szCs w:val="21"/>
                    </w:rPr>
                    <w:t xml:space="preserve"> </w:t>
                  </w:r>
                </w:p>
              </w:tc>
              <w:tc>
                <w:tcPr>
                  <w:tcW w:w="908" w:type="pct"/>
                  <w:vAlign w:val="center"/>
                </w:tcPr>
                <w:p w14:paraId="0130B769">
                  <w:pPr>
                    <w:pStyle w:val="159"/>
                    <w:rPr>
                      <w:rFonts w:ascii="宋体" w:cs="宋体"/>
                      <w:color w:val="000000"/>
                      <w:kern w:val="0"/>
                      <w:szCs w:val="21"/>
                    </w:rPr>
                  </w:pPr>
                  <w:r>
                    <w:t>西向约8m</w:t>
                  </w:r>
                </w:p>
              </w:tc>
              <w:tc>
                <w:tcPr>
                  <w:tcW w:w="776" w:type="pct"/>
                  <w:vAlign w:val="center"/>
                </w:tcPr>
                <w:p w14:paraId="44F8DC89">
                  <w:pPr>
                    <w:pStyle w:val="159"/>
                    <w:rPr>
                      <w:rFonts w:ascii="宋体" w:cs="宋体"/>
                      <w:color w:val="000000"/>
                      <w:kern w:val="0"/>
                      <w:szCs w:val="21"/>
                    </w:rPr>
                  </w:pPr>
                  <w:r>
                    <w:rPr>
                      <w:rFonts w:hint="eastAsia" w:ascii="宋体" w:cs="宋体"/>
                      <w:color w:val="000000"/>
                      <w:kern w:val="0"/>
                      <w:szCs w:val="21"/>
                    </w:rPr>
                    <w:t>1户</w:t>
                  </w:r>
                </w:p>
              </w:tc>
              <w:tc>
                <w:tcPr>
                  <w:tcW w:w="1164" w:type="pct"/>
                  <w:vAlign w:val="center"/>
                </w:tcPr>
                <w:p w14:paraId="1A313FC0">
                  <w:pPr>
                    <w:pStyle w:val="159"/>
                    <w:rPr>
                      <w:rFonts w:ascii="宋体" w:cs="宋体"/>
                      <w:color w:val="000000"/>
                      <w:kern w:val="0"/>
                      <w:szCs w:val="21"/>
                    </w:rPr>
                  </w:pPr>
                  <w:r>
                    <w:t>2</w:t>
                  </w:r>
                  <w:r>
                    <w:rPr>
                      <w:rFonts w:hint="eastAsia"/>
                    </w:rPr>
                    <w:t>层，</w:t>
                  </w:r>
                  <w:r>
                    <w:t>层高约3m</w:t>
                  </w:r>
                </w:p>
              </w:tc>
              <w:tc>
                <w:tcPr>
                  <w:tcW w:w="625" w:type="pct"/>
                  <w:vAlign w:val="center"/>
                </w:tcPr>
                <w:p w14:paraId="6E676EBB">
                  <w:pPr>
                    <w:pStyle w:val="159"/>
                    <w:rPr>
                      <w:kern w:val="0"/>
                      <w:szCs w:val="21"/>
                    </w:rPr>
                  </w:pPr>
                  <w:r>
                    <w:rPr>
                      <w:rFonts w:hint="eastAsia"/>
                      <w:kern w:val="0"/>
                      <w:szCs w:val="21"/>
                    </w:rPr>
                    <w:t>1</w:t>
                  </w:r>
                  <w:r>
                    <w:rPr>
                      <w:kern w:val="0"/>
                      <w:szCs w:val="21"/>
                    </w:rPr>
                    <w:t>8</w:t>
                  </w:r>
                </w:p>
              </w:tc>
              <w:tc>
                <w:tcPr>
                  <w:tcW w:w="445" w:type="pct"/>
                  <w:vAlign w:val="center"/>
                </w:tcPr>
                <w:p w14:paraId="110FEECD">
                  <w:pPr>
                    <w:pStyle w:val="159"/>
                    <w:rPr>
                      <w:color w:val="000000"/>
                      <w:kern w:val="0"/>
                      <w:szCs w:val="21"/>
                    </w:rPr>
                  </w:pPr>
                  <w:r>
                    <w:rPr>
                      <w:rFonts w:hint="eastAsia"/>
                      <w:color w:val="000000"/>
                      <w:kern w:val="0"/>
                      <w:szCs w:val="21"/>
                    </w:rPr>
                    <w:t>1级</w:t>
                  </w:r>
                </w:p>
              </w:tc>
            </w:tr>
            <w:tr w14:paraId="637A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457CE571">
                  <w:pPr>
                    <w:pStyle w:val="159"/>
                    <w:jc w:val="left"/>
                    <w:rPr>
                      <w:color w:val="000000"/>
                      <w:kern w:val="0"/>
                      <w:szCs w:val="21"/>
                    </w:rPr>
                  </w:pPr>
                  <w:r>
                    <w:rPr>
                      <w:rFonts w:hint="eastAsia"/>
                    </w:rPr>
                    <w:t>注：1、环评按照担幅最宽铁塔计边导线位置和评价范围；2、目前工程尚处于前期设计阶段，在实际施工时上表中线路与敏感点的距离可能发生变化。</w:t>
                  </w:r>
                </w:p>
              </w:tc>
            </w:tr>
          </w:tbl>
          <w:p w14:paraId="6F8C74D5">
            <w:pPr>
              <w:pStyle w:val="3"/>
              <w:spacing w:line="240" w:lineRule="auto"/>
              <w:ind w:firstLine="480"/>
            </w:pPr>
          </w:p>
          <w:p w14:paraId="11AD7716">
            <w:pPr>
              <w:pStyle w:val="3"/>
              <w:ind w:firstLine="480"/>
            </w:pPr>
            <w:r>
              <w:rPr>
                <w:rFonts w:hint="eastAsia"/>
              </w:rPr>
              <w:t>（4）电磁环境敏感目标</w:t>
            </w:r>
          </w:p>
          <w:p w14:paraId="46BE3081">
            <w:pPr>
              <w:pStyle w:val="3"/>
              <w:ind w:firstLine="480"/>
            </w:pPr>
            <w:r>
              <w:rPr>
                <w:rFonts w:hint="eastAsia"/>
              </w:rPr>
              <w:t>电磁环境保护目标主要是边导线地面投影外两侧</w:t>
            </w:r>
            <w:r>
              <w:t>30m</w:t>
            </w:r>
            <w:r>
              <w:rPr>
                <w:rFonts w:hint="eastAsia"/>
              </w:rPr>
              <w:t>范围内的住宅、学校、医院、办公楼、工厂等有公众居住、工作或学习的建筑物。详见电磁环境影响评价专题。</w:t>
            </w:r>
          </w:p>
        </w:tc>
      </w:tr>
      <w:tr w14:paraId="6C105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312" w:type="pct"/>
            <w:vAlign w:val="center"/>
          </w:tcPr>
          <w:p w14:paraId="7F4E09A1">
            <w:pPr>
              <w:pStyle w:val="86"/>
            </w:pPr>
            <w:r>
              <w:t>评价</w:t>
            </w:r>
          </w:p>
          <w:p w14:paraId="6FD474F9">
            <w:pPr>
              <w:pStyle w:val="86"/>
            </w:pPr>
            <w:r>
              <w:t>标准</w:t>
            </w:r>
          </w:p>
        </w:tc>
        <w:tc>
          <w:tcPr>
            <w:tcW w:w="4688" w:type="pct"/>
            <w:vAlign w:val="center"/>
          </w:tcPr>
          <w:p w14:paraId="44986EAA">
            <w:pPr>
              <w:pStyle w:val="5"/>
            </w:pPr>
            <w:bookmarkStart w:id="72" w:name="_Toc99090786"/>
            <w:bookmarkStart w:id="73" w:name="_Toc95916452"/>
            <w:bookmarkStart w:id="74" w:name="_Toc99093243"/>
            <w:bookmarkStart w:id="75" w:name="_Toc99093533"/>
            <w:r>
              <w:t>环境质量标准</w:t>
            </w:r>
            <w:bookmarkEnd w:id="72"/>
            <w:bookmarkEnd w:id="73"/>
            <w:bookmarkEnd w:id="74"/>
            <w:bookmarkEnd w:id="75"/>
          </w:p>
          <w:p w14:paraId="26DA537D">
            <w:pPr>
              <w:pStyle w:val="6"/>
            </w:pPr>
            <w:bookmarkStart w:id="76" w:name="_Toc99090787"/>
            <w:bookmarkStart w:id="77" w:name="_Toc95916453"/>
            <w:bookmarkStart w:id="78" w:name="_Toc99093244"/>
            <w:r>
              <w:t>地表水环境质量</w:t>
            </w:r>
            <w:r>
              <w:rPr>
                <w:rFonts w:hint="eastAsia"/>
              </w:rPr>
              <w:t>标准</w:t>
            </w:r>
            <w:bookmarkEnd w:id="76"/>
            <w:bookmarkEnd w:id="77"/>
            <w:bookmarkEnd w:id="78"/>
          </w:p>
          <w:p w14:paraId="20C1B32F">
            <w:pPr>
              <w:pStyle w:val="3"/>
              <w:ind w:firstLine="480"/>
            </w:pPr>
            <w:r>
              <w:t>本</w:t>
            </w:r>
            <w:r>
              <w:rPr>
                <w:rFonts w:hint="eastAsia"/>
              </w:rPr>
              <w:t>工程地表水</w:t>
            </w:r>
            <w:r>
              <w:t>环境</w:t>
            </w:r>
            <w:r>
              <w:rPr>
                <w:rFonts w:hint="eastAsia"/>
              </w:rPr>
              <w:t>质量</w:t>
            </w:r>
            <w:r>
              <w:t>均执行《地表水环境质量标准》（GB3838-2002）中的</w:t>
            </w:r>
            <w:r>
              <w:rPr>
                <w:rFonts w:hint="eastAsia"/>
              </w:rPr>
              <w:t>Ⅲ</w:t>
            </w:r>
            <w:r>
              <w:t>类标准</w:t>
            </w:r>
            <w:r>
              <w:rPr>
                <w:rFonts w:hint="eastAsia"/>
              </w:rPr>
              <w:t>，见表3</w:t>
            </w:r>
            <w:r>
              <w:t>.8-1</w:t>
            </w:r>
            <w:r>
              <w:rPr>
                <w:rFonts w:hint="eastAsia"/>
              </w:rPr>
              <w:t>。</w:t>
            </w:r>
          </w:p>
          <w:p w14:paraId="4203E492">
            <w:pPr>
              <w:pStyle w:val="148"/>
            </w:pPr>
            <w:r>
              <w:t>表3.8-1   地表水环境质量标准   单位：mg/L</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822"/>
              <w:gridCol w:w="822"/>
              <w:gridCol w:w="844"/>
              <w:gridCol w:w="938"/>
              <w:gridCol w:w="933"/>
              <w:gridCol w:w="802"/>
              <w:gridCol w:w="821"/>
              <w:gridCol w:w="857"/>
            </w:tblGrid>
            <w:tr w14:paraId="03E1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pct"/>
                  <w:vAlign w:val="center"/>
                </w:tcPr>
                <w:p w14:paraId="2A648E5B">
                  <w:pPr>
                    <w:pStyle w:val="159"/>
                  </w:pPr>
                  <w:r>
                    <w:t>评价因子</w:t>
                  </w:r>
                </w:p>
              </w:tc>
              <w:tc>
                <w:tcPr>
                  <w:tcW w:w="487" w:type="pct"/>
                  <w:vAlign w:val="center"/>
                </w:tcPr>
                <w:p w14:paraId="6EB60050">
                  <w:pPr>
                    <w:pStyle w:val="159"/>
                  </w:pPr>
                  <w:r>
                    <w:t>pH</w:t>
                  </w:r>
                </w:p>
              </w:tc>
              <w:tc>
                <w:tcPr>
                  <w:tcW w:w="487" w:type="pct"/>
                  <w:vAlign w:val="center"/>
                </w:tcPr>
                <w:p w14:paraId="5736F34C">
                  <w:pPr>
                    <w:pStyle w:val="159"/>
                  </w:pPr>
                  <w:r>
                    <w:rPr>
                      <w:rFonts w:hint="eastAsia"/>
                    </w:rPr>
                    <w:t>溶解氧</w:t>
                  </w:r>
                </w:p>
              </w:tc>
              <w:tc>
                <w:tcPr>
                  <w:tcW w:w="500" w:type="pct"/>
                  <w:vAlign w:val="center"/>
                </w:tcPr>
                <w:p w14:paraId="72209CB9">
                  <w:pPr>
                    <w:pStyle w:val="159"/>
                  </w:pPr>
                  <w:r>
                    <w:rPr>
                      <w:rFonts w:hint="eastAsia"/>
                    </w:rPr>
                    <w:t>B</w:t>
                  </w:r>
                  <w:r>
                    <w:t>OD</w:t>
                  </w:r>
                  <w:r>
                    <w:rPr>
                      <w:vertAlign w:val="subscript"/>
                    </w:rPr>
                    <w:t>5</w:t>
                  </w:r>
                </w:p>
              </w:tc>
              <w:tc>
                <w:tcPr>
                  <w:tcW w:w="555" w:type="pct"/>
                  <w:vAlign w:val="center"/>
                </w:tcPr>
                <w:p w14:paraId="6829578C">
                  <w:pPr>
                    <w:pStyle w:val="159"/>
                  </w:pPr>
                  <w:r>
                    <w:t>NH</w:t>
                  </w:r>
                  <w:r>
                    <w:rPr>
                      <w:vertAlign w:val="subscript"/>
                    </w:rPr>
                    <w:t>3</w:t>
                  </w:r>
                  <w:r>
                    <w:t>-N</w:t>
                  </w:r>
                </w:p>
              </w:tc>
              <w:tc>
                <w:tcPr>
                  <w:tcW w:w="552" w:type="pct"/>
                  <w:vAlign w:val="center"/>
                </w:tcPr>
                <w:p w14:paraId="151076E5">
                  <w:pPr>
                    <w:pStyle w:val="159"/>
                  </w:pPr>
                  <w:r>
                    <w:t>总磷</w:t>
                  </w:r>
                </w:p>
              </w:tc>
              <w:tc>
                <w:tcPr>
                  <w:tcW w:w="475" w:type="pct"/>
                  <w:vAlign w:val="center"/>
                </w:tcPr>
                <w:p w14:paraId="33ADEB49">
                  <w:pPr>
                    <w:pStyle w:val="159"/>
                  </w:pPr>
                  <w:r>
                    <w:t>石油类</w:t>
                  </w:r>
                </w:p>
              </w:tc>
              <w:tc>
                <w:tcPr>
                  <w:tcW w:w="486" w:type="pct"/>
                  <w:vAlign w:val="center"/>
                </w:tcPr>
                <w:p w14:paraId="32281CEC">
                  <w:pPr>
                    <w:pStyle w:val="159"/>
                  </w:pPr>
                  <w:r>
                    <w:rPr>
                      <w:rFonts w:hint="eastAsia"/>
                    </w:rPr>
                    <w:t>悬浮物</w:t>
                  </w:r>
                </w:p>
              </w:tc>
              <w:tc>
                <w:tcPr>
                  <w:tcW w:w="486" w:type="pct"/>
                  <w:vAlign w:val="center"/>
                </w:tcPr>
                <w:p w14:paraId="47EA5590">
                  <w:pPr>
                    <w:pStyle w:val="159"/>
                  </w:pPr>
                  <w:r>
                    <w:rPr>
                      <w:rFonts w:hint="eastAsia"/>
                    </w:rPr>
                    <w:t>粪大肠菌群</w:t>
                  </w:r>
                </w:p>
              </w:tc>
            </w:tr>
            <w:tr w14:paraId="7ED3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pct"/>
                  <w:vAlign w:val="center"/>
                </w:tcPr>
                <w:p w14:paraId="749DE8BC">
                  <w:pPr>
                    <w:pStyle w:val="159"/>
                  </w:pPr>
                  <w:r>
                    <w:t>GB3838-2002</w:t>
                  </w:r>
                </w:p>
                <w:p w14:paraId="68F66F8D">
                  <w:pPr>
                    <w:pStyle w:val="159"/>
                  </w:pPr>
                  <w:r>
                    <w:rPr>
                      <w:rFonts w:hint="eastAsia"/>
                    </w:rPr>
                    <w:t>Ⅲ</w:t>
                  </w:r>
                  <w:r>
                    <w:t>类标准值</w:t>
                  </w:r>
                </w:p>
              </w:tc>
              <w:tc>
                <w:tcPr>
                  <w:tcW w:w="487" w:type="pct"/>
                  <w:vAlign w:val="center"/>
                </w:tcPr>
                <w:p w14:paraId="51226CC8">
                  <w:pPr>
                    <w:pStyle w:val="159"/>
                  </w:pPr>
                  <w:r>
                    <w:t>6～9</w:t>
                  </w:r>
                </w:p>
              </w:tc>
              <w:tc>
                <w:tcPr>
                  <w:tcW w:w="487" w:type="pct"/>
                  <w:vAlign w:val="center"/>
                </w:tcPr>
                <w:p w14:paraId="30B41876">
                  <w:pPr>
                    <w:pStyle w:val="159"/>
                  </w:pPr>
                  <w:r>
                    <w:rPr>
                      <w:rFonts w:hint="eastAsia"/>
                    </w:rPr>
                    <w:t>≥5</w:t>
                  </w:r>
                </w:p>
              </w:tc>
              <w:tc>
                <w:tcPr>
                  <w:tcW w:w="500" w:type="pct"/>
                  <w:vAlign w:val="center"/>
                </w:tcPr>
                <w:p w14:paraId="081B3E9D">
                  <w:pPr>
                    <w:pStyle w:val="159"/>
                  </w:pPr>
                  <w:r>
                    <w:t>≤</w:t>
                  </w:r>
                  <w:r>
                    <w:rPr>
                      <w:rFonts w:hint="eastAsia"/>
                    </w:rPr>
                    <w:t>4</w:t>
                  </w:r>
                </w:p>
              </w:tc>
              <w:tc>
                <w:tcPr>
                  <w:tcW w:w="555" w:type="pct"/>
                  <w:vAlign w:val="center"/>
                </w:tcPr>
                <w:p w14:paraId="183DB50D">
                  <w:pPr>
                    <w:pStyle w:val="159"/>
                  </w:pPr>
                  <w:r>
                    <w:t>≤</w:t>
                  </w:r>
                  <w:r>
                    <w:rPr>
                      <w:rFonts w:hint="eastAsia"/>
                    </w:rPr>
                    <w:t>1.0</w:t>
                  </w:r>
                </w:p>
              </w:tc>
              <w:tc>
                <w:tcPr>
                  <w:tcW w:w="552" w:type="pct"/>
                  <w:vAlign w:val="center"/>
                </w:tcPr>
                <w:p w14:paraId="1257670D">
                  <w:pPr>
                    <w:pStyle w:val="159"/>
                  </w:pPr>
                  <w:r>
                    <w:t>≤</w:t>
                  </w:r>
                  <w:r>
                    <w:rPr>
                      <w:rFonts w:hint="eastAsia"/>
                    </w:rPr>
                    <w:t>0.05</w:t>
                  </w:r>
                </w:p>
              </w:tc>
              <w:tc>
                <w:tcPr>
                  <w:tcW w:w="475" w:type="pct"/>
                  <w:vAlign w:val="center"/>
                </w:tcPr>
                <w:p w14:paraId="3E192175">
                  <w:pPr>
                    <w:pStyle w:val="159"/>
                  </w:pPr>
                  <w:r>
                    <w:t>≤0.</w:t>
                  </w:r>
                  <w:r>
                    <w:rPr>
                      <w:rFonts w:hint="eastAsia"/>
                    </w:rPr>
                    <w:t>05</w:t>
                  </w:r>
                </w:p>
              </w:tc>
              <w:tc>
                <w:tcPr>
                  <w:tcW w:w="486" w:type="pct"/>
                  <w:vAlign w:val="center"/>
                </w:tcPr>
                <w:p w14:paraId="65256722">
                  <w:pPr>
                    <w:pStyle w:val="159"/>
                  </w:pPr>
                  <w:r>
                    <w:rPr>
                      <w:rFonts w:hint="eastAsia"/>
                    </w:rPr>
                    <w:t>/</w:t>
                  </w:r>
                </w:p>
              </w:tc>
              <w:tc>
                <w:tcPr>
                  <w:tcW w:w="486" w:type="pct"/>
                  <w:vAlign w:val="center"/>
                </w:tcPr>
                <w:p w14:paraId="66F27730">
                  <w:pPr>
                    <w:pStyle w:val="159"/>
                  </w:pPr>
                  <w:r>
                    <w:t>≤</w:t>
                  </w:r>
                  <w:r>
                    <w:rPr>
                      <w:rFonts w:hint="eastAsia"/>
                    </w:rPr>
                    <w:t>10000个/L</w:t>
                  </w:r>
                </w:p>
              </w:tc>
            </w:tr>
          </w:tbl>
          <w:p w14:paraId="0EED6D69">
            <w:pPr>
              <w:pStyle w:val="84"/>
              <w:spacing w:line="240" w:lineRule="auto"/>
              <w:rPr>
                <w:sz w:val="18"/>
                <w:szCs w:val="18"/>
              </w:rPr>
            </w:pPr>
          </w:p>
          <w:p w14:paraId="6A6F3739">
            <w:pPr>
              <w:pStyle w:val="6"/>
            </w:pPr>
            <w:bookmarkStart w:id="79" w:name="_Toc99090788"/>
            <w:bookmarkStart w:id="80" w:name="_Toc95916454"/>
            <w:bookmarkStart w:id="81" w:name="_Toc99093245"/>
            <w:r>
              <w:rPr>
                <w:rFonts w:hint="eastAsia"/>
              </w:rPr>
              <w:t>大气环境质量标准</w:t>
            </w:r>
            <w:bookmarkEnd w:id="79"/>
            <w:bookmarkEnd w:id="80"/>
            <w:bookmarkEnd w:id="81"/>
          </w:p>
          <w:p w14:paraId="47A66C0F">
            <w:pPr>
              <w:pStyle w:val="3"/>
              <w:ind w:firstLine="480"/>
              <w:rPr>
                <w:szCs w:val="21"/>
              </w:rPr>
            </w:pPr>
            <w:r>
              <w:rPr>
                <w:rFonts w:hint="eastAsia"/>
              </w:rPr>
              <w:t>本</w:t>
            </w:r>
            <w:r>
              <w:t>项目所在</w:t>
            </w:r>
            <w:r>
              <w:rPr>
                <w:snapToGrid w:val="0"/>
              </w:rPr>
              <w:t>区域</w:t>
            </w:r>
            <w:r>
              <w:rPr>
                <w:rFonts w:hint="eastAsia"/>
                <w:snapToGrid w:val="0"/>
              </w:rPr>
              <w:t>的大气环境</w:t>
            </w:r>
            <w:r>
              <w:rPr>
                <w:snapToGrid w:val="0"/>
              </w:rPr>
              <w:t>执行</w:t>
            </w:r>
            <w:r>
              <w:rPr>
                <w:rFonts w:hint="eastAsia"/>
              </w:rPr>
              <w:t>《环境空气质量标准》（GB3095-2012）中二级标准</w:t>
            </w:r>
            <w:r>
              <w:rPr>
                <w:rFonts w:hint="eastAsia"/>
                <w:szCs w:val="21"/>
              </w:rPr>
              <w:t>及2018年修改单要求，见表3</w:t>
            </w:r>
            <w:r>
              <w:rPr>
                <w:szCs w:val="21"/>
              </w:rPr>
              <w:t>.8-2</w:t>
            </w:r>
            <w:r>
              <w:rPr>
                <w:rFonts w:hint="eastAsia"/>
                <w:szCs w:val="21"/>
              </w:rPr>
              <w:t>。</w:t>
            </w:r>
          </w:p>
          <w:p w14:paraId="568C59EF">
            <w:pPr>
              <w:pStyle w:val="148"/>
              <w:rPr>
                <w:vertAlign w:val="superscript"/>
              </w:rPr>
            </w:pPr>
            <w:r>
              <w:rPr>
                <w:rFonts w:hint="eastAsia"/>
              </w:rPr>
              <w:t>表3</w:t>
            </w:r>
            <w:r>
              <w:t>.8</w:t>
            </w:r>
            <w:r>
              <w:rPr>
                <w:rFonts w:hint="eastAsia"/>
              </w:rPr>
              <w:t>-</w:t>
            </w:r>
            <w:r>
              <w:t xml:space="preserve">2   </w:t>
            </w:r>
            <w:r>
              <w:rPr>
                <w:rFonts w:hint="eastAsia"/>
              </w:rPr>
              <w:t xml:space="preserve">大气环境质量标准 </w:t>
            </w:r>
            <w:r>
              <w:t xml:space="preserve">  </w:t>
            </w:r>
            <w:r>
              <w:rPr>
                <w:rFonts w:hint="eastAsia"/>
              </w:rPr>
              <w:t>单位：</w:t>
            </w:r>
            <w:r>
              <w:t>μg/m</w:t>
            </w:r>
            <w:r>
              <w:rPr>
                <w:vertAlign w:val="superscript"/>
              </w:rPr>
              <w:t>3</w:t>
            </w:r>
          </w:p>
          <w:tbl>
            <w:tblPr>
              <w:tblStyle w:val="4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2"/>
              <w:gridCol w:w="1343"/>
              <w:gridCol w:w="896"/>
              <w:gridCol w:w="2231"/>
              <w:gridCol w:w="1343"/>
              <w:gridCol w:w="1946"/>
            </w:tblGrid>
            <w:tr w14:paraId="6E90E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shd w:val="clear" w:color="auto" w:fill="auto"/>
                  <w:vAlign w:val="center"/>
                </w:tcPr>
                <w:p w14:paraId="61630189">
                  <w:pPr>
                    <w:pStyle w:val="159"/>
                  </w:pPr>
                  <w:r>
                    <w:rPr>
                      <w:rFonts w:hint="eastAsia"/>
                    </w:rPr>
                    <w:t>序号</w:t>
                  </w:r>
                </w:p>
              </w:tc>
              <w:tc>
                <w:tcPr>
                  <w:tcW w:w="792" w:type="pct"/>
                  <w:shd w:val="clear" w:color="auto" w:fill="auto"/>
                  <w:vAlign w:val="center"/>
                </w:tcPr>
                <w:p w14:paraId="2E3ECB33">
                  <w:pPr>
                    <w:pStyle w:val="159"/>
                  </w:pPr>
                  <w:r>
                    <w:rPr>
                      <w:rFonts w:hint="eastAsia"/>
                    </w:rPr>
                    <w:t>污染物项目</w:t>
                  </w:r>
                </w:p>
              </w:tc>
              <w:tc>
                <w:tcPr>
                  <w:tcW w:w="528" w:type="pct"/>
                  <w:shd w:val="clear" w:color="auto" w:fill="auto"/>
                  <w:vAlign w:val="center"/>
                </w:tcPr>
                <w:p w14:paraId="3A06229E">
                  <w:pPr>
                    <w:pStyle w:val="159"/>
                  </w:pPr>
                  <w:r>
                    <w:rPr>
                      <w:rFonts w:hint="eastAsia"/>
                    </w:rPr>
                    <w:t>年平均</w:t>
                  </w:r>
                </w:p>
              </w:tc>
              <w:tc>
                <w:tcPr>
                  <w:tcW w:w="1315" w:type="pct"/>
                  <w:shd w:val="clear" w:color="auto" w:fill="auto"/>
                  <w:vAlign w:val="center"/>
                </w:tcPr>
                <w:p w14:paraId="186ADEFE">
                  <w:pPr>
                    <w:pStyle w:val="159"/>
                  </w:pPr>
                  <w:r>
                    <w:t>24</w:t>
                  </w:r>
                  <w:r>
                    <w:rPr>
                      <w:rFonts w:hint="eastAsia"/>
                    </w:rPr>
                    <w:t>小时平均</w:t>
                  </w:r>
                </w:p>
              </w:tc>
              <w:tc>
                <w:tcPr>
                  <w:tcW w:w="792" w:type="pct"/>
                  <w:shd w:val="clear" w:color="auto" w:fill="auto"/>
                  <w:vAlign w:val="center"/>
                </w:tcPr>
                <w:p w14:paraId="56F976B6">
                  <w:pPr>
                    <w:pStyle w:val="159"/>
                    <w:rPr>
                      <w:rFonts w:ascii="宋体" w:hAnsi="宋体" w:cs="宋体"/>
                    </w:rPr>
                  </w:pPr>
                  <w:r>
                    <w:rPr>
                      <w:rFonts w:hint="eastAsia"/>
                    </w:rPr>
                    <w:t>一小时平均</w:t>
                  </w:r>
                </w:p>
              </w:tc>
              <w:tc>
                <w:tcPr>
                  <w:tcW w:w="1147" w:type="pct"/>
                  <w:shd w:val="clear" w:color="auto" w:fill="auto"/>
                  <w:vAlign w:val="center"/>
                </w:tcPr>
                <w:p w14:paraId="3B4C060D">
                  <w:pPr>
                    <w:pStyle w:val="159"/>
                  </w:pPr>
                  <w:r>
                    <w:rPr>
                      <w:rFonts w:hint="eastAsia"/>
                    </w:rPr>
                    <w:t>依据</w:t>
                  </w:r>
                </w:p>
              </w:tc>
            </w:tr>
            <w:tr w14:paraId="5BE06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shd w:val="clear" w:color="auto" w:fill="auto"/>
                  <w:vAlign w:val="center"/>
                </w:tcPr>
                <w:p w14:paraId="477C7F6E">
                  <w:pPr>
                    <w:pStyle w:val="159"/>
                  </w:pPr>
                  <w:r>
                    <w:t>1</w:t>
                  </w:r>
                </w:p>
              </w:tc>
              <w:tc>
                <w:tcPr>
                  <w:tcW w:w="792" w:type="pct"/>
                  <w:shd w:val="clear" w:color="auto" w:fill="auto"/>
                  <w:vAlign w:val="center"/>
                </w:tcPr>
                <w:p w14:paraId="0E316F5D">
                  <w:pPr>
                    <w:pStyle w:val="159"/>
                  </w:pPr>
                  <w:r>
                    <w:t>SO</w:t>
                  </w:r>
                  <w:r>
                    <w:rPr>
                      <w:vertAlign w:val="subscript"/>
                    </w:rPr>
                    <w:t xml:space="preserve">2 </w:t>
                  </w:r>
                </w:p>
              </w:tc>
              <w:tc>
                <w:tcPr>
                  <w:tcW w:w="528" w:type="pct"/>
                  <w:shd w:val="clear" w:color="auto" w:fill="auto"/>
                  <w:vAlign w:val="center"/>
                </w:tcPr>
                <w:p w14:paraId="1989F271">
                  <w:pPr>
                    <w:pStyle w:val="159"/>
                  </w:pPr>
                  <w:r>
                    <w:t>60</w:t>
                  </w:r>
                </w:p>
              </w:tc>
              <w:tc>
                <w:tcPr>
                  <w:tcW w:w="1315" w:type="pct"/>
                  <w:shd w:val="clear" w:color="auto" w:fill="auto"/>
                  <w:vAlign w:val="center"/>
                </w:tcPr>
                <w:p w14:paraId="5C26A09B">
                  <w:pPr>
                    <w:pStyle w:val="159"/>
                  </w:pPr>
                  <w:r>
                    <w:t>150</w:t>
                  </w:r>
                </w:p>
              </w:tc>
              <w:tc>
                <w:tcPr>
                  <w:tcW w:w="792" w:type="pct"/>
                  <w:shd w:val="clear" w:color="auto" w:fill="auto"/>
                  <w:vAlign w:val="center"/>
                </w:tcPr>
                <w:p w14:paraId="50EC460E">
                  <w:pPr>
                    <w:pStyle w:val="159"/>
                  </w:pPr>
                  <w:r>
                    <w:t>500</w:t>
                  </w:r>
                </w:p>
              </w:tc>
              <w:tc>
                <w:tcPr>
                  <w:tcW w:w="1147" w:type="pct"/>
                  <w:vMerge w:val="restart"/>
                  <w:shd w:val="clear" w:color="auto" w:fill="auto"/>
                  <w:vAlign w:val="center"/>
                </w:tcPr>
                <w:p w14:paraId="13486892">
                  <w:pPr>
                    <w:pStyle w:val="159"/>
                    <w:rPr>
                      <w:rFonts w:ascii="宋体" w:hAnsi="宋体" w:cs="宋体"/>
                    </w:rPr>
                  </w:pPr>
                  <w:r>
                    <w:rPr>
                      <w:rFonts w:hint="eastAsia"/>
                    </w:rPr>
                    <w:t>《环境空气质量标准》（GB3095-2012）中二级标准</w:t>
                  </w:r>
                  <w:r>
                    <w:rPr>
                      <w:rFonts w:hint="eastAsia"/>
                      <w:szCs w:val="21"/>
                    </w:rPr>
                    <w:t>及2018年修改单要求</w:t>
                  </w:r>
                </w:p>
              </w:tc>
            </w:tr>
            <w:tr w14:paraId="3AC04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shd w:val="clear" w:color="auto" w:fill="auto"/>
                  <w:vAlign w:val="center"/>
                </w:tcPr>
                <w:p w14:paraId="4B18D0CE">
                  <w:pPr>
                    <w:pStyle w:val="159"/>
                  </w:pPr>
                  <w:r>
                    <w:t>2</w:t>
                  </w:r>
                </w:p>
              </w:tc>
              <w:tc>
                <w:tcPr>
                  <w:tcW w:w="792" w:type="pct"/>
                  <w:shd w:val="clear" w:color="auto" w:fill="auto"/>
                  <w:vAlign w:val="center"/>
                </w:tcPr>
                <w:p w14:paraId="120F3CEA">
                  <w:pPr>
                    <w:pStyle w:val="159"/>
                  </w:pPr>
                  <w:r>
                    <w:t>NO</w:t>
                  </w:r>
                  <w:r>
                    <w:rPr>
                      <w:vertAlign w:val="subscript"/>
                    </w:rPr>
                    <w:t>2</w:t>
                  </w:r>
                </w:p>
              </w:tc>
              <w:tc>
                <w:tcPr>
                  <w:tcW w:w="528" w:type="pct"/>
                  <w:shd w:val="clear" w:color="auto" w:fill="auto"/>
                  <w:vAlign w:val="center"/>
                </w:tcPr>
                <w:p w14:paraId="6DA09AD2">
                  <w:pPr>
                    <w:pStyle w:val="159"/>
                  </w:pPr>
                  <w:r>
                    <w:t>40</w:t>
                  </w:r>
                </w:p>
              </w:tc>
              <w:tc>
                <w:tcPr>
                  <w:tcW w:w="1315" w:type="pct"/>
                  <w:shd w:val="clear" w:color="auto" w:fill="auto"/>
                  <w:vAlign w:val="center"/>
                </w:tcPr>
                <w:p w14:paraId="456064DF">
                  <w:pPr>
                    <w:pStyle w:val="159"/>
                  </w:pPr>
                  <w:r>
                    <w:t>80</w:t>
                  </w:r>
                </w:p>
              </w:tc>
              <w:tc>
                <w:tcPr>
                  <w:tcW w:w="792" w:type="pct"/>
                  <w:shd w:val="clear" w:color="auto" w:fill="auto"/>
                  <w:vAlign w:val="center"/>
                </w:tcPr>
                <w:p w14:paraId="1E0A9F26">
                  <w:pPr>
                    <w:pStyle w:val="159"/>
                  </w:pPr>
                  <w:r>
                    <w:t>200</w:t>
                  </w:r>
                </w:p>
              </w:tc>
              <w:tc>
                <w:tcPr>
                  <w:tcW w:w="1147" w:type="pct"/>
                  <w:vMerge w:val="continue"/>
                  <w:shd w:val="clear" w:color="auto" w:fill="auto"/>
                  <w:vAlign w:val="center"/>
                </w:tcPr>
                <w:p w14:paraId="18882A02">
                  <w:pPr>
                    <w:pStyle w:val="159"/>
                  </w:pPr>
                </w:p>
              </w:tc>
            </w:tr>
            <w:tr w14:paraId="0A372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shd w:val="clear" w:color="auto" w:fill="auto"/>
                  <w:vAlign w:val="center"/>
                </w:tcPr>
                <w:p w14:paraId="7C84D8E3">
                  <w:pPr>
                    <w:pStyle w:val="159"/>
                  </w:pPr>
                  <w:r>
                    <w:t>3</w:t>
                  </w:r>
                </w:p>
              </w:tc>
              <w:tc>
                <w:tcPr>
                  <w:tcW w:w="792" w:type="pct"/>
                  <w:shd w:val="clear" w:color="auto" w:fill="auto"/>
                  <w:vAlign w:val="center"/>
                </w:tcPr>
                <w:p w14:paraId="0F8179AC">
                  <w:pPr>
                    <w:pStyle w:val="159"/>
                  </w:pPr>
                  <w:r>
                    <w:t>CO</w:t>
                  </w:r>
                </w:p>
              </w:tc>
              <w:tc>
                <w:tcPr>
                  <w:tcW w:w="528" w:type="pct"/>
                  <w:shd w:val="clear" w:color="auto" w:fill="auto"/>
                  <w:vAlign w:val="center"/>
                </w:tcPr>
                <w:p w14:paraId="7525830A">
                  <w:pPr>
                    <w:pStyle w:val="159"/>
                  </w:pPr>
                  <w:r>
                    <w:t>/</w:t>
                  </w:r>
                </w:p>
              </w:tc>
              <w:tc>
                <w:tcPr>
                  <w:tcW w:w="1315" w:type="pct"/>
                  <w:shd w:val="clear" w:color="auto" w:fill="auto"/>
                  <w:vAlign w:val="center"/>
                </w:tcPr>
                <w:p w14:paraId="3B210261">
                  <w:pPr>
                    <w:pStyle w:val="159"/>
                  </w:pPr>
                  <w:r>
                    <w:t>4</w:t>
                  </w:r>
                  <w:r>
                    <w:rPr>
                      <w:rFonts w:hint="eastAsia"/>
                    </w:rPr>
                    <w:t>0</w:t>
                  </w:r>
                  <w:r>
                    <w:t>00</w:t>
                  </w:r>
                </w:p>
              </w:tc>
              <w:tc>
                <w:tcPr>
                  <w:tcW w:w="792" w:type="pct"/>
                  <w:shd w:val="clear" w:color="auto" w:fill="auto"/>
                  <w:vAlign w:val="center"/>
                </w:tcPr>
                <w:p w14:paraId="7C6524DE">
                  <w:pPr>
                    <w:pStyle w:val="159"/>
                  </w:pPr>
                  <w:r>
                    <w:t>10</w:t>
                  </w:r>
                  <w:r>
                    <w:rPr>
                      <w:rFonts w:hint="eastAsia"/>
                    </w:rPr>
                    <w:t>0</w:t>
                  </w:r>
                  <w:r>
                    <w:t>00</w:t>
                  </w:r>
                </w:p>
              </w:tc>
              <w:tc>
                <w:tcPr>
                  <w:tcW w:w="1147" w:type="pct"/>
                  <w:vMerge w:val="continue"/>
                  <w:shd w:val="clear" w:color="auto" w:fill="auto"/>
                  <w:vAlign w:val="center"/>
                </w:tcPr>
                <w:p w14:paraId="4F444C7D">
                  <w:pPr>
                    <w:pStyle w:val="159"/>
                  </w:pPr>
                </w:p>
              </w:tc>
            </w:tr>
            <w:tr w14:paraId="1AF01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shd w:val="clear" w:color="auto" w:fill="auto"/>
                  <w:vAlign w:val="center"/>
                </w:tcPr>
                <w:p w14:paraId="0160C1D3">
                  <w:pPr>
                    <w:pStyle w:val="159"/>
                  </w:pPr>
                  <w:r>
                    <w:t>4</w:t>
                  </w:r>
                </w:p>
              </w:tc>
              <w:tc>
                <w:tcPr>
                  <w:tcW w:w="792" w:type="pct"/>
                  <w:shd w:val="clear" w:color="auto" w:fill="auto"/>
                  <w:vAlign w:val="center"/>
                </w:tcPr>
                <w:p w14:paraId="77F86A2E">
                  <w:pPr>
                    <w:pStyle w:val="159"/>
                  </w:pPr>
                  <w:r>
                    <w:t>O</w:t>
                  </w:r>
                  <w:r>
                    <w:rPr>
                      <w:vertAlign w:val="subscript"/>
                    </w:rPr>
                    <w:t>3</w:t>
                  </w:r>
                </w:p>
              </w:tc>
              <w:tc>
                <w:tcPr>
                  <w:tcW w:w="528" w:type="pct"/>
                  <w:shd w:val="clear" w:color="auto" w:fill="auto"/>
                  <w:vAlign w:val="center"/>
                </w:tcPr>
                <w:p w14:paraId="100E5F33">
                  <w:pPr>
                    <w:pStyle w:val="159"/>
                  </w:pPr>
                  <w:r>
                    <w:t>/</w:t>
                  </w:r>
                </w:p>
              </w:tc>
              <w:tc>
                <w:tcPr>
                  <w:tcW w:w="1315" w:type="pct"/>
                  <w:shd w:val="clear" w:color="auto" w:fill="auto"/>
                  <w:vAlign w:val="center"/>
                </w:tcPr>
                <w:p w14:paraId="1266E98B">
                  <w:pPr>
                    <w:pStyle w:val="159"/>
                  </w:pPr>
                  <w:r>
                    <w:t>160</w:t>
                  </w:r>
                  <w:r>
                    <w:rPr>
                      <w:rFonts w:hint="eastAsia"/>
                    </w:rPr>
                    <w:t>（日最大</w:t>
                  </w:r>
                  <w:r>
                    <w:t>8</w:t>
                  </w:r>
                  <w:r>
                    <w:rPr>
                      <w:rFonts w:hint="eastAsia"/>
                    </w:rPr>
                    <w:t>h平均）</w:t>
                  </w:r>
                </w:p>
              </w:tc>
              <w:tc>
                <w:tcPr>
                  <w:tcW w:w="792" w:type="pct"/>
                  <w:shd w:val="clear" w:color="auto" w:fill="auto"/>
                  <w:vAlign w:val="center"/>
                </w:tcPr>
                <w:p w14:paraId="111A2DF3">
                  <w:pPr>
                    <w:pStyle w:val="159"/>
                  </w:pPr>
                  <w:r>
                    <w:t>200</w:t>
                  </w:r>
                </w:p>
              </w:tc>
              <w:tc>
                <w:tcPr>
                  <w:tcW w:w="1147" w:type="pct"/>
                  <w:vMerge w:val="continue"/>
                  <w:shd w:val="clear" w:color="auto" w:fill="auto"/>
                  <w:vAlign w:val="center"/>
                </w:tcPr>
                <w:p w14:paraId="34617C73">
                  <w:pPr>
                    <w:pStyle w:val="159"/>
                  </w:pPr>
                </w:p>
              </w:tc>
            </w:tr>
            <w:tr w14:paraId="7F368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shd w:val="clear" w:color="auto" w:fill="auto"/>
                  <w:vAlign w:val="center"/>
                </w:tcPr>
                <w:p w14:paraId="06EDB71A">
                  <w:pPr>
                    <w:pStyle w:val="159"/>
                  </w:pPr>
                  <w:r>
                    <w:t>5</w:t>
                  </w:r>
                </w:p>
              </w:tc>
              <w:tc>
                <w:tcPr>
                  <w:tcW w:w="792" w:type="pct"/>
                  <w:shd w:val="clear" w:color="auto" w:fill="auto"/>
                  <w:vAlign w:val="center"/>
                </w:tcPr>
                <w:p w14:paraId="689624C7">
                  <w:pPr>
                    <w:pStyle w:val="159"/>
                  </w:pPr>
                  <w:r>
                    <w:t>PM</w:t>
                  </w:r>
                  <w:r>
                    <w:rPr>
                      <w:vertAlign w:val="subscript"/>
                    </w:rPr>
                    <w:t>10</w:t>
                  </w:r>
                </w:p>
              </w:tc>
              <w:tc>
                <w:tcPr>
                  <w:tcW w:w="528" w:type="pct"/>
                  <w:shd w:val="clear" w:color="auto" w:fill="auto"/>
                  <w:vAlign w:val="center"/>
                </w:tcPr>
                <w:p w14:paraId="630DD94E">
                  <w:pPr>
                    <w:pStyle w:val="159"/>
                  </w:pPr>
                  <w:r>
                    <w:t>70</w:t>
                  </w:r>
                </w:p>
              </w:tc>
              <w:tc>
                <w:tcPr>
                  <w:tcW w:w="1315" w:type="pct"/>
                  <w:shd w:val="clear" w:color="auto" w:fill="auto"/>
                  <w:vAlign w:val="center"/>
                </w:tcPr>
                <w:p w14:paraId="25567E92">
                  <w:pPr>
                    <w:pStyle w:val="159"/>
                  </w:pPr>
                  <w:r>
                    <w:t>150</w:t>
                  </w:r>
                </w:p>
              </w:tc>
              <w:tc>
                <w:tcPr>
                  <w:tcW w:w="792" w:type="pct"/>
                  <w:shd w:val="clear" w:color="auto" w:fill="auto"/>
                  <w:vAlign w:val="center"/>
                </w:tcPr>
                <w:p w14:paraId="02427CD6">
                  <w:pPr>
                    <w:pStyle w:val="159"/>
                  </w:pPr>
                  <w:r>
                    <w:t>/</w:t>
                  </w:r>
                </w:p>
              </w:tc>
              <w:tc>
                <w:tcPr>
                  <w:tcW w:w="1147" w:type="pct"/>
                  <w:vMerge w:val="continue"/>
                  <w:shd w:val="clear" w:color="auto" w:fill="auto"/>
                  <w:vAlign w:val="center"/>
                </w:tcPr>
                <w:p w14:paraId="4BBBD065">
                  <w:pPr>
                    <w:pStyle w:val="159"/>
                  </w:pPr>
                </w:p>
              </w:tc>
            </w:tr>
            <w:tr w14:paraId="50B9D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shd w:val="clear" w:color="auto" w:fill="auto"/>
                  <w:vAlign w:val="center"/>
                </w:tcPr>
                <w:p w14:paraId="6983B40C">
                  <w:pPr>
                    <w:pStyle w:val="159"/>
                  </w:pPr>
                  <w:r>
                    <w:t>6</w:t>
                  </w:r>
                </w:p>
              </w:tc>
              <w:tc>
                <w:tcPr>
                  <w:tcW w:w="792" w:type="pct"/>
                  <w:shd w:val="clear" w:color="auto" w:fill="auto"/>
                  <w:vAlign w:val="center"/>
                </w:tcPr>
                <w:p w14:paraId="7C9F17D5">
                  <w:pPr>
                    <w:pStyle w:val="159"/>
                  </w:pPr>
                  <w:r>
                    <w:t>PM</w:t>
                  </w:r>
                  <w:r>
                    <w:rPr>
                      <w:vertAlign w:val="subscript"/>
                    </w:rPr>
                    <w:t>2.5</w:t>
                  </w:r>
                </w:p>
              </w:tc>
              <w:tc>
                <w:tcPr>
                  <w:tcW w:w="528" w:type="pct"/>
                  <w:shd w:val="clear" w:color="auto" w:fill="auto"/>
                  <w:vAlign w:val="center"/>
                </w:tcPr>
                <w:p w14:paraId="7E6240A9">
                  <w:pPr>
                    <w:pStyle w:val="159"/>
                  </w:pPr>
                  <w:r>
                    <w:t>35</w:t>
                  </w:r>
                </w:p>
              </w:tc>
              <w:tc>
                <w:tcPr>
                  <w:tcW w:w="1315" w:type="pct"/>
                  <w:shd w:val="clear" w:color="auto" w:fill="auto"/>
                  <w:vAlign w:val="center"/>
                </w:tcPr>
                <w:p w14:paraId="1A577E05">
                  <w:pPr>
                    <w:pStyle w:val="159"/>
                  </w:pPr>
                  <w:r>
                    <w:t>75</w:t>
                  </w:r>
                </w:p>
              </w:tc>
              <w:tc>
                <w:tcPr>
                  <w:tcW w:w="792" w:type="pct"/>
                  <w:shd w:val="clear" w:color="auto" w:fill="auto"/>
                  <w:vAlign w:val="center"/>
                </w:tcPr>
                <w:p w14:paraId="298A4B94">
                  <w:pPr>
                    <w:pStyle w:val="159"/>
                  </w:pPr>
                  <w:r>
                    <w:t>/</w:t>
                  </w:r>
                </w:p>
              </w:tc>
              <w:tc>
                <w:tcPr>
                  <w:tcW w:w="1147" w:type="pct"/>
                  <w:vMerge w:val="continue"/>
                  <w:shd w:val="clear" w:color="auto" w:fill="auto"/>
                  <w:vAlign w:val="center"/>
                </w:tcPr>
                <w:p w14:paraId="3982245D">
                  <w:pPr>
                    <w:pStyle w:val="159"/>
                  </w:pPr>
                </w:p>
              </w:tc>
            </w:tr>
            <w:tr w14:paraId="5798B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shd w:val="clear" w:color="auto" w:fill="auto"/>
                  <w:vAlign w:val="center"/>
                </w:tcPr>
                <w:p w14:paraId="0430638B">
                  <w:pPr>
                    <w:pStyle w:val="159"/>
                  </w:pPr>
                  <w:r>
                    <w:rPr>
                      <w:rFonts w:hint="eastAsia"/>
                    </w:rPr>
                    <w:t>7</w:t>
                  </w:r>
                </w:p>
              </w:tc>
              <w:tc>
                <w:tcPr>
                  <w:tcW w:w="792" w:type="pct"/>
                  <w:shd w:val="clear" w:color="auto" w:fill="auto"/>
                  <w:vAlign w:val="center"/>
                </w:tcPr>
                <w:p w14:paraId="4F6787F6">
                  <w:pPr>
                    <w:pStyle w:val="159"/>
                  </w:pPr>
                  <w:r>
                    <w:rPr>
                      <w:rFonts w:hint="eastAsia"/>
                    </w:rPr>
                    <w:t>TSP</w:t>
                  </w:r>
                </w:p>
              </w:tc>
              <w:tc>
                <w:tcPr>
                  <w:tcW w:w="528" w:type="pct"/>
                  <w:shd w:val="clear" w:color="auto" w:fill="auto"/>
                  <w:vAlign w:val="center"/>
                </w:tcPr>
                <w:p w14:paraId="51D7D89C">
                  <w:pPr>
                    <w:pStyle w:val="159"/>
                  </w:pPr>
                  <w:r>
                    <w:rPr>
                      <w:rFonts w:hint="eastAsia"/>
                    </w:rPr>
                    <w:t>200</w:t>
                  </w:r>
                </w:p>
              </w:tc>
              <w:tc>
                <w:tcPr>
                  <w:tcW w:w="1315" w:type="pct"/>
                  <w:shd w:val="clear" w:color="auto" w:fill="auto"/>
                  <w:vAlign w:val="center"/>
                </w:tcPr>
                <w:p w14:paraId="609DB641">
                  <w:pPr>
                    <w:pStyle w:val="159"/>
                  </w:pPr>
                  <w:r>
                    <w:rPr>
                      <w:rFonts w:hint="eastAsia"/>
                    </w:rPr>
                    <w:t>300</w:t>
                  </w:r>
                </w:p>
              </w:tc>
              <w:tc>
                <w:tcPr>
                  <w:tcW w:w="792" w:type="pct"/>
                  <w:shd w:val="clear" w:color="auto" w:fill="auto"/>
                  <w:vAlign w:val="center"/>
                </w:tcPr>
                <w:p w14:paraId="1D65D6CC">
                  <w:pPr>
                    <w:pStyle w:val="159"/>
                  </w:pPr>
                  <w:r>
                    <w:rPr>
                      <w:rFonts w:hint="eastAsia"/>
                    </w:rPr>
                    <w:t>/</w:t>
                  </w:r>
                </w:p>
              </w:tc>
              <w:tc>
                <w:tcPr>
                  <w:tcW w:w="1147" w:type="pct"/>
                  <w:vMerge w:val="continue"/>
                  <w:shd w:val="clear" w:color="auto" w:fill="auto"/>
                  <w:vAlign w:val="center"/>
                </w:tcPr>
                <w:p w14:paraId="66EE1B43">
                  <w:pPr>
                    <w:pStyle w:val="159"/>
                  </w:pPr>
                </w:p>
              </w:tc>
            </w:tr>
          </w:tbl>
          <w:p w14:paraId="7123C406">
            <w:pPr>
              <w:pStyle w:val="3"/>
              <w:spacing w:line="240" w:lineRule="auto"/>
              <w:ind w:firstLine="480"/>
            </w:pPr>
            <w:bookmarkStart w:id="82" w:name="_Toc95916455"/>
            <w:bookmarkStart w:id="83" w:name="_Toc99090789"/>
            <w:bookmarkStart w:id="84" w:name="_Toc99093246"/>
          </w:p>
          <w:p w14:paraId="192FD119">
            <w:pPr>
              <w:pStyle w:val="6"/>
            </w:pPr>
            <w:r>
              <w:t>声环境质量</w:t>
            </w:r>
            <w:r>
              <w:rPr>
                <w:rFonts w:hint="eastAsia"/>
              </w:rPr>
              <w:t>标准</w:t>
            </w:r>
            <w:bookmarkEnd w:id="82"/>
            <w:bookmarkEnd w:id="83"/>
            <w:bookmarkEnd w:id="84"/>
          </w:p>
          <w:p w14:paraId="5A757D9A">
            <w:pPr>
              <w:pStyle w:val="3"/>
              <w:ind w:firstLine="480"/>
            </w:pPr>
            <w:r>
              <w:rPr>
                <w:rFonts w:hint="eastAsia"/>
              </w:rPr>
              <w:t>项目所在区域声环境质量现状执行《声环境质量标准》（GB3096-2008）中</w:t>
            </w:r>
            <w:r>
              <w:t>1</w:t>
            </w:r>
            <w:r>
              <w:rPr>
                <w:rFonts w:hint="eastAsia"/>
              </w:rPr>
              <w:t>类标准，</w:t>
            </w:r>
            <w:r>
              <w:t>见表</w:t>
            </w:r>
            <w:r>
              <w:rPr>
                <w:rFonts w:hint="eastAsia"/>
              </w:rPr>
              <w:t>3</w:t>
            </w:r>
            <w:r>
              <w:t>.8-3</w:t>
            </w:r>
            <w:r>
              <w:rPr>
                <w:rFonts w:hint="eastAsia"/>
              </w:rPr>
              <w:t>。</w:t>
            </w:r>
          </w:p>
          <w:p w14:paraId="68606EC2">
            <w:pPr>
              <w:pStyle w:val="148"/>
            </w:pPr>
            <w:r>
              <w:t>表3.8</w:t>
            </w:r>
            <w:r>
              <w:rPr>
                <w:rFonts w:hint="eastAsia"/>
              </w:rPr>
              <w:t>-</w:t>
            </w:r>
            <w:r>
              <w:t>3   声环境质量标准</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5"/>
              <w:gridCol w:w="2312"/>
              <w:gridCol w:w="2314"/>
            </w:tblGrid>
            <w:tr w14:paraId="43B9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3" w:type="pct"/>
                  <w:vAlign w:val="center"/>
                </w:tcPr>
                <w:p w14:paraId="5686054E">
                  <w:pPr>
                    <w:pStyle w:val="159"/>
                  </w:pPr>
                  <w:r>
                    <w:rPr>
                      <w:rFonts w:hint="eastAsia"/>
                    </w:rPr>
                    <w:t>标准</w:t>
                  </w:r>
                </w:p>
              </w:tc>
              <w:tc>
                <w:tcPr>
                  <w:tcW w:w="1363" w:type="pct"/>
                  <w:vAlign w:val="center"/>
                </w:tcPr>
                <w:p w14:paraId="36EB3669">
                  <w:pPr>
                    <w:pStyle w:val="159"/>
                  </w:pPr>
                  <w:r>
                    <w:t>昼间(dB(A))</w:t>
                  </w:r>
                </w:p>
              </w:tc>
              <w:tc>
                <w:tcPr>
                  <w:tcW w:w="1364" w:type="pct"/>
                  <w:vAlign w:val="center"/>
                </w:tcPr>
                <w:p w14:paraId="78933DDF">
                  <w:pPr>
                    <w:pStyle w:val="159"/>
                  </w:pPr>
                  <w:r>
                    <w:t>夜间(dB(A))</w:t>
                  </w:r>
                </w:p>
              </w:tc>
            </w:tr>
            <w:tr w14:paraId="6250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3" w:type="pct"/>
                  <w:vAlign w:val="center"/>
                </w:tcPr>
                <w:p w14:paraId="401C0373">
                  <w:pPr>
                    <w:pStyle w:val="159"/>
                  </w:pPr>
                  <w:r>
                    <w:rPr>
                      <w:rFonts w:hint="eastAsia"/>
                    </w:rPr>
                    <w:t>《声环境质量标准》（GB3096-2008）中</w:t>
                  </w:r>
                  <w:r>
                    <w:t>1</w:t>
                  </w:r>
                  <w:r>
                    <w:rPr>
                      <w:rFonts w:hint="eastAsia"/>
                    </w:rPr>
                    <w:t>类标准</w:t>
                  </w:r>
                </w:p>
              </w:tc>
              <w:tc>
                <w:tcPr>
                  <w:tcW w:w="1363" w:type="pct"/>
                  <w:vAlign w:val="center"/>
                </w:tcPr>
                <w:p w14:paraId="2F6803EC">
                  <w:pPr>
                    <w:pStyle w:val="159"/>
                  </w:pPr>
                  <w:r>
                    <w:t>55</w:t>
                  </w:r>
                </w:p>
              </w:tc>
              <w:tc>
                <w:tcPr>
                  <w:tcW w:w="1364" w:type="pct"/>
                  <w:vAlign w:val="center"/>
                </w:tcPr>
                <w:p w14:paraId="446B455B">
                  <w:pPr>
                    <w:pStyle w:val="159"/>
                  </w:pPr>
                  <w:r>
                    <w:t>45</w:t>
                  </w:r>
                </w:p>
              </w:tc>
            </w:tr>
          </w:tbl>
          <w:p w14:paraId="52DEE7B8">
            <w:pPr>
              <w:pStyle w:val="3"/>
              <w:spacing w:line="240" w:lineRule="auto"/>
              <w:ind w:firstLine="480"/>
            </w:pPr>
          </w:p>
          <w:p w14:paraId="49EFE4BD">
            <w:pPr>
              <w:pStyle w:val="6"/>
            </w:pPr>
            <w:r>
              <w:rPr>
                <w:rFonts w:hint="eastAsia"/>
              </w:rPr>
              <w:t>电磁环境标准</w:t>
            </w:r>
          </w:p>
          <w:p w14:paraId="13271389">
            <w:pPr>
              <w:pStyle w:val="3"/>
              <w:ind w:firstLine="480"/>
            </w:pPr>
            <w:r>
              <w:rPr>
                <w:rFonts w:hint="eastAsia"/>
              </w:rPr>
              <w:t>电磁环境执行《电磁环境控制限值》（GB8702-2014），</w:t>
            </w:r>
            <w:r>
              <w:t>见表</w:t>
            </w:r>
            <w:r>
              <w:rPr>
                <w:rFonts w:hint="eastAsia"/>
              </w:rPr>
              <w:t>3</w:t>
            </w:r>
            <w:r>
              <w:t>.8-4</w:t>
            </w:r>
            <w:r>
              <w:rPr>
                <w:rFonts w:hint="eastAsia"/>
              </w:rPr>
              <w:t>。。</w:t>
            </w:r>
          </w:p>
          <w:p w14:paraId="5D251F52">
            <w:pPr>
              <w:pStyle w:val="148"/>
            </w:pPr>
            <w:r>
              <w:rPr>
                <w:rFonts w:hint="eastAsia"/>
              </w:rPr>
              <w:t>表3.</w:t>
            </w:r>
            <w:r>
              <w:t>8</w:t>
            </w:r>
            <w:r>
              <w:rPr>
                <w:rFonts w:hint="eastAsia"/>
              </w:rPr>
              <w:t>-</w:t>
            </w:r>
            <w:r>
              <w:t xml:space="preserve">4     </w:t>
            </w:r>
            <w:r>
              <w:rPr>
                <w:rFonts w:hint="eastAsia"/>
              </w:rPr>
              <w:t>电磁环境评价标准值</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3353"/>
              <w:gridCol w:w="1779"/>
              <w:gridCol w:w="1929"/>
            </w:tblGrid>
            <w:tr w14:paraId="6951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7" w:type="pct"/>
                  <w:tcBorders>
                    <w:top w:val="single" w:color="auto" w:sz="4" w:space="0"/>
                    <w:left w:val="single" w:color="auto" w:sz="4" w:space="0"/>
                    <w:bottom w:val="single" w:color="auto" w:sz="4" w:space="0"/>
                    <w:right w:val="single" w:color="auto" w:sz="4" w:space="0"/>
                  </w:tcBorders>
                  <w:vAlign w:val="center"/>
                </w:tcPr>
                <w:p w14:paraId="742F8199">
                  <w:pPr>
                    <w:pStyle w:val="159"/>
                  </w:pPr>
                  <w:r>
                    <w:t>影响因子</w:t>
                  </w:r>
                </w:p>
              </w:tc>
              <w:tc>
                <w:tcPr>
                  <w:tcW w:w="3026" w:type="pct"/>
                  <w:gridSpan w:val="2"/>
                  <w:tcBorders>
                    <w:top w:val="single" w:color="auto" w:sz="4" w:space="0"/>
                    <w:left w:val="single" w:color="auto" w:sz="4" w:space="0"/>
                    <w:bottom w:val="single" w:color="auto" w:sz="4" w:space="0"/>
                    <w:right w:val="single" w:color="auto" w:sz="4" w:space="0"/>
                  </w:tcBorders>
                  <w:vAlign w:val="center"/>
                </w:tcPr>
                <w:p w14:paraId="5D8BD19A">
                  <w:pPr>
                    <w:pStyle w:val="159"/>
                  </w:pPr>
                  <w:r>
                    <w:t>评价标准（频率为50Hz时公众曝露控制限值）</w:t>
                  </w:r>
                </w:p>
              </w:tc>
              <w:tc>
                <w:tcPr>
                  <w:tcW w:w="1137" w:type="pct"/>
                  <w:tcBorders>
                    <w:top w:val="single" w:color="auto" w:sz="4" w:space="0"/>
                    <w:left w:val="single" w:color="auto" w:sz="4" w:space="0"/>
                    <w:bottom w:val="single" w:color="auto" w:sz="4" w:space="0"/>
                    <w:right w:val="single" w:color="auto" w:sz="4" w:space="0"/>
                  </w:tcBorders>
                  <w:vAlign w:val="center"/>
                </w:tcPr>
                <w:p w14:paraId="57F4E712">
                  <w:pPr>
                    <w:pStyle w:val="159"/>
                  </w:pPr>
                  <w:r>
                    <w:rPr>
                      <w:rFonts w:hint="eastAsia"/>
                    </w:rPr>
                    <w:t>标准</w:t>
                  </w:r>
                  <w:r>
                    <w:t>来源</w:t>
                  </w:r>
                </w:p>
              </w:tc>
            </w:tr>
            <w:tr w14:paraId="6437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7" w:type="pct"/>
                  <w:vMerge w:val="restart"/>
                  <w:tcBorders>
                    <w:top w:val="single" w:color="auto" w:sz="4" w:space="0"/>
                    <w:left w:val="single" w:color="auto" w:sz="4" w:space="0"/>
                    <w:right w:val="single" w:color="auto" w:sz="4" w:space="0"/>
                  </w:tcBorders>
                  <w:vAlign w:val="center"/>
                </w:tcPr>
                <w:p w14:paraId="78AD8FC1">
                  <w:pPr>
                    <w:pStyle w:val="159"/>
                  </w:pPr>
                  <w:r>
                    <w:t>工频电场</w:t>
                  </w:r>
                </w:p>
              </w:tc>
              <w:tc>
                <w:tcPr>
                  <w:tcW w:w="1977" w:type="pct"/>
                  <w:tcBorders>
                    <w:top w:val="single" w:color="auto" w:sz="4" w:space="0"/>
                    <w:left w:val="single" w:color="auto" w:sz="4" w:space="0"/>
                    <w:right w:val="single" w:color="auto" w:sz="4" w:space="0"/>
                  </w:tcBorders>
                  <w:vAlign w:val="center"/>
                </w:tcPr>
                <w:p w14:paraId="3570EAC8">
                  <w:pPr>
                    <w:pStyle w:val="159"/>
                  </w:pPr>
                  <w:r>
                    <w:rPr>
                      <w:rFonts w:hint="eastAsia"/>
                    </w:rPr>
                    <w:t>居民区</w:t>
                  </w:r>
                </w:p>
              </w:tc>
              <w:tc>
                <w:tcPr>
                  <w:tcW w:w="1049" w:type="pct"/>
                  <w:tcBorders>
                    <w:top w:val="single" w:color="auto" w:sz="4" w:space="0"/>
                    <w:left w:val="single" w:color="auto" w:sz="4" w:space="0"/>
                    <w:right w:val="single" w:color="auto" w:sz="4" w:space="0"/>
                  </w:tcBorders>
                  <w:vAlign w:val="center"/>
                </w:tcPr>
                <w:p w14:paraId="47EBC450">
                  <w:pPr>
                    <w:pStyle w:val="159"/>
                  </w:pPr>
                  <w:r>
                    <w:t>4000V/m</w:t>
                  </w:r>
                </w:p>
              </w:tc>
              <w:tc>
                <w:tcPr>
                  <w:tcW w:w="1137" w:type="pct"/>
                  <w:vMerge w:val="restart"/>
                  <w:tcBorders>
                    <w:top w:val="single" w:color="auto" w:sz="4" w:space="0"/>
                    <w:left w:val="single" w:color="auto" w:sz="4" w:space="0"/>
                    <w:right w:val="single" w:color="auto" w:sz="4" w:space="0"/>
                  </w:tcBorders>
                  <w:vAlign w:val="center"/>
                </w:tcPr>
                <w:p w14:paraId="3AD6F9BE">
                  <w:pPr>
                    <w:pStyle w:val="159"/>
                  </w:pPr>
                  <w:r>
                    <w:rPr>
                      <w:rFonts w:hint="eastAsia"/>
                    </w:rPr>
                    <w:t>《电磁环境控制限值》（GB8702-2014）</w:t>
                  </w:r>
                </w:p>
              </w:tc>
            </w:tr>
            <w:tr w14:paraId="027C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7" w:type="pct"/>
                  <w:vMerge w:val="continue"/>
                  <w:tcBorders>
                    <w:left w:val="single" w:color="auto" w:sz="4" w:space="0"/>
                    <w:right w:val="single" w:color="auto" w:sz="4" w:space="0"/>
                  </w:tcBorders>
                  <w:vAlign w:val="center"/>
                </w:tcPr>
                <w:p w14:paraId="2ADA9180">
                  <w:pPr>
                    <w:pStyle w:val="159"/>
                  </w:pPr>
                </w:p>
              </w:tc>
              <w:tc>
                <w:tcPr>
                  <w:tcW w:w="1977" w:type="pct"/>
                  <w:tcBorders>
                    <w:top w:val="single" w:color="auto" w:sz="4" w:space="0"/>
                    <w:left w:val="single" w:color="auto" w:sz="4" w:space="0"/>
                    <w:right w:val="single" w:color="auto" w:sz="4" w:space="0"/>
                  </w:tcBorders>
                  <w:vAlign w:val="center"/>
                </w:tcPr>
                <w:p w14:paraId="1E0CB604">
                  <w:pPr>
                    <w:pStyle w:val="159"/>
                  </w:pPr>
                  <w:r>
                    <w:rPr>
                      <w:rFonts w:hint="eastAsia"/>
                    </w:rPr>
                    <w:t>架空输电线路线下的耕地、园地、牧草地、畜禽饲养地、养殖水面、道路等场所</w:t>
                  </w:r>
                </w:p>
              </w:tc>
              <w:tc>
                <w:tcPr>
                  <w:tcW w:w="1049" w:type="pct"/>
                  <w:tcBorders>
                    <w:top w:val="single" w:color="auto" w:sz="4" w:space="0"/>
                    <w:left w:val="single" w:color="auto" w:sz="4" w:space="0"/>
                    <w:right w:val="single" w:color="auto" w:sz="4" w:space="0"/>
                  </w:tcBorders>
                  <w:vAlign w:val="center"/>
                </w:tcPr>
                <w:p w14:paraId="68AF7B1C">
                  <w:pPr>
                    <w:pStyle w:val="159"/>
                  </w:pPr>
                  <w:r>
                    <w:t>10kV/m</w:t>
                  </w:r>
                </w:p>
              </w:tc>
              <w:tc>
                <w:tcPr>
                  <w:tcW w:w="1137" w:type="pct"/>
                  <w:vMerge w:val="continue"/>
                  <w:tcBorders>
                    <w:top w:val="single" w:color="auto" w:sz="4" w:space="0"/>
                    <w:left w:val="single" w:color="auto" w:sz="4" w:space="0"/>
                    <w:right w:val="single" w:color="auto" w:sz="4" w:space="0"/>
                  </w:tcBorders>
                  <w:vAlign w:val="center"/>
                </w:tcPr>
                <w:p w14:paraId="2F12E233">
                  <w:pPr>
                    <w:pStyle w:val="159"/>
                  </w:pPr>
                </w:p>
              </w:tc>
            </w:tr>
            <w:tr w14:paraId="0EFA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7" w:type="pct"/>
                  <w:tcBorders>
                    <w:top w:val="single" w:color="auto" w:sz="4" w:space="0"/>
                    <w:left w:val="single" w:color="auto" w:sz="4" w:space="0"/>
                    <w:bottom w:val="single" w:color="auto" w:sz="4" w:space="0"/>
                    <w:right w:val="single" w:color="auto" w:sz="4" w:space="0"/>
                  </w:tcBorders>
                  <w:vAlign w:val="center"/>
                </w:tcPr>
                <w:p w14:paraId="4C14EE48">
                  <w:pPr>
                    <w:pStyle w:val="159"/>
                  </w:pPr>
                  <w:r>
                    <w:t>工频磁场</w:t>
                  </w:r>
                </w:p>
              </w:tc>
              <w:tc>
                <w:tcPr>
                  <w:tcW w:w="3026" w:type="pct"/>
                  <w:gridSpan w:val="2"/>
                  <w:tcBorders>
                    <w:top w:val="single" w:color="auto" w:sz="4" w:space="0"/>
                    <w:left w:val="single" w:color="auto" w:sz="4" w:space="0"/>
                    <w:bottom w:val="single" w:color="auto" w:sz="4" w:space="0"/>
                    <w:right w:val="single" w:color="auto" w:sz="4" w:space="0"/>
                  </w:tcBorders>
                  <w:vAlign w:val="center"/>
                </w:tcPr>
                <w:p w14:paraId="5A062BAD">
                  <w:pPr>
                    <w:pStyle w:val="159"/>
                  </w:pPr>
                  <w:r>
                    <w:t>100μT</w:t>
                  </w:r>
                </w:p>
              </w:tc>
              <w:tc>
                <w:tcPr>
                  <w:tcW w:w="1137" w:type="pct"/>
                  <w:vMerge w:val="continue"/>
                  <w:tcBorders>
                    <w:left w:val="single" w:color="auto" w:sz="4" w:space="0"/>
                    <w:bottom w:val="single" w:color="auto" w:sz="4" w:space="0"/>
                    <w:right w:val="single" w:color="auto" w:sz="4" w:space="0"/>
                  </w:tcBorders>
                  <w:vAlign w:val="center"/>
                </w:tcPr>
                <w:p w14:paraId="39C67ECA">
                  <w:pPr>
                    <w:pStyle w:val="159"/>
                  </w:pPr>
                </w:p>
              </w:tc>
            </w:tr>
          </w:tbl>
          <w:p w14:paraId="4CCDA44B">
            <w:pPr>
              <w:pStyle w:val="3"/>
              <w:spacing w:line="240" w:lineRule="auto"/>
              <w:ind w:firstLine="480"/>
            </w:pPr>
            <w:bookmarkStart w:id="85" w:name="_Toc99090790"/>
            <w:bookmarkStart w:id="86" w:name="_Toc99093534"/>
            <w:bookmarkStart w:id="87" w:name="_Toc99093247"/>
            <w:bookmarkStart w:id="88" w:name="_Toc95916456"/>
          </w:p>
          <w:p w14:paraId="576BABF7">
            <w:pPr>
              <w:pStyle w:val="5"/>
            </w:pPr>
            <w:r>
              <w:t>污染物排放标准</w:t>
            </w:r>
            <w:bookmarkEnd w:id="85"/>
            <w:bookmarkEnd w:id="86"/>
            <w:bookmarkEnd w:id="87"/>
            <w:bookmarkEnd w:id="88"/>
          </w:p>
          <w:p w14:paraId="1826E69A">
            <w:pPr>
              <w:pStyle w:val="6"/>
            </w:pPr>
            <w:bookmarkStart w:id="89" w:name="_Toc95916459"/>
            <w:bookmarkStart w:id="90" w:name="_Toc99090793"/>
            <w:bookmarkStart w:id="91" w:name="_Toc99093250"/>
            <w:r>
              <w:t>噪声</w:t>
            </w:r>
            <w:bookmarkEnd w:id="89"/>
            <w:bookmarkEnd w:id="90"/>
            <w:bookmarkEnd w:id="91"/>
          </w:p>
          <w:p w14:paraId="27696A2E">
            <w:pPr>
              <w:pStyle w:val="3"/>
              <w:ind w:firstLine="480"/>
            </w:pPr>
            <w:r>
              <w:rPr>
                <w:rFonts w:hint="eastAsia"/>
              </w:rPr>
              <w:t>施工期场界噪声执行《建筑施工场界环境噪声排放标准》（GB12523-2011）；运营期贝江1</w:t>
            </w:r>
            <w:r>
              <w:t>10</w:t>
            </w:r>
            <w:r>
              <w:rPr>
                <w:rFonts w:hint="eastAsia"/>
              </w:rPr>
              <w:t>kV变电站、基地源1</w:t>
            </w:r>
            <w:r>
              <w:t>10</w:t>
            </w:r>
            <w:r>
              <w:rPr>
                <w:rFonts w:hint="eastAsia"/>
              </w:rPr>
              <w:t>kV变电站站界噪声执行《工业企业厂界环境噪声排放标准》（GB12348-2008）</w:t>
            </w:r>
            <w:r>
              <w:t>2</w:t>
            </w:r>
            <w:r>
              <w:rPr>
                <w:rFonts w:hint="eastAsia"/>
              </w:rPr>
              <w:t>类标准</w:t>
            </w:r>
            <w:r>
              <w:t>。</w:t>
            </w:r>
          </w:p>
          <w:p w14:paraId="121B1E16">
            <w:pPr>
              <w:pStyle w:val="148"/>
            </w:pPr>
            <w:r>
              <w:t>表3.9-1   建筑施工场界环境噪声排放限值   单位：dB(A)</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3362"/>
              <w:gridCol w:w="2916"/>
            </w:tblGrid>
            <w:tr w14:paraId="5E3A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pct"/>
                  <w:vMerge w:val="restart"/>
                  <w:shd w:val="clear" w:color="auto" w:fill="auto"/>
                  <w:vAlign w:val="center"/>
                </w:tcPr>
                <w:p w14:paraId="355DEE63">
                  <w:pPr>
                    <w:pStyle w:val="159"/>
                  </w:pPr>
                  <w:r>
                    <w:t>污染因子</w:t>
                  </w:r>
                </w:p>
              </w:tc>
              <w:tc>
                <w:tcPr>
                  <w:tcW w:w="3701" w:type="pct"/>
                  <w:gridSpan w:val="2"/>
                  <w:shd w:val="clear" w:color="auto" w:fill="auto"/>
                  <w:vAlign w:val="center"/>
                </w:tcPr>
                <w:p w14:paraId="6F8F0EE0">
                  <w:pPr>
                    <w:pStyle w:val="159"/>
                  </w:pPr>
                  <w:r>
                    <w:t>排放标准</w:t>
                  </w:r>
                </w:p>
              </w:tc>
            </w:tr>
            <w:tr w14:paraId="3A6D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pct"/>
                  <w:vMerge w:val="continue"/>
                  <w:shd w:val="clear" w:color="auto" w:fill="auto"/>
                  <w:vAlign w:val="center"/>
                </w:tcPr>
                <w:p w14:paraId="06A9BF14">
                  <w:pPr>
                    <w:pStyle w:val="159"/>
                  </w:pPr>
                </w:p>
              </w:tc>
              <w:tc>
                <w:tcPr>
                  <w:tcW w:w="1982" w:type="pct"/>
                  <w:shd w:val="clear" w:color="auto" w:fill="auto"/>
                  <w:vAlign w:val="center"/>
                </w:tcPr>
                <w:p w14:paraId="39140A94">
                  <w:pPr>
                    <w:pStyle w:val="159"/>
                  </w:pPr>
                  <w:r>
                    <w:t>昼间</w:t>
                  </w:r>
                </w:p>
              </w:tc>
              <w:tc>
                <w:tcPr>
                  <w:tcW w:w="1719" w:type="pct"/>
                  <w:shd w:val="clear" w:color="auto" w:fill="auto"/>
                  <w:vAlign w:val="center"/>
                </w:tcPr>
                <w:p w14:paraId="50E69EF7">
                  <w:pPr>
                    <w:pStyle w:val="159"/>
                  </w:pPr>
                  <w:r>
                    <w:t>夜间</w:t>
                  </w:r>
                </w:p>
              </w:tc>
            </w:tr>
            <w:tr w14:paraId="2115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pct"/>
                  <w:shd w:val="clear" w:color="auto" w:fill="auto"/>
                  <w:vAlign w:val="center"/>
                </w:tcPr>
                <w:p w14:paraId="0CBD6A1A">
                  <w:pPr>
                    <w:pStyle w:val="159"/>
                  </w:pPr>
                  <w:r>
                    <w:t>噪声</w:t>
                  </w:r>
                </w:p>
              </w:tc>
              <w:tc>
                <w:tcPr>
                  <w:tcW w:w="1982" w:type="pct"/>
                  <w:shd w:val="clear" w:color="auto" w:fill="auto"/>
                  <w:vAlign w:val="center"/>
                </w:tcPr>
                <w:p w14:paraId="599C26D5">
                  <w:pPr>
                    <w:pStyle w:val="159"/>
                  </w:pPr>
                  <w:r>
                    <w:t>70</w:t>
                  </w:r>
                </w:p>
              </w:tc>
              <w:tc>
                <w:tcPr>
                  <w:tcW w:w="1719" w:type="pct"/>
                  <w:shd w:val="clear" w:color="auto" w:fill="auto"/>
                  <w:vAlign w:val="center"/>
                </w:tcPr>
                <w:p w14:paraId="568AACD8">
                  <w:pPr>
                    <w:pStyle w:val="159"/>
                  </w:pPr>
                  <w:r>
                    <w:t>55</w:t>
                  </w:r>
                </w:p>
              </w:tc>
            </w:tr>
          </w:tbl>
          <w:p w14:paraId="5CE659C4">
            <w:pPr>
              <w:pStyle w:val="148"/>
            </w:pPr>
          </w:p>
          <w:p w14:paraId="2901010B">
            <w:pPr>
              <w:pStyle w:val="148"/>
            </w:pPr>
            <w:r>
              <w:rPr>
                <w:rFonts w:hint="eastAsia"/>
              </w:rPr>
              <w:t>表3</w:t>
            </w:r>
            <w:r>
              <w:t>.9-2   工业企业厂界环境噪声排放标准</w:t>
            </w:r>
            <w:r>
              <w:rPr>
                <w:rFonts w:hint="eastAsia"/>
              </w:rPr>
              <w:t xml:space="preserve">  </w:t>
            </w:r>
            <w:r>
              <w:t xml:space="preserve"> 单位：dB(A)</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1"/>
              <w:gridCol w:w="1874"/>
              <w:gridCol w:w="2916"/>
            </w:tblGrid>
            <w:tr w14:paraId="40C9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6" w:type="pct"/>
                  <w:vMerge w:val="restart"/>
                  <w:shd w:val="clear" w:color="auto" w:fill="auto"/>
                  <w:vAlign w:val="center"/>
                </w:tcPr>
                <w:p w14:paraId="2691BF9D">
                  <w:pPr>
                    <w:pStyle w:val="159"/>
                  </w:pPr>
                  <w:r>
                    <w:rPr>
                      <w:rFonts w:hint="eastAsia"/>
                    </w:rPr>
                    <w:t>场外声环境功能区类别</w:t>
                  </w:r>
                </w:p>
              </w:tc>
              <w:tc>
                <w:tcPr>
                  <w:tcW w:w="2824" w:type="pct"/>
                  <w:gridSpan w:val="2"/>
                  <w:shd w:val="clear" w:color="auto" w:fill="auto"/>
                  <w:vAlign w:val="center"/>
                </w:tcPr>
                <w:p w14:paraId="4070C1DA">
                  <w:pPr>
                    <w:pStyle w:val="159"/>
                  </w:pPr>
                  <w:r>
                    <w:rPr>
                      <w:rFonts w:hint="eastAsia"/>
                    </w:rPr>
                    <w:t>时段</w:t>
                  </w:r>
                </w:p>
              </w:tc>
            </w:tr>
            <w:tr w14:paraId="3510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6" w:type="pct"/>
                  <w:vMerge w:val="continue"/>
                  <w:shd w:val="clear" w:color="auto" w:fill="auto"/>
                  <w:vAlign w:val="center"/>
                </w:tcPr>
                <w:p w14:paraId="11AD8CB4">
                  <w:pPr>
                    <w:pStyle w:val="159"/>
                  </w:pPr>
                </w:p>
              </w:tc>
              <w:tc>
                <w:tcPr>
                  <w:tcW w:w="1105" w:type="pct"/>
                  <w:shd w:val="clear" w:color="auto" w:fill="auto"/>
                  <w:vAlign w:val="center"/>
                </w:tcPr>
                <w:p w14:paraId="49FB9980">
                  <w:pPr>
                    <w:pStyle w:val="159"/>
                  </w:pPr>
                  <w:r>
                    <w:t>昼间</w:t>
                  </w:r>
                </w:p>
              </w:tc>
              <w:tc>
                <w:tcPr>
                  <w:tcW w:w="1719" w:type="pct"/>
                  <w:shd w:val="clear" w:color="auto" w:fill="auto"/>
                  <w:vAlign w:val="center"/>
                </w:tcPr>
                <w:p w14:paraId="543CA19C">
                  <w:pPr>
                    <w:pStyle w:val="159"/>
                  </w:pPr>
                  <w:r>
                    <w:t>夜间</w:t>
                  </w:r>
                </w:p>
              </w:tc>
            </w:tr>
            <w:tr w14:paraId="03EC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6" w:type="pct"/>
                  <w:shd w:val="clear" w:color="auto" w:fill="auto"/>
                  <w:vAlign w:val="center"/>
                </w:tcPr>
                <w:p w14:paraId="5E2BE4F3">
                  <w:pPr>
                    <w:pStyle w:val="159"/>
                  </w:pPr>
                  <w:r>
                    <w:t>2</w:t>
                  </w:r>
                  <w:r>
                    <w:rPr>
                      <w:rFonts w:hint="eastAsia"/>
                    </w:rPr>
                    <w:t>类</w:t>
                  </w:r>
                </w:p>
              </w:tc>
              <w:tc>
                <w:tcPr>
                  <w:tcW w:w="1105" w:type="pct"/>
                  <w:shd w:val="clear" w:color="auto" w:fill="auto"/>
                  <w:vAlign w:val="center"/>
                </w:tcPr>
                <w:p w14:paraId="54FB21DB">
                  <w:pPr>
                    <w:pStyle w:val="159"/>
                  </w:pPr>
                  <w:r>
                    <w:t>60</w:t>
                  </w:r>
                </w:p>
              </w:tc>
              <w:tc>
                <w:tcPr>
                  <w:tcW w:w="1719" w:type="pct"/>
                  <w:shd w:val="clear" w:color="auto" w:fill="auto"/>
                  <w:vAlign w:val="center"/>
                </w:tcPr>
                <w:p w14:paraId="414EB7C2">
                  <w:pPr>
                    <w:pStyle w:val="159"/>
                  </w:pPr>
                  <w:r>
                    <w:t>50</w:t>
                  </w:r>
                </w:p>
              </w:tc>
            </w:tr>
          </w:tbl>
          <w:p w14:paraId="1811B67D">
            <w:pPr>
              <w:pStyle w:val="3"/>
              <w:spacing w:line="240" w:lineRule="auto"/>
              <w:ind w:firstLine="480"/>
            </w:pPr>
            <w:bookmarkStart w:id="92" w:name="_Toc99093251"/>
            <w:bookmarkStart w:id="93" w:name="_Toc99090794"/>
            <w:bookmarkStart w:id="94" w:name="_Toc95916460"/>
          </w:p>
          <w:p w14:paraId="48746F29">
            <w:pPr>
              <w:pStyle w:val="6"/>
            </w:pPr>
            <w:r>
              <w:t>固体废弃物</w:t>
            </w:r>
            <w:bookmarkEnd w:id="92"/>
            <w:bookmarkEnd w:id="93"/>
            <w:bookmarkEnd w:id="94"/>
          </w:p>
          <w:p w14:paraId="35D94A9E">
            <w:pPr>
              <w:pStyle w:val="3"/>
              <w:ind w:firstLine="480"/>
            </w:pPr>
            <w:r>
              <w:t>本项目产生的生活垃圾</w:t>
            </w:r>
            <w:r>
              <w:rPr>
                <w:rFonts w:hint="eastAsia"/>
              </w:rPr>
              <w:t>集中收集后定期由环卫部门清运处置</w:t>
            </w:r>
            <w:r>
              <w:t>；一般</w:t>
            </w:r>
            <w:r>
              <w:rPr>
                <w:rFonts w:hint="eastAsia"/>
              </w:rPr>
              <w:t>工业固体废物</w:t>
            </w:r>
            <w:r>
              <w:t>执行《一般工业固体废物贮存和填埋污染控制标准》（GB18599-2020）</w:t>
            </w:r>
            <w:r>
              <w:rPr>
                <w:rFonts w:hint="eastAsia"/>
              </w:rPr>
              <w:t>要求</w:t>
            </w:r>
            <w:r>
              <w:t>；危险废物执行《危险废物贮存污染控制标准》（GB18597-2023）</w:t>
            </w:r>
            <w:r>
              <w:rPr>
                <w:rFonts w:hint="eastAsia"/>
              </w:rPr>
              <w:t>要求</w:t>
            </w:r>
            <w:r>
              <w:t>。</w:t>
            </w:r>
          </w:p>
        </w:tc>
      </w:tr>
      <w:tr w14:paraId="17F4AF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312" w:type="pct"/>
            <w:vAlign w:val="center"/>
          </w:tcPr>
          <w:p w14:paraId="49F039DF">
            <w:pPr>
              <w:pStyle w:val="86"/>
            </w:pPr>
            <w:r>
              <w:t>其他</w:t>
            </w:r>
          </w:p>
        </w:tc>
        <w:tc>
          <w:tcPr>
            <w:tcW w:w="4688" w:type="pct"/>
            <w:vAlign w:val="center"/>
          </w:tcPr>
          <w:p w14:paraId="1FE8F129">
            <w:pPr>
              <w:pStyle w:val="5"/>
            </w:pPr>
            <w:bookmarkStart w:id="95" w:name="_Toc99093252"/>
            <w:bookmarkStart w:id="96" w:name="_Toc99093535"/>
            <w:bookmarkStart w:id="97" w:name="_Toc99090795"/>
            <w:bookmarkStart w:id="98" w:name="_Toc95916461"/>
            <w:r>
              <w:t>总量控制指标</w:t>
            </w:r>
            <w:bookmarkEnd w:id="95"/>
            <w:bookmarkEnd w:id="96"/>
            <w:bookmarkEnd w:id="97"/>
            <w:bookmarkEnd w:id="98"/>
          </w:p>
          <w:p w14:paraId="24502667">
            <w:pPr>
              <w:pStyle w:val="3"/>
              <w:ind w:firstLine="480"/>
            </w:pPr>
            <w:r>
              <w:rPr>
                <w:rFonts w:hint="eastAsia"/>
              </w:rPr>
              <w:t>本项目为输变线路工程，项目建成后营运期仅有工频电磁场、噪声的影响，无废水、废气排放。因此，本项目不设置总量控制指标。</w:t>
            </w:r>
          </w:p>
          <w:p w14:paraId="1D51DC42">
            <w:pPr>
              <w:pStyle w:val="3"/>
              <w:ind w:firstLine="480"/>
            </w:pPr>
          </w:p>
          <w:p w14:paraId="33B2753A">
            <w:pPr>
              <w:pStyle w:val="3"/>
              <w:ind w:firstLine="480"/>
            </w:pPr>
          </w:p>
          <w:p w14:paraId="4F2AFC73">
            <w:pPr>
              <w:pStyle w:val="3"/>
              <w:ind w:firstLine="480"/>
            </w:pPr>
          </w:p>
          <w:p w14:paraId="15ED2D5F">
            <w:pPr>
              <w:pStyle w:val="3"/>
              <w:ind w:firstLine="480"/>
            </w:pPr>
          </w:p>
          <w:p w14:paraId="76ACBCBA">
            <w:pPr>
              <w:pStyle w:val="3"/>
              <w:ind w:firstLine="480"/>
            </w:pPr>
          </w:p>
          <w:p w14:paraId="450A255C">
            <w:pPr>
              <w:pStyle w:val="3"/>
              <w:ind w:firstLine="480"/>
            </w:pPr>
          </w:p>
          <w:p w14:paraId="17289021">
            <w:pPr>
              <w:pStyle w:val="3"/>
              <w:ind w:firstLine="480"/>
            </w:pPr>
          </w:p>
          <w:p w14:paraId="04A23151">
            <w:pPr>
              <w:pStyle w:val="3"/>
              <w:ind w:firstLine="480"/>
            </w:pPr>
          </w:p>
          <w:p w14:paraId="3ACE3844">
            <w:pPr>
              <w:pStyle w:val="3"/>
              <w:ind w:firstLine="480"/>
            </w:pPr>
          </w:p>
          <w:p w14:paraId="602A8FCC">
            <w:pPr>
              <w:pStyle w:val="3"/>
              <w:ind w:firstLine="480"/>
            </w:pPr>
          </w:p>
          <w:p w14:paraId="457D329C">
            <w:pPr>
              <w:pStyle w:val="3"/>
              <w:ind w:firstLine="480"/>
            </w:pPr>
          </w:p>
          <w:p w14:paraId="27400C84">
            <w:pPr>
              <w:pStyle w:val="3"/>
              <w:ind w:firstLine="480"/>
            </w:pPr>
          </w:p>
          <w:p w14:paraId="11B5127C">
            <w:pPr>
              <w:pStyle w:val="3"/>
              <w:ind w:firstLine="480"/>
            </w:pPr>
          </w:p>
          <w:p w14:paraId="1948E0FA">
            <w:pPr>
              <w:pStyle w:val="3"/>
              <w:ind w:firstLine="480"/>
            </w:pPr>
          </w:p>
          <w:p w14:paraId="467880DE"/>
        </w:tc>
      </w:tr>
    </w:tbl>
    <w:p w14:paraId="21061557">
      <w:pPr>
        <w:pStyle w:val="3"/>
        <w:ind w:firstLine="480"/>
        <w:rPr>
          <w:snapToGrid w:val="0"/>
        </w:rPr>
        <w:sectPr>
          <w:pgSz w:w="11906" w:h="16838"/>
          <w:pgMar w:top="1588" w:right="1361" w:bottom="1474" w:left="1474" w:header="1021" w:footer="851" w:gutter="0"/>
          <w:cols w:space="425" w:num="1"/>
          <w:docGrid w:linePitch="312" w:charSpace="0"/>
        </w:sectPr>
      </w:pPr>
    </w:p>
    <w:p w14:paraId="016D68E0">
      <w:pPr>
        <w:pStyle w:val="37"/>
        <w:jc w:val="center"/>
        <w:outlineLvl w:val="0"/>
        <w:rPr>
          <w:rFonts w:ascii="黑体" w:hAnsi="黑体" w:eastAsia="黑体"/>
          <w:snapToGrid w:val="0"/>
          <w:sz w:val="30"/>
          <w:szCs w:val="30"/>
        </w:rPr>
      </w:pPr>
      <w:bookmarkStart w:id="99" w:name="_Toc99093253"/>
      <w:bookmarkStart w:id="100" w:name="_Toc95916462"/>
      <w:bookmarkStart w:id="101" w:name="_Toc99090796"/>
      <w:bookmarkStart w:id="102" w:name="_Toc95916523"/>
      <w:bookmarkStart w:id="103" w:name="_Toc99093536"/>
      <w:bookmarkStart w:id="104" w:name="_Toc186810107"/>
      <w:r>
        <w:rPr>
          <w:rFonts w:hint="eastAsia" w:ascii="黑体" w:hAnsi="黑体" w:eastAsia="黑体"/>
          <w:snapToGrid w:val="0"/>
          <w:sz w:val="30"/>
          <w:szCs w:val="30"/>
        </w:rPr>
        <w:t>四、生态环境影响分析</w:t>
      </w:r>
      <w:bookmarkEnd w:id="99"/>
      <w:bookmarkEnd w:id="100"/>
      <w:bookmarkEnd w:id="101"/>
      <w:bookmarkEnd w:id="102"/>
      <w:bookmarkEnd w:id="103"/>
      <w:bookmarkEnd w:id="104"/>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51"/>
      </w:tblGrid>
      <w:tr w14:paraId="24C14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233" w:type="pct"/>
            <w:tcBorders>
              <w:bottom w:val="single" w:color="auto" w:sz="4" w:space="0"/>
            </w:tcBorders>
            <w:tcMar>
              <w:left w:w="28" w:type="dxa"/>
              <w:right w:w="28" w:type="dxa"/>
            </w:tcMar>
            <w:vAlign w:val="center"/>
          </w:tcPr>
          <w:p w14:paraId="5D5D0AAD">
            <w:pPr>
              <w:pStyle w:val="86"/>
            </w:pPr>
            <w:bookmarkStart w:id="105" w:name="_Hlk49796138"/>
            <w:r>
              <w:rPr>
                <w:rFonts w:hint="eastAsia"/>
              </w:rPr>
              <w:t>施工期生态环境影响分析</w:t>
            </w:r>
            <w:bookmarkEnd w:id="105"/>
          </w:p>
        </w:tc>
        <w:tc>
          <w:tcPr>
            <w:tcW w:w="4767" w:type="pct"/>
            <w:tcBorders>
              <w:bottom w:val="single" w:color="auto" w:sz="4" w:space="0"/>
            </w:tcBorders>
            <w:vAlign w:val="center"/>
          </w:tcPr>
          <w:p w14:paraId="556F7C9E">
            <w:pPr>
              <w:pStyle w:val="2"/>
            </w:pPr>
            <w:bookmarkStart w:id="106" w:name="_Toc99090797"/>
            <w:bookmarkStart w:id="107" w:name="_Toc95916463"/>
            <w:bookmarkStart w:id="108" w:name="_Toc99093254"/>
            <w:bookmarkStart w:id="109" w:name="_Toc95916524"/>
            <w:bookmarkStart w:id="110" w:name="_Toc99098750"/>
            <w:bookmarkStart w:id="111" w:name="_Toc99093537"/>
            <w:bookmarkStart w:id="112" w:name="_Toc166056882"/>
            <w:bookmarkStart w:id="113" w:name="_Toc186810108"/>
            <w:r>
              <w:rPr>
                <w:rFonts w:hint="eastAsia"/>
              </w:rPr>
              <w:t>生态环境影响分析</w:t>
            </w:r>
            <w:bookmarkEnd w:id="106"/>
            <w:bookmarkEnd w:id="107"/>
            <w:bookmarkEnd w:id="108"/>
            <w:bookmarkEnd w:id="109"/>
            <w:bookmarkEnd w:id="110"/>
            <w:bookmarkEnd w:id="111"/>
            <w:bookmarkEnd w:id="112"/>
            <w:bookmarkEnd w:id="113"/>
          </w:p>
          <w:p w14:paraId="2B8FF4E0">
            <w:pPr>
              <w:pStyle w:val="3"/>
              <w:ind w:firstLine="480"/>
            </w:pPr>
            <w:r>
              <w:rPr>
                <w:rFonts w:hint="eastAsia"/>
              </w:rPr>
              <w:t>已审批的《湖南省江华湾水源抽水蓄能电站项目环境影响报告书》已中对110kV基地源变电站建设（非辐射部分）施工期、营运期进行了环境影响评价，本次环评中110kV基地源变电站部分的环境影响分析仅对其电磁辐射环境影响进行分析评价。</w:t>
            </w:r>
          </w:p>
          <w:p w14:paraId="6F783FB9">
            <w:pPr>
              <w:pStyle w:val="5"/>
            </w:pPr>
            <w:r>
              <w:rPr>
                <w:rFonts w:hint="eastAsia"/>
              </w:rPr>
              <w:t>施工期生态环境影响分析</w:t>
            </w:r>
            <w:r>
              <w:t xml:space="preserve"> </w:t>
            </w:r>
          </w:p>
          <w:p w14:paraId="374E9585">
            <w:pPr>
              <w:pStyle w:val="6"/>
            </w:pPr>
            <w:r>
              <w:rPr>
                <w:rFonts w:hint="eastAsia"/>
              </w:rPr>
              <w:t>产污环节分析</w:t>
            </w:r>
          </w:p>
          <w:p w14:paraId="57E41367">
            <w:pPr>
              <w:pStyle w:val="3"/>
              <w:ind w:firstLine="480"/>
            </w:pPr>
            <w:r>
              <w:rPr>
                <w:rFonts w:hint="eastAsia"/>
              </w:rPr>
              <w:t>输电线路工程施工期基础施工、杆塔组立等过程中若不采取有效的防治措施可能产生生态、扬尘、噪声、废污水以及固体废物等影响。</w:t>
            </w:r>
          </w:p>
          <w:p w14:paraId="052EDED5">
            <w:pPr>
              <w:pStyle w:val="3"/>
              <w:ind w:firstLine="480"/>
            </w:pPr>
            <w:r>
              <w:rPr>
                <w:rFonts w:hint="eastAsia"/>
              </w:rPr>
              <w:t>变电站间隔扩建工程施工期土建施工、设备安装等过程中若不采取有效的防治措施可能产生扬尘、施工噪声、废污水、固体废物等影响。</w:t>
            </w:r>
          </w:p>
          <w:p w14:paraId="79DC5AB6">
            <w:pPr>
              <w:pStyle w:val="159"/>
            </w:pPr>
            <w:r>
              <mc:AlternateContent>
                <mc:Choice Requires="wps">
                  <w:drawing>
                    <wp:anchor distT="0" distB="0" distL="114300" distR="114300" simplePos="0" relativeHeight="251661312" behindDoc="0" locked="0" layoutInCell="1" allowOverlap="1">
                      <wp:simplePos x="0" y="0"/>
                      <wp:positionH relativeFrom="column">
                        <wp:posOffset>157480</wp:posOffset>
                      </wp:positionH>
                      <wp:positionV relativeFrom="paragraph">
                        <wp:posOffset>10795</wp:posOffset>
                      </wp:positionV>
                      <wp:extent cx="4667250" cy="23495"/>
                      <wp:effectExtent l="0" t="0" r="19050" b="33655"/>
                      <wp:wrapNone/>
                      <wp:docPr id="10" name="直接连接符 10"/>
                      <wp:cNvGraphicFramePr/>
                      <a:graphic xmlns:a="http://schemas.openxmlformats.org/drawingml/2006/main">
                        <a:graphicData uri="http://schemas.microsoft.com/office/word/2010/wordprocessingShape">
                          <wps:wsp>
                            <wps:cNvCnPr/>
                            <wps:spPr>
                              <a:xfrm flipV="1">
                                <a:off x="0" y="0"/>
                                <a:ext cx="4667250" cy="2349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4pt;margin-top:0.85pt;height:1.85pt;width:367.5pt;z-index:251661312;mso-width-relative:page;mso-height-relative:page;" filled="f" stroked="t" coordsize="21600,21600" o:gfxdata="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m8iANUAAAAGAQAADwAAAAAAAAABACAAAAAiAAAAZHJzL2Rvd25yZXYueG1sUEsBAhQAFAAAAAgA&#10;h07iQE5+1V/vAQAAwQMAAA4AAAAAAAAAAQAgAAAAJAEAAGRycy9lMm9Eb2MueG1sUEsFBgAAAAAG&#10;AAYAWQEAAIUFAAAAAA==&#10;">
                      <v:fill on="f" focussize="0,0"/>
                      <v:stroke weight="1pt" color="#000000 [3213]" miterlimit="8" joinstyle="miter" dashstyle="dash"/>
                      <v:imagedata o:title=""/>
                      <o:lock v:ext="edit" aspectratio="f"/>
                    </v:line>
                  </w:pict>
                </mc:Fallback>
              </mc:AlternateContent>
            </w:r>
            <w:r>
              <w:drawing>
                <wp:inline distT="0" distB="0" distL="0" distR="0">
                  <wp:extent cx="4694555" cy="26066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rcRect t="16251"/>
                          <a:stretch>
                            <a:fillRect/>
                          </a:stretch>
                        </pic:blipFill>
                        <pic:spPr>
                          <a:xfrm>
                            <a:off x="0" y="0"/>
                            <a:ext cx="4753758" cy="2639345"/>
                          </a:xfrm>
                          <a:prstGeom prst="rect">
                            <a:avLst/>
                          </a:prstGeom>
                          <a:ln>
                            <a:noFill/>
                          </a:ln>
                        </pic:spPr>
                      </pic:pic>
                    </a:graphicData>
                  </a:graphic>
                </wp:inline>
              </w:drawing>
            </w:r>
          </w:p>
          <w:p w14:paraId="5D8B5C0D">
            <w:pPr>
              <w:pStyle w:val="148"/>
            </w:pPr>
            <w:r>
              <w:rPr>
                <w:rFonts w:hint="eastAsia"/>
              </w:rPr>
              <w:t>图4</w:t>
            </w:r>
            <w:r>
              <w:t xml:space="preserve">.1-1  </w:t>
            </w:r>
            <w:r>
              <w:rPr>
                <w:rFonts w:hint="eastAsia"/>
              </w:rPr>
              <w:t>架空输电线路施工期工艺流程及产污节点图</w:t>
            </w:r>
          </w:p>
          <w:p w14:paraId="32F1B620">
            <w:pPr>
              <w:pStyle w:val="148"/>
            </w:pPr>
            <w:r>
              <mc:AlternateContent>
                <mc:Choice Requires="wpg">
                  <w:drawing>
                    <wp:inline distT="0" distB="0" distL="0" distR="0">
                      <wp:extent cx="3540760" cy="1597660"/>
                      <wp:effectExtent l="0" t="0" r="21590" b="21590"/>
                      <wp:docPr id="45" name="组合 45"/>
                      <wp:cNvGraphicFramePr/>
                      <a:graphic xmlns:a="http://schemas.openxmlformats.org/drawingml/2006/main">
                        <a:graphicData uri="http://schemas.microsoft.com/office/word/2010/wordprocessingGroup">
                          <wpg:wgp>
                            <wpg:cNvGrpSpPr/>
                            <wpg:grpSpPr>
                              <a:xfrm>
                                <a:off x="0" y="0"/>
                                <a:ext cx="3540760" cy="1597660"/>
                                <a:chOff x="-270627" y="0"/>
                                <a:chExt cx="3526849" cy="1784324"/>
                              </a:xfrm>
                            </wpg:grpSpPr>
                            <wps:wsp>
                              <wps:cNvPr id="18" name="矩形 18"/>
                              <wps:cNvSpPr/>
                              <wps:spPr>
                                <a:xfrm>
                                  <a:off x="-270627" y="0"/>
                                  <a:ext cx="3526849" cy="51181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43A53">
                                    <w:pPr>
                                      <w:jc w:val="center"/>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场地清理</w:t>
                                    </w:r>
                                    <w:r>
                                      <w:rPr>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14:textFill>
                                          <w14:solidFill>
                                            <w14:schemeClr w14:val="tx1">
                                              <w14:lumMod w14:val="95000"/>
                                              <w14:lumOff w14:val="5000"/>
                                            </w14:schemeClr>
                                          </w14:solidFill>
                                        </w14:textFill>
                                      </w:rPr>
                                      <w:t>土建</w:t>
                                    </w:r>
                                    <w:r>
                                      <w:rPr>
                                        <w:color w:val="0D0D0D" w:themeColor="text1" w:themeTint="F2"/>
                                        <w:sz w:val="24"/>
                                        <w:szCs w:val="24"/>
                                        <w14:textFill>
                                          <w14:solidFill>
                                            <w14:schemeClr w14:val="tx1">
                                              <w14:lumMod w14:val="95000"/>
                                              <w14:lumOff w14:val="5000"/>
                                            </w14:schemeClr>
                                          </w14:solidFill>
                                        </w14:textFill>
                                      </w:rPr>
                                      <w:t>施工→设备安装</w:t>
                                    </w:r>
                                    <w:r>
                                      <w:rPr>
                                        <w:rFonts w:hint="eastAsia"/>
                                        <w:color w:val="0D0D0D" w:themeColor="text1" w:themeTint="F2"/>
                                        <w:sz w:val="24"/>
                                        <w:szCs w:val="24"/>
                                        <w14:textFill>
                                          <w14:solidFill>
                                            <w14:schemeClr w14:val="tx1">
                                              <w14:lumMod w14:val="95000"/>
                                              <w14:lumOff w14:val="5000"/>
                                            </w14:schemeClr>
                                          </w14:solidFill>
                                        </w14:textFill>
                                      </w:rPr>
                                      <w:t>/电缆</w:t>
                                    </w:r>
                                    <w:r>
                                      <w:rPr>
                                        <w:color w:val="0D0D0D" w:themeColor="text1" w:themeTint="F2"/>
                                        <w:sz w:val="24"/>
                                        <w:szCs w:val="24"/>
                                        <w14:textFill>
                                          <w14:solidFill>
                                            <w14:schemeClr w14:val="tx1">
                                              <w14:lumMod w14:val="95000"/>
                                              <w14:lumOff w14:val="5000"/>
                                            </w14:schemeClr>
                                          </w14:solidFill>
                                        </w14:textFill>
                                      </w:rPr>
                                      <w:t>敷设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21"/>
                              <wps:cNvSpPr/>
                              <wps:spPr>
                                <a:xfrm>
                                  <a:off x="256032" y="899769"/>
                                  <a:ext cx="321310" cy="8845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20B18">
                                    <w:pPr>
                                      <w:jc w:val="center"/>
                                      <w:rPr>
                                        <w:color w:val="0D0D0D" w:themeColor="text1" w:themeTint="F2"/>
                                        <w:sz w:val="22"/>
                                        <w:szCs w:val="24"/>
                                        <w14:textFill>
                                          <w14:solidFill>
                                            <w14:schemeClr w14:val="tx1">
                                              <w14:lumMod w14:val="95000"/>
                                              <w14:lumOff w14:val="5000"/>
                                            </w14:schemeClr>
                                          </w14:solidFill>
                                        </w14:textFill>
                                      </w:rPr>
                                    </w:pPr>
                                    <w:r>
                                      <w:rPr>
                                        <w:rFonts w:hint="eastAsia"/>
                                        <w:color w:val="0D0D0D" w:themeColor="text1" w:themeTint="F2"/>
                                        <w:sz w:val="22"/>
                                        <w:szCs w:val="24"/>
                                        <w14:textFill>
                                          <w14:solidFill>
                                            <w14:schemeClr w14:val="tx1">
                                              <w14:lumMod w14:val="95000"/>
                                              <w14:lumOff w14:val="5000"/>
                                            </w14:schemeClr>
                                          </w14:solidFill>
                                        </w14:textFill>
                                      </w:rPr>
                                      <w:t>施工</w:t>
                                    </w:r>
                                    <w:r>
                                      <w:rPr>
                                        <w:color w:val="0D0D0D" w:themeColor="text1" w:themeTint="F2"/>
                                        <w:sz w:val="22"/>
                                        <w:szCs w:val="24"/>
                                        <w14:textFill>
                                          <w14:solidFill>
                                            <w14:schemeClr w14:val="tx1">
                                              <w14:lumMod w14:val="95000"/>
                                              <w14:lumOff w14:val="5000"/>
                                            </w14:schemeClr>
                                          </w14:solidFill>
                                        </w14:textFill>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24"/>
                              <wps:cNvSpPr/>
                              <wps:spPr>
                                <a:xfrm>
                                  <a:off x="1316736" y="899769"/>
                                  <a:ext cx="321310" cy="8845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3E572">
                                    <w:pPr>
                                      <w:jc w:val="center"/>
                                      <w:rPr>
                                        <w:color w:val="0D0D0D" w:themeColor="text1" w:themeTint="F2"/>
                                        <w:sz w:val="22"/>
                                        <w:szCs w:val="24"/>
                                        <w14:textFill>
                                          <w14:solidFill>
                                            <w14:schemeClr w14:val="tx1">
                                              <w14:lumMod w14:val="95000"/>
                                              <w14:lumOff w14:val="5000"/>
                                            </w14:schemeClr>
                                          </w14:solidFill>
                                        </w14:textFill>
                                      </w:rPr>
                                    </w:pPr>
                                    <w:r>
                                      <w:rPr>
                                        <w:rFonts w:hint="eastAsia"/>
                                        <w:color w:val="0D0D0D" w:themeColor="text1" w:themeTint="F2"/>
                                        <w:sz w:val="22"/>
                                        <w:szCs w:val="24"/>
                                        <w14:textFill>
                                          <w14:solidFill>
                                            <w14:schemeClr w14:val="tx1">
                                              <w14:lumMod w14:val="95000"/>
                                              <w14:lumOff w14:val="5000"/>
                                            </w14:schemeClr>
                                          </w14:solidFill>
                                        </w14:textFill>
                                      </w:rPr>
                                      <w:t>施工扬尘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矩形 25"/>
                              <wps:cNvSpPr/>
                              <wps:spPr>
                                <a:xfrm>
                                  <a:off x="2296972" y="899769"/>
                                  <a:ext cx="321310" cy="8845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8C4A0">
                                    <w:pPr>
                                      <w:jc w:val="center"/>
                                      <w:rPr>
                                        <w:color w:val="0D0D0D" w:themeColor="text1" w:themeTint="F2"/>
                                        <w:sz w:val="22"/>
                                        <w:szCs w:val="24"/>
                                        <w14:textFill>
                                          <w14:solidFill>
                                            <w14:schemeClr w14:val="tx1">
                                              <w14:lumMod w14:val="95000"/>
                                              <w14:lumOff w14:val="5000"/>
                                            </w14:schemeClr>
                                          </w14:solidFill>
                                        </w14:textFill>
                                      </w:rPr>
                                    </w:pPr>
                                    <w:r>
                                      <w:rPr>
                                        <w:rFonts w:hint="eastAsia"/>
                                        <w:color w:val="0D0D0D" w:themeColor="text1" w:themeTint="F2"/>
                                        <w:sz w:val="22"/>
                                        <w:szCs w:val="24"/>
                                        <w14:textFill>
                                          <w14:solidFill>
                                            <w14:schemeClr w14:val="tx1">
                                              <w14:lumMod w14:val="95000"/>
                                              <w14:lumOff w14:val="5000"/>
                                            </w14:schemeClr>
                                          </w14:solidFill>
                                        </w14:textFill>
                                      </w:rPr>
                                      <w:t>固体废物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直接箭头连接符 27"/>
                              <wps:cNvCnPr/>
                              <wps:spPr>
                                <a:xfrm>
                                  <a:off x="409651" y="519379"/>
                                  <a:ext cx="0" cy="36576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wps:spPr>
                                <a:xfrm>
                                  <a:off x="1470355" y="519379"/>
                                  <a:ext cx="0" cy="36576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9" name="直接箭头连接符 29"/>
                              <wps:cNvCnPr/>
                              <wps:spPr>
                                <a:xfrm>
                                  <a:off x="2450592" y="519379"/>
                                  <a:ext cx="0" cy="36576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style="height:125.8pt;width:278.8pt;" coordorigin="-270627,0" coordsize="3526849,1784324" o:gfxdata="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tJwbNtYAAAAFAQAADwAAAAAAAAABACAAAAAiAAAA&#10;ZHJzL2Rvd25yZXYueG1sUEsBAhQAFAAAAAgAh07iQGacUehDBAAA6xUAAA4AAAAAAAAAAQAgAAAA&#10;JQEAAGRycy9lMm9Eb2MueG1sUEsFBgAAAAAGAAYAWQEAANoHAAAAAA==&#10;">
                      <o:lock v:ext="edit" aspectratio="f"/>
                      <v:rect id="_x0000_s1026" o:spid="_x0000_s1026" o:spt="1" style="position:absolute;left:-270627;top:0;height:511810;width:3526849;v-text-anchor:middle;" fillcolor="#FFFFFF [3212]" filled="t" stroked="t" coordsize="21600,21600" o:gfxdata="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XntG/&#10;AAAA2wAAAA8AAAAAAAAAAQAgAAAAIgAAAGRycy9kb3ducmV2LnhtbFBLAQIUABQAAAAIAIdO4kAz&#10;LwWeOwAAADkAAAAQAAAAAAAAAAEAIAAAAA4BAABkcnMvc2hhcGV4bWwueG1sUEsFBgAAAAAGAAYA&#10;WwEAALgDAAAAAA==&#10;">
                        <v:fill on="t" focussize="0,0"/>
                        <v:stroke color="#000000 [3213]" miterlimit="8" joinstyle="miter"/>
                        <v:imagedata o:title=""/>
                        <o:lock v:ext="edit" aspectratio="f"/>
                        <v:textbox>
                          <w:txbxContent>
                            <w:p w14:paraId="6A643A53">
                              <w:pPr>
                                <w:jc w:val="center"/>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场地清理</w:t>
                              </w:r>
                              <w:r>
                                <w:rPr>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14:textFill>
                                    <w14:solidFill>
                                      <w14:schemeClr w14:val="tx1">
                                        <w14:lumMod w14:val="95000"/>
                                        <w14:lumOff w14:val="5000"/>
                                      </w14:schemeClr>
                                    </w14:solidFill>
                                  </w14:textFill>
                                </w:rPr>
                                <w:t>土建</w:t>
                              </w:r>
                              <w:r>
                                <w:rPr>
                                  <w:color w:val="0D0D0D" w:themeColor="text1" w:themeTint="F2"/>
                                  <w:sz w:val="24"/>
                                  <w:szCs w:val="24"/>
                                  <w14:textFill>
                                    <w14:solidFill>
                                      <w14:schemeClr w14:val="tx1">
                                        <w14:lumMod w14:val="95000"/>
                                        <w14:lumOff w14:val="5000"/>
                                      </w14:schemeClr>
                                    </w14:solidFill>
                                  </w14:textFill>
                                </w:rPr>
                                <w:t>施工→设备安装</w:t>
                              </w:r>
                              <w:r>
                                <w:rPr>
                                  <w:rFonts w:hint="eastAsia"/>
                                  <w:color w:val="0D0D0D" w:themeColor="text1" w:themeTint="F2"/>
                                  <w:sz w:val="24"/>
                                  <w:szCs w:val="24"/>
                                  <w14:textFill>
                                    <w14:solidFill>
                                      <w14:schemeClr w14:val="tx1">
                                        <w14:lumMod w14:val="95000"/>
                                        <w14:lumOff w14:val="5000"/>
                                      </w14:schemeClr>
                                    </w14:solidFill>
                                  </w14:textFill>
                                </w:rPr>
                                <w:t>/电缆</w:t>
                              </w:r>
                              <w:r>
                                <w:rPr>
                                  <w:color w:val="0D0D0D" w:themeColor="text1" w:themeTint="F2"/>
                                  <w:sz w:val="24"/>
                                  <w:szCs w:val="24"/>
                                  <w14:textFill>
                                    <w14:solidFill>
                                      <w14:schemeClr w14:val="tx1">
                                        <w14:lumMod w14:val="95000"/>
                                        <w14:lumOff w14:val="5000"/>
                                      </w14:schemeClr>
                                    </w14:solidFill>
                                  </w14:textFill>
                                </w:rPr>
                                <w:t>敷设</w:t>
                              </w:r>
                            </w:p>
                          </w:txbxContent>
                        </v:textbox>
                      </v:rect>
                      <v:rect id="_x0000_s1026" o:spid="_x0000_s1026" o:spt="1" style="position:absolute;left:256032;top:899769;height:884555;width:321310;v-text-anchor:middle;" fillcolor="#FFFFFF [3212]" filled="t" stroked="t" coordsize="21600,21600" o:gfxdata="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AXsb4A&#10;AADbAAAADwAAAAAAAAABACAAAAAiAAAAZHJzL2Rvd25yZXYueG1sUEsBAhQAFAAAAAgAh07iQDMv&#10;BZ47AAAAOQAAABAAAAAAAAAAAQAgAAAADQEAAGRycy9zaGFwZXhtbC54bWxQSwUGAAAAAAYABgBb&#10;AQAAtwMAAAAA&#10;">
                        <v:fill on="t" focussize="0,0"/>
                        <v:stroke weight="0.5pt" color="#000000 [3213]" miterlimit="8" joinstyle="miter"/>
                        <v:imagedata o:title=""/>
                        <o:lock v:ext="edit" aspectratio="f"/>
                        <v:textbox>
                          <w:txbxContent>
                            <w:p w14:paraId="18B20B18">
                              <w:pPr>
                                <w:jc w:val="center"/>
                                <w:rPr>
                                  <w:color w:val="0D0D0D" w:themeColor="text1" w:themeTint="F2"/>
                                  <w:sz w:val="22"/>
                                  <w:szCs w:val="24"/>
                                  <w14:textFill>
                                    <w14:solidFill>
                                      <w14:schemeClr w14:val="tx1">
                                        <w14:lumMod w14:val="95000"/>
                                        <w14:lumOff w14:val="5000"/>
                                      </w14:schemeClr>
                                    </w14:solidFill>
                                  </w14:textFill>
                                </w:rPr>
                              </w:pPr>
                              <w:r>
                                <w:rPr>
                                  <w:rFonts w:hint="eastAsia"/>
                                  <w:color w:val="0D0D0D" w:themeColor="text1" w:themeTint="F2"/>
                                  <w:sz w:val="22"/>
                                  <w:szCs w:val="24"/>
                                  <w14:textFill>
                                    <w14:solidFill>
                                      <w14:schemeClr w14:val="tx1">
                                        <w14:lumMod w14:val="95000"/>
                                        <w14:lumOff w14:val="5000"/>
                                      </w14:schemeClr>
                                    </w14:solidFill>
                                  </w14:textFill>
                                </w:rPr>
                                <w:t>施工</w:t>
                              </w:r>
                              <w:r>
                                <w:rPr>
                                  <w:color w:val="0D0D0D" w:themeColor="text1" w:themeTint="F2"/>
                                  <w:sz w:val="22"/>
                                  <w:szCs w:val="24"/>
                                  <w14:textFill>
                                    <w14:solidFill>
                                      <w14:schemeClr w14:val="tx1">
                                        <w14:lumMod w14:val="95000"/>
                                        <w14:lumOff w14:val="5000"/>
                                      </w14:schemeClr>
                                    </w14:solidFill>
                                  </w14:textFill>
                                </w:rPr>
                                <w:t>噪声</w:t>
                              </w:r>
                            </w:p>
                          </w:txbxContent>
                        </v:textbox>
                      </v:rect>
                      <v:rect id="_x0000_s1026" o:spid="_x0000_s1026" o:spt="1" style="position:absolute;left:1316736;top:899769;height:884555;width:321310;v-text-anchor:middle;" fillcolor="#FFFFFF [3212]" filled="t" stroked="t" coordsize="21600,21600" o:gfxdata="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3tCm8AAAA&#10;2wAAAA8AAAAAAAAAAQAgAAAAIgAAAGRycy9kb3ducmV2LnhtbFBLAQIUABQAAAAIAIdO4kAzLwWe&#10;OwAAADkAAAAQAAAAAAAAAAEAIAAAAAsBAABkcnMvc2hhcGV4bWwueG1sUEsFBgAAAAAGAAYAWwEA&#10;ALUDAAAAAA==&#10;">
                        <v:fill on="t" focussize="0,0"/>
                        <v:stroke weight="0.5pt" color="#000000 [3213]" miterlimit="8" joinstyle="miter"/>
                        <v:imagedata o:title=""/>
                        <o:lock v:ext="edit" aspectratio="f"/>
                        <v:textbox>
                          <w:txbxContent>
                            <w:p w14:paraId="1DC3E572">
                              <w:pPr>
                                <w:jc w:val="center"/>
                                <w:rPr>
                                  <w:color w:val="0D0D0D" w:themeColor="text1" w:themeTint="F2"/>
                                  <w:sz w:val="22"/>
                                  <w:szCs w:val="24"/>
                                  <w14:textFill>
                                    <w14:solidFill>
                                      <w14:schemeClr w14:val="tx1">
                                        <w14:lumMod w14:val="95000"/>
                                        <w14:lumOff w14:val="5000"/>
                                      </w14:schemeClr>
                                    </w14:solidFill>
                                  </w14:textFill>
                                </w:rPr>
                              </w:pPr>
                              <w:r>
                                <w:rPr>
                                  <w:rFonts w:hint="eastAsia"/>
                                  <w:color w:val="0D0D0D" w:themeColor="text1" w:themeTint="F2"/>
                                  <w:sz w:val="22"/>
                                  <w:szCs w:val="24"/>
                                  <w14:textFill>
                                    <w14:solidFill>
                                      <w14:schemeClr w14:val="tx1">
                                        <w14:lumMod w14:val="95000"/>
                                        <w14:lumOff w14:val="5000"/>
                                      </w14:schemeClr>
                                    </w14:solidFill>
                                  </w14:textFill>
                                </w:rPr>
                                <w:t>施工扬尘</w:t>
                              </w:r>
                            </w:p>
                          </w:txbxContent>
                        </v:textbox>
                      </v:rect>
                      <v:rect id="_x0000_s1026" o:spid="_x0000_s1026" o:spt="1" style="position:absolute;left:2296972;top:899769;height:884555;width:321310;v-text-anchor:middle;" fillcolor="#FFFFFF [3212]" filled="t" stroked="t" coordsize="21600,21600" o:gfxdata="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7EbK8AAAA&#10;2wAAAA8AAAAAAAAAAQAgAAAAIgAAAGRycy9kb3ducmV2LnhtbFBLAQIUABQAAAAIAIdO4kAzLwWe&#10;OwAAADkAAAAQAAAAAAAAAAEAIAAAAAsBAABkcnMvc2hhcGV4bWwueG1sUEsFBgAAAAAGAAYAWwEA&#10;ALUDAAAAAA==&#10;">
                        <v:fill on="t" focussize="0,0"/>
                        <v:stroke weight="0.5pt" color="#000000 [3213]" miterlimit="8" joinstyle="miter"/>
                        <v:imagedata o:title=""/>
                        <o:lock v:ext="edit" aspectratio="f"/>
                        <v:textbox>
                          <w:txbxContent>
                            <w:p w14:paraId="6AF8C4A0">
                              <w:pPr>
                                <w:jc w:val="center"/>
                                <w:rPr>
                                  <w:color w:val="0D0D0D" w:themeColor="text1" w:themeTint="F2"/>
                                  <w:sz w:val="22"/>
                                  <w:szCs w:val="24"/>
                                  <w14:textFill>
                                    <w14:solidFill>
                                      <w14:schemeClr w14:val="tx1">
                                        <w14:lumMod w14:val="95000"/>
                                        <w14:lumOff w14:val="5000"/>
                                      </w14:schemeClr>
                                    </w14:solidFill>
                                  </w14:textFill>
                                </w:rPr>
                              </w:pPr>
                              <w:r>
                                <w:rPr>
                                  <w:rFonts w:hint="eastAsia"/>
                                  <w:color w:val="0D0D0D" w:themeColor="text1" w:themeTint="F2"/>
                                  <w:sz w:val="22"/>
                                  <w:szCs w:val="24"/>
                                  <w14:textFill>
                                    <w14:solidFill>
                                      <w14:schemeClr w14:val="tx1">
                                        <w14:lumMod w14:val="95000"/>
                                        <w14:lumOff w14:val="5000"/>
                                      </w14:schemeClr>
                                    </w14:solidFill>
                                  </w14:textFill>
                                </w:rPr>
                                <w:t>固体废物</w:t>
                              </w:r>
                            </w:p>
                          </w:txbxContent>
                        </v:textbox>
                      </v:rect>
                      <v:shape id="_x0000_s1026" o:spid="_x0000_s1026" o:spt="32" type="#_x0000_t32" style="position:absolute;left:409651;top:519379;height:365760;width:0;" filled="f" stroked="t" coordsize="21600,21600" o:gfxdata="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rsxvQAA&#10;ANsAAAAPAAAAAAAAAAEAIAAAACIAAABkcnMvZG93bnJldi54bWxQSwECFAAUAAAACACHTuJAMy8F&#10;njsAAAA5AAAAEAAAAAAAAAABACAAAAAMAQAAZHJzL3NoYXBleG1sLnhtbFBLBQYAAAAABgAGAFsB&#10;AAC2AwAAAAA=&#10;">
                        <v:fill on="f" focussize="0,0"/>
                        <v:stroke weight="0.5pt" color="#000000 [3213]" miterlimit="8" joinstyle="miter" dashstyle="dash" endarrow="block"/>
                        <v:imagedata o:title=""/>
                        <o:lock v:ext="edit" aspectratio="f"/>
                      </v:shape>
                      <v:shape id="_x0000_s1026" o:spid="_x0000_s1026" o:spt="32" type="#_x0000_t32" style="position:absolute;left:1470355;top:519379;height:365760;width:0;" filled="f" stroked="t" coordsize="21600,21600" o:gfxdata="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HS9DugAAANsA&#10;AAAPAAAAAAAAAAEAIAAAACIAAABkcnMvZG93bnJldi54bWxQSwECFAAUAAAACACHTuJAMy8FnjsA&#10;AAA5AAAAEAAAAAAAAAABACAAAAAJAQAAZHJzL3NoYXBleG1sLnhtbFBLBQYAAAAABgAGAFsBAACz&#10;AwAAAAA=&#10;">
                        <v:fill on="f" focussize="0,0"/>
                        <v:stroke weight="0.5pt" color="#000000 [3213]" miterlimit="8" joinstyle="miter" dashstyle="dash" endarrow="block"/>
                        <v:imagedata o:title=""/>
                        <o:lock v:ext="edit" aspectratio="f"/>
                      </v:shape>
                      <v:shape id="_x0000_s1026" o:spid="_x0000_s1026" o:spt="32" type="#_x0000_t32" style="position:absolute;left:2450592;top:519379;height:365760;width:0;" filled="f" stroked="t" coordsize="21600,21600" o:gfxdata="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UYrYvQAA&#10;ANsAAAAPAAAAAAAAAAEAIAAAACIAAABkcnMvZG93bnJldi54bWxQSwECFAAUAAAACACHTuJAMy8F&#10;njsAAAA5AAAAEAAAAAAAAAABACAAAAAMAQAAZHJzL3NoYXBleG1sLnhtbFBLBQYAAAAABgAGAFsB&#10;AAC2AwAAAAA=&#10;">
                        <v:fill on="f" focussize="0,0"/>
                        <v:stroke weight="0.5pt" color="#000000 [3213]" miterlimit="8" joinstyle="miter" dashstyle="dash" endarrow="block"/>
                        <v:imagedata o:title=""/>
                        <o:lock v:ext="edit" aspectratio="f"/>
                      </v:shape>
                      <w10:wrap type="none"/>
                      <w10:anchorlock/>
                    </v:group>
                  </w:pict>
                </mc:Fallback>
              </mc:AlternateContent>
            </w:r>
            <w:r>
              <w:rPr>
                <w:rFonts w:hint="eastAsia"/>
              </w:rPr>
              <w:t xml:space="preserve"> </w:t>
            </w:r>
          </w:p>
          <w:p w14:paraId="46E607ED">
            <w:pPr>
              <w:pStyle w:val="148"/>
            </w:pPr>
            <w:r>
              <w:rPr>
                <w:rFonts w:hint="eastAsia"/>
              </w:rPr>
              <w:t>图4</w:t>
            </w:r>
            <w:r>
              <w:t xml:space="preserve">.1-2  </w:t>
            </w:r>
            <w:r>
              <w:rPr>
                <w:rFonts w:hint="eastAsia"/>
              </w:rPr>
              <w:t>间隔扩建和地埋线路及产污节点图</w:t>
            </w:r>
          </w:p>
          <w:p w14:paraId="18D6186F">
            <w:pPr>
              <w:pStyle w:val="3"/>
              <w:ind w:firstLine="480"/>
            </w:pPr>
            <w:r>
              <w:rPr>
                <w:rFonts w:hint="eastAsia"/>
              </w:rPr>
              <w:t>本工程施工期主要污染源如下：</w:t>
            </w:r>
            <w:r>
              <w:t xml:space="preserve"> </w:t>
            </w:r>
          </w:p>
          <w:p w14:paraId="68740781">
            <w:pPr>
              <w:pStyle w:val="3"/>
              <w:ind w:firstLine="480"/>
            </w:pPr>
            <w:r>
              <w:rPr>
                <w:rFonts w:hint="eastAsia"/>
              </w:rPr>
              <w:t>（</w:t>
            </w:r>
            <w:r>
              <w:t>1</w:t>
            </w:r>
            <w:r>
              <w:rPr>
                <w:rFonts w:hint="eastAsia"/>
              </w:rPr>
              <w:t>）施工噪声：主要由施工机械产生。</w:t>
            </w:r>
            <w:r>
              <w:t xml:space="preserve"> </w:t>
            </w:r>
          </w:p>
          <w:p w14:paraId="4650CE02">
            <w:pPr>
              <w:pStyle w:val="3"/>
              <w:ind w:firstLine="480"/>
            </w:pPr>
            <w:r>
              <w:rPr>
                <w:rFonts w:hint="eastAsia"/>
              </w:rPr>
              <w:t>（</w:t>
            </w:r>
            <w:r>
              <w:t>2</w:t>
            </w:r>
            <w:r>
              <w:rPr>
                <w:rFonts w:hint="eastAsia"/>
              </w:rPr>
              <w:t>）施工扬尘：基础开挖、土方调运、混凝土拌和以及设备和材料运输过程中产生。</w:t>
            </w:r>
            <w:r>
              <w:t xml:space="preserve"> </w:t>
            </w:r>
          </w:p>
          <w:p w14:paraId="24FBFD04">
            <w:pPr>
              <w:pStyle w:val="3"/>
              <w:ind w:firstLine="480"/>
            </w:pPr>
            <w:r>
              <w:rPr>
                <w:rFonts w:hint="eastAsia"/>
              </w:rPr>
              <w:t>（</w:t>
            </w:r>
            <w:r>
              <w:t>3</w:t>
            </w:r>
            <w:r>
              <w:rPr>
                <w:rFonts w:hint="eastAsia"/>
              </w:rPr>
              <w:t>）施工废污水：施工废水及施工人员的生活污水。</w:t>
            </w:r>
            <w:r>
              <w:t xml:space="preserve"> </w:t>
            </w:r>
          </w:p>
          <w:p w14:paraId="72265792">
            <w:pPr>
              <w:pStyle w:val="3"/>
              <w:ind w:firstLine="480"/>
            </w:pPr>
            <w:r>
              <w:rPr>
                <w:rFonts w:hint="eastAsia"/>
              </w:rPr>
              <w:t>（</w:t>
            </w:r>
            <w:r>
              <w:t>4</w:t>
            </w:r>
            <w:r>
              <w:rPr>
                <w:rFonts w:hint="eastAsia"/>
              </w:rPr>
              <w:t>）固体废物：杆塔基础施工、间隔扩建工程基础施工及电缆沟和工作井施工可能产生的临时土方、建筑垃圾，线路架设、电缆敷设产生的废包装材料，施工人员生活垃圾等。</w:t>
            </w:r>
          </w:p>
          <w:p w14:paraId="1E6CDA0B">
            <w:pPr>
              <w:pStyle w:val="3"/>
              <w:ind w:firstLine="480"/>
            </w:pPr>
            <w:r>
              <w:rPr>
                <w:rFonts w:hint="eastAsia"/>
              </w:rPr>
              <w:t>（</w:t>
            </w:r>
            <w:r>
              <w:t>5</w:t>
            </w:r>
            <w:r>
              <w:rPr>
                <w:rFonts w:hint="eastAsia"/>
              </w:rPr>
              <w:t>）生态环境：基础施工占用土地、破坏植被以及由此带来的生态影响等。</w:t>
            </w:r>
          </w:p>
          <w:p w14:paraId="07C7D4E7">
            <w:pPr>
              <w:pStyle w:val="6"/>
            </w:pPr>
            <w:bookmarkStart w:id="114" w:name="_Toc95916469"/>
            <w:bookmarkStart w:id="115" w:name="_Toc99090803"/>
            <w:bookmarkStart w:id="116" w:name="_Toc99093260"/>
            <w:r>
              <w:t>施工期</w:t>
            </w:r>
            <w:r>
              <w:rPr>
                <w:rFonts w:hint="eastAsia"/>
              </w:rPr>
              <w:t>生态环境</w:t>
            </w:r>
            <w:r>
              <w:t>影响分析</w:t>
            </w:r>
            <w:bookmarkEnd w:id="114"/>
            <w:bookmarkEnd w:id="115"/>
            <w:bookmarkEnd w:id="116"/>
          </w:p>
          <w:p w14:paraId="7C6E973E">
            <w:pPr>
              <w:pStyle w:val="3"/>
              <w:ind w:firstLine="480"/>
            </w:pPr>
            <w:r>
              <w:rPr>
                <w:rFonts w:hint="eastAsia"/>
              </w:rPr>
              <w:t>本项目对生态环境的影响主要体现在施工开挖和施工活动对地表植被破坏、野生动物活动造成的影响</w:t>
            </w:r>
            <w:r>
              <w:t>。详见生态环境专项评价。</w:t>
            </w:r>
          </w:p>
          <w:p w14:paraId="6994663E">
            <w:pPr>
              <w:pStyle w:val="6"/>
            </w:pPr>
            <w:bookmarkStart w:id="117" w:name="_Toc95916465"/>
            <w:bookmarkStart w:id="118" w:name="_Toc99093256"/>
            <w:bookmarkStart w:id="119" w:name="_Toc99090799"/>
            <w:r>
              <w:t>施工期水环境影响分析</w:t>
            </w:r>
            <w:bookmarkEnd w:id="117"/>
            <w:bookmarkEnd w:id="118"/>
            <w:bookmarkEnd w:id="119"/>
          </w:p>
          <w:p w14:paraId="5D9F928B">
            <w:pPr>
              <w:pStyle w:val="3"/>
              <w:ind w:firstLine="480"/>
            </w:pPr>
            <w:bookmarkStart w:id="120" w:name="_Toc95916466"/>
            <w:bookmarkStart w:id="121" w:name="_Toc99090800"/>
            <w:bookmarkStart w:id="122" w:name="_Toc99093257"/>
            <w:r>
              <w:t>a</w:t>
            </w:r>
            <w:r>
              <w:rPr>
                <w:rFonts w:hint="eastAsia"/>
              </w:rPr>
              <w:t>）输电线路建设废水影响分析</w:t>
            </w:r>
            <w:r>
              <w:t xml:space="preserve"> </w:t>
            </w:r>
          </w:p>
          <w:p w14:paraId="1CC27E0A">
            <w:pPr>
              <w:pStyle w:val="3"/>
              <w:ind w:firstLine="480"/>
            </w:pPr>
            <w:r>
              <w:rPr>
                <w:rFonts w:hint="eastAsia"/>
              </w:rPr>
              <w:t>1）施工人员生活污水</w:t>
            </w:r>
          </w:p>
          <w:p w14:paraId="4DC5C79F">
            <w:pPr>
              <w:pStyle w:val="3"/>
              <w:ind w:firstLine="480"/>
            </w:pPr>
            <w:r>
              <w:rPr>
                <w:rFonts w:hint="eastAsia"/>
              </w:rPr>
              <w:t>输电线路施工现场沿拟建输电线路点状分布，乡村区域施工人员一般租用附近农户民房，不设置施工营地。产生的生活污水依托农户化粪池收集后用作农肥，对周边的水环境影响较小。</w:t>
            </w:r>
            <w:r>
              <w:t xml:space="preserve"> </w:t>
            </w:r>
          </w:p>
          <w:p w14:paraId="1F7628E0">
            <w:pPr>
              <w:pStyle w:val="3"/>
              <w:ind w:firstLine="480"/>
            </w:pPr>
            <w:r>
              <w:rPr>
                <w:rFonts w:hint="eastAsia"/>
              </w:rPr>
              <w:t>2）施工废水</w:t>
            </w:r>
          </w:p>
          <w:p w14:paraId="0CF89C24">
            <w:pPr>
              <w:pStyle w:val="3"/>
              <w:ind w:firstLine="480"/>
            </w:pPr>
            <w:r>
              <w:rPr>
                <w:rFonts w:hint="eastAsia"/>
              </w:rPr>
              <w:t>本工程输电线路施工废水主要包括混凝土养护可能产生的少量废水，经临时沉淀池自然沉淀处理后回用于施工区域喷洒抑尘等用途，不外排，不会对周围水环境产生不良影响。</w:t>
            </w:r>
          </w:p>
          <w:p w14:paraId="59774AF0">
            <w:pPr>
              <w:pStyle w:val="3"/>
              <w:ind w:firstLine="480"/>
            </w:pPr>
            <w:r>
              <w:rPr>
                <w:rFonts w:hint="eastAsia"/>
              </w:rPr>
              <w:t>3）施工场地汇水</w:t>
            </w:r>
          </w:p>
          <w:p w14:paraId="696B2764">
            <w:pPr>
              <w:pStyle w:val="3"/>
              <w:ind w:firstLine="480"/>
            </w:pPr>
            <w:r>
              <w:rPr>
                <w:rFonts w:hint="eastAsia"/>
              </w:rPr>
              <w:t>本项目塔基、牵张场施工将造成较地表裸露，自施工开始至施工场地覆土绿化之前，雨季期间雨水冲刷泥土，特别是施工遇暴雨将造成水土流失，泥土随雨水进入地表水体，将会导致附近地表水体中悬浮物浓度升高。因此，本环评建议尽量避免在雨季施工，工程施工时应及时夯实开挖面土层，施工开挖边坡在雨季用塑料布进行遮盖；建议在材料堆场和牵张场地四周设置截排水沟、沉淀池，雨水经沉淀后再排放。各施工区域完成施工后应及时进行植被恢复，以恢复其原有的水土保持功能，将场地汇水对周边水体的影响降至最低。</w:t>
            </w:r>
            <w:r>
              <w:t xml:space="preserve"> </w:t>
            </w:r>
          </w:p>
          <w:p w14:paraId="71684A39">
            <w:pPr>
              <w:pStyle w:val="3"/>
              <w:ind w:firstLine="480"/>
            </w:pPr>
            <w:r>
              <w:t>b</w:t>
            </w:r>
            <w:r>
              <w:rPr>
                <w:rFonts w:hint="eastAsia"/>
              </w:rPr>
              <w:t>）</w:t>
            </w:r>
            <w:r>
              <w:t>贝江110kV</w:t>
            </w:r>
            <w:r>
              <w:rPr>
                <w:rFonts w:hint="eastAsia"/>
              </w:rPr>
              <w:t>变电站扩建间隔水环境影响分析</w:t>
            </w:r>
            <w:r>
              <w:t xml:space="preserve"> </w:t>
            </w:r>
          </w:p>
          <w:p w14:paraId="48F46079">
            <w:pPr>
              <w:pStyle w:val="3"/>
              <w:ind w:firstLine="480"/>
            </w:pPr>
            <w:r>
              <w:t>贝江110kV</w:t>
            </w:r>
            <w:r>
              <w:rPr>
                <w:rFonts w:hint="eastAsia"/>
              </w:rPr>
              <w:t>变电站扩建间隔施工污水主要来自设备安装的工人的生活污水，充分利用贝江变电站已建成生活污水收集和消纳系统进行收集和消纳，对周边的水环境不会产生影响。</w:t>
            </w:r>
          </w:p>
          <w:p w14:paraId="7BAE857F">
            <w:pPr>
              <w:pStyle w:val="3"/>
              <w:ind w:firstLine="480"/>
            </w:pPr>
            <w:r>
              <w:rPr>
                <w:rFonts w:hint="eastAsia"/>
              </w:rPr>
              <w:t>综上分析，项目在施工过程的废水均得到有效处置，施工过程中产生的废水不会对周围水环境产生不良影响。</w:t>
            </w:r>
            <w:r>
              <w:t xml:space="preserve"> </w:t>
            </w:r>
          </w:p>
          <w:p w14:paraId="54E0E747">
            <w:pPr>
              <w:pStyle w:val="6"/>
            </w:pPr>
            <w:r>
              <w:t>施工期</w:t>
            </w:r>
            <w:r>
              <w:rPr>
                <w:rFonts w:hint="eastAsia"/>
              </w:rPr>
              <w:t>环境空气</w:t>
            </w:r>
            <w:r>
              <w:t>影响分析</w:t>
            </w:r>
            <w:bookmarkEnd w:id="120"/>
            <w:bookmarkEnd w:id="121"/>
            <w:bookmarkEnd w:id="122"/>
          </w:p>
          <w:p w14:paraId="54FF7281">
            <w:pPr>
              <w:pStyle w:val="3"/>
              <w:ind w:firstLine="480"/>
            </w:pPr>
            <w:r>
              <w:rPr>
                <w:rFonts w:hint="eastAsia"/>
              </w:rPr>
              <w:t>施工期环境空气污染源主要是施工扬尘和施工机械燃油废气。</w:t>
            </w:r>
          </w:p>
          <w:p w14:paraId="126B8983">
            <w:pPr>
              <w:pStyle w:val="3"/>
              <w:ind w:firstLine="480"/>
            </w:pPr>
            <w:r>
              <w:rPr>
                <w:rFonts w:hint="eastAsia"/>
              </w:rPr>
              <w:t>a）施工扬尘</w:t>
            </w:r>
          </w:p>
          <w:p w14:paraId="48E1BBA0">
            <w:pPr>
              <w:pStyle w:val="3"/>
              <w:ind w:firstLine="480"/>
            </w:pPr>
            <w:r>
              <w:rPr>
                <w:rFonts w:hint="eastAsia"/>
              </w:rPr>
              <w:t>扬尘主要来自贝江变电站场地清理、地基换填，电缆沟与工作开挖，塔基土建施工的场地平整、基础开挖等施工过程；此外，设备材料的运输装卸、施工现场内车辆行驶也会产生扬尘。</w:t>
            </w:r>
          </w:p>
          <w:p w14:paraId="2FC5E8C5">
            <w:pPr>
              <w:pStyle w:val="3"/>
              <w:ind w:firstLine="480"/>
            </w:pPr>
            <w:r>
              <w:rPr>
                <w:rFonts w:hint="eastAsia"/>
              </w:rPr>
              <w:t>变电站场地清理与地基换填、电缆沟与工作开挖等施工过程中因破坏了地表结构，易造成地面扬尘污染环境，扬尘的大小因施工现场工作条件、施工季节、施工阶段、管理水平、机械化程度及土质、天气条件的不同而差异较大。在大风天气，扬尘量及影响范围将有所扩大。贝江变电站周边无环境空气敏感目标分布，施工扬尘对周边环境影响不大。</w:t>
            </w:r>
          </w:p>
          <w:p w14:paraId="711EDDB9">
            <w:pPr>
              <w:pStyle w:val="3"/>
              <w:ind w:firstLine="480"/>
            </w:pPr>
            <w:r>
              <w:rPr>
                <w:rFonts w:hint="eastAsia"/>
              </w:rPr>
              <w:t>新建线路施工具有施工作业点分散、单塔施工量小、单位施工范围小、施工周期短的特点，扬尘污染主要集中在施工初期，输电线路的基础开挖会产生扬尘污染，特别是若遇久旱无雨的大风天气，扬尘污染更为突出。施工阶段的施工开挖、材料运输、电缆敷设过程、车辆运输等产生的粉尘短期内将使局部区域内空气中的总悬浮颗粒物明显增加。但这种施工所产生的粉尘颗粒粒径较大，一般超过</w:t>
            </w:r>
            <w:r>
              <w:t>100μm</w:t>
            </w:r>
            <w:r>
              <w:rPr>
                <w:rFonts w:hint="eastAsia"/>
              </w:rPr>
              <w:t>，因此在飞扬过程中沉降速度较大，很快能落至地面，所以其影响的范围比较小，局限在施工现场及附近。</w:t>
            </w:r>
            <w:r>
              <w:t>故施工扬尘可能对周围50m</w:t>
            </w:r>
            <w:r>
              <w:rPr>
                <w:rFonts w:hint="eastAsia"/>
              </w:rPr>
              <w:t>以内的局部地区产生暂时影响。本项目塔基施工区域5</w:t>
            </w:r>
            <w:r>
              <w:t>0m</w:t>
            </w:r>
            <w:r>
              <w:rPr>
                <w:rFonts w:hint="eastAsia"/>
              </w:rPr>
              <w:t>范围内无居民点等环境空气敏感目标，塔基施工对周边环境影响不大；湘江口材料堆场旁为农贸市场，建议在材料堆场周边设置围挡，运输车辆减速运行，以减少施工扬尘对周边环境的影响。</w:t>
            </w:r>
          </w:p>
          <w:p w14:paraId="41EB7D64">
            <w:pPr>
              <w:pStyle w:val="3"/>
              <w:ind w:firstLine="480"/>
            </w:pPr>
            <w:r>
              <w:t>b</w:t>
            </w:r>
            <w:r>
              <w:rPr>
                <w:rFonts w:hint="eastAsia"/>
              </w:rPr>
              <w:t>）施工机械燃油废气</w:t>
            </w:r>
            <w:r>
              <w:t xml:space="preserve"> </w:t>
            </w:r>
          </w:p>
          <w:p w14:paraId="1EB7D727">
            <w:pPr>
              <w:pStyle w:val="3"/>
              <w:ind w:firstLine="480"/>
            </w:pPr>
            <w:r>
              <w:rPr>
                <w:rFonts w:hint="eastAsia"/>
              </w:rPr>
              <w:t>主要来自于施工机械和车辆排放的尾气，主要是挖掘机和运输汽车等，它们以柴油、汽油为燃料，使用过程产生一定量废气，包括</w:t>
            </w:r>
            <w:r>
              <w:t>NOx</w:t>
            </w:r>
            <w:r>
              <w:rPr>
                <w:rFonts w:hint="eastAsia"/>
              </w:rPr>
              <w:t>、</w:t>
            </w:r>
            <w:r>
              <w:t>SO</w:t>
            </w:r>
            <w:r>
              <w:rPr>
                <w:sz w:val="16"/>
                <w:szCs w:val="16"/>
              </w:rPr>
              <w:t>2</w:t>
            </w:r>
            <w:r>
              <w:rPr>
                <w:rFonts w:hint="eastAsia"/>
              </w:rPr>
              <w:t>、烟尘等污染物。</w:t>
            </w:r>
            <w:r>
              <w:t xml:space="preserve"> </w:t>
            </w:r>
          </w:p>
          <w:p w14:paraId="223A26C0">
            <w:pPr>
              <w:pStyle w:val="3"/>
              <w:ind w:firstLine="480"/>
            </w:pPr>
            <w:r>
              <w:rPr>
                <w:rFonts w:hint="eastAsia"/>
              </w:rPr>
              <w:t>施工的燃油机械为间断作业，且使用数量不多，因此所排的燃油废气污染物仅对施工点的空气质量产生间断的较小不利影响，当建设期结束，此问题亦会消失。</w:t>
            </w:r>
          </w:p>
          <w:p w14:paraId="7C5C5575">
            <w:pPr>
              <w:pStyle w:val="6"/>
            </w:pPr>
            <w:bookmarkStart w:id="123" w:name="_Toc99093258"/>
            <w:bookmarkStart w:id="124" w:name="_Toc99090801"/>
            <w:bookmarkStart w:id="125" w:name="_Toc95916467"/>
            <w:r>
              <w:t>施工期声环境影响分析</w:t>
            </w:r>
            <w:bookmarkEnd w:id="123"/>
            <w:bookmarkEnd w:id="124"/>
            <w:bookmarkEnd w:id="125"/>
          </w:p>
          <w:p w14:paraId="794563A1">
            <w:pPr>
              <w:pStyle w:val="3"/>
              <w:ind w:firstLine="480"/>
            </w:pPr>
            <w:r>
              <w:rPr>
                <w:rFonts w:hint="eastAsia"/>
              </w:rPr>
              <w:t>a）噪声源</w:t>
            </w:r>
          </w:p>
          <w:p w14:paraId="20AB08C0">
            <w:pPr>
              <w:pStyle w:val="3"/>
              <w:ind w:firstLine="480"/>
            </w:pPr>
            <w:r>
              <w:rPr>
                <w:rFonts w:hint="eastAsia"/>
              </w:rPr>
              <w:t>输电线路施工期在杆塔基础开挖时挖土填方、基础施工等阶段中，主要噪声源有挖掘机、汽车等，这些施工设备运行时会产生噪声。另外，在架线过程中，各牵张场内的牵张机、绞磨机等设备也产生一定的机械噪声，线路施工噪声源声级值一般不超过</w:t>
            </w:r>
            <w:r>
              <w:t>85dB(A)</w:t>
            </w:r>
            <w:r>
              <w:rPr>
                <w:rFonts w:hint="eastAsia"/>
              </w:rPr>
              <w:t>。</w:t>
            </w:r>
          </w:p>
          <w:p w14:paraId="183075AC">
            <w:pPr>
              <w:pStyle w:val="3"/>
              <w:ind w:firstLine="480"/>
            </w:pPr>
            <w:r>
              <w:rPr>
                <w:rFonts w:hint="eastAsia"/>
              </w:rPr>
              <w:t>变电站间隔扩建工程，工程量较少，使用的机械设备较少，设备材料的运输量小，施工人员相比较新建工程要少得多，产生的噪声相对较小。工程施工期的噪声源主要是少量施工机械的运行噪声。</w:t>
            </w:r>
          </w:p>
          <w:p w14:paraId="5F188456">
            <w:pPr>
              <w:pStyle w:val="3"/>
              <w:ind w:firstLine="480"/>
              <w:rPr>
                <w:rFonts w:ascii="CIDFont+F3" w:eastAsia="CIDFont+F3" w:cs="CIDFont+F3"/>
              </w:rPr>
            </w:pPr>
            <w:r>
              <w:rPr>
                <w:rFonts w:hint="eastAsia"/>
              </w:rPr>
              <w:t>b）声环境影响分析</w:t>
            </w:r>
          </w:p>
          <w:p w14:paraId="4A99C95C">
            <w:pPr>
              <w:pStyle w:val="3"/>
              <w:ind w:firstLine="480"/>
              <w:rPr>
                <w:rFonts w:ascii="CIDFont+F3" w:eastAsia="CIDFont+F3" w:cs="CIDFont+F3"/>
              </w:rPr>
            </w:pPr>
            <w:r>
              <w:t>1</w:t>
            </w:r>
            <w:r>
              <w:rPr>
                <w:rFonts w:hint="eastAsia"/>
              </w:rPr>
              <w:t>）输电线路声环境影响分析</w:t>
            </w:r>
          </w:p>
          <w:p w14:paraId="56E57536">
            <w:pPr>
              <w:pStyle w:val="3"/>
              <w:ind w:firstLine="480"/>
              <w:rPr>
                <w:rFonts w:ascii="CIDFont+F3" w:eastAsia="CIDFont+F3" w:cs="CIDFont+F3"/>
              </w:rPr>
            </w:pPr>
            <w:r>
              <w:rPr>
                <w:rFonts w:hint="eastAsia"/>
              </w:rPr>
              <w:t>架空线路工程杆塔基础施工、杆塔组立和架线活动过程中，挖掘机、牵张机、绞磨机等机械施工噪声亦可能会对线路附近的环境敏感目标产生影响。但由于杆塔基础占地分散、单塔面积小、开挖量小，施工时间短，单位杆塔基础施工周期一般在</w:t>
            </w:r>
            <w:r>
              <w:t>2</w:t>
            </w:r>
            <w:r>
              <w:rPr>
                <w:rFonts w:hint="eastAsia"/>
              </w:rPr>
              <w:t>个月以内、施工作业时间一般在</w:t>
            </w:r>
            <w:r>
              <w:t>1</w:t>
            </w:r>
            <w:r>
              <w:rPr>
                <w:rFonts w:hint="eastAsia"/>
              </w:rPr>
              <w:t>周以内，且夜间一般不进行施工作业，对环境的影响是小范围的、短暂的，并随着施工期的结束，其对环境的影响也将随之消失，故对声环境影响较小。</w:t>
            </w:r>
          </w:p>
          <w:p w14:paraId="3BCE741B">
            <w:pPr>
              <w:pStyle w:val="3"/>
              <w:ind w:firstLine="480"/>
              <w:rPr>
                <w:rFonts w:ascii="CIDFont+F3" w:eastAsia="CIDFont+F3" w:cs="CIDFont+F3"/>
              </w:rPr>
            </w:pPr>
            <w:r>
              <w:t>2</w:t>
            </w:r>
            <w:r>
              <w:rPr>
                <w:rFonts w:hint="eastAsia"/>
              </w:rPr>
              <w:t>）变电站间隔扩建工程声环境影响分析</w:t>
            </w:r>
          </w:p>
          <w:p w14:paraId="01D1FD0E">
            <w:pPr>
              <w:pStyle w:val="3"/>
              <w:ind w:firstLine="480"/>
            </w:pPr>
            <w:r>
              <w:rPr>
                <w:rFonts w:hint="eastAsia"/>
              </w:rPr>
              <w:t>变电站间隔扩建工程施工期无需要连续作业的高噪声施工工艺，施工工程量很小，工期短，且贝江1</w:t>
            </w:r>
            <w:r>
              <w:t>10kV</w:t>
            </w:r>
            <w:r>
              <w:rPr>
                <w:rFonts w:hint="eastAsia"/>
              </w:rPr>
              <w:t>变电站周边无声环境保护目标，间隔扩建施工噪声活动对周围环境的影响很小。</w:t>
            </w:r>
          </w:p>
          <w:p w14:paraId="715E84F8">
            <w:pPr>
              <w:pStyle w:val="6"/>
            </w:pPr>
            <w:bookmarkStart w:id="126" w:name="_Toc95916468"/>
            <w:bookmarkStart w:id="127" w:name="_Toc99090802"/>
            <w:bookmarkStart w:id="128" w:name="_Toc99093259"/>
            <w:r>
              <w:t>施工期固体废物</w:t>
            </w:r>
            <w:r>
              <w:rPr>
                <w:rFonts w:hint="eastAsia"/>
              </w:rPr>
              <w:t>环境</w:t>
            </w:r>
            <w:r>
              <w:t>影响分析</w:t>
            </w:r>
            <w:bookmarkEnd w:id="126"/>
            <w:bookmarkEnd w:id="127"/>
            <w:bookmarkEnd w:id="128"/>
          </w:p>
          <w:p w14:paraId="70E69825">
            <w:pPr>
              <w:pStyle w:val="3"/>
              <w:ind w:firstLine="480"/>
            </w:pPr>
            <w:r>
              <w:rPr>
                <w:rFonts w:hint="eastAsia"/>
              </w:rPr>
              <w:t>本项目无取土场设置；施工期固体废弃物主要为间隔扩建和输电线路施工产生的建筑垃圾，线路施工产生的废包装材料，以及施工人员的生活垃圾。</w:t>
            </w:r>
            <w:r>
              <w:t xml:space="preserve"> </w:t>
            </w:r>
          </w:p>
          <w:p w14:paraId="66E27370">
            <w:pPr>
              <w:pStyle w:val="3"/>
              <w:ind w:firstLine="480"/>
            </w:pPr>
            <w:r>
              <w:rPr>
                <w:rFonts w:hint="eastAsia"/>
              </w:rPr>
              <w:t>施工产生的建筑垃圾分类临时堆存若不妥善处置则会产生水土流失等环境影响，产生的生活垃圾若不妥善处置则不仅污染环境而且破坏景观。</w:t>
            </w:r>
          </w:p>
          <w:p w14:paraId="636669D0">
            <w:pPr>
              <w:pStyle w:val="3"/>
              <w:ind w:firstLine="480"/>
            </w:pPr>
            <w:r>
              <w:rPr>
                <w:rFonts w:hint="eastAsia"/>
              </w:rPr>
              <w:t>塔基开挖表土及多余土方暂存于施工区域一角，施工结束后在塔基施工区域内平整并进行植被恢复；少量混凝土残渣及时清运至管理部门指定受纳场地消纳；贝江</w:t>
            </w:r>
            <w:r>
              <w:t>110kV</w:t>
            </w:r>
            <w:r>
              <w:rPr>
                <w:rFonts w:hint="eastAsia"/>
              </w:rPr>
              <w:t>变电站间隔扩建工程产生的余土在变电站内平整并进行植被恢复。线路施工会产生废包装材料，分类收集后交物资回收单位综合利用。施工期租用周边民房，不另设施工营地，产生的生活垃圾由当地环卫部门统一处理。</w:t>
            </w:r>
          </w:p>
          <w:p w14:paraId="395248D8">
            <w:pPr>
              <w:pStyle w:val="3"/>
              <w:ind w:firstLine="480"/>
            </w:pPr>
            <w:r>
              <w:rPr>
                <w:rFonts w:hint="eastAsia"/>
              </w:rPr>
              <w:t>在采取相应环保措施的基础上，施工固废对环境产生影响很小。</w:t>
            </w:r>
            <w:r>
              <w:t xml:space="preserve"> </w:t>
            </w:r>
          </w:p>
        </w:tc>
      </w:tr>
      <w:tr w14:paraId="3B4AA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233" w:type="pct"/>
            <w:tcBorders>
              <w:top w:val="single" w:color="auto" w:sz="4" w:space="0"/>
              <w:left w:val="single" w:color="auto" w:sz="4" w:space="0"/>
              <w:bottom w:val="single" w:color="auto" w:sz="4" w:space="0"/>
              <w:right w:val="single" w:color="auto" w:sz="4" w:space="0"/>
            </w:tcBorders>
            <w:vAlign w:val="center"/>
          </w:tcPr>
          <w:p w14:paraId="26D8480F">
            <w:pPr>
              <w:pStyle w:val="86"/>
            </w:pPr>
            <w:r>
              <w:rPr>
                <w:rFonts w:hint="eastAsia"/>
              </w:rPr>
              <w:t>运营期生态环境影响分析</w:t>
            </w:r>
          </w:p>
        </w:tc>
        <w:tc>
          <w:tcPr>
            <w:tcW w:w="4767" w:type="pct"/>
            <w:tcBorders>
              <w:top w:val="single" w:color="auto" w:sz="4" w:space="0"/>
              <w:left w:val="single" w:color="auto" w:sz="4" w:space="0"/>
              <w:bottom w:val="single" w:color="auto" w:sz="4" w:space="0"/>
              <w:right w:val="single" w:color="auto" w:sz="4" w:space="0"/>
            </w:tcBorders>
            <w:vAlign w:val="center"/>
          </w:tcPr>
          <w:p w14:paraId="01AE732E">
            <w:pPr>
              <w:pStyle w:val="5"/>
            </w:pPr>
            <w:bookmarkStart w:id="129" w:name="_Toc99093261"/>
            <w:bookmarkStart w:id="130" w:name="_Toc99093539"/>
            <w:bookmarkStart w:id="131" w:name="_Toc99090804"/>
            <w:bookmarkStart w:id="132" w:name="_Toc95916470"/>
            <w:r>
              <w:rPr>
                <w:rFonts w:hint="eastAsia"/>
              </w:rPr>
              <w:t>运营期生态环境影响分析</w:t>
            </w:r>
            <w:r>
              <w:t xml:space="preserve"> </w:t>
            </w:r>
          </w:p>
          <w:p w14:paraId="5CCD1870">
            <w:pPr>
              <w:pStyle w:val="3"/>
              <w:ind w:firstLine="480"/>
            </w:pPr>
            <w:r>
              <w:rPr>
                <w:rFonts w:hint="eastAsia"/>
              </w:rPr>
              <w:t>项目运行期只是传输电能，运营过程中污染影响因子主要为工频电场、工频磁场、电晕噪声。</w:t>
            </w:r>
          </w:p>
          <w:p w14:paraId="7947825B">
            <w:pPr>
              <w:pStyle w:val="6"/>
            </w:pPr>
            <w:r>
              <w:rPr>
                <w:rFonts w:hint="eastAsia"/>
              </w:rPr>
              <w:t>运营期污染源分析</w:t>
            </w:r>
            <w:r>
              <w:t xml:space="preserve"> </w:t>
            </w:r>
          </w:p>
          <w:p w14:paraId="4760C702">
            <w:pPr>
              <w:pStyle w:val="3"/>
              <w:ind w:firstLine="480"/>
            </w:pPr>
            <w:r>
              <w:rPr>
                <w:rFonts w:hint="eastAsia"/>
              </w:rPr>
              <w:t>（</w:t>
            </w:r>
            <w:r>
              <w:t>1</w:t>
            </w:r>
            <w:r>
              <w:rPr>
                <w:rFonts w:hint="eastAsia"/>
              </w:rPr>
              <w:t>）工频电场、工频磁场</w:t>
            </w:r>
            <w:r>
              <w:t xml:space="preserve"> </w:t>
            </w:r>
          </w:p>
          <w:p w14:paraId="66BF6B92">
            <w:pPr>
              <w:pStyle w:val="3"/>
              <w:ind w:firstLine="480"/>
            </w:pPr>
            <w:r>
              <w:rPr>
                <w:rFonts w:hint="eastAsia"/>
              </w:rPr>
              <w:t>工频是指交流电力系统的发电、输电、变电与配电设备以及工业与民用交流电气设备采用的额定频率，单位</w:t>
            </w:r>
            <w:r>
              <w:t>Hz</w:t>
            </w:r>
            <w:r>
              <w:rPr>
                <w:rFonts w:hint="eastAsia"/>
              </w:rPr>
              <w:t>，我国采用</w:t>
            </w:r>
            <w:r>
              <w:t>50Hz</w:t>
            </w:r>
            <w:r>
              <w:rPr>
                <w:rFonts w:hint="eastAsia"/>
              </w:rPr>
              <w:t>。本报告工频电场、工频磁场即指</w:t>
            </w:r>
            <w:r>
              <w:t>50Hz</w:t>
            </w:r>
            <w:r>
              <w:rPr>
                <w:rFonts w:hint="eastAsia"/>
              </w:rPr>
              <w:t>频率下产生的电场和磁场。变电站间隔内带电装置相对较少，仅在变电站内增加的电气设备对围墙外的工频电场和工频磁场基本上不构成增量影响。输电线路运行时，在输电线路的周围空间形成了工频电场、工频磁场，对周围环境产生一定的影响。输电线路运行产生的电磁场大小与线路的电压等级、运行电流、周围环境等相关。</w:t>
            </w:r>
          </w:p>
          <w:p w14:paraId="588EA3B1">
            <w:pPr>
              <w:pStyle w:val="3"/>
              <w:ind w:firstLine="480"/>
            </w:pPr>
            <w:r>
              <w:rPr>
                <w:rFonts w:hint="eastAsia"/>
              </w:rPr>
              <w:t>（</w:t>
            </w:r>
            <w:r>
              <w:t>2</w:t>
            </w:r>
            <w:r>
              <w:rPr>
                <w:rFonts w:hint="eastAsia"/>
              </w:rPr>
              <w:t>）噪声</w:t>
            </w:r>
          </w:p>
          <w:p w14:paraId="7B6524EE">
            <w:pPr>
              <w:pStyle w:val="3"/>
              <w:ind w:firstLine="480"/>
            </w:pPr>
            <w:r>
              <w:rPr>
                <w:rFonts w:hint="eastAsia"/>
              </w:rPr>
              <w:t>输电线路发生电晕时有噪声产生，可能对附近居民声环境质量产生影响。</w:t>
            </w:r>
            <w:r>
              <w:t xml:space="preserve"> </w:t>
            </w:r>
          </w:p>
          <w:p w14:paraId="18B937CD">
            <w:pPr>
              <w:pStyle w:val="3"/>
              <w:ind w:firstLine="480"/>
            </w:pPr>
            <w:r>
              <w:rPr>
                <w:rFonts w:hint="eastAsia"/>
              </w:rPr>
              <w:t>（</w:t>
            </w:r>
            <w:r>
              <w:t>3</w:t>
            </w:r>
            <w:r>
              <w:rPr>
                <w:rFonts w:hint="eastAsia"/>
              </w:rPr>
              <w:t>）废水</w:t>
            </w:r>
            <w:r>
              <w:t xml:space="preserve"> </w:t>
            </w:r>
          </w:p>
          <w:p w14:paraId="149E67ED">
            <w:pPr>
              <w:pStyle w:val="3"/>
              <w:ind w:firstLine="480"/>
            </w:pPr>
            <w:r>
              <w:rPr>
                <w:rFonts w:hint="eastAsia"/>
              </w:rPr>
              <w:t>变电站间隔扩建工程，运营期均不新增值守人员，不增加生活污水产生量。输电线路运营期无废水产生。</w:t>
            </w:r>
          </w:p>
          <w:p w14:paraId="1C05A845">
            <w:pPr>
              <w:pStyle w:val="3"/>
              <w:ind w:firstLine="480"/>
            </w:pPr>
            <w:r>
              <w:rPr>
                <w:rFonts w:hint="eastAsia"/>
              </w:rPr>
              <w:t>（</w:t>
            </w:r>
            <w:r>
              <w:t>4</w:t>
            </w:r>
            <w:r>
              <w:rPr>
                <w:rFonts w:hint="eastAsia"/>
              </w:rPr>
              <w:t>）固体废弃物</w:t>
            </w:r>
            <w:r>
              <w:t xml:space="preserve"> </w:t>
            </w:r>
          </w:p>
          <w:p w14:paraId="4702C6F6">
            <w:pPr>
              <w:pStyle w:val="3"/>
              <w:ind w:firstLine="480"/>
            </w:pPr>
            <w:r>
              <w:rPr>
                <w:rFonts w:hint="eastAsia"/>
              </w:rPr>
              <w:t>输电线路正常运行无固体废物产生，仅在检修时换下少量绝缘子、金具等检修垃圾，不属于危险废物，大部分回收利用，少量送至附近的垃圾处理站处理。</w:t>
            </w:r>
            <w:r>
              <w:t xml:space="preserve"> </w:t>
            </w:r>
          </w:p>
          <w:p w14:paraId="47F5B583">
            <w:pPr>
              <w:pStyle w:val="6"/>
            </w:pPr>
            <w:r>
              <w:rPr>
                <w:rFonts w:hint="eastAsia"/>
              </w:rPr>
              <w:t>运营期电磁环境影响分析</w:t>
            </w:r>
            <w:r>
              <w:t xml:space="preserve"> </w:t>
            </w:r>
          </w:p>
          <w:p w14:paraId="1EF05A69">
            <w:pPr>
              <w:pStyle w:val="3"/>
              <w:ind w:firstLine="480"/>
            </w:pPr>
            <w:r>
              <w:rPr>
                <w:rFonts w:hint="eastAsia"/>
              </w:rPr>
              <w:t>电磁环境影响分析详见电磁环境影响专题评价。本项目在认真落实电磁环境保护措施后，工频电场、工频磁场对周围环境的影响很小，投入运行后对周围环境的影响能够满足相应评价标准要求。</w:t>
            </w:r>
            <w:r>
              <w:t xml:space="preserve"> </w:t>
            </w:r>
          </w:p>
          <w:bookmarkEnd w:id="129"/>
          <w:bookmarkEnd w:id="130"/>
          <w:bookmarkEnd w:id="131"/>
          <w:bookmarkEnd w:id="132"/>
          <w:p w14:paraId="31659ACB">
            <w:pPr>
              <w:pStyle w:val="6"/>
            </w:pPr>
            <w:bookmarkStart w:id="133" w:name="_Toc99090807"/>
            <w:bookmarkStart w:id="134" w:name="_Toc99093264"/>
            <w:bookmarkStart w:id="135" w:name="_Toc95916473"/>
            <w:r>
              <w:rPr>
                <w:rFonts w:hint="eastAsia"/>
              </w:rPr>
              <w:t>运营期</w:t>
            </w:r>
            <w:r>
              <w:t>声环境影响</w:t>
            </w:r>
            <w:r>
              <w:rPr>
                <w:rFonts w:hint="eastAsia"/>
              </w:rPr>
              <w:t>分析</w:t>
            </w:r>
            <w:bookmarkEnd w:id="133"/>
            <w:bookmarkEnd w:id="134"/>
            <w:bookmarkEnd w:id="135"/>
          </w:p>
          <w:p w14:paraId="7D9576DA">
            <w:pPr>
              <w:pStyle w:val="3"/>
              <w:ind w:firstLine="480"/>
            </w:pPr>
            <w:r>
              <w:rPr>
                <w:rFonts w:hint="eastAsia"/>
              </w:rPr>
              <w:t>a）输电线路噪声影响分析</w:t>
            </w:r>
          </w:p>
          <w:p w14:paraId="422730D5">
            <w:pPr>
              <w:pStyle w:val="3"/>
              <w:ind w:firstLine="480"/>
            </w:pPr>
            <w:r>
              <w:rPr>
                <w:rFonts w:hint="eastAsia"/>
              </w:rPr>
              <w:t>根据《环境影响评价技术导则</w:t>
            </w:r>
            <w:r>
              <w:t xml:space="preserve"> </w:t>
            </w:r>
            <w:r>
              <w:rPr>
                <w:rFonts w:hint="eastAsia"/>
              </w:rPr>
              <w:t>输变电》（</w:t>
            </w:r>
            <w:r>
              <w:t>HJ24-2020</w:t>
            </w:r>
            <w:r>
              <w:rPr>
                <w:rFonts w:hint="eastAsia"/>
              </w:rPr>
              <w:t>），地下电缆线路可不进行声环境影响评价，架空输电线路声环境影响评价采用类比分析的方法进行。</w:t>
            </w:r>
          </w:p>
          <w:p w14:paraId="148BC371">
            <w:pPr>
              <w:pStyle w:val="3"/>
              <w:ind w:firstLine="480"/>
            </w:pPr>
            <w:r>
              <w:t>1</w:t>
            </w:r>
            <w:r>
              <w:rPr>
                <w:rFonts w:hint="eastAsia"/>
              </w:rPr>
              <w:t>）类比对象</w:t>
            </w:r>
            <w:r>
              <w:t xml:space="preserve"> </w:t>
            </w:r>
          </w:p>
          <w:p w14:paraId="50D57601">
            <w:pPr>
              <w:pStyle w:val="3"/>
              <w:ind w:firstLine="480"/>
            </w:pPr>
            <w:r>
              <w:rPr>
                <w:rFonts w:hint="eastAsia"/>
              </w:rPr>
              <w:t>本工程拟建架空线路选择</w:t>
            </w:r>
            <w:r>
              <w:t>110kV</w:t>
            </w:r>
            <w:r>
              <w:rPr>
                <w:rFonts w:hint="eastAsia"/>
              </w:rPr>
              <w:t>丛亚线单回路段作为类比对象。本工程输电线路与类比线路可比性分析见表</w:t>
            </w:r>
            <w:r>
              <w:t>4.2-1</w:t>
            </w:r>
            <w:r>
              <w:rPr>
                <w:rFonts w:hint="eastAsia"/>
              </w:rPr>
              <w:t>。</w:t>
            </w:r>
          </w:p>
          <w:p w14:paraId="0FF1D294">
            <w:pPr>
              <w:pStyle w:val="148"/>
            </w:pPr>
            <w:r>
              <w:rPr>
                <w:rFonts w:hint="eastAsia"/>
              </w:rPr>
              <w:t>表</w:t>
            </w:r>
            <w:r>
              <w:rPr>
                <w:bCs/>
              </w:rPr>
              <w:t xml:space="preserve">4.2-1  </w:t>
            </w:r>
            <w:r>
              <w:rPr>
                <w:rFonts w:hint="eastAsia"/>
              </w:rPr>
              <w:t>本工程输电线路与类比监测输电线路可比性分析</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932"/>
              <w:gridCol w:w="3258"/>
              <w:gridCol w:w="3335"/>
            </w:tblGrid>
            <w:tr w14:paraId="6AD0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3" w:type="pct"/>
                  <w:vAlign w:val="center"/>
                </w:tcPr>
                <w:p w14:paraId="2AC631F5">
                  <w:pPr>
                    <w:pStyle w:val="93"/>
                    <w:tabs>
                      <w:tab w:val="left" w:pos="3720"/>
                    </w:tabs>
                    <w:rPr>
                      <w:sz w:val="21"/>
                      <w:szCs w:val="21"/>
                    </w:rPr>
                  </w:pPr>
                  <w:r>
                    <w:rPr>
                      <w:sz w:val="21"/>
                      <w:szCs w:val="21"/>
                    </w:rPr>
                    <w:t>工程</w:t>
                  </w:r>
                </w:p>
              </w:tc>
              <w:tc>
                <w:tcPr>
                  <w:tcW w:w="1911" w:type="pct"/>
                  <w:vAlign w:val="center"/>
                </w:tcPr>
                <w:p w14:paraId="10775E12">
                  <w:pPr>
                    <w:pStyle w:val="93"/>
                    <w:tabs>
                      <w:tab w:val="left" w:pos="3720"/>
                    </w:tabs>
                    <w:rPr>
                      <w:sz w:val="21"/>
                      <w:szCs w:val="21"/>
                    </w:rPr>
                  </w:pPr>
                  <w:r>
                    <w:rPr>
                      <w:sz w:val="21"/>
                      <w:szCs w:val="21"/>
                    </w:rPr>
                    <w:t>类比线路</w:t>
                  </w:r>
                </w:p>
              </w:tc>
              <w:tc>
                <w:tcPr>
                  <w:tcW w:w="1956" w:type="pct"/>
                  <w:vAlign w:val="center"/>
                </w:tcPr>
                <w:p w14:paraId="4E6098C1">
                  <w:pPr>
                    <w:pStyle w:val="93"/>
                    <w:tabs>
                      <w:tab w:val="left" w:pos="3720"/>
                    </w:tabs>
                    <w:rPr>
                      <w:sz w:val="21"/>
                      <w:szCs w:val="21"/>
                    </w:rPr>
                  </w:pPr>
                  <w:r>
                    <w:rPr>
                      <w:sz w:val="21"/>
                      <w:szCs w:val="21"/>
                    </w:rPr>
                    <w:t>新建线路</w:t>
                  </w:r>
                </w:p>
              </w:tc>
            </w:tr>
            <w:tr w14:paraId="047A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3" w:type="pct"/>
                  <w:vAlign w:val="center"/>
                </w:tcPr>
                <w:p w14:paraId="6CBFC16D">
                  <w:pPr>
                    <w:pStyle w:val="93"/>
                    <w:tabs>
                      <w:tab w:val="left" w:pos="3720"/>
                    </w:tabs>
                    <w:rPr>
                      <w:sz w:val="21"/>
                      <w:szCs w:val="21"/>
                    </w:rPr>
                  </w:pPr>
                  <w:r>
                    <w:rPr>
                      <w:sz w:val="21"/>
                      <w:szCs w:val="21"/>
                    </w:rPr>
                    <w:t>线路名称</w:t>
                  </w:r>
                </w:p>
              </w:tc>
              <w:tc>
                <w:tcPr>
                  <w:tcW w:w="1911" w:type="pct"/>
                  <w:vAlign w:val="center"/>
                </w:tcPr>
                <w:p w14:paraId="136C5A3A">
                  <w:pPr>
                    <w:pStyle w:val="93"/>
                    <w:tabs>
                      <w:tab w:val="left" w:pos="3720"/>
                    </w:tabs>
                    <w:rPr>
                      <w:sz w:val="21"/>
                      <w:szCs w:val="21"/>
                    </w:rPr>
                  </w:pPr>
                  <w:r>
                    <w:rPr>
                      <w:rFonts w:hint="eastAsia"/>
                      <w:sz w:val="21"/>
                      <w:szCs w:val="21"/>
                    </w:rPr>
                    <w:t>1</w:t>
                  </w:r>
                  <w:r>
                    <w:rPr>
                      <w:sz w:val="21"/>
                      <w:szCs w:val="21"/>
                    </w:rPr>
                    <w:t>10</w:t>
                  </w:r>
                  <w:r>
                    <w:rPr>
                      <w:rFonts w:hint="eastAsia"/>
                      <w:sz w:val="21"/>
                      <w:szCs w:val="21"/>
                    </w:rPr>
                    <w:t>kV丛亚线单回路段</w:t>
                  </w:r>
                </w:p>
              </w:tc>
              <w:tc>
                <w:tcPr>
                  <w:tcW w:w="1956" w:type="pct"/>
                  <w:vAlign w:val="center"/>
                </w:tcPr>
                <w:p w14:paraId="3ECE1EA4">
                  <w:pPr>
                    <w:pStyle w:val="159"/>
                    <w:rPr>
                      <w:szCs w:val="21"/>
                    </w:rPr>
                  </w:pPr>
                  <w:r>
                    <w:rPr>
                      <w:rFonts w:hint="eastAsia"/>
                    </w:rPr>
                    <w:t>湖南省江华湾水源抽水蓄能电站施工电源110kV线路工程</w:t>
                  </w:r>
                </w:p>
              </w:tc>
            </w:tr>
            <w:tr w14:paraId="4501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3" w:type="pct"/>
                  <w:vAlign w:val="center"/>
                </w:tcPr>
                <w:p w14:paraId="607248FC">
                  <w:pPr>
                    <w:pStyle w:val="93"/>
                    <w:tabs>
                      <w:tab w:val="left" w:pos="3720"/>
                    </w:tabs>
                    <w:rPr>
                      <w:sz w:val="21"/>
                      <w:szCs w:val="21"/>
                    </w:rPr>
                  </w:pPr>
                  <w:r>
                    <w:rPr>
                      <w:sz w:val="21"/>
                      <w:szCs w:val="21"/>
                    </w:rPr>
                    <w:t>地理位置</w:t>
                  </w:r>
                </w:p>
              </w:tc>
              <w:tc>
                <w:tcPr>
                  <w:tcW w:w="1911" w:type="pct"/>
                  <w:vAlign w:val="center"/>
                </w:tcPr>
                <w:p w14:paraId="1B66E23C">
                  <w:pPr>
                    <w:pStyle w:val="93"/>
                    <w:tabs>
                      <w:tab w:val="left" w:pos="3720"/>
                    </w:tabs>
                    <w:rPr>
                      <w:sz w:val="21"/>
                      <w:szCs w:val="21"/>
                    </w:rPr>
                  </w:pPr>
                  <w:r>
                    <w:rPr>
                      <w:rFonts w:hint="eastAsia"/>
                      <w:sz w:val="21"/>
                      <w:szCs w:val="21"/>
                    </w:rPr>
                    <w:t>长沙市浏阳市</w:t>
                  </w:r>
                </w:p>
              </w:tc>
              <w:tc>
                <w:tcPr>
                  <w:tcW w:w="1956" w:type="pct"/>
                  <w:vAlign w:val="center"/>
                </w:tcPr>
                <w:p w14:paraId="5501E6D8">
                  <w:pPr>
                    <w:pStyle w:val="93"/>
                    <w:tabs>
                      <w:tab w:val="left" w:pos="3720"/>
                    </w:tabs>
                    <w:rPr>
                      <w:sz w:val="21"/>
                      <w:szCs w:val="21"/>
                    </w:rPr>
                  </w:pPr>
                  <w:r>
                    <w:rPr>
                      <w:rFonts w:hint="eastAsia" w:ascii="宋体" w:cs="宋体"/>
                      <w:color w:val="000000"/>
                      <w:kern w:val="0"/>
                      <w:sz w:val="21"/>
                      <w:szCs w:val="21"/>
                    </w:rPr>
                    <w:t>永州市江华县</w:t>
                  </w:r>
                </w:p>
              </w:tc>
            </w:tr>
            <w:tr w14:paraId="63E0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3" w:type="pct"/>
                  <w:vAlign w:val="center"/>
                </w:tcPr>
                <w:p w14:paraId="73C20C99">
                  <w:pPr>
                    <w:pStyle w:val="93"/>
                    <w:tabs>
                      <w:tab w:val="left" w:pos="3720"/>
                    </w:tabs>
                    <w:rPr>
                      <w:sz w:val="21"/>
                      <w:szCs w:val="21"/>
                    </w:rPr>
                  </w:pPr>
                  <w:r>
                    <w:rPr>
                      <w:sz w:val="21"/>
                      <w:szCs w:val="21"/>
                    </w:rPr>
                    <w:t>电压等级</w:t>
                  </w:r>
                </w:p>
              </w:tc>
              <w:tc>
                <w:tcPr>
                  <w:tcW w:w="1911" w:type="pct"/>
                  <w:vAlign w:val="center"/>
                </w:tcPr>
                <w:p w14:paraId="766A2E95">
                  <w:pPr>
                    <w:pStyle w:val="93"/>
                    <w:tabs>
                      <w:tab w:val="left" w:pos="3720"/>
                    </w:tabs>
                    <w:rPr>
                      <w:sz w:val="21"/>
                      <w:szCs w:val="21"/>
                    </w:rPr>
                  </w:pPr>
                  <w:r>
                    <w:rPr>
                      <w:sz w:val="21"/>
                      <w:szCs w:val="21"/>
                    </w:rPr>
                    <w:t>110kV</w:t>
                  </w:r>
                </w:p>
              </w:tc>
              <w:tc>
                <w:tcPr>
                  <w:tcW w:w="1956" w:type="pct"/>
                  <w:vAlign w:val="center"/>
                </w:tcPr>
                <w:p w14:paraId="628A04A3">
                  <w:pPr>
                    <w:pStyle w:val="93"/>
                    <w:tabs>
                      <w:tab w:val="left" w:pos="3720"/>
                    </w:tabs>
                    <w:rPr>
                      <w:sz w:val="21"/>
                      <w:szCs w:val="21"/>
                    </w:rPr>
                  </w:pPr>
                  <w:r>
                    <w:rPr>
                      <w:sz w:val="21"/>
                      <w:szCs w:val="21"/>
                    </w:rPr>
                    <w:t>110kV</w:t>
                  </w:r>
                </w:p>
              </w:tc>
            </w:tr>
            <w:tr w14:paraId="19C8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3" w:type="pct"/>
                  <w:vAlign w:val="center"/>
                </w:tcPr>
                <w:p w14:paraId="3F5DDACB">
                  <w:pPr>
                    <w:pStyle w:val="93"/>
                    <w:tabs>
                      <w:tab w:val="left" w:pos="3720"/>
                    </w:tabs>
                    <w:rPr>
                      <w:sz w:val="21"/>
                      <w:szCs w:val="21"/>
                    </w:rPr>
                  </w:pPr>
                  <w:r>
                    <w:rPr>
                      <w:sz w:val="21"/>
                      <w:szCs w:val="21"/>
                    </w:rPr>
                    <w:t>架设方式</w:t>
                  </w:r>
                </w:p>
              </w:tc>
              <w:tc>
                <w:tcPr>
                  <w:tcW w:w="1911" w:type="pct"/>
                  <w:vAlign w:val="center"/>
                </w:tcPr>
                <w:p w14:paraId="0E9F71BE">
                  <w:pPr>
                    <w:pStyle w:val="93"/>
                    <w:tabs>
                      <w:tab w:val="left" w:pos="3720"/>
                    </w:tabs>
                    <w:rPr>
                      <w:sz w:val="21"/>
                      <w:szCs w:val="21"/>
                    </w:rPr>
                  </w:pPr>
                  <w:r>
                    <w:rPr>
                      <w:sz w:val="21"/>
                      <w:szCs w:val="21"/>
                    </w:rPr>
                    <w:t>单回</w:t>
                  </w:r>
                </w:p>
              </w:tc>
              <w:tc>
                <w:tcPr>
                  <w:tcW w:w="1956" w:type="pct"/>
                  <w:vAlign w:val="center"/>
                </w:tcPr>
                <w:p w14:paraId="15DB5141">
                  <w:pPr>
                    <w:pStyle w:val="93"/>
                    <w:tabs>
                      <w:tab w:val="left" w:pos="3720"/>
                    </w:tabs>
                    <w:rPr>
                      <w:sz w:val="21"/>
                      <w:szCs w:val="21"/>
                    </w:rPr>
                  </w:pPr>
                  <w:r>
                    <w:rPr>
                      <w:sz w:val="21"/>
                      <w:szCs w:val="21"/>
                    </w:rPr>
                    <w:t>单回</w:t>
                  </w:r>
                </w:p>
              </w:tc>
            </w:tr>
            <w:tr w14:paraId="532B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3" w:type="pct"/>
                  <w:vAlign w:val="center"/>
                </w:tcPr>
                <w:p w14:paraId="4C1951B7">
                  <w:pPr>
                    <w:pStyle w:val="93"/>
                    <w:tabs>
                      <w:tab w:val="left" w:pos="3720"/>
                    </w:tabs>
                    <w:rPr>
                      <w:sz w:val="21"/>
                      <w:szCs w:val="21"/>
                    </w:rPr>
                  </w:pPr>
                  <w:r>
                    <w:rPr>
                      <w:rFonts w:hint="eastAsia"/>
                      <w:sz w:val="21"/>
                      <w:szCs w:val="21"/>
                    </w:rPr>
                    <w:t>线高</w:t>
                  </w:r>
                </w:p>
              </w:tc>
              <w:tc>
                <w:tcPr>
                  <w:tcW w:w="1911" w:type="pct"/>
                  <w:vAlign w:val="center"/>
                </w:tcPr>
                <w:p w14:paraId="0260AB62">
                  <w:pPr>
                    <w:pStyle w:val="93"/>
                    <w:tabs>
                      <w:tab w:val="left" w:pos="3720"/>
                    </w:tabs>
                    <w:rPr>
                      <w:sz w:val="21"/>
                      <w:szCs w:val="21"/>
                    </w:rPr>
                  </w:pPr>
                  <w:r>
                    <w:rPr>
                      <w:rFonts w:hint="eastAsia"/>
                      <w:sz w:val="21"/>
                      <w:szCs w:val="21"/>
                    </w:rPr>
                    <w:t>杆塔最低线高约</w:t>
                  </w:r>
                  <w:r>
                    <w:rPr>
                      <w:sz w:val="21"/>
                      <w:szCs w:val="21"/>
                    </w:rPr>
                    <w:t>13</w:t>
                  </w:r>
                  <w:r>
                    <w:rPr>
                      <w:rFonts w:hint="eastAsia"/>
                      <w:sz w:val="21"/>
                      <w:szCs w:val="21"/>
                    </w:rPr>
                    <w:t>m</w:t>
                  </w:r>
                </w:p>
              </w:tc>
              <w:tc>
                <w:tcPr>
                  <w:tcW w:w="1956" w:type="pct"/>
                  <w:vAlign w:val="center"/>
                </w:tcPr>
                <w:p w14:paraId="519B702B">
                  <w:pPr>
                    <w:pStyle w:val="93"/>
                    <w:tabs>
                      <w:tab w:val="left" w:pos="3720"/>
                    </w:tabs>
                    <w:rPr>
                      <w:sz w:val="21"/>
                      <w:szCs w:val="21"/>
                    </w:rPr>
                  </w:pPr>
                  <w:r>
                    <w:rPr>
                      <w:rFonts w:hint="eastAsia"/>
                      <w:sz w:val="21"/>
                      <w:szCs w:val="21"/>
                    </w:rPr>
                    <w:t>杆塔最低线高约1</w:t>
                  </w:r>
                  <w:r>
                    <w:rPr>
                      <w:sz w:val="21"/>
                      <w:szCs w:val="21"/>
                    </w:rPr>
                    <w:t>5m</w:t>
                  </w:r>
                </w:p>
              </w:tc>
            </w:tr>
            <w:tr w14:paraId="787D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3" w:type="pct"/>
                  <w:vAlign w:val="center"/>
                </w:tcPr>
                <w:p w14:paraId="3525ADB6">
                  <w:pPr>
                    <w:pStyle w:val="93"/>
                    <w:tabs>
                      <w:tab w:val="left" w:pos="3720"/>
                    </w:tabs>
                    <w:rPr>
                      <w:sz w:val="21"/>
                      <w:szCs w:val="21"/>
                    </w:rPr>
                  </w:pPr>
                  <w:r>
                    <w:rPr>
                      <w:rFonts w:hint="eastAsia"/>
                      <w:sz w:val="21"/>
                      <w:szCs w:val="21"/>
                    </w:rPr>
                    <w:t>区域环境</w:t>
                  </w:r>
                </w:p>
              </w:tc>
              <w:tc>
                <w:tcPr>
                  <w:tcW w:w="1911" w:type="pct"/>
                  <w:vAlign w:val="center"/>
                </w:tcPr>
                <w:p w14:paraId="0185FDD5">
                  <w:pPr>
                    <w:pStyle w:val="93"/>
                    <w:tabs>
                      <w:tab w:val="left" w:pos="3720"/>
                    </w:tabs>
                    <w:rPr>
                      <w:sz w:val="21"/>
                      <w:szCs w:val="21"/>
                    </w:rPr>
                  </w:pPr>
                  <w:r>
                    <w:rPr>
                      <w:rFonts w:hint="eastAsia"/>
                      <w:sz w:val="21"/>
                      <w:szCs w:val="21"/>
                    </w:rPr>
                    <w:t>农村</w:t>
                  </w:r>
                </w:p>
              </w:tc>
              <w:tc>
                <w:tcPr>
                  <w:tcW w:w="1956" w:type="pct"/>
                  <w:vAlign w:val="center"/>
                </w:tcPr>
                <w:p w14:paraId="0C677846">
                  <w:pPr>
                    <w:pStyle w:val="93"/>
                    <w:tabs>
                      <w:tab w:val="left" w:pos="3720"/>
                    </w:tabs>
                    <w:rPr>
                      <w:sz w:val="21"/>
                      <w:szCs w:val="21"/>
                    </w:rPr>
                  </w:pPr>
                  <w:r>
                    <w:rPr>
                      <w:rFonts w:hint="eastAsia"/>
                      <w:sz w:val="21"/>
                      <w:szCs w:val="21"/>
                    </w:rPr>
                    <w:t>农村</w:t>
                  </w:r>
                </w:p>
              </w:tc>
            </w:tr>
          </w:tbl>
          <w:p w14:paraId="3DEDBE3F">
            <w:pPr>
              <w:ind w:firstLine="480" w:firstLineChars="200"/>
              <w:rPr>
                <w:sz w:val="24"/>
              </w:rPr>
            </w:pPr>
          </w:p>
          <w:p w14:paraId="00BFB589">
            <w:pPr>
              <w:spacing w:line="360" w:lineRule="auto"/>
              <w:ind w:firstLine="480" w:firstLineChars="200"/>
            </w:pPr>
            <w:r>
              <w:rPr>
                <w:sz w:val="24"/>
              </w:rPr>
              <w:t>本报告选取的类比线路与</w:t>
            </w:r>
            <w:r>
              <w:rPr>
                <w:rFonts w:hint="eastAsia"/>
                <w:sz w:val="24"/>
              </w:rPr>
              <w:t>本项目</w:t>
            </w:r>
            <w:r>
              <w:rPr>
                <w:sz w:val="24"/>
              </w:rPr>
              <w:t>输电线路在电压等级、架设方式、挂线方式</w:t>
            </w:r>
            <w:r>
              <w:rPr>
                <w:rFonts w:hint="eastAsia"/>
                <w:sz w:val="24"/>
              </w:rPr>
              <w:t>、周围地形</w:t>
            </w:r>
            <w:r>
              <w:rPr>
                <w:sz w:val="24"/>
              </w:rPr>
              <w:t>等方面均相同或相似，具有较好的可比性，因此选用其进行类比是合理的、可行的。</w:t>
            </w:r>
          </w:p>
          <w:p w14:paraId="2E106A04">
            <w:pPr>
              <w:pStyle w:val="3"/>
              <w:ind w:firstLine="480"/>
              <w:rPr>
                <w:color w:val="FF0000"/>
              </w:rPr>
            </w:pPr>
            <w:r>
              <w:t>2）</w:t>
            </w:r>
            <w:r>
              <w:rPr>
                <w:rFonts w:hint="eastAsia"/>
              </w:rPr>
              <w:t>类比监测</w:t>
            </w:r>
            <w:r>
              <w:t xml:space="preserve"> </w:t>
            </w:r>
          </w:p>
          <w:p w14:paraId="1FD4B2D2">
            <w:pPr>
              <w:pStyle w:val="3"/>
              <w:ind w:firstLine="480"/>
            </w:pPr>
            <w:r>
              <w:rPr>
                <w:rFonts w:hint="eastAsia"/>
              </w:rPr>
              <w:t>（</w:t>
            </w:r>
            <w:r>
              <w:t>1</w:t>
            </w:r>
            <w:r>
              <w:rPr>
                <w:rFonts w:hint="eastAsia"/>
              </w:rPr>
              <w:t>）类比监测点</w:t>
            </w:r>
          </w:p>
          <w:p w14:paraId="55BA5AA8">
            <w:pPr>
              <w:spacing w:line="360" w:lineRule="auto"/>
              <w:ind w:firstLine="482"/>
              <w:rPr>
                <w:sz w:val="24"/>
              </w:rPr>
            </w:pPr>
            <w:r>
              <w:rPr>
                <w:sz w:val="24"/>
              </w:rPr>
              <w:t>110kV</w:t>
            </w:r>
            <w:r>
              <w:rPr>
                <w:rFonts w:hint="eastAsia"/>
                <w:sz w:val="24"/>
              </w:rPr>
              <w:t>丛亚线（ 020# 021# 塔）单回线路断面和沿线声环境敏感目标。</w:t>
            </w:r>
          </w:p>
          <w:p w14:paraId="48CE227C">
            <w:pPr>
              <w:pStyle w:val="3"/>
              <w:ind w:firstLine="480"/>
            </w:pPr>
            <w:r>
              <w:rPr>
                <w:rFonts w:hint="eastAsia"/>
              </w:rPr>
              <w:t>（</w:t>
            </w:r>
            <w:r>
              <w:t>2</w:t>
            </w:r>
            <w:r>
              <w:rPr>
                <w:rFonts w:hint="eastAsia"/>
              </w:rPr>
              <w:t>）监测内容</w:t>
            </w:r>
          </w:p>
          <w:p w14:paraId="31B36129">
            <w:pPr>
              <w:pStyle w:val="3"/>
              <w:ind w:firstLine="480"/>
            </w:pPr>
            <w:r>
              <w:rPr>
                <w:rFonts w:hint="eastAsia"/>
              </w:rPr>
              <w:t>等效</w:t>
            </w:r>
            <w:r>
              <w:t>A</w:t>
            </w:r>
            <w:r>
              <w:rPr>
                <w:rFonts w:hint="eastAsia"/>
              </w:rPr>
              <w:t>声级。</w:t>
            </w:r>
          </w:p>
          <w:p w14:paraId="25FA50F8">
            <w:pPr>
              <w:pStyle w:val="3"/>
              <w:ind w:firstLine="480"/>
            </w:pPr>
            <w:r>
              <w:rPr>
                <w:rFonts w:hint="eastAsia"/>
              </w:rPr>
              <w:t>（</w:t>
            </w:r>
            <w:r>
              <w:t>3</w:t>
            </w:r>
            <w:r>
              <w:rPr>
                <w:rFonts w:hint="eastAsia"/>
              </w:rPr>
              <w:t>）监测方法及监测频次</w:t>
            </w:r>
          </w:p>
          <w:p w14:paraId="48ACC25D">
            <w:pPr>
              <w:pStyle w:val="3"/>
              <w:ind w:firstLine="480"/>
              <w:rPr>
                <w:u w:val="single"/>
              </w:rPr>
            </w:pPr>
            <w:r>
              <w:rPr>
                <w:rFonts w:hint="eastAsia"/>
              </w:rPr>
              <w:t>按《环境影响评价技术导则输变电》（ HJ 24 2014 ）中的规定监测 方法进行 断面 监测，以导线弧垂最大处线路中心的地面投影点为监测原点，沿垂直于线路方向进行，测点间距5m，依次监测至边导线地面投影外30m处。同时监测线路边导线地面投影外两侧各30m评价范围内声环境敏感目标（浏阳市北盛镇拔茅村月形组），在距离居民住宅墙壁或窗户1m、距地面高度1.2m以上的位置布点。</w:t>
            </w:r>
          </w:p>
          <w:p w14:paraId="638C2A4E">
            <w:pPr>
              <w:pStyle w:val="3"/>
              <w:ind w:firstLine="480"/>
            </w:pPr>
            <w:r>
              <w:rPr>
                <w:rFonts w:hint="eastAsia"/>
              </w:rPr>
              <w:t>4）监测单位及测量仪器</w:t>
            </w:r>
          </w:p>
          <w:p w14:paraId="1684F29A">
            <w:pPr>
              <w:pStyle w:val="3"/>
              <w:ind w:firstLine="480"/>
            </w:pPr>
            <w:r>
              <w:rPr>
                <w:rFonts w:hint="eastAsia"/>
              </w:rPr>
              <w:t>监测单位：湖南瑾杰环保科技有限公司。</w:t>
            </w:r>
          </w:p>
          <w:p w14:paraId="2F8E002C">
            <w:pPr>
              <w:pStyle w:val="3"/>
              <w:ind w:firstLine="480"/>
            </w:pPr>
            <w:r>
              <w:rPr>
                <w:rFonts w:hint="eastAsia"/>
              </w:rPr>
              <w:t>监测仪器：噪声频谱分析仪（AWA5668）、声级校准器（AWA6022A）。</w:t>
            </w:r>
          </w:p>
          <w:p w14:paraId="54F976CC">
            <w:pPr>
              <w:pStyle w:val="3"/>
              <w:ind w:firstLine="480"/>
            </w:pPr>
            <w:r>
              <w:rPr>
                <w:rFonts w:hint="eastAsia"/>
              </w:rPr>
              <w:t>（</w:t>
            </w:r>
            <w:r>
              <w:t>5</w:t>
            </w:r>
            <w:r>
              <w:rPr>
                <w:rFonts w:hint="eastAsia"/>
              </w:rPr>
              <w:t>）监测时间、监测环境</w:t>
            </w:r>
            <w:r>
              <w:t xml:space="preserve"> </w:t>
            </w:r>
          </w:p>
          <w:p w14:paraId="7D54239B">
            <w:pPr>
              <w:pStyle w:val="3"/>
              <w:ind w:firstLine="480"/>
            </w:pPr>
            <w:r>
              <w:rPr>
                <w:rFonts w:hint="eastAsia"/>
              </w:rPr>
              <w:t>测量时间：2021年10月13日。</w:t>
            </w:r>
          </w:p>
          <w:p w14:paraId="77642683">
            <w:pPr>
              <w:pStyle w:val="3"/>
              <w:ind w:firstLine="480"/>
            </w:pPr>
            <w:r>
              <w:rPr>
                <w:rFonts w:hint="eastAsia"/>
              </w:rPr>
              <w:t>气象条件：阴，温度15.716.5℃，风速0.71.3m/s。</w:t>
            </w:r>
          </w:p>
          <w:p w14:paraId="3A4E8727">
            <w:pPr>
              <w:pStyle w:val="3"/>
              <w:ind w:firstLine="480"/>
            </w:pPr>
            <w:r>
              <w:rPr>
                <w:rFonts w:hint="eastAsia"/>
              </w:rPr>
              <w:t>（</w:t>
            </w:r>
            <w:r>
              <w:t>6</w:t>
            </w:r>
            <w:r>
              <w:rPr>
                <w:rFonts w:hint="eastAsia"/>
              </w:rPr>
              <w:t>）类比监测线路运行工况</w:t>
            </w:r>
            <w:r>
              <w:t xml:space="preserve"> </w:t>
            </w:r>
          </w:p>
          <w:p w14:paraId="79E8E4CD">
            <w:pPr>
              <w:pStyle w:val="3"/>
              <w:ind w:firstLine="480"/>
            </w:pPr>
            <w:r>
              <w:rPr>
                <w:rFonts w:hint="eastAsia"/>
              </w:rPr>
              <w:t>类比监测线路运行工况见表</w:t>
            </w:r>
            <w:r>
              <w:t>4.2-2</w:t>
            </w:r>
            <w:r>
              <w:rPr>
                <w:rFonts w:hint="eastAsia"/>
              </w:rPr>
              <w:t>。</w:t>
            </w:r>
          </w:p>
          <w:p w14:paraId="6C7A7C85">
            <w:pPr>
              <w:pStyle w:val="148"/>
            </w:pPr>
            <w:r>
              <w:rPr>
                <w:rFonts w:hint="eastAsia"/>
              </w:rPr>
              <w:t>表</w:t>
            </w:r>
            <w:r>
              <w:rPr>
                <w:bCs/>
              </w:rPr>
              <w:t xml:space="preserve">4.2-2   </w:t>
            </w:r>
            <w:r>
              <w:rPr>
                <w:rFonts w:hint="eastAsia"/>
              </w:rPr>
              <w:t>类比监测线路运行工况</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7"/>
              <w:gridCol w:w="2046"/>
              <w:gridCol w:w="1812"/>
              <w:gridCol w:w="2050"/>
            </w:tblGrid>
            <w:tr w14:paraId="160F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5" w:type="pct"/>
                  <w:vAlign w:val="center"/>
                </w:tcPr>
                <w:p w14:paraId="3E5B4D7A">
                  <w:pPr>
                    <w:pStyle w:val="93"/>
                    <w:tabs>
                      <w:tab w:val="left" w:pos="3720"/>
                    </w:tabs>
                    <w:rPr>
                      <w:sz w:val="21"/>
                      <w:szCs w:val="21"/>
                    </w:rPr>
                  </w:pPr>
                  <w:r>
                    <w:rPr>
                      <w:sz w:val="21"/>
                      <w:szCs w:val="21"/>
                    </w:rPr>
                    <w:t>线路名称</w:t>
                  </w:r>
                </w:p>
              </w:tc>
              <w:tc>
                <w:tcPr>
                  <w:tcW w:w="1200" w:type="pct"/>
                  <w:vAlign w:val="center"/>
                </w:tcPr>
                <w:p w14:paraId="656400A6">
                  <w:pPr>
                    <w:pStyle w:val="93"/>
                    <w:tabs>
                      <w:tab w:val="left" w:pos="3720"/>
                    </w:tabs>
                    <w:rPr>
                      <w:sz w:val="21"/>
                      <w:szCs w:val="21"/>
                    </w:rPr>
                  </w:pPr>
                  <w:r>
                    <w:rPr>
                      <w:sz w:val="21"/>
                      <w:szCs w:val="21"/>
                    </w:rPr>
                    <w:t>电流（A）</w:t>
                  </w:r>
                </w:p>
              </w:tc>
              <w:tc>
                <w:tcPr>
                  <w:tcW w:w="1063" w:type="pct"/>
                  <w:vAlign w:val="center"/>
                </w:tcPr>
                <w:p w14:paraId="4879DCE9">
                  <w:pPr>
                    <w:pStyle w:val="93"/>
                    <w:tabs>
                      <w:tab w:val="left" w:pos="3720"/>
                    </w:tabs>
                    <w:rPr>
                      <w:sz w:val="21"/>
                      <w:szCs w:val="21"/>
                    </w:rPr>
                  </w:pPr>
                  <w:r>
                    <w:rPr>
                      <w:sz w:val="21"/>
                      <w:szCs w:val="21"/>
                    </w:rPr>
                    <w:t>有功P</w:t>
                  </w:r>
                  <w:r>
                    <w:rPr>
                      <w:rFonts w:hint="eastAsia"/>
                      <w:sz w:val="21"/>
                      <w:szCs w:val="21"/>
                    </w:rPr>
                    <w:t>（</w:t>
                  </w:r>
                  <w:r>
                    <w:rPr>
                      <w:sz w:val="21"/>
                      <w:szCs w:val="21"/>
                    </w:rPr>
                    <w:t>MW</w:t>
                  </w:r>
                  <w:r>
                    <w:rPr>
                      <w:rFonts w:hint="eastAsia"/>
                      <w:sz w:val="21"/>
                      <w:szCs w:val="21"/>
                    </w:rPr>
                    <w:t>）</w:t>
                  </w:r>
                </w:p>
              </w:tc>
              <w:tc>
                <w:tcPr>
                  <w:tcW w:w="1202" w:type="pct"/>
                  <w:vAlign w:val="center"/>
                </w:tcPr>
                <w:p w14:paraId="061CB31C">
                  <w:pPr>
                    <w:pStyle w:val="93"/>
                    <w:tabs>
                      <w:tab w:val="left" w:pos="3720"/>
                    </w:tabs>
                    <w:rPr>
                      <w:sz w:val="21"/>
                      <w:szCs w:val="21"/>
                    </w:rPr>
                  </w:pPr>
                  <w:r>
                    <w:rPr>
                      <w:sz w:val="21"/>
                      <w:szCs w:val="21"/>
                    </w:rPr>
                    <w:t>无功Q</w:t>
                  </w:r>
                  <w:r>
                    <w:rPr>
                      <w:rFonts w:hint="eastAsia"/>
                      <w:sz w:val="21"/>
                      <w:szCs w:val="21"/>
                    </w:rPr>
                    <w:t>（</w:t>
                  </w:r>
                  <w:r>
                    <w:rPr>
                      <w:sz w:val="21"/>
                      <w:szCs w:val="21"/>
                    </w:rPr>
                    <w:t>MVar</w:t>
                  </w:r>
                  <w:r>
                    <w:rPr>
                      <w:rFonts w:hint="eastAsia"/>
                      <w:sz w:val="21"/>
                      <w:szCs w:val="21"/>
                    </w:rPr>
                    <w:t>）</w:t>
                  </w:r>
                </w:p>
              </w:tc>
            </w:tr>
            <w:tr w14:paraId="1537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5" w:type="pct"/>
                  <w:vAlign w:val="center"/>
                </w:tcPr>
                <w:p w14:paraId="7CCB2467">
                  <w:pPr>
                    <w:pStyle w:val="93"/>
                    <w:tabs>
                      <w:tab w:val="left" w:pos="3720"/>
                    </w:tabs>
                    <w:rPr>
                      <w:sz w:val="21"/>
                      <w:szCs w:val="21"/>
                    </w:rPr>
                  </w:pPr>
                  <w:r>
                    <w:rPr>
                      <w:rFonts w:hint="eastAsia"/>
                      <w:sz w:val="21"/>
                      <w:szCs w:val="21"/>
                    </w:rPr>
                    <w:t>110kV丛亚线</w:t>
                  </w:r>
                </w:p>
              </w:tc>
              <w:tc>
                <w:tcPr>
                  <w:tcW w:w="1200" w:type="pct"/>
                  <w:vAlign w:val="center"/>
                </w:tcPr>
                <w:p w14:paraId="7E3FB9EB">
                  <w:pPr>
                    <w:pStyle w:val="93"/>
                    <w:tabs>
                      <w:tab w:val="left" w:pos="3720"/>
                    </w:tabs>
                    <w:rPr>
                      <w:sz w:val="21"/>
                      <w:szCs w:val="21"/>
                    </w:rPr>
                  </w:pPr>
                  <w:r>
                    <w:rPr>
                      <w:sz w:val="21"/>
                      <w:szCs w:val="21"/>
                    </w:rPr>
                    <w:t>27.8</w:t>
                  </w:r>
                </w:p>
              </w:tc>
              <w:tc>
                <w:tcPr>
                  <w:tcW w:w="1063" w:type="pct"/>
                  <w:vAlign w:val="center"/>
                </w:tcPr>
                <w:p w14:paraId="6DCC6D65">
                  <w:pPr>
                    <w:pStyle w:val="93"/>
                    <w:tabs>
                      <w:tab w:val="left" w:pos="3720"/>
                    </w:tabs>
                    <w:rPr>
                      <w:sz w:val="21"/>
                      <w:szCs w:val="21"/>
                    </w:rPr>
                  </w:pPr>
                  <w:r>
                    <w:rPr>
                      <w:sz w:val="21"/>
                      <w:szCs w:val="21"/>
                    </w:rPr>
                    <w:t>3.6</w:t>
                  </w:r>
                </w:p>
              </w:tc>
              <w:tc>
                <w:tcPr>
                  <w:tcW w:w="1202" w:type="pct"/>
                  <w:vAlign w:val="center"/>
                </w:tcPr>
                <w:p w14:paraId="568DB3CD">
                  <w:pPr>
                    <w:pStyle w:val="93"/>
                    <w:tabs>
                      <w:tab w:val="left" w:pos="3720"/>
                    </w:tabs>
                    <w:rPr>
                      <w:sz w:val="21"/>
                      <w:szCs w:val="21"/>
                    </w:rPr>
                  </w:pPr>
                  <w:r>
                    <w:rPr>
                      <w:sz w:val="21"/>
                      <w:szCs w:val="21"/>
                    </w:rPr>
                    <w:t>0.52</w:t>
                  </w:r>
                </w:p>
              </w:tc>
            </w:tr>
          </w:tbl>
          <w:p w14:paraId="5C54F1AF">
            <w:pPr>
              <w:pStyle w:val="3"/>
              <w:spacing w:line="240" w:lineRule="auto"/>
              <w:ind w:firstLine="480"/>
            </w:pPr>
          </w:p>
          <w:p w14:paraId="0738A5AD">
            <w:pPr>
              <w:pStyle w:val="3"/>
              <w:ind w:firstLine="480"/>
            </w:pPr>
            <w:r>
              <w:t>7</w:t>
            </w:r>
            <w:r>
              <w:rPr>
                <w:rFonts w:hint="eastAsia"/>
              </w:rPr>
              <w:t>）监测结果</w:t>
            </w:r>
          </w:p>
          <w:p w14:paraId="48C16E98">
            <w:pPr>
              <w:pStyle w:val="3"/>
              <w:ind w:firstLine="480"/>
            </w:pPr>
            <w:r>
              <w:rPr>
                <w:rFonts w:hint="eastAsia"/>
              </w:rPr>
              <w:t>类比输电线路中心下方距离地面</w:t>
            </w:r>
            <w:r>
              <w:t>1.2m</w:t>
            </w:r>
            <w:r>
              <w:rPr>
                <w:rFonts w:hint="eastAsia"/>
              </w:rPr>
              <w:t>高处噪声监测结果见表4</w:t>
            </w:r>
            <w:r>
              <w:t>.2-3</w:t>
            </w:r>
            <w:r>
              <w:rPr>
                <w:rFonts w:hint="eastAsia"/>
              </w:rPr>
              <w:t>所示。</w:t>
            </w:r>
          </w:p>
          <w:p w14:paraId="001B9D55">
            <w:pPr>
              <w:pStyle w:val="148"/>
            </w:pPr>
            <w:r>
              <w:rPr>
                <w:rFonts w:hint="eastAsia"/>
              </w:rPr>
              <w:t>表</w:t>
            </w:r>
            <w:r>
              <w:t xml:space="preserve">4.2-3   </w:t>
            </w:r>
            <w:r>
              <w:rPr>
                <w:rFonts w:hint="eastAsia"/>
              </w:rPr>
              <w:t>类比监测结果</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659"/>
              <w:gridCol w:w="3679"/>
              <w:gridCol w:w="1661"/>
              <w:gridCol w:w="1526"/>
            </w:tblGrid>
            <w:tr w14:paraId="6C4F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restart"/>
                  <w:vAlign w:val="center"/>
                </w:tcPr>
                <w:p w14:paraId="2E54A37B">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类比线路</w:t>
                  </w:r>
                </w:p>
              </w:tc>
              <w:tc>
                <w:tcPr>
                  <w:tcW w:w="2158" w:type="pct"/>
                  <w:vMerge w:val="restart"/>
                  <w:vAlign w:val="center"/>
                </w:tcPr>
                <w:p w14:paraId="00106095">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测点位置</w:t>
                  </w:r>
                </w:p>
              </w:tc>
              <w:tc>
                <w:tcPr>
                  <w:tcW w:w="1869" w:type="pct"/>
                  <w:gridSpan w:val="2"/>
                  <w:vAlign w:val="center"/>
                </w:tcPr>
                <w:p w14:paraId="0F55DEC4">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监测结果（dB</w:t>
                  </w:r>
                  <w:r>
                    <w:rPr>
                      <w:rFonts w:hint="eastAsia"/>
                      <w:kern w:val="0"/>
                      <w:sz w:val="21"/>
                      <w:szCs w:val="21"/>
                    </w:rPr>
                    <w:t>（</w:t>
                  </w:r>
                  <w:r>
                    <w:rPr>
                      <w:kern w:val="0"/>
                      <w:sz w:val="21"/>
                      <w:szCs w:val="21"/>
                    </w:rPr>
                    <w:t>A</w:t>
                  </w:r>
                  <w:r>
                    <w:rPr>
                      <w:rFonts w:hint="eastAsia"/>
                      <w:kern w:val="0"/>
                      <w:sz w:val="21"/>
                      <w:szCs w:val="21"/>
                    </w:rPr>
                    <w:t>）</w:t>
                  </w:r>
                  <w:r>
                    <w:rPr>
                      <w:kern w:val="0"/>
                      <w:sz w:val="21"/>
                      <w:szCs w:val="21"/>
                    </w:rPr>
                    <w:t>）</w:t>
                  </w:r>
                </w:p>
              </w:tc>
            </w:tr>
            <w:tr w14:paraId="7121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continue"/>
                  <w:vAlign w:val="center"/>
                </w:tcPr>
                <w:p w14:paraId="4B751321">
                  <w:pPr>
                    <w:tabs>
                      <w:tab w:val="left" w:pos="3720"/>
                    </w:tabs>
                    <w:autoSpaceDE w:val="0"/>
                    <w:autoSpaceDN w:val="0"/>
                    <w:adjustRightInd w:val="0"/>
                    <w:spacing w:before="72" w:line="315" w:lineRule="exact"/>
                    <w:jc w:val="center"/>
                    <w:textAlignment w:val="bottom"/>
                    <w:rPr>
                      <w:kern w:val="0"/>
                      <w:sz w:val="21"/>
                      <w:szCs w:val="21"/>
                    </w:rPr>
                  </w:pPr>
                </w:p>
              </w:tc>
              <w:tc>
                <w:tcPr>
                  <w:tcW w:w="2158" w:type="pct"/>
                  <w:vMerge w:val="continue"/>
                  <w:vAlign w:val="center"/>
                </w:tcPr>
                <w:p w14:paraId="656BC243">
                  <w:pPr>
                    <w:tabs>
                      <w:tab w:val="left" w:pos="3720"/>
                    </w:tabs>
                    <w:autoSpaceDE w:val="0"/>
                    <w:autoSpaceDN w:val="0"/>
                    <w:adjustRightInd w:val="0"/>
                    <w:spacing w:before="72" w:line="315" w:lineRule="exact"/>
                    <w:jc w:val="center"/>
                    <w:textAlignment w:val="bottom"/>
                    <w:rPr>
                      <w:kern w:val="0"/>
                      <w:sz w:val="21"/>
                      <w:szCs w:val="21"/>
                    </w:rPr>
                  </w:pPr>
                </w:p>
              </w:tc>
              <w:tc>
                <w:tcPr>
                  <w:tcW w:w="974" w:type="pct"/>
                  <w:vAlign w:val="center"/>
                </w:tcPr>
                <w:p w14:paraId="7208660B">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昼间</w:t>
                  </w:r>
                </w:p>
              </w:tc>
              <w:tc>
                <w:tcPr>
                  <w:tcW w:w="895" w:type="pct"/>
                  <w:vAlign w:val="center"/>
                </w:tcPr>
                <w:p w14:paraId="473FAECE">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夜间</w:t>
                  </w:r>
                </w:p>
              </w:tc>
            </w:tr>
            <w:tr w14:paraId="571C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restart"/>
                  <w:vAlign w:val="center"/>
                </w:tcPr>
                <w:p w14:paraId="3C24C7A9">
                  <w:pPr>
                    <w:tabs>
                      <w:tab w:val="left" w:pos="3720"/>
                    </w:tabs>
                    <w:autoSpaceDE w:val="0"/>
                    <w:autoSpaceDN w:val="0"/>
                    <w:adjustRightInd w:val="0"/>
                    <w:jc w:val="center"/>
                    <w:textAlignment w:val="bottom"/>
                    <w:rPr>
                      <w:kern w:val="0"/>
                      <w:sz w:val="21"/>
                      <w:szCs w:val="21"/>
                    </w:rPr>
                  </w:pPr>
                  <w:r>
                    <w:rPr>
                      <w:rFonts w:hint="eastAsia"/>
                      <w:kern w:val="0"/>
                      <w:sz w:val="21"/>
                      <w:szCs w:val="21"/>
                    </w:rPr>
                    <w:t>110kV丛亚线单回段（020#-021#塔，线高13米）</w:t>
                  </w:r>
                </w:p>
              </w:tc>
              <w:tc>
                <w:tcPr>
                  <w:tcW w:w="2158" w:type="pct"/>
                  <w:vAlign w:val="center"/>
                </w:tcPr>
                <w:p w14:paraId="6A0C7409">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#020</w:t>
                  </w:r>
                  <w:r>
                    <w:rPr>
                      <w:rFonts w:hint="eastAsia"/>
                      <w:kern w:val="0"/>
                      <w:sz w:val="21"/>
                      <w:szCs w:val="21"/>
                    </w:rPr>
                    <w:t>-#021塔中心线下</w:t>
                  </w:r>
                </w:p>
              </w:tc>
              <w:tc>
                <w:tcPr>
                  <w:tcW w:w="974" w:type="pct"/>
                  <w:vAlign w:val="center"/>
                </w:tcPr>
                <w:p w14:paraId="7ACC6EB5">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4</w:t>
                  </w:r>
                  <w:r>
                    <w:rPr>
                      <w:kern w:val="0"/>
                      <w:sz w:val="21"/>
                      <w:szCs w:val="21"/>
                    </w:rPr>
                    <w:t>0.2</w:t>
                  </w:r>
                </w:p>
              </w:tc>
              <w:tc>
                <w:tcPr>
                  <w:tcW w:w="895" w:type="pct"/>
                  <w:vAlign w:val="center"/>
                </w:tcPr>
                <w:p w14:paraId="0FC0161C">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7.6</w:t>
                  </w:r>
                </w:p>
              </w:tc>
            </w:tr>
            <w:tr w14:paraId="2A45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continue"/>
                  <w:vAlign w:val="center"/>
                </w:tcPr>
                <w:p w14:paraId="0B365EE5">
                  <w:pPr>
                    <w:tabs>
                      <w:tab w:val="left" w:pos="3720"/>
                    </w:tabs>
                    <w:autoSpaceDE w:val="0"/>
                    <w:autoSpaceDN w:val="0"/>
                    <w:adjustRightInd w:val="0"/>
                    <w:spacing w:before="72" w:line="315" w:lineRule="exact"/>
                    <w:jc w:val="center"/>
                    <w:textAlignment w:val="bottom"/>
                    <w:rPr>
                      <w:kern w:val="0"/>
                      <w:sz w:val="21"/>
                      <w:szCs w:val="21"/>
                    </w:rPr>
                  </w:pPr>
                </w:p>
              </w:tc>
              <w:tc>
                <w:tcPr>
                  <w:tcW w:w="2158" w:type="pct"/>
                  <w:vAlign w:val="center"/>
                </w:tcPr>
                <w:p w14:paraId="3FE31BAF">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#020</w:t>
                  </w:r>
                  <w:r>
                    <w:rPr>
                      <w:rFonts w:hint="eastAsia"/>
                      <w:kern w:val="0"/>
                      <w:sz w:val="21"/>
                      <w:szCs w:val="21"/>
                    </w:rPr>
                    <w:t>-#021塔边导线下</w:t>
                  </w:r>
                </w:p>
              </w:tc>
              <w:tc>
                <w:tcPr>
                  <w:tcW w:w="974" w:type="pct"/>
                  <w:vAlign w:val="center"/>
                </w:tcPr>
                <w:p w14:paraId="06A9CDA9">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9.7</w:t>
                  </w:r>
                </w:p>
              </w:tc>
              <w:tc>
                <w:tcPr>
                  <w:tcW w:w="895" w:type="pct"/>
                  <w:vAlign w:val="center"/>
                </w:tcPr>
                <w:p w14:paraId="3B439201">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7.4</w:t>
                  </w:r>
                </w:p>
              </w:tc>
            </w:tr>
            <w:tr w14:paraId="49C8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continue"/>
                  <w:vAlign w:val="center"/>
                </w:tcPr>
                <w:p w14:paraId="342CAF81">
                  <w:pPr>
                    <w:tabs>
                      <w:tab w:val="left" w:pos="3720"/>
                    </w:tabs>
                    <w:autoSpaceDE w:val="0"/>
                    <w:autoSpaceDN w:val="0"/>
                    <w:adjustRightInd w:val="0"/>
                    <w:spacing w:before="72" w:line="315" w:lineRule="exact"/>
                    <w:jc w:val="center"/>
                    <w:textAlignment w:val="bottom"/>
                    <w:rPr>
                      <w:kern w:val="0"/>
                      <w:sz w:val="21"/>
                      <w:szCs w:val="21"/>
                    </w:rPr>
                  </w:pPr>
                </w:p>
              </w:tc>
              <w:tc>
                <w:tcPr>
                  <w:tcW w:w="2158" w:type="pct"/>
                  <w:vAlign w:val="center"/>
                </w:tcPr>
                <w:p w14:paraId="3155C407">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#020</w:t>
                  </w:r>
                  <w:r>
                    <w:rPr>
                      <w:rFonts w:hint="eastAsia"/>
                      <w:kern w:val="0"/>
                      <w:sz w:val="21"/>
                      <w:szCs w:val="21"/>
                    </w:rPr>
                    <w:t>-#021塔距边导线5m</w:t>
                  </w:r>
                </w:p>
              </w:tc>
              <w:tc>
                <w:tcPr>
                  <w:tcW w:w="974" w:type="pct"/>
                  <w:vAlign w:val="center"/>
                </w:tcPr>
                <w:p w14:paraId="424E040E">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9.6</w:t>
                  </w:r>
                </w:p>
              </w:tc>
              <w:tc>
                <w:tcPr>
                  <w:tcW w:w="895" w:type="pct"/>
                  <w:vAlign w:val="center"/>
                </w:tcPr>
                <w:p w14:paraId="45FE59D0">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38.0</w:t>
                  </w:r>
                </w:p>
              </w:tc>
            </w:tr>
            <w:tr w14:paraId="673D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continue"/>
                  <w:vAlign w:val="center"/>
                </w:tcPr>
                <w:p w14:paraId="2640F317">
                  <w:pPr>
                    <w:tabs>
                      <w:tab w:val="left" w:pos="3720"/>
                    </w:tabs>
                    <w:autoSpaceDE w:val="0"/>
                    <w:autoSpaceDN w:val="0"/>
                    <w:adjustRightInd w:val="0"/>
                    <w:spacing w:before="72" w:line="315" w:lineRule="exact"/>
                    <w:jc w:val="center"/>
                    <w:textAlignment w:val="bottom"/>
                    <w:rPr>
                      <w:kern w:val="0"/>
                      <w:sz w:val="21"/>
                      <w:szCs w:val="21"/>
                    </w:rPr>
                  </w:pPr>
                </w:p>
              </w:tc>
              <w:tc>
                <w:tcPr>
                  <w:tcW w:w="2158" w:type="pct"/>
                </w:tcPr>
                <w:p w14:paraId="24BA92BF">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#020</w:t>
                  </w:r>
                  <w:r>
                    <w:rPr>
                      <w:rFonts w:hint="eastAsia"/>
                      <w:kern w:val="0"/>
                      <w:sz w:val="21"/>
                      <w:szCs w:val="21"/>
                    </w:rPr>
                    <w:t>-#021塔距边导线</w:t>
                  </w:r>
                  <w:r>
                    <w:rPr>
                      <w:kern w:val="0"/>
                      <w:sz w:val="21"/>
                      <w:szCs w:val="21"/>
                    </w:rPr>
                    <w:t>10</w:t>
                  </w:r>
                  <w:r>
                    <w:rPr>
                      <w:rFonts w:hint="eastAsia"/>
                      <w:kern w:val="0"/>
                      <w:sz w:val="21"/>
                      <w:szCs w:val="21"/>
                    </w:rPr>
                    <w:t>m</w:t>
                  </w:r>
                </w:p>
              </w:tc>
              <w:tc>
                <w:tcPr>
                  <w:tcW w:w="974" w:type="pct"/>
                  <w:vAlign w:val="center"/>
                </w:tcPr>
                <w:p w14:paraId="249C779D">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4</w:t>
                  </w:r>
                  <w:r>
                    <w:rPr>
                      <w:kern w:val="0"/>
                      <w:sz w:val="21"/>
                      <w:szCs w:val="21"/>
                    </w:rPr>
                    <w:t>0.3</w:t>
                  </w:r>
                </w:p>
              </w:tc>
              <w:tc>
                <w:tcPr>
                  <w:tcW w:w="895" w:type="pct"/>
                  <w:vAlign w:val="center"/>
                </w:tcPr>
                <w:p w14:paraId="21A58DCA">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7.7</w:t>
                  </w:r>
                </w:p>
              </w:tc>
            </w:tr>
            <w:tr w14:paraId="1BCB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continue"/>
                  <w:vAlign w:val="center"/>
                </w:tcPr>
                <w:p w14:paraId="355A8C4E">
                  <w:pPr>
                    <w:tabs>
                      <w:tab w:val="left" w:pos="3720"/>
                    </w:tabs>
                    <w:autoSpaceDE w:val="0"/>
                    <w:autoSpaceDN w:val="0"/>
                    <w:adjustRightInd w:val="0"/>
                    <w:spacing w:before="72" w:line="315" w:lineRule="exact"/>
                    <w:jc w:val="center"/>
                    <w:textAlignment w:val="bottom"/>
                    <w:rPr>
                      <w:kern w:val="0"/>
                      <w:sz w:val="21"/>
                      <w:szCs w:val="21"/>
                    </w:rPr>
                  </w:pPr>
                </w:p>
              </w:tc>
              <w:tc>
                <w:tcPr>
                  <w:tcW w:w="2158" w:type="pct"/>
                </w:tcPr>
                <w:p w14:paraId="6DC560DA">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#020</w:t>
                  </w:r>
                  <w:r>
                    <w:rPr>
                      <w:rFonts w:hint="eastAsia"/>
                      <w:kern w:val="0"/>
                      <w:sz w:val="21"/>
                      <w:szCs w:val="21"/>
                    </w:rPr>
                    <w:t>-#021塔距边导线</w:t>
                  </w:r>
                  <w:r>
                    <w:rPr>
                      <w:kern w:val="0"/>
                      <w:sz w:val="21"/>
                      <w:szCs w:val="21"/>
                    </w:rPr>
                    <w:t>1</w:t>
                  </w:r>
                  <w:r>
                    <w:rPr>
                      <w:rFonts w:hint="eastAsia"/>
                      <w:kern w:val="0"/>
                      <w:sz w:val="21"/>
                      <w:szCs w:val="21"/>
                    </w:rPr>
                    <w:t>5m</w:t>
                  </w:r>
                </w:p>
              </w:tc>
              <w:tc>
                <w:tcPr>
                  <w:tcW w:w="974" w:type="pct"/>
                  <w:vAlign w:val="center"/>
                </w:tcPr>
                <w:p w14:paraId="48218734">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4</w:t>
                  </w:r>
                  <w:r>
                    <w:rPr>
                      <w:kern w:val="0"/>
                      <w:sz w:val="21"/>
                      <w:szCs w:val="21"/>
                    </w:rPr>
                    <w:t>0.6</w:t>
                  </w:r>
                </w:p>
              </w:tc>
              <w:tc>
                <w:tcPr>
                  <w:tcW w:w="895" w:type="pct"/>
                  <w:vAlign w:val="center"/>
                </w:tcPr>
                <w:p w14:paraId="494CA10B">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7.2</w:t>
                  </w:r>
                </w:p>
              </w:tc>
            </w:tr>
            <w:tr w14:paraId="375C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continue"/>
                  <w:vAlign w:val="center"/>
                </w:tcPr>
                <w:p w14:paraId="56638321">
                  <w:pPr>
                    <w:tabs>
                      <w:tab w:val="left" w:pos="3720"/>
                    </w:tabs>
                    <w:autoSpaceDE w:val="0"/>
                    <w:autoSpaceDN w:val="0"/>
                    <w:adjustRightInd w:val="0"/>
                    <w:spacing w:before="72" w:line="315" w:lineRule="exact"/>
                    <w:jc w:val="center"/>
                    <w:textAlignment w:val="bottom"/>
                    <w:rPr>
                      <w:kern w:val="0"/>
                      <w:sz w:val="21"/>
                      <w:szCs w:val="21"/>
                    </w:rPr>
                  </w:pPr>
                </w:p>
              </w:tc>
              <w:tc>
                <w:tcPr>
                  <w:tcW w:w="2158" w:type="pct"/>
                </w:tcPr>
                <w:p w14:paraId="42AA5A83">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#020</w:t>
                  </w:r>
                  <w:r>
                    <w:rPr>
                      <w:rFonts w:hint="eastAsia"/>
                      <w:kern w:val="0"/>
                      <w:sz w:val="21"/>
                      <w:szCs w:val="21"/>
                    </w:rPr>
                    <w:t>-#021塔距边导线</w:t>
                  </w:r>
                  <w:r>
                    <w:rPr>
                      <w:kern w:val="0"/>
                      <w:sz w:val="21"/>
                      <w:szCs w:val="21"/>
                    </w:rPr>
                    <w:t>20</w:t>
                  </w:r>
                  <w:r>
                    <w:rPr>
                      <w:rFonts w:hint="eastAsia"/>
                      <w:kern w:val="0"/>
                      <w:sz w:val="21"/>
                      <w:szCs w:val="21"/>
                    </w:rPr>
                    <w:t>m</w:t>
                  </w:r>
                </w:p>
              </w:tc>
              <w:tc>
                <w:tcPr>
                  <w:tcW w:w="974" w:type="pct"/>
                  <w:vAlign w:val="center"/>
                </w:tcPr>
                <w:p w14:paraId="1C5F1F0C">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4</w:t>
                  </w:r>
                  <w:r>
                    <w:rPr>
                      <w:kern w:val="0"/>
                      <w:sz w:val="21"/>
                      <w:szCs w:val="21"/>
                    </w:rPr>
                    <w:t>0.4</w:t>
                  </w:r>
                </w:p>
              </w:tc>
              <w:tc>
                <w:tcPr>
                  <w:tcW w:w="895" w:type="pct"/>
                  <w:vAlign w:val="center"/>
                </w:tcPr>
                <w:p w14:paraId="0836BF78">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7.5</w:t>
                  </w:r>
                </w:p>
              </w:tc>
            </w:tr>
            <w:tr w14:paraId="1602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continue"/>
                  <w:vAlign w:val="center"/>
                </w:tcPr>
                <w:p w14:paraId="5FF4E7D1">
                  <w:pPr>
                    <w:tabs>
                      <w:tab w:val="left" w:pos="3720"/>
                    </w:tabs>
                    <w:autoSpaceDE w:val="0"/>
                    <w:autoSpaceDN w:val="0"/>
                    <w:adjustRightInd w:val="0"/>
                    <w:spacing w:before="72" w:line="315" w:lineRule="exact"/>
                    <w:jc w:val="center"/>
                    <w:textAlignment w:val="bottom"/>
                    <w:rPr>
                      <w:kern w:val="0"/>
                      <w:sz w:val="21"/>
                      <w:szCs w:val="21"/>
                    </w:rPr>
                  </w:pPr>
                </w:p>
              </w:tc>
              <w:tc>
                <w:tcPr>
                  <w:tcW w:w="2158" w:type="pct"/>
                </w:tcPr>
                <w:p w14:paraId="516E20A8">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#020</w:t>
                  </w:r>
                  <w:r>
                    <w:rPr>
                      <w:rFonts w:hint="eastAsia"/>
                      <w:kern w:val="0"/>
                      <w:sz w:val="21"/>
                      <w:szCs w:val="21"/>
                    </w:rPr>
                    <w:t>-#021塔距边导线</w:t>
                  </w:r>
                  <w:r>
                    <w:rPr>
                      <w:kern w:val="0"/>
                      <w:sz w:val="21"/>
                      <w:szCs w:val="21"/>
                    </w:rPr>
                    <w:t>2</w:t>
                  </w:r>
                  <w:r>
                    <w:rPr>
                      <w:rFonts w:hint="eastAsia"/>
                      <w:kern w:val="0"/>
                      <w:sz w:val="21"/>
                      <w:szCs w:val="21"/>
                    </w:rPr>
                    <w:t>5m</w:t>
                  </w:r>
                </w:p>
              </w:tc>
              <w:tc>
                <w:tcPr>
                  <w:tcW w:w="974" w:type="pct"/>
                  <w:vAlign w:val="center"/>
                </w:tcPr>
                <w:p w14:paraId="08E79DCF">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4</w:t>
                  </w:r>
                  <w:r>
                    <w:rPr>
                      <w:kern w:val="0"/>
                      <w:sz w:val="21"/>
                      <w:szCs w:val="21"/>
                    </w:rPr>
                    <w:t>0.2</w:t>
                  </w:r>
                </w:p>
              </w:tc>
              <w:tc>
                <w:tcPr>
                  <w:tcW w:w="895" w:type="pct"/>
                  <w:vAlign w:val="center"/>
                </w:tcPr>
                <w:p w14:paraId="389DBA55">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7.3</w:t>
                  </w:r>
                </w:p>
              </w:tc>
            </w:tr>
            <w:tr w14:paraId="1A13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continue"/>
                  <w:vAlign w:val="center"/>
                </w:tcPr>
                <w:p w14:paraId="6BCCCD6B">
                  <w:pPr>
                    <w:tabs>
                      <w:tab w:val="left" w:pos="3720"/>
                    </w:tabs>
                    <w:autoSpaceDE w:val="0"/>
                    <w:autoSpaceDN w:val="0"/>
                    <w:adjustRightInd w:val="0"/>
                    <w:spacing w:before="72" w:line="315" w:lineRule="exact"/>
                    <w:jc w:val="center"/>
                    <w:textAlignment w:val="bottom"/>
                    <w:rPr>
                      <w:kern w:val="0"/>
                      <w:sz w:val="21"/>
                      <w:szCs w:val="21"/>
                    </w:rPr>
                  </w:pPr>
                </w:p>
              </w:tc>
              <w:tc>
                <w:tcPr>
                  <w:tcW w:w="2158" w:type="pct"/>
                </w:tcPr>
                <w:p w14:paraId="2AF1781C">
                  <w:pPr>
                    <w:tabs>
                      <w:tab w:val="left" w:pos="3720"/>
                    </w:tabs>
                    <w:autoSpaceDE w:val="0"/>
                    <w:autoSpaceDN w:val="0"/>
                    <w:adjustRightInd w:val="0"/>
                    <w:spacing w:before="72" w:line="315" w:lineRule="exact"/>
                    <w:jc w:val="center"/>
                    <w:textAlignment w:val="bottom"/>
                    <w:rPr>
                      <w:kern w:val="0"/>
                      <w:sz w:val="21"/>
                      <w:szCs w:val="21"/>
                    </w:rPr>
                  </w:pPr>
                  <w:r>
                    <w:rPr>
                      <w:kern w:val="0"/>
                      <w:sz w:val="21"/>
                      <w:szCs w:val="21"/>
                    </w:rPr>
                    <w:t>#020</w:t>
                  </w:r>
                  <w:r>
                    <w:rPr>
                      <w:rFonts w:hint="eastAsia"/>
                      <w:kern w:val="0"/>
                      <w:sz w:val="21"/>
                      <w:szCs w:val="21"/>
                    </w:rPr>
                    <w:t>-#021塔距边导线</w:t>
                  </w:r>
                  <w:r>
                    <w:rPr>
                      <w:kern w:val="0"/>
                      <w:sz w:val="21"/>
                      <w:szCs w:val="21"/>
                    </w:rPr>
                    <w:t>30</w:t>
                  </w:r>
                  <w:r>
                    <w:rPr>
                      <w:rFonts w:hint="eastAsia"/>
                      <w:kern w:val="0"/>
                      <w:sz w:val="21"/>
                      <w:szCs w:val="21"/>
                    </w:rPr>
                    <w:t>m</w:t>
                  </w:r>
                </w:p>
              </w:tc>
              <w:tc>
                <w:tcPr>
                  <w:tcW w:w="974" w:type="pct"/>
                  <w:vAlign w:val="center"/>
                </w:tcPr>
                <w:p w14:paraId="0C9995EE">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9.8</w:t>
                  </w:r>
                </w:p>
              </w:tc>
              <w:tc>
                <w:tcPr>
                  <w:tcW w:w="895" w:type="pct"/>
                  <w:vAlign w:val="center"/>
                </w:tcPr>
                <w:p w14:paraId="7B197112">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7.6</w:t>
                  </w:r>
                </w:p>
              </w:tc>
            </w:tr>
            <w:tr w14:paraId="2FC5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continue"/>
                  <w:vAlign w:val="center"/>
                </w:tcPr>
                <w:p w14:paraId="03BDE19E">
                  <w:pPr>
                    <w:tabs>
                      <w:tab w:val="left" w:pos="3720"/>
                    </w:tabs>
                    <w:autoSpaceDE w:val="0"/>
                    <w:autoSpaceDN w:val="0"/>
                    <w:adjustRightInd w:val="0"/>
                    <w:spacing w:before="72" w:line="315" w:lineRule="exact"/>
                    <w:jc w:val="center"/>
                    <w:textAlignment w:val="bottom"/>
                    <w:rPr>
                      <w:kern w:val="0"/>
                      <w:sz w:val="21"/>
                      <w:szCs w:val="21"/>
                    </w:rPr>
                  </w:pPr>
                </w:p>
              </w:tc>
              <w:tc>
                <w:tcPr>
                  <w:tcW w:w="2158" w:type="pct"/>
                  <w:vAlign w:val="center"/>
                </w:tcPr>
                <w:p w14:paraId="268520A6">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房屋A（测点位于边导线下）</w:t>
                  </w:r>
                </w:p>
              </w:tc>
              <w:tc>
                <w:tcPr>
                  <w:tcW w:w="974" w:type="pct"/>
                  <w:vAlign w:val="center"/>
                </w:tcPr>
                <w:p w14:paraId="5C424743">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4</w:t>
                  </w:r>
                  <w:r>
                    <w:rPr>
                      <w:kern w:val="0"/>
                      <w:sz w:val="21"/>
                      <w:szCs w:val="21"/>
                    </w:rPr>
                    <w:t>0.3</w:t>
                  </w:r>
                </w:p>
              </w:tc>
              <w:tc>
                <w:tcPr>
                  <w:tcW w:w="895" w:type="pct"/>
                  <w:vAlign w:val="center"/>
                </w:tcPr>
                <w:p w14:paraId="75B4AFB3">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7.4</w:t>
                  </w:r>
                </w:p>
              </w:tc>
            </w:tr>
            <w:tr w14:paraId="07E8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973" w:type="pct"/>
                  <w:vMerge w:val="continue"/>
                  <w:vAlign w:val="center"/>
                </w:tcPr>
                <w:p w14:paraId="4345F34D">
                  <w:pPr>
                    <w:tabs>
                      <w:tab w:val="left" w:pos="3720"/>
                    </w:tabs>
                    <w:autoSpaceDE w:val="0"/>
                    <w:autoSpaceDN w:val="0"/>
                    <w:adjustRightInd w:val="0"/>
                    <w:spacing w:before="72" w:line="315" w:lineRule="exact"/>
                    <w:jc w:val="center"/>
                    <w:textAlignment w:val="bottom"/>
                    <w:rPr>
                      <w:kern w:val="0"/>
                      <w:sz w:val="21"/>
                      <w:szCs w:val="21"/>
                    </w:rPr>
                  </w:pPr>
                </w:p>
              </w:tc>
              <w:tc>
                <w:tcPr>
                  <w:tcW w:w="2158" w:type="pct"/>
                  <w:vAlign w:val="center"/>
                </w:tcPr>
                <w:p w14:paraId="6D93A8C9">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房屋B（测点距边导线约7米）</w:t>
                  </w:r>
                </w:p>
              </w:tc>
              <w:tc>
                <w:tcPr>
                  <w:tcW w:w="974" w:type="pct"/>
                  <w:vAlign w:val="center"/>
                </w:tcPr>
                <w:p w14:paraId="54BF22BA">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9.8</w:t>
                  </w:r>
                </w:p>
              </w:tc>
              <w:tc>
                <w:tcPr>
                  <w:tcW w:w="895" w:type="pct"/>
                  <w:vAlign w:val="center"/>
                </w:tcPr>
                <w:p w14:paraId="43A40F37">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7.3</w:t>
                  </w:r>
                </w:p>
              </w:tc>
            </w:tr>
            <w:tr w14:paraId="6BA1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jc w:val="center"/>
              </w:trPr>
              <w:tc>
                <w:tcPr>
                  <w:tcW w:w="973" w:type="pct"/>
                  <w:vMerge w:val="continue"/>
                  <w:vAlign w:val="center"/>
                </w:tcPr>
                <w:p w14:paraId="7CEC256F">
                  <w:pPr>
                    <w:tabs>
                      <w:tab w:val="left" w:pos="3720"/>
                    </w:tabs>
                    <w:autoSpaceDE w:val="0"/>
                    <w:autoSpaceDN w:val="0"/>
                    <w:adjustRightInd w:val="0"/>
                    <w:spacing w:before="72" w:line="315" w:lineRule="exact"/>
                    <w:jc w:val="center"/>
                    <w:textAlignment w:val="bottom"/>
                    <w:rPr>
                      <w:kern w:val="0"/>
                      <w:sz w:val="21"/>
                      <w:szCs w:val="21"/>
                    </w:rPr>
                  </w:pPr>
                </w:p>
              </w:tc>
              <w:tc>
                <w:tcPr>
                  <w:tcW w:w="2158" w:type="pct"/>
                  <w:vAlign w:val="center"/>
                </w:tcPr>
                <w:p w14:paraId="0A65194D">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房屋C（测点距边导线约7米）</w:t>
                  </w:r>
                </w:p>
              </w:tc>
              <w:tc>
                <w:tcPr>
                  <w:tcW w:w="974" w:type="pct"/>
                  <w:vAlign w:val="center"/>
                </w:tcPr>
                <w:p w14:paraId="638849C1">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4</w:t>
                  </w:r>
                  <w:r>
                    <w:rPr>
                      <w:kern w:val="0"/>
                      <w:sz w:val="21"/>
                      <w:szCs w:val="21"/>
                    </w:rPr>
                    <w:t>0.6</w:t>
                  </w:r>
                </w:p>
              </w:tc>
              <w:tc>
                <w:tcPr>
                  <w:tcW w:w="895" w:type="pct"/>
                  <w:vAlign w:val="center"/>
                </w:tcPr>
                <w:p w14:paraId="7E826673">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7.7</w:t>
                  </w:r>
                </w:p>
              </w:tc>
            </w:tr>
            <w:tr w14:paraId="7833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jc w:val="center"/>
              </w:trPr>
              <w:tc>
                <w:tcPr>
                  <w:tcW w:w="973" w:type="pct"/>
                  <w:vMerge w:val="continue"/>
                  <w:vAlign w:val="center"/>
                </w:tcPr>
                <w:p w14:paraId="5025052E">
                  <w:pPr>
                    <w:tabs>
                      <w:tab w:val="left" w:pos="3720"/>
                    </w:tabs>
                    <w:autoSpaceDE w:val="0"/>
                    <w:autoSpaceDN w:val="0"/>
                    <w:adjustRightInd w:val="0"/>
                    <w:spacing w:before="72" w:line="315" w:lineRule="exact"/>
                    <w:jc w:val="center"/>
                    <w:textAlignment w:val="bottom"/>
                    <w:rPr>
                      <w:kern w:val="0"/>
                      <w:sz w:val="21"/>
                      <w:szCs w:val="21"/>
                    </w:rPr>
                  </w:pPr>
                </w:p>
              </w:tc>
              <w:tc>
                <w:tcPr>
                  <w:tcW w:w="2158" w:type="pct"/>
                  <w:vAlign w:val="center"/>
                </w:tcPr>
                <w:p w14:paraId="37449E76">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房屋D（测点距边导线约7米）</w:t>
                  </w:r>
                </w:p>
              </w:tc>
              <w:tc>
                <w:tcPr>
                  <w:tcW w:w="974" w:type="pct"/>
                  <w:vAlign w:val="center"/>
                </w:tcPr>
                <w:p w14:paraId="5E7FEC28">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4</w:t>
                  </w:r>
                  <w:r>
                    <w:rPr>
                      <w:kern w:val="0"/>
                      <w:sz w:val="21"/>
                      <w:szCs w:val="21"/>
                    </w:rPr>
                    <w:t>0.5</w:t>
                  </w:r>
                </w:p>
              </w:tc>
              <w:tc>
                <w:tcPr>
                  <w:tcW w:w="895" w:type="pct"/>
                  <w:vAlign w:val="center"/>
                </w:tcPr>
                <w:p w14:paraId="6C93ABD2">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w:t>
                  </w:r>
                </w:p>
              </w:tc>
            </w:tr>
            <w:tr w14:paraId="7758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jc w:val="center"/>
              </w:trPr>
              <w:tc>
                <w:tcPr>
                  <w:tcW w:w="973" w:type="pct"/>
                  <w:vMerge w:val="continue"/>
                  <w:vAlign w:val="center"/>
                </w:tcPr>
                <w:p w14:paraId="5DB011D8">
                  <w:pPr>
                    <w:tabs>
                      <w:tab w:val="left" w:pos="3720"/>
                    </w:tabs>
                    <w:autoSpaceDE w:val="0"/>
                    <w:autoSpaceDN w:val="0"/>
                    <w:adjustRightInd w:val="0"/>
                    <w:spacing w:before="72" w:line="315" w:lineRule="exact"/>
                    <w:jc w:val="center"/>
                    <w:textAlignment w:val="bottom"/>
                    <w:rPr>
                      <w:kern w:val="0"/>
                      <w:sz w:val="21"/>
                      <w:szCs w:val="21"/>
                    </w:rPr>
                  </w:pPr>
                </w:p>
              </w:tc>
              <w:tc>
                <w:tcPr>
                  <w:tcW w:w="2158" w:type="pct"/>
                  <w:vAlign w:val="center"/>
                </w:tcPr>
                <w:p w14:paraId="46A9750B">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房屋E（测点距边导线约7米）</w:t>
                  </w:r>
                </w:p>
              </w:tc>
              <w:tc>
                <w:tcPr>
                  <w:tcW w:w="974" w:type="pct"/>
                  <w:vAlign w:val="center"/>
                </w:tcPr>
                <w:p w14:paraId="6DFBFE36">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4</w:t>
                  </w:r>
                  <w:r>
                    <w:rPr>
                      <w:kern w:val="0"/>
                      <w:sz w:val="21"/>
                      <w:szCs w:val="21"/>
                    </w:rPr>
                    <w:t>0.2</w:t>
                  </w:r>
                </w:p>
              </w:tc>
              <w:tc>
                <w:tcPr>
                  <w:tcW w:w="895" w:type="pct"/>
                  <w:vAlign w:val="center"/>
                </w:tcPr>
                <w:p w14:paraId="775447F0">
                  <w:pPr>
                    <w:tabs>
                      <w:tab w:val="left" w:pos="3720"/>
                    </w:tabs>
                    <w:autoSpaceDE w:val="0"/>
                    <w:autoSpaceDN w:val="0"/>
                    <w:adjustRightInd w:val="0"/>
                    <w:spacing w:before="72" w:line="315" w:lineRule="exact"/>
                    <w:jc w:val="center"/>
                    <w:textAlignment w:val="bottom"/>
                    <w:rPr>
                      <w:kern w:val="0"/>
                      <w:sz w:val="21"/>
                      <w:szCs w:val="21"/>
                    </w:rPr>
                  </w:pPr>
                  <w:r>
                    <w:rPr>
                      <w:rFonts w:hint="eastAsia"/>
                      <w:kern w:val="0"/>
                      <w:sz w:val="21"/>
                      <w:szCs w:val="21"/>
                    </w:rPr>
                    <w:t>3</w:t>
                  </w:r>
                  <w:r>
                    <w:rPr>
                      <w:kern w:val="0"/>
                      <w:sz w:val="21"/>
                      <w:szCs w:val="21"/>
                    </w:rPr>
                    <w:t>7.4</w:t>
                  </w:r>
                </w:p>
              </w:tc>
            </w:tr>
          </w:tbl>
          <w:p w14:paraId="02F477A5">
            <w:pPr>
              <w:pStyle w:val="3"/>
              <w:spacing w:line="240" w:lineRule="auto"/>
              <w:ind w:firstLine="480"/>
            </w:pPr>
          </w:p>
          <w:p w14:paraId="1346CD71">
            <w:pPr>
              <w:pStyle w:val="3"/>
              <w:ind w:firstLine="480"/>
            </w:pPr>
            <w:r>
              <w:rPr>
                <w:rFonts w:hint="eastAsia"/>
              </w:rPr>
              <w:t>4）影响分析</w:t>
            </w:r>
          </w:p>
          <w:p w14:paraId="1E442199">
            <w:pPr>
              <w:pStyle w:val="3"/>
              <w:ind w:firstLine="480"/>
            </w:pPr>
            <w:r>
              <w:rPr>
                <w:rFonts w:hint="eastAsia"/>
              </w:rPr>
              <w:t>由类比监测结果可知，运行状态下</w:t>
            </w:r>
            <w:r>
              <w:t>110kV</w:t>
            </w:r>
            <w:r>
              <w:rPr>
                <w:rFonts w:hint="eastAsia"/>
              </w:rPr>
              <w:t>单回线路弧垂中心下方离地面</w:t>
            </w:r>
            <w:r>
              <w:t>1.2m</w:t>
            </w:r>
            <w:r>
              <w:rPr>
                <w:rFonts w:hint="eastAsia"/>
              </w:rPr>
              <w:t>高度处的断面噪声和声环境敏感目标处噪声均满足《声环境质量标准》（</w:t>
            </w:r>
            <w:r>
              <w:t>GB 3096-2008</w:t>
            </w:r>
            <w:r>
              <w:rPr>
                <w:rFonts w:hint="eastAsia"/>
              </w:rPr>
              <w:t>）中要求；类比输电线路下监测断面噪声与声环境敏感目标处噪声监测数据基本相近，且随着距离增加，监测数据无明显衰减趋势，说明输电线路的运行噪声对周围声环境影响很小。</w:t>
            </w:r>
            <w:r>
              <w:t xml:space="preserve"> </w:t>
            </w:r>
          </w:p>
          <w:p w14:paraId="485C5B87">
            <w:pPr>
              <w:pStyle w:val="3"/>
              <w:ind w:firstLine="480"/>
            </w:pPr>
            <w:r>
              <w:rPr>
                <w:rFonts w:hint="eastAsia"/>
              </w:rPr>
              <w:t>根据现场踏勘和现状监测结果可知，本工程沿线环境敏感保护目标处的声环境质量现状分别能够满足《声环境质量标准》（</w:t>
            </w:r>
            <w:r>
              <w:t>GB3096-2008</w:t>
            </w:r>
            <w:r>
              <w:rPr>
                <w:rFonts w:hint="eastAsia"/>
              </w:rPr>
              <w:t>）中相应声功能区标准限值要求。根据类比对象的监测结果分析可知，本工程沿线环境敏感保护与类比工程沿线环境敏感目标位置、高度、线高等情况相似，输电线路建成后对沿线环境保护目标的声环境影响很小。因此可以预测，本工程线路建成后，线路附近环境敏感目标处的声环境影响能够维持现状水平，并分别能够满足《声环境质量标准》（</w:t>
            </w:r>
            <w:r>
              <w:t>GB3096-2008</w:t>
            </w:r>
            <w:r>
              <w:rPr>
                <w:rFonts w:hint="eastAsia"/>
              </w:rPr>
              <w:t>）中相应声功能区标准限值要求。</w:t>
            </w:r>
          </w:p>
          <w:p w14:paraId="614BB9D8">
            <w:pPr>
              <w:pStyle w:val="3"/>
              <w:ind w:firstLine="480"/>
            </w:pPr>
            <w:r>
              <w:rPr>
                <w:rFonts w:hint="eastAsia" w:ascii="宋体" w:cs="宋体"/>
                <w:szCs w:val="24"/>
              </w:rPr>
              <w:t>综上分析，本</w:t>
            </w:r>
            <w:r>
              <w:rPr>
                <w:rFonts w:hint="eastAsia"/>
              </w:rPr>
              <w:t>工程线路投运后产生的噪声对周围环境的影响能够分别满足《声环境质量标准》（</w:t>
            </w:r>
            <w:r>
              <w:t>GB3096-2008</w:t>
            </w:r>
            <w:r>
              <w:rPr>
                <w:rFonts w:hint="eastAsia"/>
              </w:rPr>
              <w:t>）中</w:t>
            </w:r>
            <w:r>
              <w:rPr>
                <w:rFonts w:hint="eastAsia" w:ascii="宋体" w:cs="宋体"/>
                <w:szCs w:val="24"/>
              </w:rPr>
              <w:t>相应声功能区标准限值要求。</w:t>
            </w:r>
          </w:p>
          <w:p w14:paraId="42801B86">
            <w:pPr>
              <w:pStyle w:val="3"/>
              <w:ind w:firstLine="480"/>
            </w:pPr>
            <w:r>
              <w:t>b</w:t>
            </w:r>
            <w:r>
              <w:rPr>
                <w:rFonts w:hint="eastAsia"/>
              </w:rPr>
              <w:t>）间隔扩建工程噪声影响分析</w:t>
            </w:r>
          </w:p>
          <w:p w14:paraId="2D42E022">
            <w:pPr>
              <w:pStyle w:val="3"/>
              <w:ind w:firstLine="480"/>
            </w:pPr>
            <w:r>
              <w:rPr>
                <w:rFonts w:hint="eastAsia"/>
              </w:rPr>
              <w:t>贝江1</w:t>
            </w:r>
            <w:r>
              <w:t>10kV</w:t>
            </w:r>
            <w:r>
              <w:rPr>
                <w:rFonts w:hint="eastAsia"/>
              </w:rPr>
              <w:t>变电站本期仅扩建出线间隔，故本次评价只做简要分析。</w:t>
            </w:r>
          </w:p>
          <w:p w14:paraId="0EBBD0B2">
            <w:pPr>
              <w:pStyle w:val="3"/>
              <w:ind w:firstLine="480"/>
            </w:pPr>
            <w:r>
              <w:rPr>
                <w:rFonts w:hint="eastAsia"/>
              </w:rPr>
              <w:t>螺狮岭</w:t>
            </w:r>
            <w:r>
              <w:t>110kV</w:t>
            </w:r>
            <w:r>
              <w:rPr>
                <w:rFonts w:hint="eastAsia"/>
              </w:rPr>
              <w:t>变电站本期仅扩建出线间隔，不增加主变、高压电抗器等主要声源，对其厂界噪声不构成噪声增量，本期扩建完成后，其厂界处的噪声将维持在现状水平，并满足相应标准要求。</w:t>
            </w:r>
            <w:r>
              <w:t xml:space="preserve"> </w:t>
            </w:r>
          </w:p>
          <w:p w14:paraId="6C1B6584">
            <w:pPr>
              <w:pStyle w:val="6"/>
            </w:pPr>
            <w:bookmarkStart w:id="136" w:name="_Toc99093265"/>
            <w:bookmarkStart w:id="137" w:name="_Toc99090808"/>
            <w:bookmarkStart w:id="138" w:name="_Toc95916474"/>
            <w:r>
              <w:rPr>
                <w:rFonts w:hint="eastAsia"/>
              </w:rPr>
              <w:t>运营期</w:t>
            </w:r>
            <w:r>
              <w:t>固体废物环境影响分析</w:t>
            </w:r>
            <w:bookmarkEnd w:id="136"/>
            <w:bookmarkEnd w:id="137"/>
            <w:bookmarkEnd w:id="138"/>
          </w:p>
          <w:p w14:paraId="0293E02C">
            <w:pPr>
              <w:pStyle w:val="3"/>
              <w:ind w:firstLine="480"/>
            </w:pPr>
            <w:r>
              <w:rPr>
                <w:rFonts w:hint="eastAsia"/>
              </w:rPr>
              <w:t>输电线路运行期无固体废物产生，仅线路检修产生少量检修垃圾，主要为废导线、绝缘子等，由线路巡检人员带离现场，就近交由环卫部门处理。</w:t>
            </w:r>
          </w:p>
          <w:p w14:paraId="7E0BA4DD">
            <w:pPr>
              <w:pStyle w:val="6"/>
            </w:pPr>
            <w:r>
              <w:rPr>
                <w:rFonts w:hint="eastAsia"/>
              </w:rPr>
              <w:t>运营期生态环境影响分析</w:t>
            </w:r>
          </w:p>
          <w:p w14:paraId="636453C5">
            <w:pPr>
              <w:pStyle w:val="3"/>
              <w:ind w:firstLine="480"/>
            </w:pPr>
            <w:r>
              <w:rPr>
                <w:rFonts w:hint="eastAsia"/>
              </w:rPr>
              <w:t>由于本工程占地面积较小，且为点状分散占地，永久占地评价区占各生态系统面积比例极小，基本不会对评价区生态系统结构和功能产生显著影响，对生态系统内动植物的影响范围有限。同时，由于本工程各塔基施工时间短，施工范围小，施工活动对施工区生态环境的影响是短暂的，在采取本环评提出的生态保护措施后，该建设项目对区域自然生态系统的影响能够控制在可以接受的水平。详见生态环境影响专项评价。</w:t>
            </w:r>
          </w:p>
          <w:p w14:paraId="3D69FB39">
            <w:pPr>
              <w:pStyle w:val="6"/>
            </w:pPr>
            <w:r>
              <w:rPr>
                <w:rFonts w:hint="eastAsia"/>
              </w:rPr>
              <w:t>电磁环境影响分析</w:t>
            </w:r>
          </w:p>
          <w:p w14:paraId="19A3C85F">
            <w:pPr>
              <w:pStyle w:val="3"/>
              <w:ind w:firstLine="480"/>
            </w:pPr>
            <w:r>
              <w:rPr>
                <w:rFonts w:hint="eastAsia"/>
              </w:rPr>
              <w:t>本工程建成投运后，贝江1</w:t>
            </w:r>
            <w:r>
              <w:t>00</w:t>
            </w:r>
            <w:r>
              <w:rPr>
                <w:rFonts w:hint="eastAsia"/>
              </w:rPr>
              <w:t>kV变电站、基地源1</w:t>
            </w:r>
            <w:r>
              <w:t>10</w:t>
            </w:r>
            <w:r>
              <w:rPr>
                <w:rFonts w:hint="eastAsia"/>
              </w:rPr>
              <w:t>kV变电站站界外工频电场强度、工频磁感应强度满足相应评价标准限值的要求，输电线路运行产生的电磁环境对周围环境的影响均满足相应评价标准限值要求。详见电磁环境影响评价专题。</w:t>
            </w:r>
          </w:p>
        </w:tc>
      </w:tr>
      <w:tr w14:paraId="7BDD3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233" w:type="pct"/>
            <w:tcBorders>
              <w:top w:val="single" w:color="auto" w:sz="4" w:space="0"/>
            </w:tcBorders>
            <w:vAlign w:val="center"/>
          </w:tcPr>
          <w:p w14:paraId="394AE459">
            <w:pPr>
              <w:pStyle w:val="86"/>
            </w:pPr>
            <w:r>
              <w:rPr>
                <w:rFonts w:hint="eastAsia"/>
              </w:rPr>
              <w:t>选址选线环境合理性分析</w:t>
            </w:r>
          </w:p>
        </w:tc>
        <w:tc>
          <w:tcPr>
            <w:tcW w:w="4767" w:type="pct"/>
            <w:tcBorders>
              <w:top w:val="single" w:color="auto" w:sz="4" w:space="0"/>
            </w:tcBorders>
          </w:tcPr>
          <w:p w14:paraId="19A7AA5B">
            <w:pPr>
              <w:pStyle w:val="5"/>
            </w:pPr>
            <w:r>
              <w:rPr>
                <w:rFonts w:hint="eastAsia"/>
              </w:rPr>
              <w:t>选选址选线环境合理性分析</w:t>
            </w:r>
          </w:p>
          <w:p w14:paraId="7ECF3386">
            <w:pPr>
              <w:pStyle w:val="6"/>
            </w:pPr>
            <w:r>
              <w:rPr>
                <w:rFonts w:hint="eastAsia"/>
              </w:rPr>
              <w:t>路径方案比选</w:t>
            </w:r>
          </w:p>
          <w:p w14:paraId="48BD94E6">
            <w:pPr>
              <w:pStyle w:val="3"/>
              <w:ind w:firstLine="480"/>
            </w:pPr>
            <w:r>
              <w:rPr>
                <w:rFonts w:hint="eastAsia"/>
              </w:rPr>
              <w:t>线路工程提出了两种路径方案，具体如下：</w:t>
            </w:r>
          </w:p>
          <w:p w14:paraId="503F2379">
            <w:pPr>
              <w:pStyle w:val="3"/>
              <w:ind w:firstLine="480"/>
            </w:pPr>
            <w:r>
              <w:rPr>
                <w:rFonts w:hint="eastAsia"/>
              </w:rPr>
              <w:t>a）西方案（推荐方案）：</w:t>
            </w:r>
          </w:p>
          <w:p w14:paraId="0BE01D4D">
            <w:pPr>
              <w:pStyle w:val="3"/>
              <w:ind w:firstLine="480"/>
            </w:pPr>
            <w:r>
              <w:t>线路由贝江110kV变电站512间隔向北电缆出线至站外电缆终端塔，随即转为架空，跨越涔天河国家湿地公园，然后穿越姑婆山风景名胜区，继续向北走线，通过多个转角来让塔基避开生态红线，穿越姑婆山风景名胜区，然后在杨梅早附近跨越110kV涔码线，再转向西北，在大车洞村附近依次跨越X081县道、35kV欧贝线、35kV贝湘线和35kV麻河电站群线路，继续大角度转向西北方向，平行于35kV贝湘线走线，经过山马村和门万，走线至桐冲口村附近，转向东北方向，平行于35kV麻河电站群线路，先跨越2次X081县道，然后经过小坳，走线至湘江乡，避开村庄，然后转向西北，依次经过大湾冲、新冲口和木源岔，最后到达基地源110kV变电站。</w:t>
            </w:r>
          </w:p>
          <w:p w14:paraId="4BDB597A">
            <w:pPr>
              <w:pStyle w:val="3"/>
              <w:ind w:firstLine="480"/>
            </w:pPr>
            <w:r>
              <w:rPr>
                <w:rFonts w:hint="eastAsia"/>
              </w:rPr>
              <w:t>b）东方案（对比方案）：</w:t>
            </w:r>
          </w:p>
          <w:p w14:paraId="75FB660A">
            <w:pPr>
              <w:pStyle w:val="3"/>
              <w:ind w:firstLine="480"/>
              <w:rPr>
                <w:rFonts w:ascii="宋体" w:cs="宋体"/>
                <w:sz w:val="26"/>
                <w:szCs w:val="26"/>
              </w:rPr>
            </w:pPr>
            <w:r>
              <w:t>线路由贝江110kV变电站512间隔向西北通过站内电缆走线至110kV贝姑线和110kV东贝线之间的电缆终端塔，随即转为架空，跨越涔天河国家湿地公园，穿越姑婆山风景名胜区，然后继续向北平行110kV东贝线走线约1km，转向东北，穿越生态红线并钻越110kV东贝线，随后转向西北，在杨梅早附近与西方案（推荐方案）线路重合，重合走线至湘江乡，转向东北走线，在中央河村附近跨越35kV麻河电站群线路，继续转向东北，避开生态红线，平行35kV麻河电站群线路走线，跨越X081县道6次，在独田岭附近跨越2次35kV麻河电站群线路，然后转向西北，经过黄泥口，再转向东北走线，最后到达基地源110kV变电站。</w:t>
            </w:r>
          </w:p>
          <w:p w14:paraId="7C11496A">
            <w:pPr>
              <w:pStyle w:val="3"/>
              <w:ind w:firstLine="480"/>
            </w:pPr>
            <w:r>
              <w:rPr>
                <w:rFonts w:hint="eastAsia"/>
              </w:rPr>
              <w:t>路径方案比选见表</w:t>
            </w:r>
            <w:r>
              <w:t>4.3-1</w:t>
            </w:r>
            <w:r>
              <w:rPr>
                <w:rFonts w:hint="eastAsia"/>
              </w:rPr>
              <w:t>所示。</w:t>
            </w:r>
          </w:p>
          <w:p w14:paraId="3E3A702D">
            <w:pPr>
              <w:pStyle w:val="148"/>
            </w:pPr>
            <w:r>
              <w:rPr>
                <w:rFonts w:hint="eastAsia"/>
              </w:rPr>
              <w:t>表</w:t>
            </w:r>
            <w:r>
              <w:t xml:space="preserve">4.3-1  </w:t>
            </w:r>
            <w:r>
              <w:rPr>
                <w:rFonts w:hint="eastAsia"/>
              </w:rPr>
              <w:t>路径方案比选表</w:t>
            </w:r>
          </w:p>
          <w:tbl>
            <w:tblPr>
              <w:tblStyle w:val="40"/>
              <w:tblW w:w="8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560"/>
              <w:gridCol w:w="2409"/>
              <w:gridCol w:w="2694"/>
              <w:gridCol w:w="1017"/>
            </w:tblGrid>
            <w:tr w14:paraId="0672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Merge w:val="restart"/>
                  <w:vAlign w:val="center"/>
                </w:tcPr>
                <w:p w14:paraId="62EE542C">
                  <w:pPr>
                    <w:pStyle w:val="159"/>
                    <w:ind w:left="-100" w:leftChars="-50" w:right="-100" w:rightChars="-50"/>
                  </w:pPr>
                  <w:r>
                    <w:rPr>
                      <w:rFonts w:hint="eastAsia"/>
                    </w:rPr>
                    <w:t>序号</w:t>
                  </w:r>
                </w:p>
              </w:tc>
              <w:tc>
                <w:tcPr>
                  <w:tcW w:w="1560" w:type="dxa"/>
                  <w:vMerge w:val="restart"/>
                  <w:vAlign w:val="center"/>
                </w:tcPr>
                <w:p w14:paraId="6C20166A">
                  <w:pPr>
                    <w:pStyle w:val="159"/>
                  </w:pPr>
                  <w:r>
                    <w:rPr>
                      <w:rFonts w:hint="eastAsia"/>
                    </w:rPr>
                    <w:t>项目名称</w:t>
                  </w:r>
                </w:p>
              </w:tc>
              <w:tc>
                <w:tcPr>
                  <w:tcW w:w="5103" w:type="dxa"/>
                  <w:gridSpan w:val="2"/>
                  <w:vAlign w:val="center"/>
                </w:tcPr>
                <w:p w14:paraId="2608D912">
                  <w:pPr>
                    <w:pStyle w:val="159"/>
                  </w:pPr>
                  <w:r>
                    <w:rPr>
                      <w:rFonts w:hint="eastAsia"/>
                    </w:rPr>
                    <w:t>经济技术指标</w:t>
                  </w:r>
                </w:p>
              </w:tc>
              <w:tc>
                <w:tcPr>
                  <w:tcW w:w="1017" w:type="dxa"/>
                  <w:vMerge w:val="restart"/>
                  <w:vAlign w:val="center"/>
                </w:tcPr>
                <w:p w14:paraId="3C7C450E">
                  <w:pPr>
                    <w:pStyle w:val="159"/>
                  </w:pPr>
                  <w:r>
                    <w:rPr>
                      <w:rFonts w:hint="eastAsia"/>
                    </w:rPr>
                    <w:t>优势方案</w:t>
                  </w:r>
                </w:p>
              </w:tc>
            </w:tr>
            <w:tr w14:paraId="168B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Merge w:val="continue"/>
                  <w:vAlign w:val="center"/>
                </w:tcPr>
                <w:p w14:paraId="5FC8445D">
                  <w:pPr>
                    <w:pStyle w:val="159"/>
                  </w:pPr>
                </w:p>
              </w:tc>
              <w:tc>
                <w:tcPr>
                  <w:tcW w:w="1560" w:type="dxa"/>
                  <w:vMerge w:val="continue"/>
                  <w:vAlign w:val="center"/>
                </w:tcPr>
                <w:p w14:paraId="20F37DDA">
                  <w:pPr>
                    <w:pStyle w:val="159"/>
                  </w:pPr>
                </w:p>
              </w:tc>
              <w:tc>
                <w:tcPr>
                  <w:tcW w:w="2409" w:type="dxa"/>
                  <w:vAlign w:val="center"/>
                </w:tcPr>
                <w:p w14:paraId="382FD469">
                  <w:pPr>
                    <w:pStyle w:val="159"/>
                  </w:pPr>
                  <w:r>
                    <w:rPr>
                      <w:rFonts w:hint="eastAsia"/>
                    </w:rPr>
                    <w:t>西方案（推荐方案）</w:t>
                  </w:r>
                </w:p>
              </w:tc>
              <w:tc>
                <w:tcPr>
                  <w:tcW w:w="2694" w:type="dxa"/>
                  <w:vAlign w:val="center"/>
                </w:tcPr>
                <w:p w14:paraId="1DF48D2C">
                  <w:pPr>
                    <w:pStyle w:val="159"/>
                  </w:pPr>
                  <w:r>
                    <w:rPr>
                      <w:rFonts w:hint="eastAsia"/>
                    </w:rPr>
                    <w:t>东方案</w:t>
                  </w:r>
                </w:p>
              </w:tc>
              <w:tc>
                <w:tcPr>
                  <w:tcW w:w="1017" w:type="dxa"/>
                  <w:vMerge w:val="continue"/>
                  <w:vAlign w:val="center"/>
                </w:tcPr>
                <w:p w14:paraId="49D8A055">
                  <w:pPr>
                    <w:pStyle w:val="159"/>
                  </w:pPr>
                </w:p>
              </w:tc>
            </w:tr>
            <w:tr w14:paraId="5BA1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0AFB8ADA">
                  <w:pPr>
                    <w:pStyle w:val="159"/>
                  </w:pPr>
                  <w:r>
                    <w:t>1</w:t>
                  </w:r>
                </w:p>
              </w:tc>
              <w:tc>
                <w:tcPr>
                  <w:tcW w:w="1560" w:type="dxa"/>
                  <w:vAlign w:val="center"/>
                </w:tcPr>
                <w:p w14:paraId="6F0A8D55">
                  <w:pPr>
                    <w:pStyle w:val="159"/>
                    <w:ind w:left="-100" w:leftChars="-50" w:right="-100" w:rightChars="-50"/>
                  </w:pPr>
                  <w:r>
                    <w:rPr>
                      <w:rFonts w:hint="eastAsia"/>
                    </w:rPr>
                    <w:t>架空路径长度</w:t>
                  </w:r>
                </w:p>
              </w:tc>
              <w:tc>
                <w:tcPr>
                  <w:tcW w:w="2409" w:type="dxa"/>
                  <w:vAlign w:val="center"/>
                </w:tcPr>
                <w:p w14:paraId="02DCE24E">
                  <w:pPr>
                    <w:pStyle w:val="159"/>
                  </w:pPr>
                  <w:r>
                    <w:t>20km</w:t>
                  </w:r>
                </w:p>
              </w:tc>
              <w:tc>
                <w:tcPr>
                  <w:tcW w:w="2694" w:type="dxa"/>
                  <w:vAlign w:val="center"/>
                </w:tcPr>
                <w:p w14:paraId="6EE27784">
                  <w:pPr>
                    <w:pStyle w:val="159"/>
                  </w:pPr>
                  <w:r>
                    <w:t>22.6km</w:t>
                  </w:r>
                </w:p>
              </w:tc>
              <w:tc>
                <w:tcPr>
                  <w:tcW w:w="1017" w:type="dxa"/>
                  <w:vAlign w:val="center"/>
                </w:tcPr>
                <w:p w14:paraId="010FF11B">
                  <w:pPr>
                    <w:pStyle w:val="159"/>
                  </w:pPr>
                  <w:r>
                    <w:rPr>
                      <w:rFonts w:hint="eastAsia"/>
                    </w:rPr>
                    <w:t>西方案</w:t>
                  </w:r>
                </w:p>
              </w:tc>
            </w:tr>
            <w:tr w14:paraId="3E8F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53BF37CC">
                  <w:pPr>
                    <w:pStyle w:val="159"/>
                  </w:pPr>
                  <w:r>
                    <w:rPr>
                      <w:rFonts w:hint="eastAsia"/>
                    </w:rPr>
                    <w:t>2</w:t>
                  </w:r>
                </w:p>
              </w:tc>
              <w:tc>
                <w:tcPr>
                  <w:tcW w:w="1560" w:type="dxa"/>
                  <w:vAlign w:val="center"/>
                </w:tcPr>
                <w:p w14:paraId="69CC7C4D">
                  <w:pPr>
                    <w:pStyle w:val="159"/>
                    <w:ind w:left="-100" w:leftChars="-50" w:right="-100" w:rightChars="-50"/>
                  </w:pPr>
                  <w:r>
                    <w:rPr>
                      <w:rFonts w:hint="eastAsia"/>
                    </w:rPr>
                    <w:t>电缆路径长度</w:t>
                  </w:r>
                </w:p>
              </w:tc>
              <w:tc>
                <w:tcPr>
                  <w:tcW w:w="2409" w:type="dxa"/>
                  <w:vAlign w:val="center"/>
                </w:tcPr>
                <w:p w14:paraId="64C98517">
                  <w:pPr>
                    <w:pStyle w:val="159"/>
                  </w:pPr>
                  <w:r>
                    <w:t>45m</w:t>
                  </w:r>
                </w:p>
              </w:tc>
              <w:tc>
                <w:tcPr>
                  <w:tcW w:w="2694" w:type="dxa"/>
                  <w:vAlign w:val="center"/>
                </w:tcPr>
                <w:p w14:paraId="2203AB82">
                  <w:pPr>
                    <w:pStyle w:val="159"/>
                  </w:pPr>
                  <w:r>
                    <w:t>45m</w:t>
                  </w:r>
                </w:p>
              </w:tc>
              <w:tc>
                <w:tcPr>
                  <w:tcW w:w="1017" w:type="dxa"/>
                  <w:vAlign w:val="center"/>
                </w:tcPr>
                <w:p w14:paraId="01D76024">
                  <w:pPr>
                    <w:pStyle w:val="159"/>
                  </w:pPr>
                  <w:r>
                    <w:rPr>
                      <w:rFonts w:hint="eastAsia"/>
                    </w:rPr>
                    <w:t>一致</w:t>
                  </w:r>
                </w:p>
              </w:tc>
            </w:tr>
            <w:tr w14:paraId="2B37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3134344F">
                  <w:pPr>
                    <w:pStyle w:val="159"/>
                  </w:pPr>
                  <w:r>
                    <w:t>3</w:t>
                  </w:r>
                </w:p>
              </w:tc>
              <w:tc>
                <w:tcPr>
                  <w:tcW w:w="1560" w:type="dxa"/>
                  <w:vAlign w:val="center"/>
                </w:tcPr>
                <w:p w14:paraId="3AC78900">
                  <w:pPr>
                    <w:pStyle w:val="159"/>
                    <w:ind w:left="-100" w:leftChars="-50" w:right="-100" w:rightChars="-50"/>
                  </w:pPr>
                  <w:r>
                    <w:rPr>
                      <w:rFonts w:hint="eastAsia"/>
                    </w:rPr>
                    <w:t>冰区（架空）</w:t>
                  </w:r>
                </w:p>
              </w:tc>
              <w:tc>
                <w:tcPr>
                  <w:tcW w:w="2409" w:type="dxa"/>
                  <w:vAlign w:val="center"/>
                </w:tcPr>
                <w:p w14:paraId="13DF97B9">
                  <w:pPr>
                    <w:pStyle w:val="159"/>
                  </w:pPr>
                  <w:r>
                    <w:t>15mm</w:t>
                  </w:r>
                  <w:r>
                    <w:rPr>
                      <w:rFonts w:hint="eastAsia"/>
                    </w:rPr>
                    <w:t>冰区：</w:t>
                  </w:r>
                  <w:r>
                    <w:t>6km</w:t>
                  </w:r>
                </w:p>
                <w:p w14:paraId="03CC5C11">
                  <w:pPr>
                    <w:pStyle w:val="159"/>
                  </w:pPr>
                  <w:r>
                    <w:t>20mm</w:t>
                  </w:r>
                  <w:r>
                    <w:rPr>
                      <w:rFonts w:hint="eastAsia"/>
                    </w:rPr>
                    <w:t>冰区：</w:t>
                  </w:r>
                  <w:r>
                    <w:t>14km</w:t>
                  </w:r>
                </w:p>
              </w:tc>
              <w:tc>
                <w:tcPr>
                  <w:tcW w:w="2694" w:type="dxa"/>
                  <w:vAlign w:val="center"/>
                </w:tcPr>
                <w:p w14:paraId="51F4B312">
                  <w:pPr>
                    <w:pStyle w:val="159"/>
                  </w:pPr>
                  <w:r>
                    <w:t>15mm</w:t>
                  </w:r>
                  <w:r>
                    <w:rPr>
                      <w:rFonts w:hint="eastAsia"/>
                    </w:rPr>
                    <w:t>冰区：</w:t>
                  </w:r>
                  <w:r>
                    <w:t>6km</w:t>
                  </w:r>
                </w:p>
                <w:p w14:paraId="33868A8A">
                  <w:pPr>
                    <w:pStyle w:val="159"/>
                  </w:pPr>
                  <w:r>
                    <w:t>20mm</w:t>
                  </w:r>
                  <w:r>
                    <w:rPr>
                      <w:rFonts w:hint="eastAsia"/>
                    </w:rPr>
                    <w:t>冰区：</w:t>
                  </w:r>
                  <w:r>
                    <w:t>16.6km</w:t>
                  </w:r>
                </w:p>
              </w:tc>
              <w:tc>
                <w:tcPr>
                  <w:tcW w:w="1017" w:type="dxa"/>
                  <w:vAlign w:val="center"/>
                </w:tcPr>
                <w:p w14:paraId="4B7D912C">
                  <w:pPr>
                    <w:pStyle w:val="159"/>
                  </w:pPr>
                  <w:r>
                    <w:rPr>
                      <w:rFonts w:hint="eastAsia"/>
                    </w:rPr>
                    <w:t>西方案</w:t>
                  </w:r>
                </w:p>
              </w:tc>
            </w:tr>
            <w:tr w14:paraId="1481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7AB7EC91">
                  <w:pPr>
                    <w:pStyle w:val="159"/>
                  </w:pPr>
                  <w:r>
                    <w:t>4</w:t>
                  </w:r>
                </w:p>
              </w:tc>
              <w:tc>
                <w:tcPr>
                  <w:tcW w:w="1560" w:type="dxa"/>
                  <w:vAlign w:val="center"/>
                </w:tcPr>
                <w:p w14:paraId="7CFB6258">
                  <w:pPr>
                    <w:pStyle w:val="159"/>
                    <w:ind w:left="-100" w:leftChars="-50" w:right="-100" w:rightChars="-50"/>
                  </w:pPr>
                  <w:r>
                    <w:rPr>
                      <w:rFonts w:hint="eastAsia"/>
                    </w:rPr>
                    <w:t>交叉跨越</w:t>
                  </w:r>
                </w:p>
              </w:tc>
              <w:tc>
                <w:tcPr>
                  <w:tcW w:w="2409" w:type="dxa"/>
                  <w:vAlign w:val="center"/>
                </w:tcPr>
                <w:p w14:paraId="52F8CAEB">
                  <w:pPr>
                    <w:pStyle w:val="159"/>
                  </w:pPr>
                  <w:r>
                    <w:rPr>
                      <w:rFonts w:hint="eastAsia"/>
                    </w:rPr>
                    <w:t>跨越</w:t>
                  </w:r>
                  <w:r>
                    <w:t>110kV</w:t>
                  </w:r>
                  <w:r>
                    <w:rPr>
                      <w:rFonts w:hint="eastAsia"/>
                    </w:rPr>
                    <w:t>线路</w:t>
                  </w:r>
                  <w:r>
                    <w:t>1</w:t>
                  </w:r>
                  <w:r>
                    <w:rPr>
                      <w:rFonts w:hint="eastAsia"/>
                    </w:rPr>
                    <w:t>次，</w:t>
                  </w:r>
                  <w:r>
                    <w:t>35kV</w:t>
                  </w:r>
                  <w:r>
                    <w:rPr>
                      <w:rFonts w:hint="eastAsia"/>
                    </w:rPr>
                    <w:t>线路</w:t>
                  </w:r>
                  <w:r>
                    <w:t>3</w:t>
                  </w:r>
                  <w:r>
                    <w:rPr>
                      <w:rFonts w:hint="eastAsia"/>
                    </w:rPr>
                    <w:t>次；跨越</w:t>
                  </w:r>
                  <w:r>
                    <w:t>X081</w:t>
                  </w:r>
                  <w:r>
                    <w:rPr>
                      <w:rFonts w:hint="eastAsia"/>
                    </w:rPr>
                    <w:t>县道</w:t>
                  </w:r>
                  <w:r>
                    <w:t>3</w:t>
                  </w:r>
                  <w:r>
                    <w:rPr>
                      <w:rFonts w:hint="eastAsia"/>
                    </w:rPr>
                    <w:t>次</w:t>
                  </w:r>
                </w:p>
              </w:tc>
              <w:tc>
                <w:tcPr>
                  <w:tcW w:w="2694" w:type="dxa"/>
                  <w:vAlign w:val="center"/>
                </w:tcPr>
                <w:p w14:paraId="2D8D8A70">
                  <w:pPr>
                    <w:pStyle w:val="159"/>
                  </w:pPr>
                  <w:r>
                    <w:rPr>
                      <w:rFonts w:hint="eastAsia"/>
                    </w:rPr>
                    <w:t>跨越</w:t>
                  </w:r>
                  <w:r>
                    <w:t>110kV</w:t>
                  </w:r>
                  <w:r>
                    <w:rPr>
                      <w:rFonts w:hint="eastAsia"/>
                    </w:rPr>
                    <w:t>线路</w:t>
                  </w:r>
                  <w:r>
                    <w:t>1</w:t>
                  </w:r>
                  <w:r>
                    <w:rPr>
                      <w:rFonts w:hint="eastAsia"/>
                    </w:rPr>
                    <w:t>次，</w:t>
                  </w:r>
                  <w:r>
                    <w:t>35kV</w:t>
                  </w:r>
                  <w:r>
                    <w:rPr>
                      <w:rFonts w:hint="eastAsia"/>
                    </w:rPr>
                    <w:t>线路</w:t>
                  </w:r>
                  <w:r>
                    <w:t>6</w:t>
                  </w:r>
                  <w:r>
                    <w:rPr>
                      <w:rFonts w:hint="eastAsia"/>
                    </w:rPr>
                    <w:t>次；跨越</w:t>
                  </w:r>
                  <w:r>
                    <w:t>X081</w:t>
                  </w:r>
                  <w:r>
                    <w:rPr>
                      <w:rFonts w:hint="eastAsia"/>
                    </w:rPr>
                    <w:t>县道</w:t>
                  </w:r>
                  <w:r>
                    <w:t>9</w:t>
                  </w:r>
                  <w:r>
                    <w:rPr>
                      <w:rFonts w:hint="eastAsia"/>
                    </w:rPr>
                    <w:t>次</w:t>
                  </w:r>
                </w:p>
              </w:tc>
              <w:tc>
                <w:tcPr>
                  <w:tcW w:w="1017" w:type="dxa"/>
                  <w:vAlign w:val="center"/>
                </w:tcPr>
                <w:p w14:paraId="2A04C833">
                  <w:pPr>
                    <w:pStyle w:val="159"/>
                  </w:pPr>
                  <w:r>
                    <w:rPr>
                      <w:rFonts w:hint="eastAsia"/>
                    </w:rPr>
                    <w:t>西方案</w:t>
                  </w:r>
                </w:p>
              </w:tc>
            </w:tr>
            <w:tr w14:paraId="057A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37DDCA83">
                  <w:pPr>
                    <w:pStyle w:val="159"/>
                  </w:pPr>
                  <w:r>
                    <w:t>5</w:t>
                  </w:r>
                </w:p>
              </w:tc>
              <w:tc>
                <w:tcPr>
                  <w:tcW w:w="1560" w:type="dxa"/>
                  <w:vAlign w:val="center"/>
                </w:tcPr>
                <w:p w14:paraId="52AEE42C">
                  <w:pPr>
                    <w:pStyle w:val="159"/>
                    <w:ind w:left="-100" w:leftChars="-50" w:right="-100" w:rightChars="-50"/>
                  </w:pPr>
                  <w:r>
                    <w:rPr>
                      <w:rFonts w:hint="eastAsia"/>
                    </w:rPr>
                    <w:t>地形</w:t>
                  </w:r>
                </w:p>
              </w:tc>
              <w:tc>
                <w:tcPr>
                  <w:tcW w:w="2409" w:type="dxa"/>
                  <w:vAlign w:val="center"/>
                </w:tcPr>
                <w:p w14:paraId="1A744AFF">
                  <w:pPr>
                    <w:pStyle w:val="159"/>
                  </w:pPr>
                  <w:r>
                    <w:t>30%</w:t>
                  </w:r>
                  <w:r>
                    <w:rPr>
                      <w:rFonts w:hint="eastAsia"/>
                    </w:rPr>
                    <w:t>高山，</w:t>
                  </w:r>
                  <w:r>
                    <w:t>70%</w:t>
                  </w:r>
                  <w:r>
                    <w:rPr>
                      <w:rFonts w:hint="eastAsia"/>
                    </w:rPr>
                    <w:t>山地</w:t>
                  </w:r>
                </w:p>
              </w:tc>
              <w:tc>
                <w:tcPr>
                  <w:tcW w:w="2694" w:type="dxa"/>
                  <w:vAlign w:val="center"/>
                </w:tcPr>
                <w:p w14:paraId="7A6DD866">
                  <w:pPr>
                    <w:pStyle w:val="159"/>
                  </w:pPr>
                  <w:r>
                    <w:t>30%</w:t>
                  </w:r>
                  <w:r>
                    <w:rPr>
                      <w:rFonts w:hint="eastAsia"/>
                    </w:rPr>
                    <w:t>高山，</w:t>
                  </w:r>
                  <w:r>
                    <w:t>70%</w:t>
                  </w:r>
                  <w:r>
                    <w:rPr>
                      <w:rFonts w:hint="eastAsia"/>
                    </w:rPr>
                    <w:t>山地</w:t>
                  </w:r>
                </w:p>
              </w:tc>
              <w:tc>
                <w:tcPr>
                  <w:tcW w:w="1017" w:type="dxa"/>
                  <w:vAlign w:val="center"/>
                </w:tcPr>
                <w:p w14:paraId="6313B0FF">
                  <w:pPr>
                    <w:pStyle w:val="159"/>
                  </w:pPr>
                  <w:r>
                    <w:rPr>
                      <w:rFonts w:hint="eastAsia"/>
                    </w:rPr>
                    <w:t>相当</w:t>
                  </w:r>
                </w:p>
              </w:tc>
            </w:tr>
            <w:tr w14:paraId="1C12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3699012A">
                  <w:pPr>
                    <w:pStyle w:val="159"/>
                  </w:pPr>
                  <w:r>
                    <w:t>6</w:t>
                  </w:r>
                </w:p>
              </w:tc>
              <w:tc>
                <w:tcPr>
                  <w:tcW w:w="1560" w:type="dxa"/>
                  <w:vAlign w:val="center"/>
                </w:tcPr>
                <w:p w14:paraId="26CE69AC">
                  <w:pPr>
                    <w:pStyle w:val="159"/>
                    <w:ind w:left="-100" w:leftChars="-50" w:right="-100" w:rightChars="-50"/>
                  </w:pPr>
                  <w:r>
                    <w:rPr>
                      <w:rFonts w:hint="eastAsia"/>
                    </w:rPr>
                    <w:t>海拔高度</w:t>
                  </w:r>
                </w:p>
              </w:tc>
              <w:tc>
                <w:tcPr>
                  <w:tcW w:w="2409" w:type="dxa"/>
                  <w:vAlign w:val="center"/>
                </w:tcPr>
                <w:p w14:paraId="57B8B4EA">
                  <w:pPr>
                    <w:pStyle w:val="159"/>
                  </w:pPr>
                  <w:r>
                    <w:t>300</w:t>
                  </w:r>
                  <w:r>
                    <w:rPr>
                      <w:rFonts w:hint="eastAsia"/>
                    </w:rPr>
                    <w:t>～</w:t>
                  </w:r>
                  <w:r>
                    <w:t>750m</w:t>
                  </w:r>
                </w:p>
              </w:tc>
              <w:tc>
                <w:tcPr>
                  <w:tcW w:w="2694" w:type="dxa"/>
                  <w:vAlign w:val="center"/>
                </w:tcPr>
                <w:p w14:paraId="64014F25">
                  <w:pPr>
                    <w:pStyle w:val="159"/>
                  </w:pPr>
                  <w:r>
                    <w:t>300</w:t>
                  </w:r>
                  <w:r>
                    <w:rPr>
                      <w:rFonts w:hint="eastAsia"/>
                    </w:rPr>
                    <w:t>～</w:t>
                  </w:r>
                  <w:r>
                    <w:t>710m</w:t>
                  </w:r>
                </w:p>
              </w:tc>
              <w:tc>
                <w:tcPr>
                  <w:tcW w:w="1017" w:type="dxa"/>
                  <w:vAlign w:val="center"/>
                </w:tcPr>
                <w:p w14:paraId="21462BFD">
                  <w:pPr>
                    <w:pStyle w:val="159"/>
                  </w:pPr>
                  <w:r>
                    <w:rPr>
                      <w:rFonts w:hint="eastAsia"/>
                    </w:rPr>
                    <w:t>相当</w:t>
                  </w:r>
                </w:p>
              </w:tc>
            </w:tr>
            <w:tr w14:paraId="7F49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05D98EA7">
                  <w:pPr>
                    <w:pStyle w:val="159"/>
                  </w:pPr>
                  <w:r>
                    <w:t>7</w:t>
                  </w:r>
                </w:p>
              </w:tc>
              <w:tc>
                <w:tcPr>
                  <w:tcW w:w="1560" w:type="dxa"/>
                  <w:vAlign w:val="center"/>
                </w:tcPr>
                <w:p w14:paraId="06425A56">
                  <w:pPr>
                    <w:pStyle w:val="159"/>
                    <w:ind w:left="-100" w:leftChars="-50" w:right="-100" w:rightChars="-50"/>
                  </w:pPr>
                  <w:r>
                    <w:rPr>
                      <w:rFonts w:hint="eastAsia"/>
                    </w:rPr>
                    <w:t>交通运输</w:t>
                  </w:r>
                </w:p>
              </w:tc>
              <w:tc>
                <w:tcPr>
                  <w:tcW w:w="2409" w:type="dxa"/>
                  <w:vAlign w:val="center"/>
                </w:tcPr>
                <w:p w14:paraId="3A905B87">
                  <w:pPr>
                    <w:pStyle w:val="159"/>
                  </w:pPr>
                  <w:r>
                    <w:rPr>
                      <w:rFonts w:hint="eastAsia"/>
                    </w:rPr>
                    <w:t>汽运</w:t>
                  </w:r>
                  <w:r>
                    <w:t>20km</w:t>
                  </w:r>
                  <w:r>
                    <w:rPr>
                      <w:rFonts w:hint="eastAsia"/>
                    </w:rPr>
                    <w:t>，人运</w:t>
                  </w:r>
                  <w:r>
                    <w:t>0.7km</w:t>
                  </w:r>
                </w:p>
              </w:tc>
              <w:tc>
                <w:tcPr>
                  <w:tcW w:w="2694" w:type="dxa"/>
                  <w:vAlign w:val="center"/>
                </w:tcPr>
                <w:p w14:paraId="4F140C0E">
                  <w:pPr>
                    <w:pStyle w:val="159"/>
                  </w:pPr>
                  <w:r>
                    <w:rPr>
                      <w:rFonts w:hint="eastAsia"/>
                    </w:rPr>
                    <w:t>汽运</w:t>
                  </w:r>
                  <w:r>
                    <w:t>22km</w:t>
                  </w:r>
                  <w:r>
                    <w:rPr>
                      <w:rFonts w:hint="eastAsia"/>
                    </w:rPr>
                    <w:t>，人运</w:t>
                  </w:r>
                  <w:r>
                    <w:t>0.7km</w:t>
                  </w:r>
                </w:p>
              </w:tc>
              <w:tc>
                <w:tcPr>
                  <w:tcW w:w="1017" w:type="dxa"/>
                  <w:vAlign w:val="center"/>
                </w:tcPr>
                <w:p w14:paraId="4F1F4FE6">
                  <w:pPr>
                    <w:pStyle w:val="159"/>
                  </w:pPr>
                  <w:r>
                    <w:rPr>
                      <w:rFonts w:hint="eastAsia"/>
                    </w:rPr>
                    <w:t>相当</w:t>
                  </w:r>
                </w:p>
              </w:tc>
            </w:tr>
            <w:tr w14:paraId="496A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3014DE89">
                  <w:pPr>
                    <w:pStyle w:val="159"/>
                  </w:pPr>
                  <w:r>
                    <w:t>8</w:t>
                  </w:r>
                </w:p>
              </w:tc>
              <w:tc>
                <w:tcPr>
                  <w:tcW w:w="1560" w:type="dxa"/>
                  <w:vAlign w:val="center"/>
                </w:tcPr>
                <w:p w14:paraId="2BAA0104">
                  <w:pPr>
                    <w:pStyle w:val="159"/>
                    <w:ind w:left="-100" w:leftChars="-50" w:right="-100" w:rightChars="-50"/>
                  </w:pPr>
                  <w:r>
                    <w:rPr>
                      <w:rFonts w:hint="eastAsia"/>
                    </w:rPr>
                    <w:t>杆塔数量</w:t>
                  </w:r>
                </w:p>
              </w:tc>
              <w:tc>
                <w:tcPr>
                  <w:tcW w:w="2409" w:type="dxa"/>
                  <w:vAlign w:val="center"/>
                </w:tcPr>
                <w:p w14:paraId="33F5C8BA">
                  <w:pPr>
                    <w:pStyle w:val="159"/>
                  </w:pPr>
                  <w:r>
                    <w:rPr>
                      <w:rFonts w:hint="eastAsia"/>
                    </w:rPr>
                    <w:t>共</w:t>
                  </w:r>
                  <w:r>
                    <w:t>70</w:t>
                  </w:r>
                  <w:r>
                    <w:rPr>
                      <w:rFonts w:hint="eastAsia"/>
                    </w:rPr>
                    <w:t>基，</w:t>
                  </w:r>
                  <w:r>
                    <w:t>15mm</w:t>
                  </w:r>
                  <w:r>
                    <w:rPr>
                      <w:rFonts w:hint="eastAsia"/>
                    </w:rPr>
                    <w:t>冰区单回路转角塔</w:t>
                  </w:r>
                  <w:r>
                    <w:t>12</w:t>
                  </w:r>
                  <w:r>
                    <w:rPr>
                      <w:rFonts w:hint="eastAsia"/>
                    </w:rPr>
                    <w:t>基，</w:t>
                  </w:r>
                  <w:r>
                    <w:t>15mm</w:t>
                  </w:r>
                  <w:r>
                    <w:rPr>
                      <w:rFonts w:hint="eastAsia"/>
                    </w:rPr>
                    <w:t>单回路直线塔</w:t>
                  </w:r>
                  <w:r>
                    <w:t>9</w:t>
                  </w:r>
                  <w:r>
                    <w:rPr>
                      <w:rFonts w:hint="eastAsia"/>
                    </w:rPr>
                    <w:t>基；</w:t>
                  </w:r>
                  <w:r>
                    <w:t>20mm</w:t>
                  </w:r>
                  <w:r>
                    <w:rPr>
                      <w:rFonts w:hint="eastAsia"/>
                    </w:rPr>
                    <w:t>冰区单回路转角塔</w:t>
                  </w:r>
                  <w:r>
                    <w:t>24</w:t>
                  </w:r>
                  <w:r>
                    <w:rPr>
                      <w:rFonts w:hint="eastAsia"/>
                    </w:rPr>
                    <w:t>基，</w:t>
                  </w:r>
                  <w:r>
                    <w:t>20mm</w:t>
                  </w:r>
                  <w:r>
                    <w:rPr>
                      <w:rFonts w:hint="eastAsia"/>
                    </w:rPr>
                    <w:t>单回路直线塔</w:t>
                  </w:r>
                  <w:r>
                    <w:t>25</w:t>
                  </w:r>
                  <w:r>
                    <w:rPr>
                      <w:rFonts w:hint="eastAsia"/>
                    </w:rPr>
                    <w:t>基</w:t>
                  </w:r>
                </w:p>
              </w:tc>
              <w:tc>
                <w:tcPr>
                  <w:tcW w:w="2694" w:type="dxa"/>
                  <w:vAlign w:val="center"/>
                </w:tcPr>
                <w:p w14:paraId="77224BFA">
                  <w:pPr>
                    <w:pStyle w:val="159"/>
                  </w:pPr>
                  <w:r>
                    <w:rPr>
                      <w:rFonts w:hint="eastAsia"/>
                    </w:rPr>
                    <w:t>共</w:t>
                  </w:r>
                  <w:r>
                    <w:t>87</w:t>
                  </w:r>
                  <w:r>
                    <w:rPr>
                      <w:rFonts w:hint="eastAsia"/>
                    </w:rPr>
                    <w:t>基，</w:t>
                  </w:r>
                  <w:r>
                    <w:t>15mm</w:t>
                  </w:r>
                  <w:r>
                    <w:rPr>
                      <w:rFonts w:hint="eastAsia"/>
                    </w:rPr>
                    <w:t>冰区单回路转角塔</w:t>
                  </w:r>
                  <w:r>
                    <w:t>12</w:t>
                  </w:r>
                  <w:r>
                    <w:rPr>
                      <w:rFonts w:hint="eastAsia"/>
                    </w:rPr>
                    <w:t>基，</w:t>
                  </w:r>
                  <w:r>
                    <w:t>15mm</w:t>
                  </w:r>
                  <w:r>
                    <w:rPr>
                      <w:rFonts w:hint="eastAsia"/>
                    </w:rPr>
                    <w:t>单回路直线塔</w:t>
                  </w:r>
                  <w:r>
                    <w:t>7</w:t>
                  </w:r>
                  <w:r>
                    <w:rPr>
                      <w:rFonts w:hint="eastAsia"/>
                    </w:rPr>
                    <w:t>基；</w:t>
                  </w:r>
                  <w:r>
                    <w:t>20mm</w:t>
                  </w:r>
                  <w:r>
                    <w:rPr>
                      <w:rFonts w:hint="eastAsia"/>
                    </w:rPr>
                    <w:t>冰区单回路转角塔</w:t>
                  </w:r>
                  <w:r>
                    <w:t>28</w:t>
                  </w:r>
                  <w:r>
                    <w:rPr>
                      <w:rFonts w:hint="eastAsia"/>
                    </w:rPr>
                    <w:t>基，</w:t>
                  </w:r>
                  <w:r>
                    <w:t>20mm</w:t>
                  </w:r>
                  <w:r>
                    <w:rPr>
                      <w:rFonts w:hint="eastAsia"/>
                    </w:rPr>
                    <w:t>单回路直线塔</w:t>
                  </w:r>
                  <w:r>
                    <w:t>40</w:t>
                  </w:r>
                  <w:r>
                    <w:rPr>
                      <w:rFonts w:hint="eastAsia"/>
                    </w:rPr>
                    <w:t>基</w:t>
                  </w:r>
                </w:p>
              </w:tc>
              <w:tc>
                <w:tcPr>
                  <w:tcW w:w="1017" w:type="dxa"/>
                  <w:vAlign w:val="center"/>
                </w:tcPr>
                <w:p w14:paraId="79C9AFCD">
                  <w:pPr>
                    <w:pStyle w:val="159"/>
                  </w:pPr>
                  <w:r>
                    <w:rPr>
                      <w:rFonts w:hint="eastAsia"/>
                    </w:rPr>
                    <w:t>西方案</w:t>
                  </w:r>
                </w:p>
              </w:tc>
            </w:tr>
            <w:tr w14:paraId="01F9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0C3C90BD">
                  <w:pPr>
                    <w:pStyle w:val="159"/>
                  </w:pPr>
                  <w:r>
                    <w:t>9</w:t>
                  </w:r>
                </w:p>
              </w:tc>
              <w:tc>
                <w:tcPr>
                  <w:tcW w:w="1560" w:type="dxa"/>
                  <w:vAlign w:val="center"/>
                </w:tcPr>
                <w:p w14:paraId="0A8958C3">
                  <w:pPr>
                    <w:pStyle w:val="159"/>
                    <w:ind w:left="-100" w:leftChars="-50" w:right="-100" w:rightChars="-50"/>
                  </w:pPr>
                  <w:r>
                    <w:rPr>
                      <w:rFonts w:hint="eastAsia"/>
                    </w:rPr>
                    <w:t>施工条件</w:t>
                  </w:r>
                </w:p>
              </w:tc>
              <w:tc>
                <w:tcPr>
                  <w:tcW w:w="2409" w:type="dxa"/>
                  <w:vAlign w:val="center"/>
                </w:tcPr>
                <w:p w14:paraId="521EE9DC">
                  <w:pPr>
                    <w:pStyle w:val="159"/>
                  </w:pPr>
                  <w:r>
                    <w:rPr>
                      <w:rFonts w:hint="eastAsia"/>
                    </w:rPr>
                    <w:t>一般</w:t>
                  </w:r>
                </w:p>
              </w:tc>
              <w:tc>
                <w:tcPr>
                  <w:tcW w:w="2694" w:type="dxa"/>
                  <w:vAlign w:val="center"/>
                </w:tcPr>
                <w:p w14:paraId="06FE7F88">
                  <w:pPr>
                    <w:pStyle w:val="159"/>
                  </w:pPr>
                  <w:r>
                    <w:rPr>
                      <w:rFonts w:hint="eastAsia"/>
                    </w:rPr>
                    <w:t>一般</w:t>
                  </w:r>
                </w:p>
              </w:tc>
              <w:tc>
                <w:tcPr>
                  <w:tcW w:w="1017" w:type="dxa"/>
                  <w:vAlign w:val="center"/>
                </w:tcPr>
                <w:p w14:paraId="6C6F3961">
                  <w:pPr>
                    <w:pStyle w:val="159"/>
                  </w:pPr>
                  <w:r>
                    <w:rPr>
                      <w:rFonts w:hint="eastAsia"/>
                    </w:rPr>
                    <w:t>相当</w:t>
                  </w:r>
                </w:p>
              </w:tc>
            </w:tr>
            <w:tr w14:paraId="16D8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4E878D48">
                  <w:pPr>
                    <w:pStyle w:val="159"/>
                  </w:pPr>
                  <w:r>
                    <w:t>10</w:t>
                  </w:r>
                </w:p>
              </w:tc>
              <w:tc>
                <w:tcPr>
                  <w:tcW w:w="1560" w:type="dxa"/>
                  <w:vAlign w:val="center"/>
                </w:tcPr>
                <w:p w14:paraId="4143E6D0">
                  <w:pPr>
                    <w:pStyle w:val="159"/>
                    <w:ind w:left="-100" w:leftChars="-50" w:right="-100" w:rightChars="-50"/>
                  </w:pPr>
                  <w:r>
                    <w:rPr>
                      <w:rFonts w:hint="eastAsia"/>
                    </w:rPr>
                    <w:t>运维条件</w:t>
                  </w:r>
                </w:p>
              </w:tc>
              <w:tc>
                <w:tcPr>
                  <w:tcW w:w="2409" w:type="dxa"/>
                  <w:vAlign w:val="center"/>
                </w:tcPr>
                <w:p w14:paraId="64FA9A5E">
                  <w:pPr>
                    <w:pStyle w:val="159"/>
                  </w:pPr>
                  <w:r>
                    <w:rPr>
                      <w:rFonts w:hint="eastAsia"/>
                    </w:rPr>
                    <w:t>一般</w:t>
                  </w:r>
                </w:p>
              </w:tc>
              <w:tc>
                <w:tcPr>
                  <w:tcW w:w="2694" w:type="dxa"/>
                  <w:vAlign w:val="center"/>
                </w:tcPr>
                <w:p w14:paraId="7D00FC0F">
                  <w:pPr>
                    <w:pStyle w:val="159"/>
                  </w:pPr>
                  <w:r>
                    <w:rPr>
                      <w:rFonts w:hint="eastAsia"/>
                    </w:rPr>
                    <w:t>一般</w:t>
                  </w:r>
                </w:p>
              </w:tc>
              <w:tc>
                <w:tcPr>
                  <w:tcW w:w="1017" w:type="dxa"/>
                  <w:vAlign w:val="center"/>
                </w:tcPr>
                <w:p w14:paraId="29D2CB94">
                  <w:pPr>
                    <w:pStyle w:val="159"/>
                  </w:pPr>
                  <w:r>
                    <w:rPr>
                      <w:rFonts w:hint="eastAsia"/>
                    </w:rPr>
                    <w:t>相当</w:t>
                  </w:r>
                </w:p>
              </w:tc>
            </w:tr>
            <w:tr w14:paraId="12AD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130913D9">
                  <w:pPr>
                    <w:pStyle w:val="159"/>
                  </w:pPr>
                  <w:r>
                    <w:t>11</w:t>
                  </w:r>
                </w:p>
              </w:tc>
              <w:tc>
                <w:tcPr>
                  <w:tcW w:w="1560" w:type="dxa"/>
                  <w:vAlign w:val="center"/>
                </w:tcPr>
                <w:p w14:paraId="5E4B3170">
                  <w:pPr>
                    <w:pStyle w:val="159"/>
                    <w:ind w:left="-100" w:leftChars="-50" w:right="-100" w:rightChars="-50"/>
                  </w:pPr>
                  <w:r>
                    <w:rPr>
                      <w:rFonts w:hint="eastAsia"/>
                    </w:rPr>
                    <w:t>涉及敏感区情况</w:t>
                  </w:r>
                </w:p>
              </w:tc>
              <w:tc>
                <w:tcPr>
                  <w:tcW w:w="2409" w:type="dxa"/>
                  <w:vAlign w:val="center"/>
                </w:tcPr>
                <w:p w14:paraId="05B48C14">
                  <w:pPr>
                    <w:pStyle w:val="159"/>
                    <w:ind w:left="-100" w:leftChars="-50" w:right="-100" w:rightChars="-50"/>
                  </w:pPr>
                  <w:r>
                    <w:rPr>
                      <w:rFonts w:hint="eastAsia"/>
                    </w:rPr>
                    <w:t>无害化跨越涔天河国家湿地公园</w:t>
                  </w:r>
                  <w:r>
                    <w:t>2</w:t>
                  </w:r>
                  <w:r>
                    <w:rPr>
                      <w:rFonts w:hint="eastAsia"/>
                    </w:rPr>
                    <w:t>次，不占用国家一级公益林，无害化跨越生态保护红线3次；穿越姑婆山风景名胜区，</w:t>
                  </w:r>
                  <w:r>
                    <w:t>8</w:t>
                  </w:r>
                  <w:r>
                    <w:rPr>
                      <w:rFonts w:hint="eastAsia"/>
                    </w:rPr>
                    <w:t>个塔基位于其内</w:t>
                  </w:r>
                </w:p>
              </w:tc>
              <w:tc>
                <w:tcPr>
                  <w:tcW w:w="2694" w:type="dxa"/>
                  <w:vAlign w:val="center"/>
                </w:tcPr>
                <w:p w14:paraId="7A6E8E70">
                  <w:pPr>
                    <w:pStyle w:val="159"/>
                  </w:pPr>
                  <w:r>
                    <w:rPr>
                      <w:rFonts w:hint="eastAsia"/>
                    </w:rPr>
                    <w:t>无害化跨越涔天河国家湿地公园</w:t>
                  </w:r>
                  <w:r>
                    <w:t>2</w:t>
                  </w:r>
                  <w:r>
                    <w:rPr>
                      <w:rFonts w:hint="eastAsia"/>
                    </w:rPr>
                    <w:t>次，不占用国家一级公益林，无害化跨越生态保护红线3次；穿越姑婆山风景名胜区，</w:t>
                  </w:r>
                  <w:r>
                    <w:t>9</w:t>
                  </w:r>
                  <w:r>
                    <w:rPr>
                      <w:rFonts w:hint="eastAsia"/>
                    </w:rPr>
                    <w:t>个塔基位于其内</w:t>
                  </w:r>
                </w:p>
              </w:tc>
              <w:tc>
                <w:tcPr>
                  <w:tcW w:w="1017" w:type="dxa"/>
                  <w:vAlign w:val="center"/>
                </w:tcPr>
                <w:p w14:paraId="7E5B6136">
                  <w:pPr>
                    <w:pStyle w:val="159"/>
                  </w:pPr>
                  <w:r>
                    <w:rPr>
                      <w:rFonts w:hint="eastAsia"/>
                    </w:rPr>
                    <w:t>西方案</w:t>
                  </w:r>
                </w:p>
              </w:tc>
            </w:tr>
            <w:tr w14:paraId="352D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1B48F452">
                  <w:pPr>
                    <w:pStyle w:val="159"/>
                  </w:pPr>
                  <w:r>
                    <w:rPr>
                      <w:rFonts w:hint="eastAsia"/>
                    </w:rPr>
                    <w:t>1</w:t>
                  </w:r>
                  <w:r>
                    <w:t>2</w:t>
                  </w:r>
                </w:p>
              </w:tc>
              <w:tc>
                <w:tcPr>
                  <w:tcW w:w="1560" w:type="dxa"/>
                  <w:vAlign w:val="center"/>
                </w:tcPr>
                <w:p w14:paraId="58D19FFD">
                  <w:pPr>
                    <w:pStyle w:val="159"/>
                    <w:ind w:left="-100" w:leftChars="-50" w:right="-100" w:rightChars="-50"/>
                  </w:pPr>
                  <w:r>
                    <w:rPr>
                      <w:rFonts w:hint="eastAsia"/>
                    </w:rPr>
                    <w:t>电磁环境保护目标</w:t>
                  </w:r>
                </w:p>
              </w:tc>
              <w:tc>
                <w:tcPr>
                  <w:tcW w:w="2409" w:type="dxa"/>
                  <w:vAlign w:val="center"/>
                </w:tcPr>
                <w:p w14:paraId="7CF3A192">
                  <w:pPr>
                    <w:pStyle w:val="159"/>
                  </w:pPr>
                  <w:r>
                    <w:t>4</w:t>
                  </w:r>
                  <w:r>
                    <w:rPr>
                      <w:rFonts w:hint="eastAsia"/>
                    </w:rPr>
                    <w:t>户</w:t>
                  </w:r>
                </w:p>
              </w:tc>
              <w:tc>
                <w:tcPr>
                  <w:tcW w:w="2694" w:type="dxa"/>
                  <w:vAlign w:val="center"/>
                </w:tcPr>
                <w:p w14:paraId="298A5720">
                  <w:pPr>
                    <w:pStyle w:val="159"/>
                  </w:pPr>
                  <w:r>
                    <w:rPr>
                      <w:rFonts w:hint="eastAsia"/>
                    </w:rPr>
                    <w:t>2户</w:t>
                  </w:r>
                </w:p>
              </w:tc>
              <w:tc>
                <w:tcPr>
                  <w:tcW w:w="1017" w:type="dxa"/>
                  <w:vAlign w:val="center"/>
                </w:tcPr>
                <w:p w14:paraId="3B3D2E7B">
                  <w:pPr>
                    <w:pStyle w:val="159"/>
                  </w:pPr>
                  <w:r>
                    <w:rPr>
                      <w:rFonts w:hint="eastAsia"/>
                    </w:rPr>
                    <w:t>东方案</w:t>
                  </w:r>
                </w:p>
              </w:tc>
            </w:tr>
          </w:tbl>
          <w:p w14:paraId="322D1695">
            <w:pPr>
              <w:pStyle w:val="159"/>
            </w:pPr>
            <w:r>
              <mc:AlternateContent>
                <mc:Choice Requires="wps">
                  <w:drawing>
                    <wp:anchor distT="0" distB="0" distL="114300" distR="114300" simplePos="0" relativeHeight="251665408" behindDoc="0" locked="0" layoutInCell="1" allowOverlap="1">
                      <wp:simplePos x="0" y="0"/>
                      <wp:positionH relativeFrom="column">
                        <wp:posOffset>1090295</wp:posOffset>
                      </wp:positionH>
                      <wp:positionV relativeFrom="paragraph">
                        <wp:posOffset>5919470</wp:posOffset>
                      </wp:positionV>
                      <wp:extent cx="676275" cy="304800"/>
                      <wp:effectExtent l="0" t="0" r="28575" b="19050"/>
                      <wp:wrapNone/>
                      <wp:docPr id="52" name="矩形 52"/>
                      <wp:cNvGraphicFramePr/>
                      <a:graphic xmlns:a="http://schemas.openxmlformats.org/drawingml/2006/main">
                        <a:graphicData uri="http://schemas.microsoft.com/office/word/2010/wordprocessingShape">
                          <wps:wsp>
                            <wps:cNvSpPr/>
                            <wps:spPr>
                              <a:xfrm>
                                <a:off x="0" y="0"/>
                                <a:ext cx="676275" cy="304800"/>
                              </a:xfrm>
                              <a:prstGeom prst="rect">
                                <a:avLst/>
                              </a:prstGeom>
                              <a:solidFill>
                                <a:srgbClr val="FFFFFF">
                                  <a:alpha val="5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02F62F">
                                  <w:pPr>
                                    <w:jc w:val="center"/>
                                  </w:pPr>
                                  <w:r>
                                    <w:rPr>
                                      <w:color w:val="000000" w:themeColor="text1"/>
                                      <w14:textFill>
                                        <w14:solidFill>
                                          <w14:schemeClr w14:val="tx1"/>
                                        </w14:solidFill>
                                      </w14:textFill>
                                    </w:rPr>
                                    <w:t>20</w:t>
                                  </w:r>
                                  <w:r>
                                    <w:rPr>
                                      <w:rFonts w:hint="eastAsia"/>
                                      <w:color w:val="000000" w:themeColor="text1"/>
                                      <w14:textFill>
                                        <w14:solidFill>
                                          <w14:schemeClr w14:val="tx1"/>
                                        </w14:solidFill>
                                      </w14:textFill>
                                    </w:rPr>
                                    <w:t>mm冰区</w:t>
                                  </w:r>
                                </w:p>
                              </w:txbxContent>
                            </wps:txbx>
                            <wps:bodyPr rot="0" spcFirstLastPara="0" vertOverflow="overflow" horzOverflow="overflow" vert="horz" wrap="square" lIns="18000" tIns="10800" rIns="18000" bIns="10800" numCol="1" spcCol="0" rtlCol="0" fromWordArt="0" anchor="ctr" anchorCtr="0" forceAA="0" compatLnSpc="1">
                              <a:noAutofit/>
                            </wps:bodyPr>
                          </wps:wsp>
                        </a:graphicData>
                      </a:graphic>
                    </wp:anchor>
                  </w:drawing>
                </mc:Choice>
                <mc:Fallback>
                  <w:pict>
                    <v:rect id="_x0000_s1026" o:spid="_x0000_s1026" o:spt="1" style="position:absolute;left:0pt;margin-left:85.85pt;margin-top:466.1pt;height:24pt;width:53.25pt;z-index:251665408;v-text-anchor:middle;mso-width-relative:page;mso-height-relative:page;" fillcolor="#FFFFFF" filled="t" stroked="t" coordsize="21600,21600" o:gfxdata="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qYA7Y2AAAAAsBAAAPAAAA&#10;AAAAAAEAIAAAACIAAABkcnMvZG93bnJldi54bWxQSwECFAAUAAAACACHTuJAml23lYcCAABCBQAA&#10;DgAAAAAAAAABACAAAAAnAQAAZHJzL2Uyb0RvYy54bWxQSwUGAAAAAAYABgBZAQAAIAYAAAAA&#10;">
                      <v:fill on="t" opacity="32768f" focussize="0,0"/>
                      <v:stroke weight="1pt" color="#41719C [3204]" miterlimit="8" joinstyle="miter"/>
                      <v:imagedata o:title=""/>
                      <o:lock v:ext="edit" aspectratio="f"/>
                      <v:textbox inset="0.5mm,0.3mm,0.5mm,0.3mm">
                        <w:txbxContent>
                          <w:p w14:paraId="0602F62F">
                            <w:pPr>
                              <w:jc w:val="center"/>
                            </w:pPr>
                            <w:r>
                              <w:rPr>
                                <w:color w:val="000000" w:themeColor="text1"/>
                                <w14:textFill>
                                  <w14:solidFill>
                                    <w14:schemeClr w14:val="tx1"/>
                                  </w14:solidFill>
                                </w14:textFill>
                              </w:rPr>
                              <w:t>20</w:t>
                            </w:r>
                            <w:r>
                              <w:rPr>
                                <w:rFonts w:hint="eastAsia"/>
                                <w:color w:val="000000" w:themeColor="text1"/>
                                <w14:textFill>
                                  <w14:solidFill>
                                    <w14:schemeClr w14:val="tx1"/>
                                  </w14:solidFill>
                                </w14:textFill>
                              </w:rPr>
                              <w:t>mm冰区</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1347470</wp:posOffset>
                      </wp:positionH>
                      <wp:positionV relativeFrom="paragraph">
                        <wp:posOffset>6614795</wp:posOffset>
                      </wp:positionV>
                      <wp:extent cx="676275" cy="304800"/>
                      <wp:effectExtent l="0" t="0" r="28575" b="19050"/>
                      <wp:wrapNone/>
                      <wp:docPr id="53" name="矩形 53"/>
                      <wp:cNvGraphicFramePr/>
                      <a:graphic xmlns:a="http://schemas.openxmlformats.org/drawingml/2006/main">
                        <a:graphicData uri="http://schemas.microsoft.com/office/word/2010/wordprocessingShape">
                          <wps:wsp>
                            <wps:cNvSpPr/>
                            <wps:spPr>
                              <a:xfrm>
                                <a:off x="0" y="0"/>
                                <a:ext cx="676275" cy="304800"/>
                              </a:xfrm>
                              <a:prstGeom prst="rect">
                                <a:avLst/>
                              </a:prstGeom>
                              <a:solidFill>
                                <a:srgbClr val="FFFFFF">
                                  <a:alpha val="5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D22F51">
                                  <w:pPr>
                                    <w:jc w:val="center"/>
                                  </w:pPr>
                                  <w:r>
                                    <w:rPr>
                                      <w:rFonts w:hint="eastAsia"/>
                                      <w:color w:val="000000" w:themeColor="text1"/>
                                      <w14:textFill>
                                        <w14:solidFill>
                                          <w14:schemeClr w14:val="tx1"/>
                                        </w14:solidFill>
                                      </w14:textFill>
                                    </w:rPr>
                                    <w:t>15mm冰区</w:t>
                                  </w:r>
                                </w:p>
                              </w:txbxContent>
                            </wps:txbx>
                            <wps:bodyPr rot="0" spcFirstLastPara="0" vertOverflow="overflow" horzOverflow="overflow" vert="horz" wrap="square" lIns="18000" tIns="10800" rIns="18000" bIns="10800" numCol="1" spcCol="0" rtlCol="0" fromWordArt="0" anchor="ctr" anchorCtr="0" forceAA="0" compatLnSpc="1">
                              <a:noAutofit/>
                            </wps:bodyPr>
                          </wps:wsp>
                        </a:graphicData>
                      </a:graphic>
                    </wp:anchor>
                  </w:drawing>
                </mc:Choice>
                <mc:Fallback>
                  <w:pict>
                    <v:rect id="_x0000_s1026" o:spid="_x0000_s1026" o:spt="1" style="position:absolute;left:0pt;margin-left:106.1pt;margin-top:520.85pt;height:24pt;width:53.25pt;z-index:251666432;v-text-anchor:middle;mso-width-relative:page;mso-height-relative:page;" fillcolor="#FFFFFF" filled="t" stroked="t" coordsize="21600,21600" o:gfxdata="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maWTdoAAAANAQAA&#10;DwAAAAAAAAABACAAAAAiAAAAZHJzL2Rvd25yZXYueG1sUEsBAhQAFAAAAAgAh07iQGafWhiJAgAA&#10;QgUAAA4AAAAAAAAAAQAgAAAAKQEAAGRycy9lMm9Eb2MueG1sUEsFBgAAAAAGAAYAWQEAACQGAAAA&#10;AA==&#10;">
                      <v:fill on="t" opacity="32768f" focussize="0,0"/>
                      <v:stroke weight="1pt" color="#41719C [3204]" miterlimit="8" joinstyle="miter"/>
                      <v:imagedata o:title=""/>
                      <o:lock v:ext="edit" aspectratio="f"/>
                      <v:textbox inset="0.5mm,0.3mm,0.5mm,0.3mm">
                        <w:txbxContent>
                          <w:p w14:paraId="28D22F51">
                            <w:pPr>
                              <w:jc w:val="center"/>
                            </w:pPr>
                            <w:r>
                              <w:rPr>
                                <w:rFonts w:hint="eastAsia"/>
                                <w:color w:val="000000" w:themeColor="text1"/>
                                <w14:textFill>
                                  <w14:solidFill>
                                    <w14:schemeClr w14:val="tx1"/>
                                  </w14:solidFill>
                                </w14:textFill>
                              </w:rPr>
                              <w:t>15mm冰区</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2652395</wp:posOffset>
                      </wp:positionH>
                      <wp:positionV relativeFrom="paragraph">
                        <wp:posOffset>-5080</wp:posOffset>
                      </wp:positionV>
                      <wp:extent cx="857250" cy="371475"/>
                      <wp:effectExtent l="0" t="0" r="342900" b="28575"/>
                      <wp:wrapNone/>
                      <wp:docPr id="48" name="矩形标注 48"/>
                      <wp:cNvGraphicFramePr/>
                      <a:graphic xmlns:a="http://schemas.openxmlformats.org/drawingml/2006/main">
                        <a:graphicData uri="http://schemas.microsoft.com/office/word/2010/wordprocessingShape">
                          <wps:wsp>
                            <wps:cNvSpPr/>
                            <wps:spPr>
                              <a:xfrm>
                                <a:off x="0" y="0"/>
                                <a:ext cx="857250" cy="371475"/>
                              </a:xfrm>
                              <a:prstGeom prst="wedgeRectCallout">
                                <a:avLst>
                                  <a:gd name="adj1" fmla="val 82967"/>
                                  <a:gd name="adj2" fmla="val 21475"/>
                                </a:avLst>
                              </a:prstGeom>
                              <a:solidFill>
                                <a:srgbClr val="FFFFFF">
                                  <a:alpha val="5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C945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基地源110</w:t>
                                  </w:r>
                                  <w:r>
                                    <w:rPr>
                                      <w:color w:val="000000" w:themeColor="text1"/>
                                      <w14:textFill>
                                        <w14:solidFill>
                                          <w14:schemeClr w14:val="tx1"/>
                                        </w14:solidFill>
                                      </w14:textFill>
                                    </w:rPr>
                                    <w:t>kV变电站</w:t>
                                  </w:r>
                                </w:p>
                              </w:txbxContent>
                            </wps:txbx>
                            <wps:bodyPr rot="0" spcFirstLastPara="0" vertOverflow="overflow" horzOverflow="overflow" vert="horz" wrap="square" lIns="18000" tIns="10800" rIns="18000" bIns="10800" numCol="1" spcCol="0" rtlCol="0" fromWordArt="0" anchor="ctr" anchorCtr="0" forceAA="0" compatLnSpc="1">
                              <a:noAutofit/>
                            </wps:bodyPr>
                          </wps:wsp>
                        </a:graphicData>
                      </a:graphic>
                    </wp:anchor>
                  </w:drawing>
                </mc:Choice>
                <mc:Fallback>
                  <w:pict>
                    <v:shape id="_x0000_s1026" o:spid="_x0000_s1026" o:spt="61" type="#_x0000_t61" style="position:absolute;left:0pt;margin-left:208.85pt;margin-top:-0.4pt;height:29.25pt;width:67.5pt;z-index:251663360;v-text-anchor:middle;mso-width-relative:page;mso-height-relative:page;" fillcolor="#FFFFFF" filled="t" stroked="t" coordsize="21600,21600" o:gfxdata="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rLhBO1wAAAAgBAAAPAAAAAAAA&#10;AAEAIAAAACIAAABkcnMvZG93bnJldi54bWxQSwECFAAUAAAACACHTuJARI1XXr4CAAClBQAADgAA&#10;AAAAAAABACAAAAAmAQAAZHJzL2Uyb0RvYy54bWxQSwUGAAAAAAYABgBZAQAAVgYAAAAA&#10;" adj="28721,15439">
                      <v:fill on="t" opacity="32768f" focussize="0,0"/>
                      <v:stroke weight="1pt" color="#41719C [3204]" miterlimit="8" joinstyle="miter"/>
                      <v:imagedata o:title=""/>
                      <o:lock v:ext="edit" aspectratio="f"/>
                      <v:textbox inset="0.5mm,0.3mm,0.5mm,0.3mm">
                        <w:txbxContent>
                          <w:p w14:paraId="02CC945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基地源110</w:t>
                            </w:r>
                            <w:r>
                              <w:rPr>
                                <w:color w:val="000000" w:themeColor="text1"/>
                                <w14:textFill>
                                  <w14:solidFill>
                                    <w14:schemeClr w14:val="tx1"/>
                                  </w14:solidFill>
                                </w14:textFill>
                              </w:rPr>
                              <w:t>kV变电站</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1108710</wp:posOffset>
                      </wp:positionH>
                      <wp:positionV relativeFrom="paragraph">
                        <wp:posOffset>7833995</wp:posOffset>
                      </wp:positionV>
                      <wp:extent cx="752475" cy="371475"/>
                      <wp:effectExtent l="0" t="0" r="333375" b="28575"/>
                      <wp:wrapNone/>
                      <wp:docPr id="49" name="矩形标注 49"/>
                      <wp:cNvGraphicFramePr/>
                      <a:graphic xmlns:a="http://schemas.openxmlformats.org/drawingml/2006/main">
                        <a:graphicData uri="http://schemas.microsoft.com/office/word/2010/wordprocessingShape">
                          <wps:wsp>
                            <wps:cNvSpPr/>
                            <wps:spPr>
                              <a:xfrm>
                                <a:off x="0" y="0"/>
                                <a:ext cx="752475" cy="371475"/>
                              </a:xfrm>
                              <a:prstGeom prst="wedgeRectCallout">
                                <a:avLst>
                                  <a:gd name="adj1" fmla="val 82967"/>
                                  <a:gd name="adj2" fmla="val 21475"/>
                                </a:avLst>
                              </a:prstGeom>
                              <a:solidFill>
                                <a:srgbClr val="FFFFFF">
                                  <a:alpha val="5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81A48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贝江110</w:t>
                                  </w:r>
                                  <w:r>
                                    <w:rPr>
                                      <w:color w:val="000000" w:themeColor="text1"/>
                                      <w14:textFill>
                                        <w14:solidFill>
                                          <w14:schemeClr w14:val="tx1"/>
                                        </w14:solidFill>
                                      </w14:textFill>
                                    </w:rPr>
                                    <w:t>kV变电站</w:t>
                                  </w:r>
                                </w:p>
                              </w:txbxContent>
                            </wps:txbx>
                            <wps:bodyPr rot="0" spcFirstLastPara="0" vertOverflow="overflow" horzOverflow="overflow" vert="horz" wrap="square" lIns="18000" tIns="10800" rIns="18000" bIns="10800" numCol="1" spcCol="0" rtlCol="0" fromWordArt="0" anchor="ctr" anchorCtr="0" forceAA="0" compatLnSpc="1">
                              <a:noAutofit/>
                            </wps:bodyPr>
                          </wps:wsp>
                        </a:graphicData>
                      </a:graphic>
                    </wp:anchor>
                  </w:drawing>
                </mc:Choice>
                <mc:Fallback>
                  <w:pict>
                    <v:shape id="_x0000_s1026" o:spid="_x0000_s1026" o:spt="61" type="#_x0000_t61" style="position:absolute;left:0pt;margin-left:87.3pt;margin-top:616.85pt;height:29.25pt;width:59.25pt;z-index:251664384;v-text-anchor:middle;mso-width-relative:page;mso-height-relative:page;" fillcolor="#FFFFFF" filled="t" stroked="t" coordsize="21600,21600" o:gfxdata="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N3XB3QAAAA0BAAAP&#10;AAAAAAAAAAEAIAAAACIAAABkcnMvZG93bnJldi54bWxQSwECFAAUAAAACACHTuJAvhyvP74CAACl&#10;BQAADgAAAAAAAAABACAAAAAsAQAAZHJzL2Uyb0RvYy54bWxQSwUGAAAAAAYABgBZAQAAXAYAAAAA&#10;" adj="28721,15439">
                      <v:fill on="t" opacity="32768f" focussize="0,0"/>
                      <v:stroke weight="1pt" color="#41719C [3204]" miterlimit="8" joinstyle="miter"/>
                      <v:imagedata o:title=""/>
                      <o:lock v:ext="edit" aspectratio="f"/>
                      <v:textbox inset="0.5mm,0.3mm,0.5mm,0.3mm">
                        <w:txbxContent>
                          <w:p w14:paraId="4D81A48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贝江110</w:t>
                            </w:r>
                            <w:r>
                              <w:rPr>
                                <w:color w:val="000000" w:themeColor="text1"/>
                                <w14:textFill>
                                  <w14:solidFill>
                                    <w14:schemeClr w14:val="tx1"/>
                                  </w14:solidFill>
                                </w14:textFill>
                              </w:rPr>
                              <w:t>kV变电站</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194945</wp:posOffset>
                      </wp:positionH>
                      <wp:positionV relativeFrom="paragraph">
                        <wp:posOffset>299720</wp:posOffset>
                      </wp:positionV>
                      <wp:extent cx="1781175" cy="2971800"/>
                      <wp:effectExtent l="0" t="0" r="0" b="0"/>
                      <wp:wrapNone/>
                      <wp:docPr id="46" name="矩形 46"/>
                      <wp:cNvGraphicFramePr/>
                      <a:graphic xmlns:a="http://schemas.openxmlformats.org/drawingml/2006/main">
                        <a:graphicData uri="http://schemas.microsoft.com/office/word/2010/wordprocessingShape">
                          <wps:wsp>
                            <wps:cNvSpPr/>
                            <wps:spPr>
                              <a:xfrm>
                                <a:off x="0" y="0"/>
                                <a:ext cx="1781175" cy="297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61C89">
                                  <w:pPr>
                                    <w:jc w:val="center"/>
                                    <w:rPr>
                                      <w:color w:val="FFFFFF" w:themeColor="background1"/>
                                      <w14:textFill>
                                        <w14:noFill/>
                                      </w14:textFill>
                                    </w:rPr>
                                  </w:pPr>
                                  <w:r>
                                    <w:rPr>
                                      <w:color w:val="FFFFFF" w:themeColor="background1"/>
                                      <w14:textFill>
                                        <w14:noFill/>
                                      </w14:textFill>
                                    </w:rPr>
                                    <w:drawing>
                                      <wp:inline distT="0" distB="0" distL="0" distR="0">
                                        <wp:extent cx="1495425" cy="27527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cstate="print">
                                                  <a:extLst>
                                                    <a:ext uri="{28A0092B-C50C-407E-A947-70E740481C1C}">
                                                      <a14:useLocalDpi xmlns:a14="http://schemas.microsoft.com/office/drawing/2010/main" val="0"/>
                                                    </a:ext>
                                                  </a:extLst>
                                                </a:blip>
                                                <a:srcRect l="71601" t="4094" r="2437" b="62102"/>
                                                <a:stretch>
                                                  <a:fillRect/>
                                                </a:stretch>
                                              </pic:blipFill>
                                              <pic:spPr>
                                                <a:xfrm>
                                                  <a:off x="0" y="0"/>
                                                  <a:ext cx="1495425" cy="275272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5pt;margin-top:23.6pt;height:234pt;width:140.25pt;z-index:251662336;v-text-anchor:middle;mso-width-relative:page;mso-height-relative:page;" filled="f" stroked="f" coordsize="21600,21600" o:gfxdata="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BN5zXYAAAACQEAAA8AAAAAAAAAAQAgAAAAIgAAAGRycy9kb3ducmV2LnhtbFBLAQIUABQA&#10;AAAIAIdO4kCZz7vSYgIAALAEAAAOAAAAAAAAAAEAIAAAACcBAABkcnMvZTJvRG9jLnhtbFBLBQYA&#10;AAAABgAGAFkBAAD7BQAAAAA=&#10;">
                      <v:fill on="f" focussize="0,0"/>
                      <v:stroke on="f" weight="1pt" miterlimit="8" joinstyle="miter"/>
                      <v:imagedata o:title=""/>
                      <o:lock v:ext="edit" aspectratio="f"/>
                      <v:textbox>
                        <w:txbxContent>
                          <w:p w14:paraId="0B861C89">
                            <w:pPr>
                              <w:jc w:val="center"/>
                              <w:rPr>
                                <w:color w:val="FFFFFF" w:themeColor="background1"/>
                                <w14:textFill>
                                  <w14:noFill/>
                                </w14:textFill>
                              </w:rPr>
                            </w:pPr>
                            <w:r>
                              <w:rPr>
                                <w:color w:val="FFFFFF" w:themeColor="background1"/>
                                <w14:textFill>
                                  <w14:noFill/>
                                </w14:textFill>
                              </w:rPr>
                              <w:drawing>
                                <wp:inline distT="0" distB="0" distL="0" distR="0">
                                  <wp:extent cx="1495425" cy="27527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cstate="print">
                                            <a:extLst>
                                              <a:ext uri="{28A0092B-C50C-407E-A947-70E740481C1C}">
                                                <a14:useLocalDpi xmlns:a14="http://schemas.microsoft.com/office/drawing/2010/main" val="0"/>
                                              </a:ext>
                                            </a:extLst>
                                          </a:blip>
                                          <a:srcRect l="71601" t="4094" r="2437" b="62102"/>
                                          <a:stretch>
                                            <a:fillRect/>
                                          </a:stretch>
                                        </pic:blipFill>
                                        <pic:spPr>
                                          <a:xfrm>
                                            <a:off x="0" y="0"/>
                                            <a:ext cx="1495425" cy="2752725"/>
                                          </a:xfrm>
                                          <a:prstGeom prst="rect">
                                            <a:avLst/>
                                          </a:prstGeom>
                                          <a:ln>
                                            <a:noFill/>
                                          </a:ln>
                                        </pic:spPr>
                                      </pic:pic>
                                    </a:graphicData>
                                  </a:graphic>
                                </wp:inline>
                              </w:drawing>
                            </w:r>
                          </w:p>
                        </w:txbxContent>
                      </v:textbox>
                    </v:rect>
                  </w:pict>
                </mc:Fallback>
              </mc:AlternateContent>
            </w:r>
            <w:r>
              <w:drawing>
                <wp:inline distT="0" distB="0" distL="0" distR="0">
                  <wp:extent cx="4676775" cy="843089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cstate="print">
                            <a:extLst>
                              <a:ext uri="{28A0092B-C50C-407E-A947-70E740481C1C}">
                                <a14:useLocalDpi xmlns:a14="http://schemas.microsoft.com/office/drawing/2010/main" val="0"/>
                              </a:ext>
                            </a:extLst>
                          </a:blip>
                          <a:srcRect l="2149" t="7736" r="28564" b="3911"/>
                          <a:stretch>
                            <a:fillRect/>
                          </a:stretch>
                        </pic:blipFill>
                        <pic:spPr>
                          <a:xfrm>
                            <a:off x="0" y="0"/>
                            <a:ext cx="4688141" cy="8451795"/>
                          </a:xfrm>
                          <a:prstGeom prst="rect">
                            <a:avLst/>
                          </a:prstGeom>
                          <a:ln>
                            <a:noFill/>
                          </a:ln>
                        </pic:spPr>
                      </pic:pic>
                    </a:graphicData>
                  </a:graphic>
                </wp:inline>
              </w:drawing>
            </w:r>
          </w:p>
          <w:p w14:paraId="3D8BDA84">
            <w:pPr>
              <w:pStyle w:val="148"/>
            </w:pPr>
            <w:r>
              <w:rPr>
                <w:rFonts w:hint="eastAsia"/>
              </w:rPr>
              <w:t>图4</w:t>
            </w:r>
            <w:r>
              <w:t xml:space="preserve">.3-1  </w:t>
            </w:r>
            <w:r>
              <w:rPr>
                <w:rFonts w:hint="eastAsia"/>
              </w:rPr>
              <w:t>线路路径比选示意图</w:t>
            </w:r>
          </w:p>
          <w:p w14:paraId="3B19275E">
            <w:pPr>
              <w:pStyle w:val="3"/>
              <w:ind w:firstLine="480"/>
            </w:pPr>
            <w:r>
              <w:rPr>
                <w:rFonts w:hint="eastAsia"/>
              </w:rPr>
              <w:t>根据比选结果，从工程方面，推荐方案总体线路更短，交叉跨越更小，交通相对方便，杆塔数量更少；从环保方面，推荐方案和比选方案涉及生态环境敏感区的情况相近，但推荐方案塔基更少，塔基占地和塔基施工临时占地更少，对地表扰动更少，故推荐方案更优。</w:t>
            </w:r>
          </w:p>
          <w:p w14:paraId="5BE474F6">
            <w:pPr>
              <w:pStyle w:val="6"/>
            </w:pPr>
            <w:r>
              <w:rPr>
                <w:rFonts w:hint="eastAsia"/>
              </w:rPr>
              <w:t>线路路径合理性分析</w:t>
            </w:r>
          </w:p>
          <w:p w14:paraId="68B1D86C">
            <w:pPr>
              <w:pStyle w:val="3"/>
              <w:ind w:firstLine="480"/>
            </w:pPr>
            <w:r>
              <w:rPr>
                <w:rFonts w:hint="eastAsia"/>
              </w:rPr>
              <w:t>根据《输变电建设项目环境保护技术要求》（</w:t>
            </w:r>
            <w:r>
              <w:t>HJ1113-2020</w:t>
            </w:r>
            <w:r>
              <w:rPr>
                <w:rFonts w:hint="eastAsia"/>
              </w:rPr>
              <w:t>）：</w:t>
            </w:r>
            <w:r>
              <w:t>“</w:t>
            </w:r>
            <w:r>
              <w:rPr>
                <w:rFonts w:hint="eastAsia"/>
              </w:rPr>
              <w:t>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r>
              <w:t xml:space="preserve">” </w:t>
            </w:r>
          </w:p>
          <w:p w14:paraId="64F8A207">
            <w:pPr>
              <w:pStyle w:val="3"/>
              <w:ind w:firstLine="480"/>
              <w:rPr>
                <w:color w:val="FF0000"/>
              </w:rPr>
            </w:pPr>
            <w:r>
              <w:rPr>
                <w:rFonts w:hint="eastAsia"/>
              </w:rPr>
              <w:t>本项目线路从贝江1</w:t>
            </w:r>
            <w:r>
              <w:t>10kV</w:t>
            </w:r>
            <w:r>
              <w:rPr>
                <w:rFonts w:hint="eastAsia"/>
              </w:rPr>
              <w:t>变电站接入湖南省江华湾水源抽水蓄能电站1</w:t>
            </w:r>
            <w:r>
              <w:t>10</w:t>
            </w:r>
            <w:r>
              <w:rPr>
                <w:rFonts w:hint="eastAsia"/>
              </w:rPr>
              <w:t>kV基地源变电站，不可避让生态保护红线和湖南江华涔天河国家湿地公园，采用无害化方式跨越，不在生态保护红线和湖南江华涔天河国家湿地公园内立塔，已取得了湖南省林业局原则同意项目在湖南江华涔天河国家湿地公园（湖南省江华县涔天河省级重要湿地）内实施的意见（附件6）。</w:t>
            </w:r>
          </w:p>
          <w:p w14:paraId="0FF4E5CD">
            <w:pPr>
              <w:pStyle w:val="3"/>
              <w:ind w:firstLine="480"/>
            </w:pPr>
            <w:r>
              <w:rPr>
                <w:rFonts w:hint="eastAsia"/>
              </w:rPr>
              <w:t>线路涉及姑婆山风景名胜区水口景区，在其内设有</w:t>
            </w:r>
            <w:r>
              <w:t>8</w:t>
            </w:r>
            <w:r>
              <w:rPr>
                <w:rFonts w:hint="eastAsia"/>
              </w:rPr>
              <w:t>座塔杆；</w:t>
            </w:r>
            <w:r>
              <w:rPr>
                <w:rFonts w:hint="eastAsia"/>
                <w:szCs w:val="24"/>
              </w:rPr>
              <w:t>已按照相关要求编制了《姑婆山风景名胜区湖南省江华湾水源抽水蓄能电站施工电源110千伏线路工程选址方案论证报告》（以下简称选址论证报告）并已通过了湖南省林业局组织的专家评审会（附件7），正在按程序办理工程选址方案核准手续。根据江华瑶族自治县姑婆山风景名胜区管理局《关于对湖南省江华湾水源抽水蓄能电站施工电源110千伏线路工程在姑婆山风景名胜区内建设情况说明的函》（附件8），预计2</w:t>
            </w:r>
            <w:r>
              <w:rPr>
                <w:szCs w:val="24"/>
              </w:rPr>
              <w:t>025</w:t>
            </w:r>
            <w:r>
              <w:rPr>
                <w:rFonts w:hint="eastAsia"/>
                <w:szCs w:val="24"/>
              </w:rPr>
              <w:t>年4月底省林业局可完成工程选址方案核准手续。</w:t>
            </w:r>
          </w:p>
          <w:p w14:paraId="79D954F2">
            <w:pPr>
              <w:pStyle w:val="3"/>
              <w:ind w:firstLine="480"/>
            </w:pPr>
            <w:r>
              <w:rPr>
                <w:rFonts w:hint="eastAsia"/>
              </w:rPr>
              <w:t>本项目不涉及基本农田、自然保护区、森林公园等其它特殊生态敏感区，不涉及饮用水水源保护区、</w:t>
            </w:r>
            <w:r>
              <w:t>0</w:t>
            </w:r>
            <w:r>
              <w:rPr>
                <w:rFonts w:hint="eastAsia"/>
              </w:rPr>
              <w:t>类声功能区，避开了县城中心地区等人口集中区域。路径方案已取得了工程所在地人民政府、自然资源、生态环境等部门的同意，与工程沿线区域的相关规划不冲突。</w:t>
            </w:r>
            <w:r>
              <w:t xml:space="preserve"> </w:t>
            </w:r>
          </w:p>
          <w:p w14:paraId="4064F6C8">
            <w:pPr>
              <w:pStyle w:val="3"/>
              <w:ind w:firstLine="480"/>
            </w:pPr>
          </w:p>
          <w:p w14:paraId="30F5DF7B">
            <w:pPr>
              <w:pStyle w:val="3"/>
              <w:ind w:firstLine="480"/>
            </w:pPr>
          </w:p>
          <w:p w14:paraId="24696F3D">
            <w:pPr>
              <w:pStyle w:val="3"/>
              <w:ind w:firstLine="480"/>
            </w:pPr>
          </w:p>
        </w:tc>
      </w:tr>
    </w:tbl>
    <w:p w14:paraId="717F80F1">
      <w:pPr>
        <w:pStyle w:val="37"/>
        <w:ind w:firstLine="720"/>
        <w:jc w:val="center"/>
        <w:rPr>
          <w:rFonts w:ascii="黑体" w:hAnsi="黑体" w:eastAsia="黑体"/>
          <w:snapToGrid w:val="0"/>
          <w:sz w:val="36"/>
          <w:szCs w:val="36"/>
        </w:rPr>
        <w:sectPr>
          <w:pgSz w:w="11906" w:h="16838"/>
          <w:pgMar w:top="1588" w:right="1361" w:bottom="1474" w:left="1474" w:header="1021" w:footer="851" w:gutter="0"/>
          <w:cols w:space="425" w:num="1"/>
          <w:docGrid w:linePitch="312" w:charSpace="0"/>
        </w:sectPr>
      </w:pPr>
    </w:p>
    <w:p w14:paraId="438288EC">
      <w:pPr>
        <w:pStyle w:val="37"/>
        <w:jc w:val="center"/>
        <w:outlineLvl w:val="0"/>
        <w:rPr>
          <w:rFonts w:ascii="黑体" w:hAnsi="黑体" w:eastAsia="黑体"/>
          <w:snapToGrid w:val="0"/>
          <w:sz w:val="30"/>
          <w:szCs w:val="30"/>
        </w:rPr>
      </w:pPr>
      <w:bookmarkStart w:id="139" w:name="_Toc99093540"/>
      <w:bookmarkStart w:id="140" w:name="_Toc95916476"/>
      <w:bookmarkStart w:id="141" w:name="_Toc99093267"/>
      <w:bookmarkStart w:id="142" w:name="_Toc95916525"/>
      <w:bookmarkStart w:id="143" w:name="_Toc186810109"/>
      <w:bookmarkStart w:id="144" w:name="_Toc99090810"/>
      <w:r>
        <w:rPr>
          <w:rFonts w:hint="eastAsia" w:ascii="黑体" w:hAnsi="黑体" w:eastAsia="黑体"/>
          <w:snapToGrid w:val="0"/>
          <w:sz w:val="30"/>
          <w:szCs w:val="30"/>
        </w:rPr>
        <w:t>五、主要生态环境保护措施</w:t>
      </w:r>
      <w:bookmarkEnd w:id="139"/>
      <w:bookmarkEnd w:id="140"/>
      <w:bookmarkEnd w:id="141"/>
      <w:bookmarkEnd w:id="142"/>
      <w:bookmarkEnd w:id="143"/>
      <w:bookmarkEnd w:id="144"/>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8332"/>
      </w:tblGrid>
      <w:tr w14:paraId="2C4C5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475" w:type="pct"/>
            <w:tcMar>
              <w:left w:w="28" w:type="dxa"/>
              <w:right w:w="28" w:type="dxa"/>
            </w:tcMar>
            <w:vAlign w:val="center"/>
          </w:tcPr>
          <w:p w14:paraId="01CBAAD1">
            <w:pPr>
              <w:pStyle w:val="86"/>
            </w:pPr>
            <w:r>
              <w:rPr>
                <w:rFonts w:hint="eastAsia"/>
              </w:rPr>
              <w:t>施工期生态环境保护措施</w:t>
            </w:r>
          </w:p>
        </w:tc>
        <w:tc>
          <w:tcPr>
            <w:tcW w:w="4525" w:type="pct"/>
            <w:vAlign w:val="center"/>
          </w:tcPr>
          <w:p w14:paraId="1E7369E5">
            <w:pPr>
              <w:pStyle w:val="2"/>
            </w:pPr>
            <w:bookmarkStart w:id="145" w:name="_Toc95916526"/>
            <w:bookmarkStart w:id="146" w:name="_Toc99090811"/>
            <w:bookmarkStart w:id="147" w:name="_Toc99098752"/>
            <w:bookmarkStart w:id="148" w:name="_Toc99093268"/>
            <w:bookmarkStart w:id="149" w:name="_Toc166056884"/>
            <w:bookmarkStart w:id="150" w:name="_Toc99093541"/>
            <w:bookmarkStart w:id="151" w:name="_Toc95916477"/>
            <w:bookmarkStart w:id="152" w:name="_Toc186810110"/>
            <w:r>
              <w:rPr>
                <w:rFonts w:hint="eastAsia"/>
              </w:rPr>
              <w:t>主要生态环境保护措施</w:t>
            </w:r>
            <w:bookmarkEnd w:id="145"/>
            <w:bookmarkEnd w:id="146"/>
            <w:bookmarkEnd w:id="147"/>
            <w:bookmarkEnd w:id="148"/>
            <w:bookmarkEnd w:id="149"/>
            <w:bookmarkEnd w:id="150"/>
            <w:bookmarkEnd w:id="151"/>
            <w:bookmarkEnd w:id="152"/>
          </w:p>
          <w:p w14:paraId="4CB246E4">
            <w:pPr>
              <w:pStyle w:val="5"/>
            </w:pPr>
            <w:bookmarkStart w:id="153" w:name="_Toc99090812"/>
            <w:bookmarkStart w:id="154" w:name="_Toc95916478"/>
            <w:bookmarkStart w:id="155" w:name="_Toc99093269"/>
            <w:bookmarkStart w:id="156" w:name="_Toc99093542"/>
            <w:r>
              <w:rPr>
                <w:rFonts w:hint="eastAsia"/>
              </w:rPr>
              <w:t>施工期</w:t>
            </w:r>
            <w:r>
              <w:t>环境保护措施</w:t>
            </w:r>
            <w:bookmarkEnd w:id="153"/>
            <w:bookmarkEnd w:id="154"/>
            <w:bookmarkEnd w:id="155"/>
            <w:bookmarkEnd w:id="156"/>
          </w:p>
          <w:p w14:paraId="3067C9D5">
            <w:pPr>
              <w:pStyle w:val="6"/>
            </w:pPr>
            <w:r>
              <w:rPr>
                <w:rFonts w:hint="eastAsia"/>
              </w:rPr>
              <w:t>施工期生态环境保护</w:t>
            </w:r>
            <w:r>
              <w:t>措施</w:t>
            </w:r>
          </w:p>
          <w:p w14:paraId="418A91B1">
            <w:pPr>
              <w:pStyle w:val="3"/>
              <w:ind w:firstLine="480"/>
            </w:pPr>
            <w:r>
              <w:rPr>
                <w:rFonts w:hint="eastAsia"/>
              </w:rPr>
              <w:t>详见生态环境影响专项评价。</w:t>
            </w:r>
          </w:p>
          <w:p w14:paraId="6E56645A">
            <w:pPr>
              <w:pStyle w:val="6"/>
            </w:pPr>
            <w:bookmarkStart w:id="157" w:name="_Toc99093270"/>
            <w:bookmarkStart w:id="158" w:name="_Toc99090813"/>
            <w:bookmarkStart w:id="159" w:name="_Toc95916479"/>
            <w:r>
              <w:rPr>
                <w:rFonts w:hint="eastAsia"/>
              </w:rPr>
              <w:t>施工期水环境保护</w:t>
            </w:r>
            <w:r>
              <w:t>措施</w:t>
            </w:r>
            <w:bookmarkEnd w:id="157"/>
            <w:bookmarkEnd w:id="158"/>
            <w:bookmarkEnd w:id="159"/>
          </w:p>
          <w:p w14:paraId="5DB0B01F">
            <w:pPr>
              <w:pStyle w:val="3"/>
              <w:ind w:firstLine="480"/>
            </w:pPr>
            <w:r>
              <w:rPr>
                <w:rFonts w:hint="eastAsia"/>
              </w:rPr>
              <w:t>a）输电线路施工人员租用附近村庄民房，不设置施工营地，生活污水利用租用民房内的化粪池收集后作农肥。</w:t>
            </w:r>
          </w:p>
          <w:p w14:paraId="7BA86012">
            <w:pPr>
              <w:pStyle w:val="3"/>
              <w:ind w:firstLine="480"/>
            </w:pPr>
            <w:r>
              <w:rPr>
                <w:rFonts w:hint="eastAsia"/>
              </w:rPr>
              <w:t>b）</w:t>
            </w:r>
            <w:r>
              <w:t>贝江110kV</w:t>
            </w:r>
            <w:r>
              <w:rPr>
                <w:rFonts w:hint="eastAsia"/>
              </w:rPr>
              <w:t>变电站扩建间隔工程生活污水利用贝江变电站已建成生活污水收集和消纳系统进行收集和消纳。</w:t>
            </w:r>
          </w:p>
          <w:p w14:paraId="6A5711A1">
            <w:pPr>
              <w:pStyle w:val="3"/>
              <w:ind w:firstLine="480"/>
            </w:pPr>
            <w:r>
              <w:rPr>
                <w:rFonts w:hint="eastAsia"/>
              </w:rPr>
              <w:t>c）材料堆场和牵张场地周边设置截排水沟和沉淀池；施工废水经临时沉淀池自然沉淀后回用，不外排。</w:t>
            </w:r>
          </w:p>
          <w:p w14:paraId="607F891C">
            <w:pPr>
              <w:pStyle w:val="3"/>
              <w:ind w:firstLine="480"/>
            </w:pPr>
            <w:r>
              <w:rPr>
                <w:rFonts w:hint="eastAsia"/>
              </w:rPr>
              <w:t>d）在施工过程中，应合理安排施工计划、施工程序，协调好各个施工步骤，尽量避开雨季开挖作业。雨季中施工单位要做好施工场地周边的拦挡措施，尽量减少地面坡度，减少开挖面，并争取土料随挖、随运，减少推土裸土的暴露时间，以避免受降雨的直接冲刷，在暴雨期，还应采取应急措施，尽量用覆盖物覆盖新开挖的陡坡，防止冲刷和崩塌。</w:t>
            </w:r>
          </w:p>
          <w:p w14:paraId="717749FF">
            <w:pPr>
              <w:pStyle w:val="3"/>
              <w:ind w:firstLine="480"/>
              <w:rPr>
                <w:rFonts w:ascii="CIDFont+F3" w:eastAsia="CIDFont+F3" w:cs="CIDFont+F3"/>
              </w:rPr>
            </w:pPr>
            <w:r>
              <w:rPr>
                <w:rFonts w:hint="eastAsia"/>
              </w:rPr>
              <w:t>e）施工单位严格管理，落实文明施工原则，不漫排施工废水，禁止施工人员在线路周边水体排污，采取有效的拦蓄措施，防止施工废水进入附近水体。</w:t>
            </w:r>
          </w:p>
          <w:p w14:paraId="3513FBF5">
            <w:pPr>
              <w:pStyle w:val="3"/>
              <w:ind w:firstLine="480"/>
              <w:rPr>
                <w:rFonts w:ascii="CIDFont+F3" w:eastAsia="CIDFont+F3" w:cs="CIDFont+F3"/>
                <w:szCs w:val="24"/>
              </w:rPr>
            </w:pPr>
            <w:r>
              <w:rPr>
                <w:rFonts w:hint="eastAsia"/>
              </w:rPr>
              <w:t>f）临近和跨越湖南江华涔天河湿地公园的线路段施工，应严格控制施工范围，设置拦挡措施，防止施工废水进入国家湿地公园范围内。</w:t>
            </w:r>
          </w:p>
          <w:p w14:paraId="081AC3D4">
            <w:pPr>
              <w:pStyle w:val="3"/>
              <w:ind w:firstLine="480"/>
              <w:rPr>
                <w:rFonts w:ascii="CIDFont+F3" w:eastAsia="CIDFont+F3" w:cs="CIDFont+F3"/>
              </w:rPr>
            </w:pPr>
            <w:r>
              <w:rPr>
                <w:rFonts w:hint="eastAsia"/>
              </w:rPr>
              <w:t>g）邻近或跨越水域的线路施工，尤其是临近和跨越湖南江华涔天河湿地公园线路段施工，应严格关注施工废水、堆土弃渣的处理处置情况，确保不对水体造成污染。</w:t>
            </w:r>
          </w:p>
          <w:p w14:paraId="1B62574B">
            <w:pPr>
              <w:pStyle w:val="3"/>
              <w:ind w:firstLine="480"/>
            </w:pPr>
            <w:r>
              <w:rPr>
                <w:rFonts w:hint="eastAsia"/>
              </w:rPr>
              <w:t>在采取上述水环境影响防治措施后，工程施工废污水不会对周边水环境产生不良影响。</w:t>
            </w:r>
            <w:r>
              <w:t xml:space="preserve"> </w:t>
            </w:r>
          </w:p>
          <w:p w14:paraId="5D468EAE">
            <w:pPr>
              <w:pStyle w:val="6"/>
            </w:pPr>
            <w:bookmarkStart w:id="160" w:name="_Toc95916480"/>
            <w:bookmarkStart w:id="161" w:name="_Toc99093271"/>
            <w:bookmarkStart w:id="162" w:name="_Toc99090814"/>
            <w:r>
              <w:rPr>
                <w:rFonts w:hint="eastAsia"/>
              </w:rPr>
              <w:t>施工期大</w:t>
            </w:r>
            <w:r>
              <w:t>气污染防治措施</w:t>
            </w:r>
            <w:bookmarkEnd w:id="160"/>
            <w:bookmarkEnd w:id="161"/>
            <w:bookmarkEnd w:id="162"/>
          </w:p>
          <w:p w14:paraId="312106AB">
            <w:pPr>
              <w:pStyle w:val="3"/>
              <w:ind w:firstLine="480"/>
            </w:pPr>
            <w:r>
              <w:rPr>
                <w:rFonts w:hint="eastAsia"/>
              </w:rPr>
              <w:t>a）施工产生的建筑垃圾等合理堆放，定期清运。弃渣运输时采取密闭、覆盖的措施，避免沿途漏撒，并且在规定的时间内按指定路段行驶，控制扬尘污染。</w:t>
            </w:r>
          </w:p>
          <w:p w14:paraId="5B09A3D6">
            <w:pPr>
              <w:pStyle w:val="3"/>
              <w:ind w:firstLine="480"/>
            </w:pPr>
            <w:r>
              <w:rPr>
                <w:rFonts w:hint="eastAsia"/>
              </w:rPr>
              <w:t>b）加强材料转运与使用的管理，合理装卸，规范操作。易起尘物料密闭运输和堆存并加以遮盖。</w:t>
            </w:r>
          </w:p>
          <w:p w14:paraId="05D27E0E">
            <w:pPr>
              <w:pStyle w:val="3"/>
              <w:ind w:firstLine="480"/>
            </w:pPr>
            <w:r>
              <w:rPr>
                <w:rFonts w:hint="eastAsia"/>
              </w:rPr>
              <w:t>c）施工面集中且有条件的地方采取洒水降尘等有效措施，减少或避免产生扬尘。材料堆场及进出道路定期洒水抑尘。</w:t>
            </w:r>
          </w:p>
          <w:p w14:paraId="3CF49B77">
            <w:pPr>
              <w:pStyle w:val="3"/>
              <w:ind w:firstLine="480"/>
            </w:pPr>
            <w:r>
              <w:rPr>
                <w:rFonts w:hint="eastAsia"/>
              </w:rPr>
              <w:t>d）施工场地尤其是湘江口材料堆场四周应当设置连续、封闭的围挡，实行全封闭施工。围挡外侧周边不得堆放材料、机具、垃圾和废弃物等，破损的围挡应及时更换，确保围挡整洁、美观、稳固、连续、密闭，已完工的工地围挡应及时拆除。</w:t>
            </w:r>
            <w:r>
              <w:t xml:space="preserve"> </w:t>
            </w:r>
          </w:p>
          <w:p w14:paraId="075662F7">
            <w:pPr>
              <w:pStyle w:val="3"/>
              <w:ind w:firstLine="480"/>
            </w:pPr>
            <w:r>
              <w:rPr>
                <w:rFonts w:hint="eastAsia"/>
              </w:rPr>
              <w:t>e）临时堆土应及时苫盖，干燥天气下易起尘的裸露土地及时苫盖或洒水抑尘，施工结束后立即进行场地恢复。</w:t>
            </w:r>
          </w:p>
          <w:p w14:paraId="16144327">
            <w:pPr>
              <w:pStyle w:val="3"/>
              <w:ind w:firstLine="480"/>
            </w:pPr>
            <w:r>
              <w:rPr>
                <w:rFonts w:hint="eastAsia"/>
              </w:rPr>
              <w:t>f）避免大风天气作业，施工现场禁止抛撒建筑废弃物，禁止焚烧各类废弃物</w:t>
            </w:r>
            <w:r>
              <w:t>。</w:t>
            </w:r>
          </w:p>
          <w:p w14:paraId="340B6B64">
            <w:pPr>
              <w:pStyle w:val="6"/>
            </w:pPr>
            <w:bookmarkStart w:id="163" w:name="_Toc99090815"/>
            <w:bookmarkStart w:id="164" w:name="_Toc99093272"/>
            <w:bookmarkStart w:id="165" w:name="_Toc95916481"/>
            <w:r>
              <w:rPr>
                <w:rFonts w:hint="eastAsia"/>
              </w:rPr>
              <w:t>施工期</w:t>
            </w:r>
            <w:r>
              <w:t>噪声污染防治措施</w:t>
            </w:r>
            <w:bookmarkEnd w:id="163"/>
            <w:bookmarkEnd w:id="164"/>
            <w:bookmarkEnd w:id="165"/>
          </w:p>
          <w:p w14:paraId="3523A848">
            <w:pPr>
              <w:pStyle w:val="131"/>
              <w:ind w:firstLine="480"/>
            </w:pPr>
            <w:r>
              <w:rPr>
                <w:rFonts w:hint="eastAsia"/>
              </w:rPr>
              <w:t>a）</w:t>
            </w:r>
            <w:r>
              <w:t>施工单位必须选用符合国家有关标准的施工机具和运输车辆，尽量选用低噪声的施工机械和工艺，振动较大的固定机械设备应加装减振机座，固定强噪声源应考虑加装隔音罩，同时应加强各类施工设备的维护和保养，保持其良好的运转，以便从根本上降低噪声源强。</w:t>
            </w:r>
          </w:p>
          <w:p w14:paraId="33FB9A8A">
            <w:pPr>
              <w:pStyle w:val="3"/>
              <w:ind w:firstLine="480"/>
            </w:pPr>
            <w:r>
              <w:t>b</w:t>
            </w:r>
            <w:r>
              <w:rPr>
                <w:rFonts w:hint="eastAsia"/>
              </w:rPr>
              <w:t>）制定科学的施工计划，合理安排施工工期，靠近敏感目标区域尽量避免高噪声设备同时施工。加强施工机械和运输车辆维护和管理，</w:t>
            </w:r>
            <w:r>
              <w:t>文明施工、有效管理。</w:t>
            </w:r>
          </w:p>
          <w:p w14:paraId="2461B763">
            <w:pPr>
              <w:pStyle w:val="3"/>
              <w:ind w:firstLine="480"/>
            </w:pPr>
            <w:r>
              <w:t>c</w:t>
            </w:r>
            <w:r>
              <w:rPr>
                <w:rFonts w:hint="eastAsia"/>
              </w:rPr>
              <w:t>）</w:t>
            </w:r>
            <w:r>
              <w:t>噪声大的施工机具在夜间（22:00~06:00）停止施工。</w:t>
            </w:r>
            <w:r>
              <w:rPr>
                <w:rFonts w:hint="eastAsia"/>
              </w:rPr>
              <w:t>因特殊需要必须连续施工作业的，应依法办理相关手续，并在施工现场显著位置公示或者以其他方式公告附近居民。</w:t>
            </w:r>
          </w:p>
          <w:p w14:paraId="0699742F">
            <w:pPr>
              <w:pStyle w:val="3"/>
              <w:ind w:firstLine="480"/>
            </w:pPr>
            <w:r>
              <w:rPr>
                <w:rFonts w:hint="eastAsia"/>
              </w:rPr>
              <w:t>d）施工期间应当注意运输建材车辆通往施工现场对沿途居民的影响，应采取防范措施减少对居民点影响，如途经居民密集区时禁止鸣笛和减缓车速。</w:t>
            </w:r>
            <w:r>
              <w:t xml:space="preserve"> </w:t>
            </w:r>
          </w:p>
          <w:p w14:paraId="64947A90">
            <w:pPr>
              <w:pStyle w:val="3"/>
              <w:ind w:firstLine="480"/>
            </w:pPr>
            <w:r>
              <w:rPr>
                <w:rFonts w:hint="eastAsia"/>
              </w:rPr>
              <w:t>e）</w:t>
            </w:r>
            <w:r>
              <w:t>施工单位</w:t>
            </w:r>
            <w:r>
              <w:rPr>
                <w:rFonts w:hint="eastAsia"/>
              </w:rPr>
              <w:t>应</w:t>
            </w:r>
            <w:r>
              <w:t>在施工现场标明张布通告和投诉电话，以便及时处理各种环境纠纷。</w:t>
            </w:r>
          </w:p>
          <w:p w14:paraId="2F2ED056">
            <w:pPr>
              <w:pStyle w:val="3"/>
              <w:ind w:firstLine="480"/>
            </w:pPr>
            <w:r>
              <w:t>f</w:t>
            </w:r>
            <w:r>
              <w:rPr>
                <w:rFonts w:hint="eastAsia"/>
              </w:rPr>
              <w:t>）</w:t>
            </w:r>
            <w:r>
              <w:t>施工期间当地</w:t>
            </w:r>
            <w:r>
              <w:rPr>
                <w:rFonts w:hint="eastAsia"/>
              </w:rPr>
              <w:t>生态</w:t>
            </w:r>
            <w:r>
              <w:t>环境主管部门应加强环境监管工作，及时发现、制止因施工不当、环保措施不落实等原因引起的噪声扰民事件，促使施工单位文明施工、严格执行环保措施，降低施工期间对沿线</w:t>
            </w:r>
            <w:r>
              <w:rPr>
                <w:rFonts w:hint="eastAsia"/>
              </w:rPr>
              <w:t>居民</w:t>
            </w:r>
            <w:r>
              <w:t>生活、休息的不利影响。</w:t>
            </w:r>
          </w:p>
          <w:p w14:paraId="31FB4DE8">
            <w:pPr>
              <w:pStyle w:val="6"/>
            </w:pPr>
            <w:bookmarkStart w:id="166" w:name="_Toc99093273"/>
            <w:bookmarkStart w:id="167" w:name="_Toc95916482"/>
            <w:bookmarkStart w:id="168" w:name="_Toc99090816"/>
            <w:r>
              <w:rPr>
                <w:rFonts w:hint="eastAsia"/>
              </w:rPr>
              <w:t>施工期固体废物</w:t>
            </w:r>
            <w:r>
              <w:t>污染防治措施</w:t>
            </w:r>
            <w:bookmarkEnd w:id="166"/>
            <w:bookmarkEnd w:id="167"/>
            <w:bookmarkEnd w:id="168"/>
          </w:p>
          <w:p w14:paraId="60010F1C">
            <w:pPr>
              <w:pStyle w:val="3"/>
              <w:ind w:firstLine="480"/>
            </w:pPr>
            <w:r>
              <w:rPr>
                <w:rFonts w:hint="eastAsia"/>
              </w:rPr>
              <w:t>a）施工过程产生的表土、余土和混凝土废渣应在指定处分类堆放，顶层与底层均铺设隔水布。</w:t>
            </w:r>
          </w:p>
          <w:p w14:paraId="1FAFE3EE">
            <w:pPr>
              <w:pStyle w:val="3"/>
              <w:ind w:firstLine="480"/>
            </w:pPr>
            <w:r>
              <w:rPr>
                <w:rFonts w:hint="eastAsia"/>
              </w:rPr>
              <w:t>b）混凝土废渣及时清运至管理部门制定消纳场消纳，余土在施工结束后就地平整，在表面覆盖表土后进行植被恢复。</w:t>
            </w:r>
          </w:p>
          <w:p w14:paraId="442C56BF">
            <w:pPr>
              <w:pStyle w:val="3"/>
              <w:ind w:firstLine="480"/>
            </w:pPr>
            <w:r>
              <w:t>c</w:t>
            </w:r>
            <w:r>
              <w:rPr>
                <w:rFonts w:hint="eastAsia"/>
              </w:rPr>
              <w:t>）明确要求施工过程中的建筑垃圾及生活垃圾应分别收集堆放，并采取必要的防护措施（防雨、防飞扬等）。</w:t>
            </w:r>
            <w:r>
              <w:t xml:space="preserve"> </w:t>
            </w:r>
          </w:p>
          <w:p w14:paraId="7E6AF37A">
            <w:pPr>
              <w:pStyle w:val="3"/>
              <w:ind w:firstLine="480"/>
            </w:pPr>
            <w:r>
              <w:t>d</w:t>
            </w:r>
            <w:r>
              <w:rPr>
                <w:rFonts w:hint="eastAsia"/>
              </w:rPr>
              <w:t>）施工现场设置封闭式垃圾容器，施工场地生活垃圾实行袋装化，及时清运。对建筑垃圾进行分类处理，并收集到指定地点，集中运出。</w:t>
            </w:r>
            <w:r>
              <w:t xml:space="preserve"> </w:t>
            </w:r>
          </w:p>
          <w:p w14:paraId="6739B7C8">
            <w:pPr>
              <w:pStyle w:val="3"/>
              <w:ind w:firstLine="480"/>
            </w:pPr>
            <w:r>
              <w:rPr>
                <w:rFonts w:hint="eastAsia"/>
              </w:rPr>
              <w:t>e）废导线、废绝缘材料、废包装物分类收集后由物资回收单位回收利用。</w:t>
            </w:r>
          </w:p>
        </w:tc>
      </w:tr>
      <w:tr w14:paraId="08ED3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475" w:type="pct"/>
            <w:tcMar>
              <w:left w:w="28" w:type="dxa"/>
              <w:right w:w="28" w:type="dxa"/>
            </w:tcMar>
            <w:vAlign w:val="center"/>
          </w:tcPr>
          <w:p w14:paraId="07B5C242">
            <w:pPr>
              <w:pStyle w:val="86"/>
            </w:pPr>
            <w:r>
              <w:rPr>
                <w:rFonts w:hint="eastAsia"/>
              </w:rPr>
              <w:t>运营期生态环境保护措施</w:t>
            </w:r>
          </w:p>
        </w:tc>
        <w:tc>
          <w:tcPr>
            <w:tcW w:w="4525" w:type="pct"/>
            <w:vAlign w:val="center"/>
          </w:tcPr>
          <w:p w14:paraId="62EA1A97">
            <w:pPr>
              <w:pStyle w:val="5"/>
            </w:pPr>
            <w:bookmarkStart w:id="169" w:name="_Toc99093543"/>
            <w:bookmarkStart w:id="170" w:name="_Toc99093275"/>
            <w:bookmarkStart w:id="171" w:name="_Toc95916484"/>
            <w:bookmarkStart w:id="172" w:name="_Toc99090818"/>
            <w:r>
              <w:rPr>
                <w:rFonts w:hint="eastAsia"/>
              </w:rPr>
              <w:t>运营期</w:t>
            </w:r>
            <w:r>
              <w:t>环境保护措施</w:t>
            </w:r>
            <w:bookmarkEnd w:id="169"/>
            <w:bookmarkEnd w:id="170"/>
            <w:bookmarkEnd w:id="171"/>
            <w:bookmarkEnd w:id="172"/>
          </w:p>
          <w:p w14:paraId="316A4B3E">
            <w:pPr>
              <w:pStyle w:val="6"/>
            </w:pPr>
            <w:r>
              <w:rPr>
                <w:rFonts w:hint="eastAsia"/>
              </w:rPr>
              <w:t>生态环境保护措施</w:t>
            </w:r>
          </w:p>
          <w:p w14:paraId="3DAA77F1">
            <w:pPr>
              <w:pStyle w:val="3"/>
              <w:ind w:firstLine="480"/>
            </w:pPr>
            <w:r>
              <w:rPr>
                <w:rFonts w:hint="eastAsia"/>
              </w:rPr>
              <w:t>详见生态环境影响专项评价。</w:t>
            </w:r>
          </w:p>
          <w:p w14:paraId="4A0B1109">
            <w:pPr>
              <w:pStyle w:val="6"/>
            </w:pPr>
            <w:bookmarkStart w:id="173" w:name="_Toc99093276"/>
            <w:bookmarkStart w:id="174" w:name="_Toc99090819"/>
            <w:bookmarkStart w:id="175" w:name="_Toc95916485"/>
            <w:r>
              <w:rPr>
                <w:rFonts w:hint="eastAsia"/>
              </w:rPr>
              <w:t>声环境</w:t>
            </w:r>
            <w:bookmarkEnd w:id="173"/>
            <w:bookmarkEnd w:id="174"/>
            <w:bookmarkEnd w:id="175"/>
            <w:r>
              <w:rPr>
                <w:rFonts w:hint="eastAsia"/>
              </w:rPr>
              <w:t>保护措施</w:t>
            </w:r>
          </w:p>
          <w:p w14:paraId="7290C6C4">
            <w:pPr>
              <w:pStyle w:val="3"/>
              <w:ind w:firstLine="480"/>
            </w:pPr>
            <w:r>
              <w:rPr>
                <w:rFonts w:hint="eastAsia"/>
              </w:rPr>
              <w:t>本项目线路工程主要为架空敷设，根据类比监测预测结论，结合初设提出的架设方式及导线对地的距离，运营期加强线路维护检修的情况下，可确保线路运行期各处声环境敏感目标昼、夜间噪声值均满足《声环境质量标准》（</w:t>
            </w:r>
            <w:r>
              <w:t>GB 3096-2008</w:t>
            </w:r>
            <w:r>
              <w:rPr>
                <w:rFonts w:hint="eastAsia"/>
              </w:rPr>
              <w:t>）中相应标准限值要求。</w:t>
            </w:r>
            <w:r>
              <w:t xml:space="preserve"> </w:t>
            </w:r>
          </w:p>
          <w:p w14:paraId="562E0A72">
            <w:pPr>
              <w:pStyle w:val="6"/>
            </w:pPr>
            <w:bookmarkStart w:id="176" w:name="_Toc99093279"/>
            <w:bookmarkStart w:id="177" w:name="_Toc95916488"/>
            <w:bookmarkStart w:id="178" w:name="_Toc99090822"/>
            <w:r>
              <w:rPr>
                <w:rFonts w:hint="eastAsia"/>
              </w:rPr>
              <w:t>固体废物</w:t>
            </w:r>
            <w:r>
              <w:t>污染防治措施</w:t>
            </w:r>
            <w:bookmarkEnd w:id="176"/>
            <w:bookmarkEnd w:id="177"/>
            <w:bookmarkEnd w:id="178"/>
          </w:p>
          <w:p w14:paraId="30F8F2AA">
            <w:pPr>
              <w:pStyle w:val="3"/>
              <w:ind w:firstLine="480"/>
            </w:pPr>
            <w:r>
              <w:rPr>
                <w:rFonts w:hint="eastAsia"/>
              </w:rPr>
              <w:t>工程运营期仅线路检修时产生少量检修垃圾，主要为废导线、绝缘子等，由线路巡检人员带离现场，交由附近环卫部门处置。</w:t>
            </w:r>
            <w:r>
              <w:t xml:space="preserve"> </w:t>
            </w:r>
          </w:p>
          <w:p w14:paraId="598237FA">
            <w:pPr>
              <w:pStyle w:val="6"/>
            </w:pPr>
            <w:r>
              <w:rPr>
                <w:rFonts w:hint="eastAsia"/>
              </w:rPr>
              <w:t>电磁环境防治措施</w:t>
            </w:r>
          </w:p>
          <w:p w14:paraId="0FC80ED2">
            <w:pPr>
              <w:spacing w:line="348" w:lineRule="auto"/>
              <w:ind w:firstLine="482"/>
              <w:rPr>
                <w:sz w:val="24"/>
              </w:rPr>
            </w:pPr>
            <w:r>
              <w:rPr>
                <w:rFonts w:hint="eastAsia"/>
                <w:sz w:val="24"/>
              </w:rPr>
              <w:t>详见电磁环境影响专项评价。</w:t>
            </w:r>
          </w:p>
        </w:tc>
      </w:tr>
      <w:tr w14:paraId="74EC9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475" w:type="pct"/>
            <w:vAlign w:val="center"/>
          </w:tcPr>
          <w:p w14:paraId="0F40620E">
            <w:pPr>
              <w:pStyle w:val="86"/>
            </w:pPr>
            <w:r>
              <w:rPr>
                <w:rFonts w:hint="eastAsia"/>
              </w:rPr>
              <w:t>其他</w:t>
            </w:r>
          </w:p>
        </w:tc>
        <w:tc>
          <w:tcPr>
            <w:tcW w:w="4525" w:type="pct"/>
            <w:vAlign w:val="center"/>
          </w:tcPr>
          <w:p w14:paraId="33FE5CD2">
            <w:pPr>
              <w:pStyle w:val="5"/>
            </w:pPr>
            <w:bookmarkStart w:id="179" w:name="_Toc99090824"/>
            <w:bookmarkStart w:id="180" w:name="_Toc99093544"/>
            <w:bookmarkStart w:id="181" w:name="_Toc99093281"/>
            <w:bookmarkStart w:id="182" w:name="_Toc95916490"/>
            <w:r>
              <w:t>环境</w:t>
            </w:r>
            <w:r>
              <w:rPr>
                <w:rFonts w:hint="eastAsia"/>
              </w:rPr>
              <w:t>管理和</w:t>
            </w:r>
            <w:r>
              <w:t>监测计划</w:t>
            </w:r>
            <w:bookmarkEnd w:id="179"/>
            <w:bookmarkEnd w:id="180"/>
            <w:bookmarkEnd w:id="181"/>
            <w:bookmarkEnd w:id="182"/>
          </w:p>
          <w:p w14:paraId="78E17F1F">
            <w:pPr>
              <w:pStyle w:val="6"/>
            </w:pPr>
            <w:bookmarkStart w:id="183" w:name="_Toc99090825"/>
            <w:bookmarkStart w:id="184" w:name="_Toc95916491"/>
            <w:bookmarkStart w:id="185" w:name="_Toc99093282"/>
            <w:r>
              <w:rPr>
                <w:rFonts w:hint="eastAsia"/>
              </w:rPr>
              <w:t>施工期环境管理</w:t>
            </w:r>
          </w:p>
          <w:p w14:paraId="5C0F7552">
            <w:pPr>
              <w:pStyle w:val="3"/>
              <w:ind w:firstLine="480"/>
            </w:pPr>
            <w:r>
              <w:rPr>
                <w:rFonts w:hint="eastAsia"/>
              </w:rPr>
              <w:t>鉴于建设期环境管理工作的重要性，同时根据国家的有关要求，本工程的施工将采取招投标制。施工招标中应对投标单位提出建设期间的环保要求，在施工设计文件中详细说明建设期应注意的环保问题，严格要求施工单位按设计文件施工，特别是按环保设计要求施工。施工期环境管理的职责和任务如下：</w:t>
            </w:r>
            <w:r>
              <w:t xml:space="preserve"> </w:t>
            </w:r>
          </w:p>
          <w:p w14:paraId="5814C286">
            <w:pPr>
              <w:pStyle w:val="3"/>
              <w:ind w:firstLine="480"/>
            </w:pPr>
            <w:r>
              <w:rPr>
                <w:rFonts w:hint="eastAsia"/>
              </w:rPr>
              <w:t>a）贯彻执行国家、地方的各项环境保护方针、政策、法规和各项规章制度。</w:t>
            </w:r>
            <w:r>
              <w:t xml:space="preserve"> </w:t>
            </w:r>
          </w:p>
          <w:p w14:paraId="13D0AC00">
            <w:pPr>
              <w:pStyle w:val="3"/>
              <w:ind w:firstLine="480"/>
            </w:pPr>
            <w:r>
              <w:rPr>
                <w:rFonts w:hint="eastAsia"/>
              </w:rPr>
              <w:t>b）制定本工程施工中的环境保护计划，负责工程施工过程中各项环境保护措施实施的日常管理。</w:t>
            </w:r>
            <w:r>
              <w:t xml:space="preserve"> </w:t>
            </w:r>
          </w:p>
          <w:p w14:paraId="47633864">
            <w:pPr>
              <w:pStyle w:val="3"/>
              <w:ind w:firstLine="480"/>
            </w:pPr>
            <w:r>
              <w:rPr>
                <w:rFonts w:hint="eastAsia"/>
              </w:rPr>
              <w:t>c）收集、整理、推广和实施工程建设中各项环境保护的先进工作经验和技术。</w:t>
            </w:r>
            <w:r>
              <w:t xml:space="preserve"> </w:t>
            </w:r>
          </w:p>
          <w:p w14:paraId="44773D9A">
            <w:pPr>
              <w:pStyle w:val="3"/>
              <w:ind w:firstLine="480"/>
            </w:pPr>
            <w:r>
              <w:rPr>
                <w:rFonts w:hint="eastAsia"/>
              </w:rPr>
              <w:t>d）组织和开展对施工人员进行施工活动中应遵循的环保法规、知识的培训，提高全体员工文明施工的认识。</w:t>
            </w:r>
            <w:r>
              <w:t xml:space="preserve"> </w:t>
            </w:r>
          </w:p>
          <w:p w14:paraId="2D831EA7">
            <w:pPr>
              <w:pStyle w:val="3"/>
              <w:ind w:firstLine="480"/>
            </w:pPr>
            <w:r>
              <w:rPr>
                <w:rFonts w:hint="eastAsia"/>
              </w:rPr>
              <w:t>e）在施工计划中应适当计划设备运输道路，以避免影响当地居民生活，施工中应考虑保护生态和避免水土流失，合理组织施工，不在站外设置临时施工用地。</w:t>
            </w:r>
            <w:r>
              <w:t xml:space="preserve"> </w:t>
            </w:r>
          </w:p>
          <w:p w14:paraId="1A3BC11D">
            <w:pPr>
              <w:pStyle w:val="3"/>
              <w:ind w:firstLine="480"/>
            </w:pPr>
            <w:r>
              <w:rPr>
                <w:rFonts w:hint="eastAsia"/>
              </w:rPr>
              <w:t>f）做好施工中各种环境问题的收集、记录、建档和处理工作。</w:t>
            </w:r>
            <w:r>
              <w:t xml:space="preserve"> </w:t>
            </w:r>
          </w:p>
          <w:p w14:paraId="16925510">
            <w:pPr>
              <w:pStyle w:val="3"/>
              <w:ind w:firstLine="480"/>
            </w:pPr>
            <w:r>
              <w:rPr>
                <w:rFonts w:hint="eastAsia"/>
              </w:rPr>
              <w:t>g）监督施工单位，使设计、施工过程的各项环境保护措施与主体工程同步实施。</w:t>
            </w:r>
            <w:r>
              <w:t xml:space="preserve"> </w:t>
            </w:r>
          </w:p>
          <w:p w14:paraId="727EFB29">
            <w:pPr>
              <w:pStyle w:val="6"/>
            </w:pPr>
            <w:r>
              <w:rPr>
                <w:rFonts w:hint="eastAsia"/>
              </w:rPr>
              <w:t>施工期环境监理</w:t>
            </w:r>
          </w:p>
          <w:p w14:paraId="6A25104A">
            <w:pPr>
              <w:pStyle w:val="3"/>
              <w:ind w:firstLine="480"/>
            </w:pPr>
            <w:r>
              <w:rPr>
                <w:rFonts w:hint="eastAsia"/>
              </w:rPr>
              <w:t>本项目环境监理制度将纳入整个工程监理中，委托有资质、有经验的第三方单位对施工期环保情况进行监理。</w:t>
            </w:r>
          </w:p>
          <w:p w14:paraId="2AEEE464">
            <w:pPr>
              <w:pStyle w:val="3"/>
              <w:ind w:firstLine="480"/>
            </w:pPr>
            <w:r>
              <w:rPr>
                <w:rFonts w:hint="eastAsia"/>
              </w:rPr>
              <w:t>工程环境监理单位应对施工期污染防治情况和生态环境保护情况进行检查巡查。如施工中废气、废水、噪声、固废是否合理处理处置，污染物的排放是否</w:t>
            </w:r>
            <w:r>
              <w:t>符合</w:t>
            </w:r>
            <w:r>
              <w:rPr>
                <w:rFonts w:hint="eastAsia"/>
              </w:rPr>
              <w:t>环保相关标准要求；施工是否造成生态环境破坏，如有则需采取整改措施和相关补救措施；要求建设的</w:t>
            </w:r>
            <w:r>
              <w:t>各项环境保护设施</w:t>
            </w:r>
            <w:r>
              <w:rPr>
                <w:rFonts w:hint="eastAsia"/>
              </w:rPr>
              <w:t>（如施工废水处理设施、临时隔声装置等）进行检查。</w:t>
            </w:r>
          </w:p>
          <w:p w14:paraId="29BC8D52">
            <w:pPr>
              <w:pStyle w:val="3"/>
              <w:ind w:firstLine="480"/>
            </w:pPr>
            <w:r>
              <w:rPr>
                <w:rFonts w:hint="eastAsia"/>
              </w:rPr>
              <w:t>环境监理人员应进行日常工程环境监理审核，编制各类监理报告，并将突发性环境问题及时报告业主方环保主管人员以及地方生态环境主管部门。</w:t>
            </w:r>
          </w:p>
          <w:p w14:paraId="41865715">
            <w:pPr>
              <w:pStyle w:val="3"/>
              <w:ind w:firstLine="480"/>
            </w:pPr>
            <w:r>
              <w:rPr>
                <w:rFonts w:hint="eastAsia"/>
              </w:rPr>
              <w:t>工程建设单位和当地生态环境主管部门不定期对施工场地、施工作业情况进行检查，考核环保措施落实情况并对施工期环境监理进行业务指导。</w:t>
            </w:r>
          </w:p>
          <w:p w14:paraId="1EE9D808">
            <w:pPr>
              <w:pStyle w:val="6"/>
            </w:pPr>
            <w:r>
              <w:rPr>
                <w:rFonts w:hint="eastAsia"/>
              </w:rPr>
              <w:t>运营期环境管理</w:t>
            </w:r>
          </w:p>
          <w:p w14:paraId="01188D1E">
            <w:pPr>
              <w:pStyle w:val="3"/>
              <w:ind w:firstLine="480"/>
            </w:pPr>
            <w:r>
              <w:rPr>
                <w:rFonts w:hint="eastAsia"/>
              </w:rPr>
              <w:t>运营期环境管理的职能为：</w:t>
            </w:r>
            <w:r>
              <w:t xml:space="preserve"> </w:t>
            </w:r>
          </w:p>
          <w:p w14:paraId="25EA55CC">
            <w:pPr>
              <w:pStyle w:val="3"/>
              <w:ind w:firstLine="480"/>
            </w:pPr>
            <w:r>
              <w:rPr>
                <w:rFonts w:hint="eastAsia"/>
              </w:rPr>
              <w:t>a）制订和实施各项环境管理计划。</w:t>
            </w:r>
            <w:r>
              <w:t xml:space="preserve"> </w:t>
            </w:r>
          </w:p>
          <w:p w14:paraId="29EA38CC">
            <w:pPr>
              <w:pStyle w:val="3"/>
              <w:ind w:firstLine="480"/>
            </w:pPr>
            <w:r>
              <w:rPr>
                <w:rFonts w:hint="eastAsia"/>
              </w:rPr>
              <w:t>b）建立工频电场、工频磁场、噪声监测、生态环境现状数据档案。</w:t>
            </w:r>
            <w:r>
              <w:t xml:space="preserve"> </w:t>
            </w:r>
          </w:p>
          <w:p w14:paraId="1991A63E">
            <w:pPr>
              <w:pStyle w:val="3"/>
              <w:ind w:firstLine="480"/>
            </w:pPr>
            <w:r>
              <w:rPr>
                <w:rFonts w:hint="eastAsia"/>
              </w:rPr>
              <w:t>c）掌握项目所在地周围的环境特征，做好记录、建档工作。</w:t>
            </w:r>
            <w:r>
              <w:t xml:space="preserve"> </w:t>
            </w:r>
          </w:p>
          <w:p w14:paraId="03A3563B">
            <w:pPr>
              <w:pStyle w:val="3"/>
              <w:ind w:firstLine="480"/>
            </w:pPr>
            <w:r>
              <w:rPr>
                <w:rFonts w:hint="eastAsia"/>
              </w:rPr>
              <w:t>d）检查污染防治设施运行情况，及时处理出现的问题，保证治理设施正常运行。</w:t>
            </w:r>
            <w:r>
              <w:t xml:space="preserve"> </w:t>
            </w:r>
          </w:p>
          <w:p w14:paraId="1EDBF1D0">
            <w:pPr>
              <w:pStyle w:val="3"/>
              <w:ind w:firstLine="480"/>
            </w:pPr>
            <w:r>
              <w:rPr>
                <w:rFonts w:hint="eastAsia"/>
              </w:rPr>
              <w:t>e）协调配合上级生态环境主管部门所进行的环境调查，生态调查等活动。</w:t>
            </w:r>
          </w:p>
          <w:p w14:paraId="568A1569">
            <w:pPr>
              <w:pStyle w:val="6"/>
            </w:pPr>
            <w:r>
              <w:rPr>
                <w:rFonts w:hint="eastAsia"/>
              </w:rPr>
              <w:t>公众沟通协调应对机制</w:t>
            </w:r>
            <w:r>
              <w:t xml:space="preserve"> </w:t>
            </w:r>
          </w:p>
          <w:p w14:paraId="0A643E55">
            <w:pPr>
              <w:pStyle w:val="3"/>
              <w:ind w:firstLine="480"/>
            </w:pPr>
            <w:r>
              <w:rPr>
                <w:rFonts w:hint="eastAsia"/>
              </w:rPr>
              <w:t>建设单位或运行单位应设置警示标志，并建立公众沟通协调应对机制。加强同当地群众的宣传、解释和沟通工作。</w:t>
            </w:r>
            <w:r>
              <w:t xml:space="preserve"> </w:t>
            </w:r>
          </w:p>
          <w:p w14:paraId="42B7E68C">
            <w:pPr>
              <w:pStyle w:val="6"/>
            </w:pPr>
            <w:r>
              <w:rPr>
                <w:rFonts w:hint="eastAsia"/>
              </w:rPr>
              <w:t>环境监测</w:t>
            </w:r>
            <w:r>
              <w:t xml:space="preserve"> </w:t>
            </w:r>
          </w:p>
          <w:p w14:paraId="24144E05">
            <w:pPr>
              <w:pStyle w:val="3"/>
              <w:ind w:firstLine="480"/>
            </w:pPr>
            <w:r>
              <w:rPr>
                <w:rFonts w:hint="eastAsia"/>
              </w:rPr>
              <w:t>（</w:t>
            </w:r>
            <w:r>
              <w:t>1</w:t>
            </w:r>
            <w:r>
              <w:rPr>
                <w:rFonts w:hint="eastAsia"/>
              </w:rPr>
              <w:t>）制定监测计划，监测工程施工期和运行期环境要素及评价因子的变化。</w:t>
            </w:r>
            <w:r>
              <w:t xml:space="preserve"> </w:t>
            </w:r>
          </w:p>
          <w:p w14:paraId="3A01E265">
            <w:pPr>
              <w:pStyle w:val="3"/>
              <w:ind w:firstLine="480"/>
            </w:pPr>
            <w:r>
              <w:rPr>
                <w:rFonts w:hint="eastAsia"/>
              </w:rPr>
              <w:t>（</w:t>
            </w:r>
            <w:r>
              <w:t>2</w:t>
            </w:r>
            <w:r>
              <w:rPr>
                <w:rFonts w:hint="eastAsia"/>
              </w:rPr>
              <w:t>）对工程突发的环境事件进行跟踪监测调查。</w:t>
            </w:r>
            <w:r>
              <w:t xml:space="preserve"> </w:t>
            </w:r>
          </w:p>
          <w:p w14:paraId="58B71DF9">
            <w:pPr>
              <w:pStyle w:val="3"/>
              <w:ind w:firstLine="480"/>
            </w:pPr>
            <w:r>
              <w:rPr>
                <w:rFonts w:hint="eastAsia"/>
              </w:rPr>
              <w:t>（</w:t>
            </w:r>
            <w:r>
              <w:t>3</w:t>
            </w:r>
            <w:r>
              <w:rPr>
                <w:rFonts w:hint="eastAsia"/>
              </w:rPr>
              <w:t>）监测点位应布置在人类活动相对频繁区域。可根据总平面布置，在架空线路沿线设置监测点。</w:t>
            </w:r>
            <w:r>
              <w:t xml:space="preserve"> </w:t>
            </w:r>
          </w:p>
          <w:p w14:paraId="1ACDAC9C">
            <w:pPr>
              <w:pStyle w:val="3"/>
              <w:ind w:firstLine="480"/>
            </w:pPr>
            <w:r>
              <w:rPr>
                <w:rFonts w:hint="eastAsia"/>
              </w:rPr>
              <w:t>监测技术要求如下：</w:t>
            </w:r>
            <w:r>
              <w:t xml:space="preserve"> </w:t>
            </w:r>
          </w:p>
          <w:p w14:paraId="505DACD4">
            <w:pPr>
              <w:pStyle w:val="3"/>
              <w:ind w:firstLine="480"/>
            </w:pPr>
            <w:r>
              <w:rPr>
                <w:rFonts w:hint="eastAsia"/>
              </w:rPr>
              <w:t>（</w:t>
            </w:r>
            <w:r>
              <w:t>1</w:t>
            </w:r>
            <w:r>
              <w:rPr>
                <w:rFonts w:hint="eastAsia"/>
              </w:rPr>
              <w:t>）监测范围应与工程影响区域相符。</w:t>
            </w:r>
            <w:r>
              <w:t xml:space="preserve"> </w:t>
            </w:r>
          </w:p>
          <w:p w14:paraId="34BC104A">
            <w:pPr>
              <w:pStyle w:val="3"/>
              <w:ind w:firstLine="480"/>
            </w:pPr>
            <w:r>
              <w:rPr>
                <w:rFonts w:hint="eastAsia"/>
              </w:rPr>
              <w:t>（</w:t>
            </w:r>
            <w:r>
              <w:t>2</w:t>
            </w:r>
            <w:r>
              <w:rPr>
                <w:rFonts w:hint="eastAsia"/>
              </w:rPr>
              <w:t>）监测位置与频次应根据监测数据的代表性、生态环境质量的特征、变化和环境影响评价、工程竣工环境保护验收的要求确定。</w:t>
            </w:r>
            <w:r>
              <w:t xml:space="preserve"> </w:t>
            </w:r>
          </w:p>
          <w:p w14:paraId="2DC9C778">
            <w:pPr>
              <w:pStyle w:val="3"/>
              <w:ind w:firstLine="480"/>
            </w:pPr>
            <w:r>
              <w:rPr>
                <w:rFonts w:hint="eastAsia"/>
              </w:rPr>
              <w:t>（</w:t>
            </w:r>
            <w:r>
              <w:t>3</w:t>
            </w:r>
            <w:r>
              <w:rPr>
                <w:rFonts w:hint="eastAsia"/>
              </w:rPr>
              <w:t>）监测方法与技术要求应符合国家现行的有关环境监测技术规范和环境监测标准分析方法。</w:t>
            </w:r>
            <w:r>
              <w:t xml:space="preserve"> </w:t>
            </w:r>
          </w:p>
          <w:p w14:paraId="30F5FF3E">
            <w:pPr>
              <w:pStyle w:val="3"/>
              <w:ind w:firstLine="480"/>
            </w:pPr>
            <w:r>
              <w:rPr>
                <w:rFonts w:hint="eastAsia"/>
              </w:rPr>
              <w:t>（</w:t>
            </w:r>
            <w:r>
              <w:t>4</w:t>
            </w:r>
            <w:r>
              <w:rPr>
                <w:rFonts w:hint="eastAsia"/>
              </w:rPr>
              <w:t>）监测成果应在原始数据基础上进行审查、校核、综合分析后整理编印。</w:t>
            </w:r>
            <w:r>
              <w:t xml:space="preserve"> </w:t>
            </w:r>
          </w:p>
          <w:p w14:paraId="03052AC8">
            <w:pPr>
              <w:pStyle w:val="3"/>
              <w:ind w:firstLine="480"/>
            </w:pPr>
            <w:r>
              <w:rPr>
                <w:rFonts w:hint="eastAsia"/>
              </w:rPr>
              <w:t>（</w:t>
            </w:r>
            <w:r>
              <w:t>5</w:t>
            </w:r>
            <w:r>
              <w:rPr>
                <w:rFonts w:hint="eastAsia"/>
              </w:rPr>
              <w:t>）应对监测提出质量保证要求。</w:t>
            </w:r>
            <w:r>
              <w:t xml:space="preserve"> </w:t>
            </w:r>
          </w:p>
          <w:p w14:paraId="1D7782EE">
            <w:pPr>
              <w:pStyle w:val="6"/>
            </w:pPr>
            <w:r>
              <w:rPr>
                <w:rFonts w:hint="eastAsia"/>
              </w:rPr>
              <w:t>环境监测计划</w:t>
            </w:r>
            <w:r>
              <w:t xml:space="preserve"> </w:t>
            </w:r>
          </w:p>
          <w:p w14:paraId="3289EBCC">
            <w:pPr>
              <w:pStyle w:val="3"/>
              <w:ind w:firstLine="480"/>
            </w:pPr>
            <w:r>
              <w:rPr>
                <w:rFonts w:hint="eastAsia"/>
              </w:rPr>
              <w:t>根据输变电工程的环境影响特点，主要进行运营期的环境监测。运营期的环境影响因子主要包括工频电场、工频磁场和噪声，针对上述影响因子，拟定环境监测计划见表5</w:t>
            </w:r>
            <w:r>
              <w:t>.3-1</w:t>
            </w:r>
            <w:r>
              <w:rPr>
                <w:rFonts w:hint="eastAsia"/>
              </w:rPr>
              <w:t>和5</w:t>
            </w:r>
            <w:r>
              <w:t>.3-2</w:t>
            </w:r>
            <w:r>
              <w:rPr>
                <w:rFonts w:hint="eastAsia"/>
              </w:rPr>
              <w:t>所示。</w:t>
            </w:r>
          </w:p>
          <w:p w14:paraId="0CE6A7C0">
            <w:pPr>
              <w:pStyle w:val="148"/>
            </w:pPr>
            <w:r>
              <w:rPr>
                <w:rFonts w:hint="eastAsia"/>
              </w:rPr>
              <w:t>表</w:t>
            </w:r>
            <w:r>
              <w:t>5.3-1</w:t>
            </w:r>
            <w:r>
              <w:rPr>
                <w:bCs/>
              </w:rPr>
              <w:t xml:space="preserve">  </w:t>
            </w:r>
            <w:r>
              <w:rPr>
                <w:rFonts w:hint="eastAsia"/>
                <w:bCs/>
              </w:rPr>
              <w:t>营运期电磁和噪声</w:t>
            </w:r>
            <w:r>
              <w:rPr>
                <w:rFonts w:hint="eastAsia"/>
              </w:rPr>
              <w:t>监测计划</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769"/>
              <w:gridCol w:w="3956"/>
              <w:gridCol w:w="1073"/>
            </w:tblGrid>
            <w:tr w14:paraId="5D7B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tcMar>
                    <w:left w:w="28" w:type="dxa"/>
                    <w:right w:w="28" w:type="dxa"/>
                  </w:tcMar>
                  <w:vAlign w:val="center"/>
                </w:tcPr>
                <w:p w14:paraId="07BE2893">
                  <w:pPr>
                    <w:pStyle w:val="159"/>
                  </w:pPr>
                  <w:r>
                    <w:rPr>
                      <w:rFonts w:hint="eastAsia"/>
                    </w:rPr>
                    <w:t>监测内容</w:t>
                  </w:r>
                </w:p>
              </w:tc>
              <w:tc>
                <w:tcPr>
                  <w:tcW w:w="1091" w:type="pct"/>
                  <w:tcMar>
                    <w:left w:w="28" w:type="dxa"/>
                    <w:right w:w="28" w:type="dxa"/>
                  </w:tcMar>
                  <w:vAlign w:val="center"/>
                </w:tcPr>
                <w:p w14:paraId="25274F3E">
                  <w:pPr>
                    <w:pStyle w:val="159"/>
                  </w:pPr>
                  <w:r>
                    <w:rPr>
                      <w:rFonts w:hint="eastAsia"/>
                    </w:rPr>
                    <w:t>监测布点</w:t>
                  </w:r>
                </w:p>
              </w:tc>
              <w:tc>
                <w:tcPr>
                  <w:tcW w:w="2440" w:type="pct"/>
                  <w:tcMar>
                    <w:left w:w="28" w:type="dxa"/>
                    <w:right w:w="28" w:type="dxa"/>
                  </w:tcMar>
                  <w:vAlign w:val="center"/>
                </w:tcPr>
                <w:p w14:paraId="7017CE12">
                  <w:pPr>
                    <w:pStyle w:val="159"/>
                  </w:pPr>
                  <w:r>
                    <w:rPr>
                      <w:rFonts w:hint="eastAsia"/>
                    </w:rPr>
                    <w:t>监测时间</w:t>
                  </w:r>
                </w:p>
              </w:tc>
              <w:tc>
                <w:tcPr>
                  <w:tcW w:w="662" w:type="pct"/>
                  <w:tcMar>
                    <w:left w:w="28" w:type="dxa"/>
                    <w:right w:w="28" w:type="dxa"/>
                  </w:tcMar>
                  <w:vAlign w:val="center"/>
                </w:tcPr>
                <w:p w14:paraId="5C496C7E">
                  <w:pPr>
                    <w:pStyle w:val="159"/>
                  </w:pPr>
                  <w:r>
                    <w:rPr>
                      <w:rFonts w:hint="eastAsia"/>
                    </w:rPr>
                    <w:t>监测项目</w:t>
                  </w:r>
                </w:p>
              </w:tc>
            </w:tr>
            <w:tr w14:paraId="71CB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tcMar>
                    <w:left w:w="28" w:type="dxa"/>
                    <w:right w:w="28" w:type="dxa"/>
                  </w:tcMar>
                  <w:vAlign w:val="center"/>
                </w:tcPr>
                <w:p w14:paraId="6B9AFF03">
                  <w:pPr>
                    <w:pStyle w:val="159"/>
                  </w:pPr>
                  <w:r>
                    <w:rPr>
                      <w:rFonts w:hint="eastAsia"/>
                    </w:rPr>
                    <w:t>工频电场、工频磁感应强度</w:t>
                  </w:r>
                </w:p>
              </w:tc>
              <w:tc>
                <w:tcPr>
                  <w:tcW w:w="1091" w:type="pct"/>
                  <w:vMerge w:val="restart"/>
                  <w:tcMar>
                    <w:left w:w="28" w:type="dxa"/>
                    <w:right w:w="28" w:type="dxa"/>
                  </w:tcMar>
                  <w:vAlign w:val="center"/>
                </w:tcPr>
                <w:p w14:paraId="34360EA7">
                  <w:pPr>
                    <w:pStyle w:val="159"/>
                  </w:pPr>
                  <w:r>
                    <w:rPr>
                      <w:rFonts w:hint="eastAsia"/>
                    </w:rPr>
                    <w:t>本工程输电线路沿线电磁、声环境敏感点（木源岔组</w:t>
                  </w:r>
                  <w:r>
                    <w:t>2</w:t>
                  </w:r>
                  <w:r>
                    <w:rPr>
                      <w:rFonts w:hint="eastAsia"/>
                    </w:rPr>
                    <w:t>处、大湾井组2处）</w:t>
                  </w:r>
                </w:p>
              </w:tc>
              <w:tc>
                <w:tcPr>
                  <w:tcW w:w="2440" w:type="pct"/>
                  <w:tcMar>
                    <w:left w:w="28" w:type="dxa"/>
                    <w:right w:w="28" w:type="dxa"/>
                  </w:tcMar>
                  <w:vAlign w:val="center"/>
                </w:tcPr>
                <w:p w14:paraId="18DCDA30">
                  <w:pPr>
                    <w:pStyle w:val="159"/>
                  </w:pPr>
                  <w:r>
                    <w:rPr>
                      <w:rFonts w:hint="eastAsia"/>
                    </w:rPr>
                    <w:t>工程建成正式投产后竣工环境保护验收监测一次；运行期间每四年监测一次；存在投诉纠纷时进行监测</w:t>
                  </w:r>
                </w:p>
              </w:tc>
              <w:tc>
                <w:tcPr>
                  <w:tcW w:w="662" w:type="pct"/>
                  <w:tcMar>
                    <w:left w:w="28" w:type="dxa"/>
                    <w:right w:w="28" w:type="dxa"/>
                  </w:tcMar>
                  <w:vAlign w:val="center"/>
                </w:tcPr>
                <w:p w14:paraId="6BAB1BC8">
                  <w:pPr>
                    <w:pStyle w:val="159"/>
                  </w:pPr>
                  <w:r>
                    <w:rPr>
                      <w:rFonts w:hint="eastAsia"/>
                    </w:rPr>
                    <w:t>工频电场工频磁感应强度</w:t>
                  </w:r>
                </w:p>
              </w:tc>
            </w:tr>
            <w:tr w14:paraId="20DB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tcMar>
                    <w:left w:w="28" w:type="dxa"/>
                    <w:right w:w="28" w:type="dxa"/>
                  </w:tcMar>
                  <w:vAlign w:val="center"/>
                </w:tcPr>
                <w:p w14:paraId="4BACBB38">
                  <w:pPr>
                    <w:pStyle w:val="159"/>
                  </w:pPr>
                  <w:r>
                    <w:rPr>
                      <w:rFonts w:hint="eastAsia"/>
                    </w:rPr>
                    <w:t>噪声</w:t>
                  </w:r>
                </w:p>
              </w:tc>
              <w:tc>
                <w:tcPr>
                  <w:tcW w:w="1091" w:type="pct"/>
                  <w:vMerge w:val="continue"/>
                  <w:tcMar>
                    <w:left w:w="28" w:type="dxa"/>
                    <w:right w:w="28" w:type="dxa"/>
                  </w:tcMar>
                  <w:vAlign w:val="center"/>
                </w:tcPr>
                <w:p w14:paraId="3C97429D">
                  <w:pPr>
                    <w:pStyle w:val="159"/>
                  </w:pPr>
                </w:p>
              </w:tc>
              <w:tc>
                <w:tcPr>
                  <w:tcW w:w="2440" w:type="pct"/>
                  <w:tcMar>
                    <w:left w:w="28" w:type="dxa"/>
                    <w:right w:w="28" w:type="dxa"/>
                  </w:tcMar>
                  <w:vAlign w:val="center"/>
                </w:tcPr>
                <w:p w14:paraId="11E350C3">
                  <w:pPr>
                    <w:pStyle w:val="159"/>
                  </w:pPr>
                  <w:r>
                    <w:rPr>
                      <w:rFonts w:hint="eastAsia"/>
                    </w:rPr>
                    <w:t>工程建成正式投产后竣工环境保护验收监测一次；存在投诉纠纷时进行监测</w:t>
                  </w:r>
                </w:p>
              </w:tc>
              <w:tc>
                <w:tcPr>
                  <w:tcW w:w="662" w:type="pct"/>
                  <w:tcMar>
                    <w:left w:w="28" w:type="dxa"/>
                    <w:right w:w="28" w:type="dxa"/>
                  </w:tcMar>
                  <w:vAlign w:val="center"/>
                </w:tcPr>
                <w:p w14:paraId="589E0681">
                  <w:pPr>
                    <w:pStyle w:val="159"/>
                  </w:pPr>
                  <w:r>
                    <w:rPr>
                      <w:rFonts w:hint="eastAsia"/>
                    </w:rPr>
                    <w:t>等效连续声级</w:t>
                  </w:r>
                </w:p>
              </w:tc>
            </w:tr>
          </w:tbl>
          <w:p w14:paraId="65D9BBB0">
            <w:pPr>
              <w:pStyle w:val="148"/>
            </w:pPr>
            <w:r>
              <w:rPr>
                <w:rFonts w:hint="eastAsia"/>
              </w:rPr>
              <w:t>表</w:t>
            </w:r>
            <w:r>
              <w:t>5.3-3</w:t>
            </w:r>
            <w:r>
              <w:rPr>
                <w:bCs/>
              </w:rPr>
              <w:t xml:space="preserve">  </w:t>
            </w:r>
            <w:r>
              <w:rPr>
                <w:rFonts w:hint="eastAsia"/>
                <w:bCs/>
              </w:rPr>
              <w:t>营运期生态</w:t>
            </w:r>
            <w:r>
              <w:rPr>
                <w:rFonts w:hint="eastAsia"/>
              </w:rPr>
              <w:t>环境监测计划</w:t>
            </w:r>
          </w:p>
          <w:tbl>
            <w:tblPr>
              <w:tblStyle w:val="40"/>
              <w:tblW w:w="7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553"/>
              <w:gridCol w:w="971"/>
              <w:gridCol w:w="4178"/>
            </w:tblGrid>
            <w:tr w14:paraId="14C5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tcMar>
                    <w:left w:w="28" w:type="dxa"/>
                    <w:right w:w="28" w:type="dxa"/>
                  </w:tcMar>
                  <w:vAlign w:val="center"/>
                </w:tcPr>
                <w:p w14:paraId="3338A252">
                  <w:pPr>
                    <w:pStyle w:val="159"/>
                  </w:pPr>
                  <w:r>
                    <w:rPr>
                      <w:rFonts w:hint="eastAsia"/>
                    </w:rPr>
                    <w:t>监测内容</w:t>
                  </w:r>
                </w:p>
              </w:tc>
              <w:tc>
                <w:tcPr>
                  <w:tcW w:w="972" w:type="pct"/>
                  <w:tcMar>
                    <w:left w:w="28" w:type="dxa"/>
                    <w:right w:w="28" w:type="dxa"/>
                  </w:tcMar>
                  <w:vAlign w:val="center"/>
                </w:tcPr>
                <w:p w14:paraId="1EB7FF6E">
                  <w:pPr>
                    <w:pStyle w:val="159"/>
                  </w:pPr>
                  <w:r>
                    <w:rPr>
                      <w:rFonts w:hint="eastAsia"/>
                    </w:rPr>
                    <w:t>监测重点</w:t>
                  </w:r>
                </w:p>
              </w:tc>
              <w:tc>
                <w:tcPr>
                  <w:tcW w:w="608" w:type="pct"/>
                  <w:tcMar>
                    <w:left w:w="28" w:type="dxa"/>
                    <w:right w:w="28" w:type="dxa"/>
                  </w:tcMar>
                  <w:vAlign w:val="center"/>
                </w:tcPr>
                <w:p w14:paraId="13CED80F">
                  <w:pPr>
                    <w:pStyle w:val="159"/>
                  </w:pPr>
                  <w:r>
                    <w:rPr>
                      <w:rFonts w:hint="eastAsia"/>
                    </w:rPr>
                    <w:t>时段</w:t>
                  </w:r>
                </w:p>
              </w:tc>
              <w:tc>
                <w:tcPr>
                  <w:tcW w:w="2615" w:type="pct"/>
                  <w:tcMar>
                    <w:left w:w="28" w:type="dxa"/>
                    <w:right w:w="28" w:type="dxa"/>
                  </w:tcMar>
                  <w:vAlign w:val="center"/>
                </w:tcPr>
                <w:p w14:paraId="01437AAA">
                  <w:pPr>
                    <w:pStyle w:val="159"/>
                  </w:pPr>
                  <w:r>
                    <w:rPr>
                      <w:rFonts w:hint="eastAsia"/>
                    </w:rPr>
                    <w:t>监测要求</w:t>
                  </w:r>
                </w:p>
              </w:tc>
            </w:tr>
            <w:tr w14:paraId="39FD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restart"/>
                  <w:tcMar>
                    <w:left w:w="28" w:type="dxa"/>
                    <w:right w:w="28" w:type="dxa"/>
                  </w:tcMar>
                  <w:vAlign w:val="center"/>
                </w:tcPr>
                <w:p w14:paraId="6D34FB3B">
                  <w:pPr>
                    <w:pStyle w:val="159"/>
                  </w:pPr>
                  <w:r>
                    <w:rPr>
                      <w:rFonts w:hint="eastAsia"/>
                    </w:rPr>
                    <w:t>生态环境</w:t>
                  </w:r>
                </w:p>
              </w:tc>
              <w:tc>
                <w:tcPr>
                  <w:tcW w:w="972" w:type="pct"/>
                  <w:vMerge w:val="restart"/>
                  <w:tcMar>
                    <w:left w:w="28" w:type="dxa"/>
                    <w:right w:w="28" w:type="dxa"/>
                  </w:tcMar>
                  <w:vAlign w:val="center"/>
                </w:tcPr>
                <w:p w14:paraId="2496F5A1">
                  <w:pPr>
                    <w:pStyle w:val="159"/>
                  </w:pPr>
                  <w:r>
                    <w:rPr>
                      <w:rFonts w:hint="eastAsia"/>
                    </w:rPr>
                    <w:t>线路跨湖南江华涔天河国家湿地公园段、穿越姑婆山风景名胜区段</w:t>
                  </w:r>
                </w:p>
              </w:tc>
              <w:tc>
                <w:tcPr>
                  <w:tcW w:w="608" w:type="pct"/>
                  <w:tcMar>
                    <w:left w:w="28" w:type="dxa"/>
                    <w:right w:w="28" w:type="dxa"/>
                  </w:tcMar>
                  <w:vAlign w:val="center"/>
                </w:tcPr>
                <w:p w14:paraId="4E59EA3E">
                  <w:pPr>
                    <w:pStyle w:val="159"/>
                  </w:pPr>
                  <w:r>
                    <w:rPr>
                      <w:rFonts w:hint="eastAsia"/>
                    </w:rPr>
                    <w:t>施工期</w:t>
                  </w:r>
                </w:p>
              </w:tc>
              <w:tc>
                <w:tcPr>
                  <w:tcW w:w="2615" w:type="pct"/>
                  <w:tcMar>
                    <w:left w:w="28" w:type="dxa"/>
                    <w:right w:w="28" w:type="dxa"/>
                  </w:tcMar>
                  <w:vAlign w:val="center"/>
                </w:tcPr>
                <w:p w14:paraId="6A7C34AC">
                  <w:pPr>
                    <w:pStyle w:val="159"/>
                  </w:pPr>
                  <w:r>
                    <w:rPr>
                      <w:rFonts w:hint="eastAsia"/>
                    </w:rPr>
                    <w:t>实时监测，聘请动植物专家指导变化情况，对由于施工造成对森林、湿地资源的破坏提供具体救护措施。同时，在建设过程中如发现其他保护动植物及时上报风景名胜区、湿地公园管理单位和林业主管部门。</w:t>
                  </w:r>
                </w:p>
              </w:tc>
            </w:tr>
            <w:tr w14:paraId="65BB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continue"/>
                  <w:tcMar>
                    <w:left w:w="28" w:type="dxa"/>
                    <w:right w:w="28" w:type="dxa"/>
                  </w:tcMar>
                  <w:vAlign w:val="center"/>
                </w:tcPr>
                <w:p w14:paraId="6356A186">
                  <w:pPr>
                    <w:pStyle w:val="159"/>
                  </w:pPr>
                </w:p>
              </w:tc>
              <w:tc>
                <w:tcPr>
                  <w:tcW w:w="972" w:type="pct"/>
                  <w:vMerge w:val="continue"/>
                  <w:tcMar>
                    <w:left w:w="28" w:type="dxa"/>
                    <w:right w:w="28" w:type="dxa"/>
                  </w:tcMar>
                  <w:vAlign w:val="center"/>
                </w:tcPr>
                <w:p w14:paraId="0D7F7975">
                  <w:pPr>
                    <w:pStyle w:val="159"/>
                  </w:pPr>
                </w:p>
              </w:tc>
              <w:tc>
                <w:tcPr>
                  <w:tcW w:w="608" w:type="pct"/>
                  <w:tcMar>
                    <w:left w:w="28" w:type="dxa"/>
                    <w:right w:w="28" w:type="dxa"/>
                  </w:tcMar>
                  <w:vAlign w:val="center"/>
                </w:tcPr>
                <w:p w14:paraId="6E6346EE">
                  <w:pPr>
                    <w:pStyle w:val="159"/>
                  </w:pPr>
                  <w:r>
                    <w:rPr>
                      <w:rFonts w:hint="eastAsia"/>
                    </w:rPr>
                    <w:t>营运期</w:t>
                  </w:r>
                </w:p>
              </w:tc>
              <w:tc>
                <w:tcPr>
                  <w:tcW w:w="2615" w:type="pct"/>
                  <w:tcMar>
                    <w:left w:w="28" w:type="dxa"/>
                    <w:right w:w="28" w:type="dxa"/>
                  </w:tcMar>
                  <w:vAlign w:val="center"/>
                </w:tcPr>
                <w:p w14:paraId="3332E373">
                  <w:pPr>
                    <w:pStyle w:val="159"/>
                  </w:pPr>
                  <w:r>
                    <w:rPr>
                      <w:rFonts w:hint="eastAsia"/>
                    </w:rPr>
                    <w:t>长期监测。</w:t>
                  </w:r>
                </w:p>
                <w:p w14:paraId="253AD284">
                  <w:pPr>
                    <w:pStyle w:val="159"/>
                  </w:pPr>
                  <w:r>
                    <w:rPr>
                      <w:rFonts w:hint="eastAsia"/>
                    </w:rPr>
                    <w:t>1）物种监测：监测物种尤其是鸟类种群数量的动态变化，为保护管理提供决策依据。</w:t>
                  </w:r>
                </w:p>
                <w:p w14:paraId="71A518F6">
                  <w:pPr>
                    <w:pStyle w:val="159"/>
                  </w:pPr>
                  <w:r>
                    <w:rPr>
                      <w:rFonts w:hint="eastAsia"/>
                    </w:rPr>
                    <w:t>2）生态环境因子监测：对姑婆山省级风景名胜区的生态资源进行综合监测，为分析生态环境的主导影响因子提供基础数据。</w:t>
                  </w:r>
                </w:p>
              </w:tc>
            </w:tr>
          </w:tbl>
          <w:p w14:paraId="06D613D8">
            <w:pPr>
              <w:pStyle w:val="6"/>
            </w:pPr>
            <w:r>
              <w:rPr>
                <w:rFonts w:hint="eastAsia"/>
              </w:rPr>
              <w:t>环保设施竣工验收</w:t>
            </w:r>
          </w:p>
          <w:p w14:paraId="4FD374C0">
            <w:pPr>
              <w:pStyle w:val="3"/>
              <w:ind w:firstLine="480"/>
            </w:pPr>
            <w:r>
              <w:rPr>
                <w:rFonts w:hint="eastAsia"/>
              </w:rPr>
              <w:t>根据《建设项目环境保护管理条例》、《建设项目竣工环境保护验收暂行办法》和《建设项目竣工环境保护验收技术规范输变电》，参照生态环境部关于规范建设单位开展建设项目竣工环境保护验收的相关要求，本建设项目环境保护设施调试阶段，建设单位需组织验收。验收的主要内容为项目对污染治理设施与主体工程同时设计、同时施工、同时投产使用的</w:t>
            </w:r>
            <w:r>
              <w:t>“</w:t>
            </w:r>
            <w:r>
              <w:rPr>
                <w:rFonts w:hint="eastAsia"/>
              </w:rPr>
              <w:t>三同时</w:t>
            </w:r>
            <w:r>
              <w:t>”</w:t>
            </w:r>
            <w:r>
              <w:rPr>
                <w:rFonts w:hint="eastAsia"/>
              </w:rPr>
              <w:t>制度的落实情况，主要验收内容见表</w:t>
            </w:r>
            <w:r>
              <w:t>5.3-3</w:t>
            </w:r>
            <w:r>
              <w:rPr>
                <w:rFonts w:hint="eastAsia"/>
              </w:rPr>
              <w:t>。</w:t>
            </w:r>
            <w:r>
              <w:t xml:space="preserve"> </w:t>
            </w:r>
          </w:p>
          <w:p w14:paraId="2DC6229C">
            <w:pPr>
              <w:pStyle w:val="148"/>
            </w:pPr>
            <w:r>
              <w:t xml:space="preserve">表5.3-3   </w:t>
            </w:r>
            <w:r>
              <w:rPr>
                <w:rFonts w:hint="eastAsia"/>
              </w:rPr>
              <w:t>环保设施“三同时”竣工验收一览表</w:t>
            </w:r>
          </w:p>
          <w:bookmarkEnd w:id="183"/>
          <w:bookmarkEnd w:id="184"/>
          <w:bookmarkEnd w:id="185"/>
          <w:tbl>
            <w:tblPr>
              <w:tblStyle w:val="40"/>
              <w:tblW w:w="7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210"/>
              <w:gridCol w:w="4927"/>
            </w:tblGrid>
            <w:tr w14:paraId="456E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2" w:type="pct"/>
                  <w:vAlign w:val="center"/>
                </w:tcPr>
                <w:p w14:paraId="076C8F5E">
                  <w:pPr>
                    <w:pStyle w:val="159"/>
                  </w:pPr>
                  <w:r>
                    <w:rPr>
                      <w:rFonts w:hint="eastAsia"/>
                    </w:rPr>
                    <w:t>编号</w:t>
                  </w:r>
                </w:p>
              </w:tc>
              <w:tc>
                <w:tcPr>
                  <w:tcW w:w="1399" w:type="pct"/>
                  <w:vAlign w:val="center"/>
                </w:tcPr>
                <w:p w14:paraId="6AC4BDAC">
                  <w:pPr>
                    <w:pStyle w:val="159"/>
                  </w:pPr>
                  <w:r>
                    <w:rPr>
                      <w:rFonts w:hint="eastAsia"/>
                    </w:rPr>
                    <w:t>验收对象</w:t>
                  </w:r>
                </w:p>
              </w:tc>
              <w:tc>
                <w:tcPr>
                  <w:tcW w:w="3119" w:type="pct"/>
                  <w:vAlign w:val="center"/>
                </w:tcPr>
                <w:p w14:paraId="18AD55FD">
                  <w:pPr>
                    <w:pStyle w:val="159"/>
                  </w:pPr>
                  <w:r>
                    <w:rPr>
                      <w:rFonts w:hint="eastAsia"/>
                    </w:rPr>
                    <w:t>验收内容</w:t>
                  </w:r>
                </w:p>
              </w:tc>
            </w:tr>
            <w:tr w14:paraId="5BA3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2" w:type="pct"/>
                  <w:vAlign w:val="center"/>
                </w:tcPr>
                <w:p w14:paraId="33A2747D">
                  <w:pPr>
                    <w:pStyle w:val="159"/>
                  </w:pPr>
                  <w:r>
                    <w:t>1</w:t>
                  </w:r>
                </w:p>
              </w:tc>
              <w:tc>
                <w:tcPr>
                  <w:tcW w:w="1399" w:type="pct"/>
                  <w:vAlign w:val="center"/>
                </w:tcPr>
                <w:p w14:paraId="7A5BBDD1">
                  <w:pPr>
                    <w:pStyle w:val="159"/>
                  </w:pPr>
                  <w:r>
                    <w:rPr>
                      <w:rFonts w:hint="eastAsia"/>
                    </w:rPr>
                    <w:t>相关资料、手续</w:t>
                  </w:r>
                </w:p>
              </w:tc>
              <w:tc>
                <w:tcPr>
                  <w:tcW w:w="3119" w:type="pct"/>
                  <w:vAlign w:val="center"/>
                </w:tcPr>
                <w:p w14:paraId="2C8DF609">
                  <w:pPr>
                    <w:pStyle w:val="159"/>
                  </w:pPr>
                  <w:r>
                    <w:rPr>
                      <w:rFonts w:hint="eastAsia"/>
                    </w:rPr>
                    <w:t>项目相关批复文件（主要为环境影响评价审批文件）是否齐备，项目是否具备开工条件，环境保护档案是否齐全。</w:t>
                  </w:r>
                </w:p>
              </w:tc>
            </w:tr>
            <w:tr w14:paraId="17F1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2" w:type="pct"/>
                  <w:vAlign w:val="center"/>
                </w:tcPr>
                <w:p w14:paraId="09F129D6">
                  <w:pPr>
                    <w:pStyle w:val="159"/>
                  </w:pPr>
                  <w:r>
                    <w:rPr>
                      <w:rFonts w:hint="eastAsia"/>
                    </w:rPr>
                    <w:t>2</w:t>
                  </w:r>
                </w:p>
              </w:tc>
              <w:tc>
                <w:tcPr>
                  <w:tcW w:w="1399" w:type="pct"/>
                  <w:vAlign w:val="center"/>
                </w:tcPr>
                <w:p w14:paraId="03DEA341">
                  <w:pPr>
                    <w:pStyle w:val="159"/>
                  </w:pPr>
                  <w:r>
                    <w:rPr>
                      <w:rFonts w:hint="eastAsia"/>
                    </w:rPr>
                    <w:t>实际工程内容及方案设计情况</w:t>
                  </w:r>
                </w:p>
              </w:tc>
              <w:tc>
                <w:tcPr>
                  <w:tcW w:w="3119" w:type="pct"/>
                  <w:vAlign w:val="center"/>
                </w:tcPr>
                <w:p w14:paraId="0F29A40C">
                  <w:pPr>
                    <w:pStyle w:val="159"/>
                  </w:pPr>
                  <w:r>
                    <w:rPr>
                      <w:rFonts w:hint="eastAsia"/>
                    </w:rPr>
                    <w:t>核查实际工程内容及方案设计变更情况，以及由此造成的环境影响变化情况。</w:t>
                  </w:r>
                </w:p>
              </w:tc>
            </w:tr>
            <w:tr w14:paraId="77F1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2" w:type="pct"/>
                  <w:vAlign w:val="center"/>
                </w:tcPr>
                <w:p w14:paraId="18D9220C">
                  <w:pPr>
                    <w:pStyle w:val="159"/>
                  </w:pPr>
                  <w:r>
                    <w:rPr>
                      <w:rFonts w:hint="eastAsia"/>
                    </w:rPr>
                    <w:t>3</w:t>
                  </w:r>
                </w:p>
              </w:tc>
              <w:tc>
                <w:tcPr>
                  <w:tcW w:w="1399" w:type="pct"/>
                  <w:vAlign w:val="center"/>
                </w:tcPr>
                <w:p w14:paraId="5CFBE273">
                  <w:pPr>
                    <w:pStyle w:val="159"/>
                  </w:pPr>
                  <w:r>
                    <w:rPr>
                      <w:rFonts w:hint="eastAsia"/>
                    </w:rPr>
                    <w:t>环境保护目标基本情况</w:t>
                  </w:r>
                </w:p>
              </w:tc>
              <w:tc>
                <w:tcPr>
                  <w:tcW w:w="3119" w:type="pct"/>
                  <w:vAlign w:val="center"/>
                </w:tcPr>
                <w:p w14:paraId="462B498B">
                  <w:pPr>
                    <w:pStyle w:val="159"/>
                  </w:pPr>
                  <w:r>
                    <w:rPr>
                      <w:rFonts w:hint="eastAsia"/>
                    </w:rPr>
                    <w:t>核查环境保护目标基本情况及变更情况</w:t>
                  </w:r>
                </w:p>
              </w:tc>
            </w:tr>
            <w:tr w14:paraId="6BCF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2" w:type="pct"/>
                  <w:vAlign w:val="center"/>
                </w:tcPr>
                <w:p w14:paraId="3E5180F0">
                  <w:pPr>
                    <w:pStyle w:val="159"/>
                  </w:pPr>
                  <w:r>
                    <w:rPr>
                      <w:rFonts w:hint="eastAsia"/>
                    </w:rPr>
                    <w:t>4</w:t>
                  </w:r>
                </w:p>
              </w:tc>
              <w:tc>
                <w:tcPr>
                  <w:tcW w:w="1399" w:type="pct"/>
                  <w:vAlign w:val="center"/>
                </w:tcPr>
                <w:p w14:paraId="57CC3A8C">
                  <w:pPr>
                    <w:pStyle w:val="159"/>
                  </w:pPr>
                  <w:r>
                    <w:rPr>
                      <w:rFonts w:hint="eastAsia"/>
                    </w:rPr>
                    <w:t>环保相关评价制度及规章制度</w:t>
                  </w:r>
                </w:p>
              </w:tc>
              <w:tc>
                <w:tcPr>
                  <w:tcW w:w="3119" w:type="pct"/>
                  <w:vAlign w:val="center"/>
                </w:tcPr>
                <w:p w14:paraId="50EEF203">
                  <w:pPr>
                    <w:pStyle w:val="159"/>
                  </w:pPr>
                  <w:r>
                    <w:rPr>
                      <w:rFonts w:hint="eastAsia"/>
                    </w:rPr>
                    <w:t>核查环境影响评价制度及其他环境保护规章制度执行情况</w:t>
                  </w:r>
                </w:p>
              </w:tc>
            </w:tr>
            <w:tr w14:paraId="0E6E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2" w:type="pct"/>
                  <w:vAlign w:val="center"/>
                </w:tcPr>
                <w:p w14:paraId="61A93E9F">
                  <w:pPr>
                    <w:pStyle w:val="159"/>
                  </w:pPr>
                  <w:r>
                    <w:rPr>
                      <w:rFonts w:hint="eastAsia"/>
                    </w:rPr>
                    <w:t>5</w:t>
                  </w:r>
                </w:p>
              </w:tc>
              <w:tc>
                <w:tcPr>
                  <w:tcW w:w="1399" w:type="pct"/>
                  <w:vAlign w:val="center"/>
                </w:tcPr>
                <w:p w14:paraId="34D4547F">
                  <w:pPr>
                    <w:pStyle w:val="159"/>
                  </w:pPr>
                  <w:r>
                    <w:rPr>
                      <w:rFonts w:hint="eastAsia"/>
                    </w:rPr>
                    <w:t>各项环境保护设施落实情况</w:t>
                  </w:r>
                </w:p>
              </w:tc>
              <w:tc>
                <w:tcPr>
                  <w:tcW w:w="3119" w:type="pct"/>
                  <w:vAlign w:val="center"/>
                </w:tcPr>
                <w:p w14:paraId="50BA53D8">
                  <w:pPr>
                    <w:pStyle w:val="159"/>
                  </w:pPr>
                  <w:r>
                    <w:rPr>
                      <w:rFonts w:hint="eastAsia"/>
                    </w:rPr>
                    <w:t>核实工程设计、环境影响评价文件及环境影响评价审批文件中提出的在设计、施工及运行三个阶段的电磁环境、声环境、固体废物及生态保护等各项措施的落实情况及实施效果</w:t>
                  </w:r>
                </w:p>
              </w:tc>
            </w:tr>
            <w:tr w14:paraId="707C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2" w:type="pct"/>
                  <w:vMerge w:val="restart"/>
                  <w:vAlign w:val="center"/>
                </w:tcPr>
                <w:p w14:paraId="2EF1B378">
                  <w:pPr>
                    <w:pStyle w:val="159"/>
                  </w:pPr>
                  <w:r>
                    <w:t>6</w:t>
                  </w:r>
                </w:p>
              </w:tc>
              <w:tc>
                <w:tcPr>
                  <w:tcW w:w="1399" w:type="pct"/>
                  <w:vMerge w:val="restart"/>
                  <w:vAlign w:val="center"/>
                </w:tcPr>
                <w:p w14:paraId="6EB9B944">
                  <w:pPr>
                    <w:pStyle w:val="159"/>
                  </w:pPr>
                  <w:r>
                    <w:rPr>
                      <w:rFonts w:hint="eastAsia"/>
                    </w:rPr>
                    <w:t>环境保护目标环境</w:t>
                  </w:r>
                </w:p>
                <w:p w14:paraId="5FBC43F2">
                  <w:pPr>
                    <w:pStyle w:val="159"/>
                  </w:pPr>
                  <w:r>
                    <w:rPr>
                      <w:rFonts w:hint="eastAsia"/>
                    </w:rPr>
                    <w:t>影响因子达标情况</w:t>
                  </w:r>
                </w:p>
              </w:tc>
              <w:tc>
                <w:tcPr>
                  <w:tcW w:w="3119" w:type="pct"/>
                  <w:vAlign w:val="center"/>
                </w:tcPr>
                <w:p w14:paraId="6E30ABE0">
                  <w:pPr>
                    <w:pStyle w:val="159"/>
                  </w:pPr>
                  <w:r>
                    <w:rPr>
                      <w:rFonts w:hint="eastAsia"/>
                    </w:rPr>
                    <w:t>周围工频电场、工频磁感应强度满足《电磁环境控制限值》（GB8702-2014）4000V/m、100μT的标准要求。</w:t>
                  </w:r>
                </w:p>
              </w:tc>
            </w:tr>
            <w:tr w14:paraId="12D2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2" w:type="pct"/>
                  <w:vMerge w:val="continue"/>
                  <w:vAlign w:val="center"/>
                </w:tcPr>
                <w:p w14:paraId="664D0DBC">
                  <w:pPr>
                    <w:pStyle w:val="159"/>
                  </w:pPr>
                </w:p>
              </w:tc>
              <w:tc>
                <w:tcPr>
                  <w:tcW w:w="1399" w:type="pct"/>
                  <w:vMerge w:val="continue"/>
                  <w:vAlign w:val="center"/>
                </w:tcPr>
                <w:p w14:paraId="7D75F403">
                  <w:pPr>
                    <w:pStyle w:val="159"/>
                  </w:pPr>
                </w:p>
              </w:tc>
              <w:tc>
                <w:tcPr>
                  <w:tcW w:w="3119" w:type="pct"/>
                  <w:vAlign w:val="center"/>
                </w:tcPr>
                <w:p w14:paraId="362F194D">
                  <w:pPr>
                    <w:pStyle w:val="159"/>
                  </w:pPr>
                  <w:r>
                    <w:rPr>
                      <w:rFonts w:hint="eastAsia"/>
                    </w:rPr>
                    <w:t>声环境是否满足《声环境质量标准》(GB3096-2008)相应标准要求。</w:t>
                  </w:r>
                </w:p>
              </w:tc>
            </w:tr>
            <w:tr w14:paraId="1F60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2" w:type="pct"/>
                  <w:vAlign w:val="center"/>
                </w:tcPr>
                <w:p w14:paraId="27921B31">
                  <w:pPr>
                    <w:pStyle w:val="159"/>
                  </w:pPr>
                  <w:r>
                    <w:rPr>
                      <w:rFonts w:hint="eastAsia"/>
                    </w:rPr>
                    <w:t>7</w:t>
                  </w:r>
                </w:p>
              </w:tc>
              <w:tc>
                <w:tcPr>
                  <w:tcW w:w="1399" w:type="pct"/>
                  <w:vAlign w:val="center"/>
                </w:tcPr>
                <w:p w14:paraId="0395BA34">
                  <w:pPr>
                    <w:pStyle w:val="159"/>
                  </w:pPr>
                  <w:r>
                    <w:rPr>
                      <w:rFonts w:hint="eastAsia"/>
                    </w:rPr>
                    <w:t>环境管理与监测计划</w:t>
                  </w:r>
                </w:p>
              </w:tc>
              <w:tc>
                <w:tcPr>
                  <w:tcW w:w="3119" w:type="pct"/>
                  <w:vAlign w:val="center"/>
                </w:tcPr>
                <w:p w14:paraId="58962C35">
                  <w:pPr>
                    <w:pStyle w:val="159"/>
                  </w:pPr>
                  <w:r>
                    <w:rPr>
                      <w:rFonts w:hint="eastAsia"/>
                    </w:rPr>
                    <w:t>建设单位是否具有相关环境管理制度制订并实施监测计划。</w:t>
                  </w:r>
                </w:p>
              </w:tc>
            </w:tr>
          </w:tbl>
          <w:p w14:paraId="378498F4">
            <w:pPr>
              <w:pStyle w:val="3"/>
              <w:ind w:firstLine="480"/>
            </w:pPr>
          </w:p>
        </w:tc>
      </w:tr>
      <w:tr w14:paraId="746A7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8" w:hRule="atLeast"/>
          <w:jc w:val="center"/>
        </w:trPr>
        <w:tc>
          <w:tcPr>
            <w:tcW w:w="475" w:type="pct"/>
            <w:vAlign w:val="center"/>
          </w:tcPr>
          <w:p w14:paraId="3441E472">
            <w:pPr>
              <w:pStyle w:val="86"/>
            </w:pPr>
            <w:r>
              <w:rPr>
                <w:rFonts w:hint="eastAsia"/>
              </w:rPr>
              <w:t>环保投资</w:t>
            </w:r>
          </w:p>
        </w:tc>
        <w:tc>
          <w:tcPr>
            <w:tcW w:w="4525" w:type="pct"/>
            <w:vAlign w:val="center"/>
          </w:tcPr>
          <w:p w14:paraId="5EE5AAFA">
            <w:pPr>
              <w:pStyle w:val="5"/>
            </w:pPr>
            <w:bookmarkStart w:id="186" w:name="_Toc99093286"/>
            <w:bookmarkStart w:id="187" w:name="_Toc99090829"/>
            <w:bookmarkStart w:id="188" w:name="_Toc99093545"/>
            <w:bookmarkStart w:id="189" w:name="_Toc95916495"/>
            <w:r>
              <w:rPr>
                <w:rFonts w:hint="eastAsia"/>
              </w:rPr>
              <w:t>环保投资</w:t>
            </w:r>
            <w:bookmarkEnd w:id="186"/>
            <w:bookmarkEnd w:id="187"/>
            <w:bookmarkEnd w:id="188"/>
            <w:bookmarkEnd w:id="189"/>
          </w:p>
          <w:p w14:paraId="1A244927">
            <w:pPr>
              <w:pStyle w:val="3"/>
              <w:ind w:firstLine="480"/>
            </w:pPr>
            <w:r>
              <w:rPr>
                <w:rFonts w:hint="eastAsia"/>
              </w:rPr>
              <w:t>根据拟建工程周围环境状况及本次评价提出的设计、施工及营运阶段应采取的各种环境保护措施，估算出本工程环境保护投资见表</w:t>
            </w:r>
            <w:r>
              <w:t>5.4-1</w:t>
            </w:r>
            <w:r>
              <w:rPr>
                <w:rFonts w:hint="eastAsia"/>
              </w:rPr>
              <w:t>。拟建项目总投资3298万元，其中环保投资</w:t>
            </w:r>
            <w:r>
              <w:t>320</w:t>
            </w:r>
            <w:r>
              <w:rPr>
                <w:rFonts w:hint="eastAsia"/>
              </w:rPr>
              <w:t>万元，占工程总投资的</w:t>
            </w:r>
            <w:r>
              <w:t>9.7</w:t>
            </w:r>
            <w:r>
              <w:rPr>
                <w:rFonts w:hint="eastAsia"/>
              </w:rPr>
              <w:t>％。</w:t>
            </w:r>
            <w:r>
              <w:t xml:space="preserve"> </w:t>
            </w:r>
          </w:p>
          <w:p w14:paraId="393CD96C">
            <w:pPr>
              <w:pStyle w:val="3"/>
              <w:ind w:firstLine="480"/>
            </w:pPr>
          </w:p>
          <w:p w14:paraId="7B3547BF">
            <w:pPr>
              <w:pStyle w:val="3"/>
              <w:ind w:firstLine="480"/>
            </w:pPr>
          </w:p>
          <w:p w14:paraId="36FAC101">
            <w:pPr>
              <w:pStyle w:val="3"/>
              <w:ind w:firstLine="480"/>
            </w:pPr>
          </w:p>
          <w:p w14:paraId="3FE0FFC4">
            <w:pPr>
              <w:pStyle w:val="3"/>
              <w:ind w:firstLine="480"/>
            </w:pPr>
          </w:p>
          <w:p w14:paraId="1EB611AB">
            <w:pPr>
              <w:pStyle w:val="3"/>
              <w:ind w:firstLine="480"/>
            </w:pPr>
          </w:p>
          <w:p w14:paraId="0CAFA315">
            <w:pPr>
              <w:pStyle w:val="3"/>
              <w:ind w:firstLine="480"/>
            </w:pPr>
          </w:p>
          <w:p w14:paraId="17C20509">
            <w:pPr>
              <w:pStyle w:val="3"/>
              <w:ind w:firstLine="480"/>
            </w:pPr>
          </w:p>
          <w:p w14:paraId="354A2EBF">
            <w:pPr>
              <w:pStyle w:val="3"/>
              <w:ind w:firstLine="480"/>
            </w:pPr>
          </w:p>
          <w:p w14:paraId="4BF480A3">
            <w:pPr>
              <w:pStyle w:val="3"/>
              <w:ind w:firstLine="480"/>
            </w:pPr>
          </w:p>
          <w:p w14:paraId="36E0027F">
            <w:pPr>
              <w:pStyle w:val="3"/>
              <w:ind w:firstLine="480"/>
            </w:pPr>
          </w:p>
          <w:p w14:paraId="3CD3211F">
            <w:pPr>
              <w:pStyle w:val="3"/>
              <w:ind w:firstLine="480"/>
            </w:pPr>
          </w:p>
          <w:p w14:paraId="52B30874">
            <w:pPr>
              <w:pStyle w:val="3"/>
              <w:ind w:firstLine="480"/>
            </w:pPr>
          </w:p>
          <w:p w14:paraId="5AC2D355">
            <w:pPr>
              <w:pStyle w:val="148"/>
            </w:pPr>
            <w:bookmarkStart w:id="190" w:name="_Ref389053482"/>
            <w:r>
              <w:t>表</w:t>
            </w:r>
            <w:bookmarkEnd w:id="190"/>
            <w:r>
              <w:t xml:space="preserve">5.4-1   </w:t>
            </w:r>
            <w:r>
              <w:rPr>
                <w:rFonts w:hint="eastAsia"/>
              </w:rPr>
              <w:t>本项目</w:t>
            </w:r>
            <w:r>
              <w:t>环境保护投资</w:t>
            </w:r>
            <w:r>
              <w:rPr>
                <w:rFonts w:hint="eastAsia"/>
              </w:rPr>
              <w:t>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110"/>
              <w:gridCol w:w="5064"/>
              <w:gridCol w:w="1111"/>
            </w:tblGrid>
            <w:tr w14:paraId="3C9D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14:paraId="2269FF50">
                  <w:pPr>
                    <w:pStyle w:val="159"/>
                  </w:pPr>
                  <w:r>
                    <w:rPr>
                      <w:rFonts w:hint="eastAsia"/>
                    </w:rPr>
                    <w:t>工程实施时段</w:t>
                  </w:r>
                </w:p>
              </w:tc>
              <w:tc>
                <w:tcPr>
                  <w:tcW w:w="0" w:type="auto"/>
                  <w:vAlign w:val="center"/>
                </w:tcPr>
                <w:p w14:paraId="577464EC">
                  <w:pPr>
                    <w:pStyle w:val="159"/>
                  </w:pPr>
                  <w:r>
                    <w:rPr>
                      <w:rFonts w:hint="eastAsia"/>
                    </w:rPr>
                    <w:t>环境要素</w:t>
                  </w:r>
                </w:p>
              </w:tc>
              <w:tc>
                <w:tcPr>
                  <w:tcW w:w="0" w:type="auto"/>
                  <w:vAlign w:val="center"/>
                </w:tcPr>
                <w:p w14:paraId="275088CE">
                  <w:pPr>
                    <w:pStyle w:val="159"/>
                  </w:pPr>
                  <w:r>
                    <w:rPr>
                      <w:rFonts w:hint="eastAsia"/>
                    </w:rPr>
                    <w:t>环境保护设施、措施</w:t>
                  </w:r>
                </w:p>
              </w:tc>
              <w:tc>
                <w:tcPr>
                  <w:tcW w:w="0" w:type="auto"/>
                  <w:vAlign w:val="center"/>
                </w:tcPr>
                <w:p w14:paraId="579CFCDC">
                  <w:pPr>
                    <w:pStyle w:val="159"/>
                  </w:pPr>
                  <w:r>
                    <w:rPr>
                      <w:rFonts w:hint="eastAsia"/>
                    </w:rPr>
                    <w:t>环保投资（万元）</w:t>
                  </w:r>
                </w:p>
              </w:tc>
            </w:tr>
            <w:tr w14:paraId="4666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vAlign w:val="center"/>
                </w:tcPr>
                <w:p w14:paraId="7BEC35F7">
                  <w:pPr>
                    <w:pStyle w:val="159"/>
                  </w:pPr>
                  <w:r>
                    <w:rPr>
                      <w:rFonts w:hint="eastAsia"/>
                    </w:rPr>
                    <w:t>施工阶段</w:t>
                  </w:r>
                </w:p>
              </w:tc>
              <w:tc>
                <w:tcPr>
                  <w:tcW w:w="0" w:type="auto"/>
                  <w:vAlign w:val="center"/>
                </w:tcPr>
                <w:p w14:paraId="2FDF460F">
                  <w:pPr>
                    <w:pStyle w:val="159"/>
                  </w:pPr>
                  <w:r>
                    <w:rPr>
                      <w:rFonts w:hint="eastAsia"/>
                    </w:rPr>
                    <w:t>生态环境</w:t>
                  </w:r>
                </w:p>
              </w:tc>
              <w:tc>
                <w:tcPr>
                  <w:tcW w:w="0" w:type="auto"/>
                  <w:vAlign w:val="center"/>
                </w:tcPr>
                <w:p w14:paraId="238F74B5">
                  <w:pPr>
                    <w:pStyle w:val="159"/>
                  </w:pPr>
                  <w:r>
                    <w:rPr>
                      <w:rFonts w:hint="eastAsia"/>
                    </w:rPr>
                    <w:t>用地范围警示、生态保护宣传标志牌、动物保护以及发现保护植被迁移费用及生态恢复措施；表土收集与保护，临时用地植被恢复。</w:t>
                  </w:r>
                </w:p>
              </w:tc>
              <w:tc>
                <w:tcPr>
                  <w:tcW w:w="0" w:type="auto"/>
                  <w:vAlign w:val="center"/>
                </w:tcPr>
                <w:p w14:paraId="517D13A0">
                  <w:pPr>
                    <w:pStyle w:val="159"/>
                  </w:pPr>
                  <w:r>
                    <w:t>80</w:t>
                  </w:r>
                </w:p>
              </w:tc>
            </w:tr>
            <w:tr w14:paraId="458F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14:paraId="71BCFDC2">
                  <w:pPr>
                    <w:pStyle w:val="159"/>
                  </w:pPr>
                </w:p>
              </w:tc>
              <w:tc>
                <w:tcPr>
                  <w:tcW w:w="0" w:type="auto"/>
                  <w:vAlign w:val="center"/>
                </w:tcPr>
                <w:p w14:paraId="7A5FE499">
                  <w:pPr>
                    <w:pStyle w:val="159"/>
                  </w:pPr>
                  <w:r>
                    <w:rPr>
                      <w:rFonts w:hint="eastAsia"/>
                    </w:rPr>
                    <w:t>大气环境</w:t>
                  </w:r>
                </w:p>
              </w:tc>
              <w:tc>
                <w:tcPr>
                  <w:tcW w:w="0" w:type="auto"/>
                  <w:vAlign w:val="center"/>
                </w:tcPr>
                <w:p w14:paraId="4BD1BBCA">
                  <w:pPr>
                    <w:pStyle w:val="159"/>
                  </w:pPr>
                  <w:r>
                    <w:rPr>
                      <w:rFonts w:hint="eastAsia"/>
                    </w:rPr>
                    <w:t>施工围挡、遮盖、定期洒水</w:t>
                  </w:r>
                </w:p>
              </w:tc>
              <w:tc>
                <w:tcPr>
                  <w:tcW w:w="0" w:type="auto"/>
                  <w:vAlign w:val="center"/>
                </w:tcPr>
                <w:p w14:paraId="481E181D">
                  <w:pPr>
                    <w:pStyle w:val="159"/>
                  </w:pPr>
                  <w:r>
                    <w:t>10</w:t>
                  </w:r>
                </w:p>
              </w:tc>
            </w:tr>
            <w:tr w14:paraId="68A0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14:paraId="3BC36632">
                  <w:pPr>
                    <w:pStyle w:val="159"/>
                  </w:pPr>
                </w:p>
              </w:tc>
              <w:tc>
                <w:tcPr>
                  <w:tcW w:w="0" w:type="auto"/>
                  <w:vAlign w:val="center"/>
                </w:tcPr>
                <w:p w14:paraId="5234657A">
                  <w:pPr>
                    <w:pStyle w:val="159"/>
                  </w:pPr>
                  <w:r>
                    <w:rPr>
                      <w:rFonts w:hint="eastAsia"/>
                    </w:rPr>
                    <w:t>声环境</w:t>
                  </w:r>
                </w:p>
              </w:tc>
              <w:tc>
                <w:tcPr>
                  <w:tcW w:w="0" w:type="auto"/>
                  <w:vAlign w:val="center"/>
                </w:tcPr>
                <w:p w14:paraId="3F25E6F1">
                  <w:pPr>
                    <w:pStyle w:val="159"/>
                  </w:pPr>
                  <w:r>
                    <w:rPr>
                      <w:rFonts w:hint="eastAsia"/>
                    </w:rPr>
                    <w:t>运输线路减速、禁鸣标志牌</w:t>
                  </w:r>
                </w:p>
              </w:tc>
              <w:tc>
                <w:tcPr>
                  <w:tcW w:w="0" w:type="auto"/>
                  <w:vAlign w:val="center"/>
                </w:tcPr>
                <w:p w14:paraId="2C197B6D">
                  <w:pPr>
                    <w:pStyle w:val="159"/>
                  </w:pPr>
                  <w:r>
                    <w:t>2</w:t>
                  </w:r>
                </w:p>
              </w:tc>
            </w:tr>
            <w:tr w14:paraId="3024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0" w:type="auto"/>
                  <w:vMerge w:val="continue"/>
                  <w:vAlign w:val="center"/>
                </w:tcPr>
                <w:p w14:paraId="7C6018EE">
                  <w:pPr>
                    <w:pStyle w:val="159"/>
                  </w:pPr>
                </w:p>
              </w:tc>
              <w:tc>
                <w:tcPr>
                  <w:tcW w:w="0" w:type="auto"/>
                  <w:vAlign w:val="center"/>
                </w:tcPr>
                <w:p w14:paraId="0DA94B97">
                  <w:pPr>
                    <w:pStyle w:val="159"/>
                  </w:pPr>
                  <w:r>
                    <w:rPr>
                      <w:rFonts w:hint="eastAsia"/>
                    </w:rPr>
                    <w:t>水环境</w:t>
                  </w:r>
                </w:p>
              </w:tc>
              <w:tc>
                <w:tcPr>
                  <w:tcW w:w="0" w:type="auto"/>
                  <w:vAlign w:val="center"/>
                </w:tcPr>
                <w:p w14:paraId="32C58D57">
                  <w:pPr>
                    <w:pStyle w:val="159"/>
                  </w:pPr>
                  <w:r>
                    <w:rPr>
                      <w:rFonts w:hint="eastAsia"/>
                    </w:rPr>
                    <w:t>截排水沟、临时沉淀池</w:t>
                  </w:r>
                </w:p>
              </w:tc>
              <w:tc>
                <w:tcPr>
                  <w:tcW w:w="0" w:type="auto"/>
                  <w:vAlign w:val="center"/>
                </w:tcPr>
                <w:p w14:paraId="5FCBFFE5">
                  <w:pPr>
                    <w:pStyle w:val="159"/>
                  </w:pPr>
                  <w:r>
                    <w:t>28</w:t>
                  </w:r>
                </w:p>
              </w:tc>
            </w:tr>
            <w:tr w14:paraId="4F36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14:paraId="1259740B">
                  <w:pPr>
                    <w:pStyle w:val="159"/>
                  </w:pPr>
                </w:p>
              </w:tc>
              <w:tc>
                <w:tcPr>
                  <w:tcW w:w="0" w:type="auto"/>
                  <w:vAlign w:val="center"/>
                </w:tcPr>
                <w:p w14:paraId="0CC57C93">
                  <w:pPr>
                    <w:pStyle w:val="159"/>
                  </w:pPr>
                  <w:r>
                    <w:rPr>
                      <w:rFonts w:hint="eastAsia"/>
                    </w:rPr>
                    <w:t>固体废物</w:t>
                  </w:r>
                </w:p>
              </w:tc>
              <w:tc>
                <w:tcPr>
                  <w:tcW w:w="0" w:type="auto"/>
                  <w:vAlign w:val="center"/>
                </w:tcPr>
                <w:p w14:paraId="0F48DE2F">
                  <w:pPr>
                    <w:pStyle w:val="159"/>
                  </w:pPr>
                  <w:r>
                    <w:rPr>
                      <w:rFonts w:hint="eastAsia"/>
                    </w:rPr>
                    <w:t>生活垃圾、废混凝土渣等建筑垃圾清运</w:t>
                  </w:r>
                </w:p>
              </w:tc>
              <w:tc>
                <w:tcPr>
                  <w:tcW w:w="0" w:type="auto"/>
                  <w:vAlign w:val="center"/>
                </w:tcPr>
                <w:p w14:paraId="79806F30">
                  <w:pPr>
                    <w:pStyle w:val="159"/>
                  </w:pPr>
                  <w:r>
                    <w:t>5</w:t>
                  </w:r>
                </w:p>
              </w:tc>
            </w:tr>
            <w:tr w14:paraId="69D8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14:paraId="3307AC84">
                  <w:pPr>
                    <w:pStyle w:val="159"/>
                  </w:pPr>
                </w:p>
              </w:tc>
              <w:tc>
                <w:tcPr>
                  <w:tcW w:w="0" w:type="auto"/>
                  <w:vAlign w:val="center"/>
                </w:tcPr>
                <w:p w14:paraId="48720058">
                  <w:pPr>
                    <w:pStyle w:val="159"/>
                  </w:pPr>
                  <w:r>
                    <w:rPr>
                      <w:rFonts w:hint="eastAsia"/>
                    </w:rPr>
                    <w:t>其它</w:t>
                  </w:r>
                </w:p>
              </w:tc>
              <w:tc>
                <w:tcPr>
                  <w:tcW w:w="0" w:type="auto"/>
                  <w:vAlign w:val="center"/>
                </w:tcPr>
                <w:p w14:paraId="5884193E">
                  <w:pPr>
                    <w:pStyle w:val="159"/>
                  </w:pPr>
                  <w:r>
                    <w:rPr>
                      <w:rFonts w:hint="eastAsia"/>
                    </w:rPr>
                    <w:t>环境监理与监测</w:t>
                  </w:r>
                </w:p>
              </w:tc>
              <w:tc>
                <w:tcPr>
                  <w:tcW w:w="0" w:type="auto"/>
                  <w:vAlign w:val="center"/>
                </w:tcPr>
                <w:p w14:paraId="5EC9413A">
                  <w:pPr>
                    <w:pStyle w:val="159"/>
                  </w:pPr>
                  <w:r>
                    <w:rPr>
                      <w:rFonts w:hint="eastAsia"/>
                    </w:rPr>
                    <w:t>1</w:t>
                  </w:r>
                  <w:r>
                    <w:t>00</w:t>
                  </w:r>
                </w:p>
              </w:tc>
            </w:tr>
            <w:tr w14:paraId="165F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vAlign w:val="center"/>
                </w:tcPr>
                <w:p w14:paraId="7721550D">
                  <w:pPr>
                    <w:pStyle w:val="159"/>
                  </w:pPr>
                  <w:r>
                    <w:rPr>
                      <w:rFonts w:hint="eastAsia"/>
                    </w:rPr>
                    <w:t>运行阶段</w:t>
                  </w:r>
                </w:p>
              </w:tc>
              <w:tc>
                <w:tcPr>
                  <w:tcW w:w="0" w:type="auto"/>
                  <w:vAlign w:val="center"/>
                </w:tcPr>
                <w:p w14:paraId="54C8D725">
                  <w:pPr>
                    <w:pStyle w:val="159"/>
                  </w:pPr>
                  <w:r>
                    <w:rPr>
                      <w:rFonts w:hint="eastAsia"/>
                    </w:rPr>
                    <w:t>电磁环境、声环境</w:t>
                  </w:r>
                </w:p>
              </w:tc>
              <w:tc>
                <w:tcPr>
                  <w:tcW w:w="0" w:type="auto"/>
                  <w:vAlign w:val="center"/>
                </w:tcPr>
                <w:p w14:paraId="37F2975C">
                  <w:pPr>
                    <w:pStyle w:val="159"/>
                  </w:pPr>
                  <w:r>
                    <w:rPr>
                      <w:rFonts w:hint="eastAsia"/>
                    </w:rPr>
                    <w:t>运行阶段做好设备维护，加强运行管理，定期开展变电站电磁环境、声环境监测</w:t>
                  </w:r>
                </w:p>
              </w:tc>
              <w:tc>
                <w:tcPr>
                  <w:tcW w:w="0" w:type="auto"/>
                  <w:vAlign w:val="center"/>
                </w:tcPr>
                <w:p w14:paraId="70A573FE">
                  <w:pPr>
                    <w:pStyle w:val="159"/>
                  </w:pPr>
                  <w:r>
                    <w:t>20</w:t>
                  </w:r>
                </w:p>
              </w:tc>
            </w:tr>
            <w:tr w14:paraId="47E7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14:paraId="754A7B88">
                  <w:pPr>
                    <w:pStyle w:val="159"/>
                  </w:pPr>
                </w:p>
              </w:tc>
              <w:tc>
                <w:tcPr>
                  <w:tcW w:w="0" w:type="auto"/>
                  <w:vMerge w:val="restart"/>
                  <w:vAlign w:val="center"/>
                </w:tcPr>
                <w:p w14:paraId="4571FF00">
                  <w:pPr>
                    <w:pStyle w:val="159"/>
                  </w:pPr>
                  <w:r>
                    <w:rPr>
                      <w:rFonts w:hint="eastAsia"/>
                    </w:rPr>
                    <w:t>生态环境</w:t>
                  </w:r>
                </w:p>
              </w:tc>
              <w:tc>
                <w:tcPr>
                  <w:tcW w:w="0" w:type="auto"/>
                  <w:vAlign w:val="center"/>
                </w:tcPr>
                <w:p w14:paraId="415080BC">
                  <w:pPr>
                    <w:pStyle w:val="159"/>
                  </w:pPr>
                  <w:r>
                    <w:rPr>
                      <w:rFonts w:hint="eastAsia"/>
                    </w:rPr>
                    <w:t>加强运维管理、植被绿化</w:t>
                  </w:r>
                </w:p>
              </w:tc>
              <w:tc>
                <w:tcPr>
                  <w:tcW w:w="0" w:type="auto"/>
                  <w:vAlign w:val="center"/>
                </w:tcPr>
                <w:p w14:paraId="48678F0D">
                  <w:pPr>
                    <w:pStyle w:val="159"/>
                  </w:pPr>
                  <w:r>
                    <w:t>5</w:t>
                  </w:r>
                </w:p>
              </w:tc>
            </w:tr>
            <w:tr w14:paraId="2F85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0" w:type="auto"/>
                  <w:vMerge w:val="continue"/>
                  <w:vAlign w:val="center"/>
                </w:tcPr>
                <w:p w14:paraId="5EEDD15E">
                  <w:pPr>
                    <w:pStyle w:val="159"/>
                  </w:pPr>
                </w:p>
              </w:tc>
              <w:tc>
                <w:tcPr>
                  <w:tcW w:w="0" w:type="auto"/>
                  <w:vMerge w:val="continue"/>
                  <w:vAlign w:val="center"/>
                </w:tcPr>
                <w:p w14:paraId="6485F2E7">
                  <w:pPr>
                    <w:pStyle w:val="159"/>
                  </w:pPr>
                </w:p>
              </w:tc>
              <w:tc>
                <w:tcPr>
                  <w:tcW w:w="0" w:type="auto"/>
                  <w:vAlign w:val="center"/>
                </w:tcPr>
                <w:p w14:paraId="01C471B9">
                  <w:pPr>
                    <w:pStyle w:val="159"/>
                  </w:pPr>
                  <w:r>
                    <w:rPr>
                      <w:rFonts w:hint="eastAsia"/>
                    </w:rPr>
                    <w:t>生态补偿</w:t>
                  </w:r>
                </w:p>
              </w:tc>
              <w:tc>
                <w:tcPr>
                  <w:tcW w:w="0" w:type="auto"/>
                  <w:vAlign w:val="center"/>
                </w:tcPr>
                <w:p w14:paraId="684B659A">
                  <w:pPr>
                    <w:pStyle w:val="159"/>
                  </w:pPr>
                  <w:r>
                    <w:rPr>
                      <w:rFonts w:hint="eastAsia"/>
                    </w:rPr>
                    <w:t>6</w:t>
                  </w:r>
                  <w:r>
                    <w:t>0</w:t>
                  </w:r>
                </w:p>
              </w:tc>
            </w:tr>
            <w:tr w14:paraId="56D9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14:paraId="4D908E6E">
                  <w:pPr>
                    <w:pStyle w:val="159"/>
                  </w:pPr>
                </w:p>
              </w:tc>
              <w:tc>
                <w:tcPr>
                  <w:tcW w:w="0" w:type="auto"/>
                  <w:vAlign w:val="center"/>
                </w:tcPr>
                <w:p w14:paraId="3DB4F192">
                  <w:pPr>
                    <w:pStyle w:val="159"/>
                  </w:pPr>
                  <w:r>
                    <w:rPr>
                      <w:rFonts w:hint="eastAsia"/>
                    </w:rPr>
                    <w:t>其它</w:t>
                  </w:r>
                </w:p>
              </w:tc>
              <w:tc>
                <w:tcPr>
                  <w:tcW w:w="0" w:type="auto"/>
                  <w:vAlign w:val="center"/>
                </w:tcPr>
                <w:p w14:paraId="61A43F2F">
                  <w:pPr>
                    <w:pStyle w:val="159"/>
                  </w:pPr>
                  <w:r>
                    <w:rPr>
                      <w:rFonts w:hint="eastAsia"/>
                    </w:rPr>
                    <w:t>环境监测</w:t>
                  </w:r>
                </w:p>
              </w:tc>
              <w:tc>
                <w:tcPr>
                  <w:tcW w:w="0" w:type="auto"/>
                  <w:vAlign w:val="center"/>
                </w:tcPr>
                <w:p w14:paraId="7518E369">
                  <w:pPr>
                    <w:pStyle w:val="159"/>
                  </w:pPr>
                  <w:r>
                    <w:t>10</w:t>
                  </w:r>
                </w:p>
              </w:tc>
            </w:tr>
            <w:tr w14:paraId="1675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3"/>
                  <w:vAlign w:val="center"/>
                </w:tcPr>
                <w:p w14:paraId="22FCEE58">
                  <w:pPr>
                    <w:pStyle w:val="159"/>
                  </w:pPr>
                  <w:r>
                    <w:rPr>
                      <w:rFonts w:hint="eastAsia"/>
                    </w:rPr>
                    <w:t>合计</w:t>
                  </w:r>
                </w:p>
              </w:tc>
              <w:tc>
                <w:tcPr>
                  <w:tcW w:w="0" w:type="auto"/>
                  <w:vAlign w:val="center"/>
                </w:tcPr>
                <w:p w14:paraId="5C507A69">
                  <w:pPr>
                    <w:pStyle w:val="159"/>
                  </w:pPr>
                  <w:r>
                    <w:t>320</w:t>
                  </w:r>
                </w:p>
              </w:tc>
            </w:tr>
          </w:tbl>
          <w:p w14:paraId="4CF60823"/>
          <w:p w14:paraId="40FD0848">
            <w:pPr>
              <w:pStyle w:val="3"/>
              <w:ind w:firstLine="480"/>
              <w:rPr>
                <w:u w:val="wave"/>
              </w:rPr>
            </w:pPr>
          </w:p>
          <w:p w14:paraId="626E72A7">
            <w:pPr>
              <w:pStyle w:val="3"/>
              <w:ind w:firstLine="480"/>
              <w:rPr>
                <w:u w:val="wave"/>
              </w:rPr>
            </w:pPr>
          </w:p>
          <w:p w14:paraId="2071FBE1">
            <w:pPr>
              <w:pStyle w:val="3"/>
              <w:ind w:firstLine="480"/>
              <w:rPr>
                <w:u w:val="wave"/>
              </w:rPr>
            </w:pPr>
          </w:p>
          <w:p w14:paraId="75CD7009">
            <w:pPr>
              <w:pStyle w:val="3"/>
              <w:ind w:firstLine="480"/>
              <w:rPr>
                <w:u w:val="wave"/>
              </w:rPr>
            </w:pPr>
          </w:p>
          <w:p w14:paraId="2D014E73">
            <w:pPr>
              <w:pStyle w:val="3"/>
              <w:ind w:firstLine="480"/>
              <w:rPr>
                <w:u w:val="wave"/>
              </w:rPr>
            </w:pPr>
          </w:p>
          <w:p w14:paraId="2514FB12">
            <w:pPr>
              <w:pStyle w:val="3"/>
              <w:ind w:firstLine="480"/>
              <w:rPr>
                <w:u w:val="wave"/>
              </w:rPr>
            </w:pPr>
          </w:p>
          <w:p w14:paraId="51ACC618">
            <w:pPr>
              <w:pStyle w:val="3"/>
              <w:ind w:firstLine="480"/>
              <w:rPr>
                <w:u w:val="wave"/>
              </w:rPr>
            </w:pPr>
          </w:p>
          <w:p w14:paraId="100BFBD6">
            <w:pPr>
              <w:pStyle w:val="3"/>
              <w:ind w:firstLine="480"/>
              <w:rPr>
                <w:u w:val="wave"/>
              </w:rPr>
            </w:pPr>
          </w:p>
          <w:p w14:paraId="0B96D42A">
            <w:pPr>
              <w:pStyle w:val="3"/>
              <w:ind w:firstLine="480"/>
              <w:rPr>
                <w:u w:val="wave"/>
              </w:rPr>
            </w:pPr>
          </w:p>
          <w:p w14:paraId="5D83304F">
            <w:pPr>
              <w:pStyle w:val="3"/>
              <w:ind w:firstLine="480"/>
              <w:rPr>
                <w:u w:val="wave"/>
              </w:rPr>
            </w:pPr>
          </w:p>
          <w:p w14:paraId="09A72C8E">
            <w:pPr>
              <w:pStyle w:val="3"/>
              <w:ind w:firstLine="480"/>
              <w:rPr>
                <w:u w:val="wave"/>
              </w:rPr>
            </w:pPr>
          </w:p>
          <w:p w14:paraId="1DEF44A5">
            <w:pPr>
              <w:pStyle w:val="3"/>
              <w:ind w:firstLine="480"/>
              <w:rPr>
                <w:u w:val="wave"/>
              </w:rPr>
            </w:pPr>
          </w:p>
          <w:p w14:paraId="4FB3F561">
            <w:pPr>
              <w:pStyle w:val="3"/>
              <w:ind w:firstLine="480"/>
              <w:rPr>
                <w:u w:val="wave"/>
              </w:rPr>
            </w:pPr>
          </w:p>
          <w:p w14:paraId="21FAC66E">
            <w:pPr>
              <w:pStyle w:val="3"/>
              <w:ind w:firstLine="480"/>
              <w:rPr>
                <w:u w:val="wave"/>
              </w:rPr>
            </w:pPr>
          </w:p>
          <w:p w14:paraId="2532C37C">
            <w:pPr>
              <w:pStyle w:val="3"/>
              <w:ind w:firstLine="480"/>
              <w:rPr>
                <w:u w:val="wave"/>
              </w:rPr>
            </w:pPr>
          </w:p>
          <w:p w14:paraId="181642B6">
            <w:pPr>
              <w:pStyle w:val="3"/>
              <w:ind w:firstLine="480"/>
              <w:rPr>
                <w:u w:val="wave"/>
              </w:rPr>
            </w:pPr>
          </w:p>
          <w:p w14:paraId="71B2D38B">
            <w:pPr>
              <w:pStyle w:val="3"/>
              <w:ind w:firstLine="480"/>
              <w:rPr>
                <w:u w:val="wave"/>
              </w:rPr>
            </w:pPr>
          </w:p>
        </w:tc>
      </w:tr>
    </w:tbl>
    <w:p w14:paraId="33BC57EA">
      <w:pPr>
        <w:ind w:firstLine="480"/>
        <w:sectPr>
          <w:pgSz w:w="11906" w:h="16838"/>
          <w:pgMar w:top="1588" w:right="1361" w:bottom="1474" w:left="1474" w:header="1021" w:footer="851" w:gutter="0"/>
          <w:cols w:space="425" w:num="1"/>
          <w:docGrid w:linePitch="312" w:charSpace="0"/>
        </w:sectPr>
      </w:pPr>
    </w:p>
    <w:p w14:paraId="5B8576DC">
      <w:pPr>
        <w:pStyle w:val="37"/>
        <w:jc w:val="center"/>
        <w:outlineLvl w:val="0"/>
        <w:rPr>
          <w:rFonts w:ascii="黑体" w:hAnsi="黑体" w:eastAsia="黑体"/>
          <w:snapToGrid w:val="0"/>
          <w:sz w:val="30"/>
          <w:szCs w:val="30"/>
        </w:rPr>
      </w:pPr>
      <w:bookmarkStart w:id="191" w:name="_Toc95916527"/>
      <w:bookmarkStart w:id="192" w:name="_Toc99093287"/>
      <w:bookmarkStart w:id="193" w:name="_Toc99090830"/>
      <w:bookmarkStart w:id="194" w:name="_Toc95916496"/>
      <w:bookmarkStart w:id="195" w:name="_Toc99093546"/>
      <w:bookmarkStart w:id="196" w:name="_Toc186810111"/>
      <w:r>
        <w:rPr>
          <w:rFonts w:hint="eastAsia" w:ascii="黑体" w:hAnsi="黑体" w:eastAsia="黑体"/>
          <w:snapToGrid w:val="0"/>
          <w:sz w:val="30"/>
          <w:szCs w:val="30"/>
        </w:rPr>
        <w:t>六、生态环境保护措施监督检查清单</w:t>
      </w:r>
      <w:bookmarkEnd w:id="191"/>
      <w:bookmarkEnd w:id="192"/>
      <w:bookmarkEnd w:id="193"/>
      <w:bookmarkEnd w:id="194"/>
      <w:bookmarkEnd w:id="195"/>
      <w:bookmarkEnd w:id="196"/>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701"/>
        <w:gridCol w:w="1178"/>
        <w:gridCol w:w="3095"/>
        <w:gridCol w:w="1194"/>
      </w:tblGrid>
      <w:tr w14:paraId="66244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603" w:type="pct"/>
            <w:vMerge w:val="restart"/>
            <w:tcBorders>
              <w:tl2br w:val="single" w:color="auto" w:sz="4" w:space="0"/>
            </w:tcBorders>
          </w:tcPr>
          <w:p w14:paraId="2A2DC15F">
            <w:pPr>
              <w:pStyle w:val="37"/>
              <w:adjustRightInd w:val="0"/>
              <w:snapToGrid w:val="0"/>
              <w:spacing w:before="72" w:beforeLines="30" w:beforeAutospacing="0" w:after="0" w:afterAutospacing="0"/>
              <w:jc w:val="right"/>
              <w:outlineLvl w:val="0"/>
              <w:rPr>
                <w:rFonts w:ascii="Times New Roman" w:hAnsi="Times New Roman" w:eastAsia="黑体"/>
                <w:kern w:val="2"/>
                <w:sz w:val="21"/>
                <w:szCs w:val="21"/>
              </w:rPr>
            </w:pPr>
            <w:r>
              <w:rPr>
                <w:rFonts w:ascii="Times New Roman" w:hAnsi="Times New Roman" w:eastAsia="黑体"/>
                <w:kern w:val="2"/>
                <w:sz w:val="21"/>
                <w:szCs w:val="21"/>
              </w:rPr>
              <w:t xml:space="preserve">                                          </w:t>
            </w:r>
            <w:bookmarkStart w:id="197" w:name="_Toc95916528"/>
            <w:bookmarkStart w:id="198" w:name="_Toc99090831"/>
            <w:bookmarkStart w:id="199" w:name="_Toc99093547"/>
            <w:bookmarkStart w:id="200" w:name="_Toc166056886"/>
            <w:bookmarkStart w:id="201" w:name="_Toc95916497"/>
            <w:bookmarkStart w:id="202" w:name="_Toc99098754"/>
            <w:bookmarkStart w:id="203" w:name="_Toc99093288"/>
            <w:bookmarkStart w:id="204" w:name="_Toc186810112"/>
            <w:r>
              <w:rPr>
                <w:rFonts w:ascii="Times New Roman" w:hAnsi="Times New Roman" w:eastAsia="黑体"/>
                <w:kern w:val="2"/>
                <w:sz w:val="21"/>
                <w:szCs w:val="21"/>
              </w:rPr>
              <w:t>内容</w:t>
            </w:r>
            <w:bookmarkEnd w:id="197"/>
            <w:bookmarkEnd w:id="198"/>
            <w:bookmarkEnd w:id="199"/>
            <w:bookmarkEnd w:id="200"/>
            <w:bookmarkEnd w:id="201"/>
            <w:bookmarkEnd w:id="202"/>
            <w:bookmarkEnd w:id="203"/>
            <w:bookmarkEnd w:id="204"/>
          </w:p>
          <w:p w14:paraId="38601F1F">
            <w:pPr>
              <w:pStyle w:val="37"/>
              <w:adjustRightInd w:val="0"/>
              <w:snapToGrid w:val="0"/>
              <w:spacing w:before="0" w:beforeAutospacing="0" w:after="0" w:afterAutospacing="0" w:line="14" w:lineRule="auto"/>
              <w:outlineLvl w:val="0"/>
              <w:rPr>
                <w:rFonts w:ascii="Times New Roman" w:hAnsi="Times New Roman" w:eastAsia="黑体"/>
                <w:kern w:val="2"/>
                <w:sz w:val="135"/>
                <w:szCs w:val="21"/>
              </w:rPr>
            </w:pPr>
            <w:r>
              <w:rPr>
                <w:rFonts w:ascii="Times New Roman" w:hAnsi="Times New Roman" w:eastAsia="黑体"/>
                <w:kern w:val="2"/>
                <w:sz w:val="21"/>
                <w:szCs w:val="21"/>
              </w:rPr>
              <w:t xml:space="preserve"> </w:t>
            </w:r>
            <w:r>
              <w:rPr>
                <w:rFonts w:ascii="Times New Roman" w:hAnsi="Times New Roman" w:eastAsia="黑体"/>
                <w:kern w:val="2"/>
                <w:sz w:val="135"/>
                <w:szCs w:val="21"/>
              </w:rPr>
              <w:t xml:space="preserve"> </w:t>
            </w:r>
          </w:p>
          <w:p w14:paraId="5A96B849">
            <w:pPr>
              <w:pStyle w:val="37"/>
              <w:adjustRightInd w:val="0"/>
              <w:snapToGrid w:val="0"/>
              <w:spacing w:before="0" w:beforeAutospacing="0" w:after="0" w:afterAutospacing="0"/>
              <w:outlineLvl w:val="0"/>
              <w:rPr>
                <w:rFonts w:ascii="Times New Roman" w:hAnsi="Times New Roman" w:eastAsia="黑体"/>
                <w:kern w:val="2"/>
                <w:sz w:val="21"/>
                <w:szCs w:val="21"/>
              </w:rPr>
            </w:pPr>
            <w:bookmarkStart w:id="205" w:name="_Toc99098755"/>
            <w:bookmarkStart w:id="206" w:name="_Toc166056887"/>
            <w:bookmarkStart w:id="207" w:name="_Toc99093548"/>
            <w:bookmarkStart w:id="208" w:name="_Toc95916529"/>
            <w:bookmarkStart w:id="209" w:name="_Toc99090832"/>
            <w:bookmarkStart w:id="210" w:name="_Toc99093289"/>
            <w:bookmarkStart w:id="211" w:name="_Toc95916498"/>
            <w:bookmarkStart w:id="212" w:name="_Toc186810113"/>
            <w:r>
              <w:rPr>
                <w:rFonts w:ascii="Times New Roman" w:hAnsi="Times New Roman" w:eastAsia="黑体"/>
                <w:kern w:val="2"/>
                <w:sz w:val="21"/>
                <w:szCs w:val="21"/>
              </w:rPr>
              <w:t>要素</w:t>
            </w:r>
            <w:bookmarkEnd w:id="205"/>
            <w:bookmarkEnd w:id="206"/>
            <w:bookmarkEnd w:id="207"/>
            <w:bookmarkEnd w:id="208"/>
            <w:bookmarkEnd w:id="209"/>
            <w:bookmarkEnd w:id="210"/>
            <w:bookmarkEnd w:id="211"/>
            <w:bookmarkEnd w:id="212"/>
          </w:p>
        </w:tc>
        <w:tc>
          <w:tcPr>
            <w:tcW w:w="2088" w:type="pct"/>
            <w:gridSpan w:val="2"/>
            <w:vAlign w:val="center"/>
          </w:tcPr>
          <w:p w14:paraId="6328A20F">
            <w:pPr>
              <w:pStyle w:val="37"/>
              <w:adjustRightInd w:val="0"/>
              <w:snapToGrid w:val="0"/>
              <w:spacing w:before="0" w:beforeAutospacing="0" w:after="0" w:afterAutospacing="0"/>
              <w:jc w:val="center"/>
              <w:outlineLvl w:val="0"/>
              <w:rPr>
                <w:rFonts w:ascii="Times New Roman" w:hAnsi="Times New Roman" w:eastAsia="黑体"/>
                <w:kern w:val="2"/>
                <w:sz w:val="21"/>
                <w:szCs w:val="21"/>
              </w:rPr>
            </w:pPr>
            <w:bookmarkStart w:id="213" w:name="_Toc99093549"/>
            <w:bookmarkStart w:id="214" w:name="_Toc99098756"/>
            <w:bookmarkStart w:id="215" w:name="_Toc99090833"/>
            <w:bookmarkStart w:id="216" w:name="_Toc95916530"/>
            <w:bookmarkStart w:id="217" w:name="_Toc95916499"/>
            <w:bookmarkStart w:id="218" w:name="_Toc99093290"/>
            <w:r>
              <w:rPr>
                <w:rFonts w:ascii="Times New Roman" w:hAnsi="Times New Roman" w:eastAsia="黑体"/>
                <w:kern w:val="2"/>
                <w:sz w:val="21"/>
                <w:szCs w:val="21"/>
              </w:rPr>
              <w:t xml:space="preserve"> </w:t>
            </w:r>
            <w:bookmarkStart w:id="219" w:name="_Toc166056888"/>
            <w:bookmarkStart w:id="220" w:name="_Toc186810114"/>
            <w:r>
              <w:rPr>
                <w:rFonts w:ascii="Times New Roman" w:hAnsi="Times New Roman" w:eastAsia="黑体"/>
                <w:kern w:val="2"/>
                <w:sz w:val="21"/>
                <w:szCs w:val="21"/>
              </w:rPr>
              <w:t>施工期</w:t>
            </w:r>
            <w:bookmarkEnd w:id="213"/>
            <w:bookmarkEnd w:id="214"/>
            <w:bookmarkEnd w:id="215"/>
            <w:bookmarkEnd w:id="216"/>
            <w:bookmarkEnd w:id="217"/>
            <w:bookmarkEnd w:id="218"/>
            <w:bookmarkEnd w:id="219"/>
            <w:bookmarkEnd w:id="220"/>
          </w:p>
        </w:tc>
        <w:tc>
          <w:tcPr>
            <w:tcW w:w="2309" w:type="pct"/>
            <w:gridSpan w:val="2"/>
            <w:vAlign w:val="center"/>
          </w:tcPr>
          <w:p w14:paraId="28DDF59D">
            <w:pPr>
              <w:pStyle w:val="37"/>
              <w:adjustRightInd w:val="0"/>
              <w:snapToGrid w:val="0"/>
              <w:spacing w:before="0" w:beforeAutospacing="0" w:after="0" w:afterAutospacing="0"/>
              <w:jc w:val="center"/>
              <w:outlineLvl w:val="0"/>
              <w:rPr>
                <w:rFonts w:ascii="Times New Roman" w:hAnsi="Times New Roman" w:eastAsia="黑体"/>
                <w:kern w:val="2"/>
                <w:sz w:val="21"/>
                <w:szCs w:val="21"/>
              </w:rPr>
            </w:pPr>
            <w:bookmarkStart w:id="221" w:name="_Toc99098757"/>
            <w:bookmarkStart w:id="222" w:name="_Toc95916531"/>
            <w:bookmarkStart w:id="223" w:name="_Toc99093291"/>
            <w:bookmarkStart w:id="224" w:name="_Toc166056889"/>
            <w:bookmarkStart w:id="225" w:name="_Toc99093550"/>
            <w:bookmarkStart w:id="226" w:name="_Toc95916500"/>
            <w:bookmarkStart w:id="227" w:name="_Toc99090834"/>
            <w:bookmarkStart w:id="228" w:name="_Toc186810115"/>
            <w:r>
              <w:rPr>
                <w:rFonts w:ascii="Times New Roman" w:hAnsi="Times New Roman" w:eastAsia="黑体"/>
                <w:kern w:val="2"/>
                <w:sz w:val="21"/>
                <w:szCs w:val="21"/>
              </w:rPr>
              <w:t>运营期</w:t>
            </w:r>
            <w:bookmarkEnd w:id="221"/>
            <w:bookmarkEnd w:id="222"/>
            <w:bookmarkEnd w:id="223"/>
            <w:bookmarkEnd w:id="224"/>
            <w:bookmarkEnd w:id="225"/>
            <w:bookmarkEnd w:id="226"/>
            <w:bookmarkEnd w:id="227"/>
            <w:bookmarkEnd w:id="228"/>
          </w:p>
        </w:tc>
      </w:tr>
      <w:tr w14:paraId="24ABB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603" w:type="pct"/>
            <w:vMerge w:val="continue"/>
            <w:vAlign w:val="center"/>
          </w:tcPr>
          <w:p w14:paraId="19730697">
            <w:pPr>
              <w:pStyle w:val="37"/>
              <w:adjustRightInd w:val="0"/>
              <w:snapToGrid w:val="0"/>
              <w:spacing w:before="0" w:beforeAutospacing="0" w:after="0" w:afterAutospacing="0"/>
              <w:jc w:val="center"/>
              <w:outlineLvl w:val="0"/>
              <w:rPr>
                <w:rFonts w:ascii="Times New Roman" w:hAnsi="Times New Roman" w:eastAsia="黑体"/>
                <w:kern w:val="2"/>
                <w:sz w:val="21"/>
                <w:szCs w:val="21"/>
              </w:rPr>
            </w:pPr>
          </w:p>
        </w:tc>
        <w:tc>
          <w:tcPr>
            <w:tcW w:w="1454" w:type="pct"/>
            <w:vAlign w:val="center"/>
          </w:tcPr>
          <w:p w14:paraId="6CD08254">
            <w:pPr>
              <w:pStyle w:val="37"/>
              <w:adjustRightInd w:val="0"/>
              <w:snapToGrid w:val="0"/>
              <w:spacing w:before="0" w:beforeAutospacing="0" w:after="0" w:afterAutospacing="0"/>
              <w:jc w:val="center"/>
              <w:outlineLvl w:val="0"/>
              <w:rPr>
                <w:rFonts w:ascii="Times New Roman" w:hAnsi="Times New Roman" w:eastAsia="黑体"/>
                <w:kern w:val="2"/>
                <w:sz w:val="21"/>
                <w:szCs w:val="21"/>
              </w:rPr>
            </w:pPr>
            <w:bookmarkStart w:id="229" w:name="_Toc99098758"/>
            <w:bookmarkStart w:id="230" w:name="_Toc95916532"/>
            <w:bookmarkStart w:id="231" w:name="_Toc99093551"/>
            <w:bookmarkStart w:id="232" w:name="_Toc99090835"/>
            <w:bookmarkStart w:id="233" w:name="_Toc95916501"/>
            <w:bookmarkStart w:id="234" w:name="_Toc166056890"/>
            <w:bookmarkStart w:id="235" w:name="_Toc99093292"/>
            <w:bookmarkStart w:id="236" w:name="_Toc186810116"/>
            <w:r>
              <w:rPr>
                <w:rFonts w:ascii="Times New Roman" w:hAnsi="Times New Roman" w:eastAsia="黑体"/>
                <w:kern w:val="2"/>
                <w:sz w:val="21"/>
                <w:szCs w:val="21"/>
              </w:rPr>
              <w:t>环境保护措施</w:t>
            </w:r>
            <w:bookmarkEnd w:id="229"/>
            <w:bookmarkEnd w:id="230"/>
            <w:bookmarkEnd w:id="231"/>
            <w:bookmarkEnd w:id="232"/>
            <w:bookmarkEnd w:id="233"/>
            <w:bookmarkEnd w:id="234"/>
            <w:bookmarkEnd w:id="235"/>
            <w:bookmarkEnd w:id="236"/>
          </w:p>
        </w:tc>
        <w:tc>
          <w:tcPr>
            <w:tcW w:w="634" w:type="pct"/>
            <w:vAlign w:val="center"/>
          </w:tcPr>
          <w:p w14:paraId="1624C88E">
            <w:pPr>
              <w:pStyle w:val="37"/>
              <w:adjustRightInd w:val="0"/>
              <w:snapToGrid w:val="0"/>
              <w:spacing w:before="0" w:beforeAutospacing="0" w:after="0" w:afterAutospacing="0"/>
              <w:jc w:val="center"/>
              <w:outlineLvl w:val="0"/>
              <w:rPr>
                <w:rFonts w:ascii="Times New Roman" w:hAnsi="Times New Roman" w:eastAsia="黑体"/>
                <w:kern w:val="2"/>
                <w:sz w:val="21"/>
                <w:szCs w:val="21"/>
              </w:rPr>
            </w:pPr>
            <w:bookmarkStart w:id="237" w:name="_Toc166056891"/>
            <w:bookmarkStart w:id="238" w:name="_Toc95916533"/>
            <w:bookmarkStart w:id="239" w:name="_Toc95916502"/>
            <w:bookmarkStart w:id="240" w:name="_Toc99090836"/>
            <w:bookmarkStart w:id="241" w:name="_Toc99093552"/>
            <w:bookmarkStart w:id="242" w:name="_Toc99093293"/>
            <w:bookmarkStart w:id="243" w:name="_Toc99098759"/>
            <w:bookmarkStart w:id="244" w:name="_Toc186810117"/>
            <w:r>
              <w:rPr>
                <w:rFonts w:ascii="Times New Roman" w:hAnsi="Times New Roman" w:eastAsia="黑体"/>
                <w:kern w:val="2"/>
                <w:sz w:val="21"/>
                <w:szCs w:val="21"/>
              </w:rPr>
              <w:t>验收要求</w:t>
            </w:r>
            <w:bookmarkEnd w:id="237"/>
            <w:bookmarkEnd w:id="238"/>
            <w:bookmarkEnd w:id="239"/>
            <w:bookmarkEnd w:id="240"/>
            <w:bookmarkEnd w:id="241"/>
            <w:bookmarkEnd w:id="242"/>
            <w:bookmarkEnd w:id="243"/>
            <w:bookmarkEnd w:id="244"/>
          </w:p>
        </w:tc>
        <w:tc>
          <w:tcPr>
            <w:tcW w:w="1666" w:type="pct"/>
            <w:vAlign w:val="center"/>
          </w:tcPr>
          <w:p w14:paraId="1C2EA2C4">
            <w:pPr>
              <w:pStyle w:val="37"/>
              <w:adjustRightInd w:val="0"/>
              <w:snapToGrid w:val="0"/>
              <w:spacing w:before="0" w:beforeAutospacing="0" w:after="0" w:afterAutospacing="0"/>
              <w:jc w:val="center"/>
              <w:outlineLvl w:val="0"/>
              <w:rPr>
                <w:rFonts w:ascii="Times New Roman" w:hAnsi="Times New Roman" w:eastAsia="黑体"/>
                <w:kern w:val="2"/>
                <w:sz w:val="21"/>
                <w:szCs w:val="21"/>
              </w:rPr>
            </w:pPr>
            <w:bookmarkStart w:id="245" w:name="_Toc99093294"/>
            <w:bookmarkStart w:id="246" w:name="_Toc99090837"/>
            <w:bookmarkStart w:id="247" w:name="_Toc95916534"/>
            <w:bookmarkStart w:id="248" w:name="_Toc99098760"/>
            <w:bookmarkStart w:id="249" w:name="_Toc95916503"/>
            <w:bookmarkStart w:id="250" w:name="_Toc99093553"/>
            <w:bookmarkStart w:id="251" w:name="_Toc166056892"/>
            <w:bookmarkStart w:id="252" w:name="_Toc186810118"/>
            <w:r>
              <w:rPr>
                <w:rFonts w:ascii="Times New Roman" w:hAnsi="Times New Roman" w:eastAsia="黑体"/>
                <w:kern w:val="2"/>
                <w:sz w:val="21"/>
                <w:szCs w:val="21"/>
              </w:rPr>
              <w:t>环境保护措施</w:t>
            </w:r>
            <w:bookmarkEnd w:id="245"/>
            <w:bookmarkEnd w:id="246"/>
            <w:bookmarkEnd w:id="247"/>
            <w:bookmarkEnd w:id="248"/>
            <w:bookmarkEnd w:id="249"/>
            <w:bookmarkEnd w:id="250"/>
            <w:bookmarkEnd w:id="251"/>
            <w:bookmarkEnd w:id="252"/>
          </w:p>
        </w:tc>
        <w:tc>
          <w:tcPr>
            <w:tcW w:w="643" w:type="pct"/>
            <w:vAlign w:val="center"/>
          </w:tcPr>
          <w:p w14:paraId="4426EF00">
            <w:pPr>
              <w:pStyle w:val="37"/>
              <w:adjustRightInd w:val="0"/>
              <w:snapToGrid w:val="0"/>
              <w:spacing w:before="0" w:beforeAutospacing="0" w:after="0" w:afterAutospacing="0"/>
              <w:jc w:val="center"/>
              <w:outlineLvl w:val="0"/>
              <w:rPr>
                <w:rFonts w:ascii="Times New Roman" w:hAnsi="Times New Roman" w:eastAsia="黑体"/>
                <w:kern w:val="2"/>
                <w:sz w:val="21"/>
                <w:szCs w:val="21"/>
              </w:rPr>
            </w:pPr>
            <w:bookmarkStart w:id="253" w:name="_Toc99093554"/>
            <w:bookmarkStart w:id="254" w:name="_Toc99093295"/>
            <w:bookmarkStart w:id="255" w:name="_Toc99090838"/>
            <w:bookmarkStart w:id="256" w:name="_Toc99098761"/>
            <w:bookmarkStart w:id="257" w:name="_Toc95916504"/>
            <w:bookmarkStart w:id="258" w:name="_Toc166056893"/>
            <w:bookmarkStart w:id="259" w:name="_Toc95916535"/>
            <w:bookmarkStart w:id="260" w:name="_Toc186810119"/>
            <w:r>
              <w:rPr>
                <w:rFonts w:ascii="Times New Roman" w:hAnsi="Times New Roman" w:eastAsia="黑体"/>
                <w:kern w:val="2"/>
                <w:sz w:val="21"/>
                <w:szCs w:val="21"/>
              </w:rPr>
              <w:t>验收要求</w:t>
            </w:r>
            <w:bookmarkEnd w:id="253"/>
            <w:bookmarkEnd w:id="254"/>
            <w:bookmarkEnd w:id="255"/>
            <w:bookmarkEnd w:id="256"/>
            <w:bookmarkEnd w:id="257"/>
            <w:bookmarkEnd w:id="258"/>
            <w:bookmarkEnd w:id="259"/>
            <w:bookmarkEnd w:id="260"/>
          </w:p>
        </w:tc>
      </w:tr>
      <w:tr w14:paraId="020082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14:paraId="6B79AA19">
            <w:pPr>
              <w:pStyle w:val="86"/>
              <w:rPr>
                <w:sz w:val="21"/>
                <w:szCs w:val="21"/>
              </w:rPr>
            </w:pPr>
            <w:r>
              <w:rPr>
                <w:sz w:val="21"/>
                <w:szCs w:val="21"/>
              </w:rPr>
              <w:t>陆生生态</w:t>
            </w:r>
          </w:p>
        </w:tc>
        <w:tc>
          <w:tcPr>
            <w:tcW w:w="1454" w:type="pct"/>
            <w:vAlign w:val="center"/>
          </w:tcPr>
          <w:p w14:paraId="7CF20E41">
            <w:pPr>
              <w:autoSpaceDE w:val="0"/>
              <w:autoSpaceDN w:val="0"/>
              <w:adjustRightInd w:val="0"/>
              <w:snapToGrid w:val="0"/>
              <w:jc w:val="left"/>
              <w:rPr>
                <w:sz w:val="21"/>
                <w:szCs w:val="21"/>
              </w:rPr>
            </w:pPr>
            <w:r>
              <w:rPr>
                <w:sz w:val="21"/>
                <w:szCs w:val="21"/>
              </w:rPr>
              <w:t>a</w:t>
            </w:r>
            <w:r>
              <w:rPr>
                <w:rFonts w:hint="eastAsia"/>
                <w:sz w:val="21"/>
                <w:szCs w:val="21"/>
              </w:rPr>
              <w:t>）严格控制开挖范围及开挖量，输电线路施工限制在事先划定的施工区内；施工时做好表土和余土保存工作，施工结束后余土就地平整，表土用于植被恢复，禁止随意倾倒和丢弃基础开挖多余的土石方不允许就地倾倒。</w:t>
            </w:r>
          </w:p>
          <w:p w14:paraId="0FE09335">
            <w:pPr>
              <w:autoSpaceDE w:val="0"/>
              <w:autoSpaceDN w:val="0"/>
              <w:adjustRightInd w:val="0"/>
              <w:snapToGrid w:val="0"/>
              <w:jc w:val="left"/>
              <w:rPr>
                <w:sz w:val="21"/>
                <w:szCs w:val="21"/>
              </w:rPr>
            </w:pPr>
            <w:r>
              <w:rPr>
                <w:rFonts w:hint="eastAsia"/>
                <w:sz w:val="21"/>
                <w:szCs w:val="21"/>
              </w:rPr>
              <w:t>b）</w:t>
            </w:r>
            <w:r>
              <w:rPr>
                <w:sz w:val="21"/>
                <w:szCs w:val="21"/>
              </w:rPr>
              <w:t>采用全方位高低腿铁塔，并配合使用高低基础</w:t>
            </w:r>
            <w:r>
              <w:rPr>
                <w:rFonts w:hint="eastAsia"/>
                <w:sz w:val="21"/>
                <w:szCs w:val="21"/>
              </w:rPr>
              <w:t>。</w:t>
            </w:r>
          </w:p>
          <w:p w14:paraId="7FA6F5AB">
            <w:pPr>
              <w:autoSpaceDE w:val="0"/>
              <w:autoSpaceDN w:val="0"/>
              <w:adjustRightInd w:val="0"/>
              <w:snapToGrid w:val="0"/>
              <w:jc w:val="left"/>
              <w:rPr>
                <w:sz w:val="21"/>
                <w:szCs w:val="21"/>
              </w:rPr>
            </w:pPr>
            <w:r>
              <w:rPr>
                <w:rFonts w:hint="eastAsia"/>
                <w:sz w:val="21"/>
                <w:szCs w:val="21"/>
              </w:rPr>
              <w:t>c）尽可能采取避让和高跨措施，以最大程度减少施工期通道清理对林木的砍伐。应在开工前办理林地占用和林木砍伐手续，禁止乱砍滥伐；输电线路采用先进的施工工艺，减少对线路走廊下方植被的破坏。</w:t>
            </w:r>
          </w:p>
          <w:p w14:paraId="7924D547">
            <w:pPr>
              <w:autoSpaceDE w:val="0"/>
              <w:autoSpaceDN w:val="0"/>
              <w:adjustRightInd w:val="0"/>
              <w:snapToGrid w:val="0"/>
              <w:jc w:val="left"/>
              <w:rPr>
                <w:sz w:val="21"/>
                <w:szCs w:val="21"/>
              </w:rPr>
            </w:pPr>
            <w:r>
              <w:rPr>
                <w:rFonts w:hint="eastAsia"/>
                <w:sz w:val="21"/>
                <w:szCs w:val="21"/>
              </w:rPr>
              <w:t>d）合理安排施工期和作息时间，尽可能避免在晨、昏及夜间进行高噪声作业，减少工程施工噪声对野生动物的惊扰。</w:t>
            </w:r>
          </w:p>
          <w:p w14:paraId="03245C91">
            <w:pPr>
              <w:autoSpaceDE w:val="0"/>
              <w:autoSpaceDN w:val="0"/>
              <w:adjustRightInd w:val="0"/>
              <w:snapToGrid w:val="0"/>
              <w:jc w:val="left"/>
              <w:rPr>
                <w:sz w:val="21"/>
                <w:szCs w:val="21"/>
              </w:rPr>
            </w:pPr>
            <w:r>
              <w:rPr>
                <w:rFonts w:hint="eastAsia"/>
                <w:sz w:val="21"/>
                <w:szCs w:val="21"/>
              </w:rPr>
              <w:t>e）施工材料利用现有各类道路、通道并结合汽运、人力和蓄力运输，不另开辟施工道路；材料堆场和牵张场地尽可能利用植被稀疏的荒地；施工完成后立即清理施工迹地并恢复原有土地用途。</w:t>
            </w:r>
          </w:p>
          <w:p w14:paraId="6E87282A">
            <w:pPr>
              <w:autoSpaceDE w:val="0"/>
              <w:autoSpaceDN w:val="0"/>
              <w:adjustRightInd w:val="0"/>
              <w:snapToGrid w:val="0"/>
              <w:jc w:val="left"/>
              <w:rPr>
                <w:sz w:val="21"/>
                <w:szCs w:val="21"/>
              </w:rPr>
            </w:pPr>
            <w:r>
              <w:rPr>
                <w:rFonts w:hint="eastAsia"/>
                <w:sz w:val="21"/>
                <w:szCs w:val="21"/>
              </w:rPr>
              <w:t>f）加强施工人员动植物保护宣传教育，禁止施工人员随意砍伐和破坏植被、抓捕野生动物等行为；加强森林防火教育，避免人为活动导致森林火灾。</w:t>
            </w:r>
          </w:p>
          <w:p w14:paraId="5E9E606A">
            <w:pPr>
              <w:autoSpaceDE w:val="0"/>
              <w:autoSpaceDN w:val="0"/>
              <w:adjustRightInd w:val="0"/>
              <w:snapToGrid w:val="0"/>
              <w:jc w:val="left"/>
              <w:rPr>
                <w:sz w:val="21"/>
                <w:szCs w:val="21"/>
              </w:rPr>
            </w:pPr>
            <w:r>
              <w:rPr>
                <w:rFonts w:hint="eastAsia"/>
                <w:sz w:val="21"/>
                <w:szCs w:val="21"/>
              </w:rPr>
              <w:t>g）跨越生态保护红线区域和湿地公园采取无害化跨越，不在其内立塔，不在其内设置各类临时用地，禁止在其内堆放生活垃圾和建筑垃圾，禁止向湿地公园排放施工废水。</w:t>
            </w:r>
          </w:p>
          <w:p w14:paraId="43634A3D">
            <w:pPr>
              <w:autoSpaceDE w:val="0"/>
              <w:autoSpaceDN w:val="0"/>
              <w:adjustRightInd w:val="0"/>
              <w:snapToGrid w:val="0"/>
              <w:jc w:val="left"/>
              <w:rPr>
                <w:color w:val="FF0000"/>
                <w:sz w:val="21"/>
                <w:szCs w:val="21"/>
              </w:rPr>
            </w:pPr>
            <w:r>
              <w:rPr>
                <w:rFonts w:hint="eastAsia"/>
                <w:sz w:val="21"/>
                <w:szCs w:val="21"/>
              </w:rPr>
              <w:t>h）加强施工管理，非必要禁止施工人员进入生态保护红线内活动；临近湿地公园及风景名胜区内的塔基基础和架线施工应集中力量在尽量短的施工时间内完工，以减少生物多样性保护优先区域受干扰的时间。</w:t>
            </w:r>
          </w:p>
        </w:tc>
        <w:tc>
          <w:tcPr>
            <w:tcW w:w="634" w:type="pct"/>
            <w:vAlign w:val="center"/>
          </w:tcPr>
          <w:p w14:paraId="5323ECBC">
            <w:pPr>
              <w:autoSpaceDE w:val="0"/>
              <w:autoSpaceDN w:val="0"/>
              <w:adjustRightInd w:val="0"/>
              <w:snapToGrid w:val="0"/>
              <w:jc w:val="left"/>
              <w:rPr>
                <w:color w:val="FF0000"/>
                <w:sz w:val="21"/>
                <w:szCs w:val="21"/>
              </w:rPr>
            </w:pPr>
            <w:r>
              <w:rPr>
                <w:rFonts w:hint="eastAsia"/>
                <w:sz w:val="21"/>
                <w:szCs w:val="21"/>
              </w:rPr>
              <w:t>工程完工后，建筑垃圾清理完毕，周边地表按土地使用功能恢复完毕；按照要求办理了林地占用和林木砍伐手续；塔基和施工临时占地未侵占生态保护红线区域和湖南江华涔天河国家湿地公园，姑婆山风景名胜区内塔基不增加。</w:t>
            </w:r>
          </w:p>
        </w:tc>
        <w:tc>
          <w:tcPr>
            <w:tcW w:w="1666" w:type="pct"/>
            <w:vAlign w:val="center"/>
          </w:tcPr>
          <w:p w14:paraId="4D8DDE12">
            <w:pPr>
              <w:pStyle w:val="93"/>
            </w:pPr>
            <w:r>
              <w:rPr>
                <w:rFonts w:hint="eastAsia"/>
              </w:rPr>
              <w:t>/</w:t>
            </w:r>
          </w:p>
        </w:tc>
        <w:tc>
          <w:tcPr>
            <w:tcW w:w="643" w:type="pct"/>
            <w:vAlign w:val="center"/>
          </w:tcPr>
          <w:p w14:paraId="568D3393">
            <w:pPr>
              <w:pStyle w:val="93"/>
            </w:pPr>
            <w:r>
              <w:rPr>
                <w:rFonts w:hint="eastAsia"/>
              </w:rPr>
              <w:t>/</w:t>
            </w:r>
          </w:p>
        </w:tc>
      </w:tr>
      <w:tr w14:paraId="40D24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14:paraId="27BF4184">
            <w:pPr>
              <w:pStyle w:val="86"/>
              <w:rPr>
                <w:sz w:val="21"/>
                <w:szCs w:val="21"/>
              </w:rPr>
            </w:pPr>
            <w:r>
              <w:rPr>
                <w:sz w:val="21"/>
                <w:szCs w:val="21"/>
              </w:rPr>
              <w:t>水生生态</w:t>
            </w:r>
          </w:p>
        </w:tc>
        <w:tc>
          <w:tcPr>
            <w:tcW w:w="1454" w:type="pct"/>
            <w:vAlign w:val="center"/>
          </w:tcPr>
          <w:p w14:paraId="6F412FA7">
            <w:pPr>
              <w:pStyle w:val="93"/>
              <w:rPr>
                <w:sz w:val="21"/>
                <w:szCs w:val="21"/>
              </w:rPr>
            </w:pPr>
            <w:r>
              <w:rPr>
                <w:rFonts w:hint="eastAsia"/>
                <w:sz w:val="21"/>
                <w:szCs w:val="21"/>
              </w:rPr>
              <w:t>/</w:t>
            </w:r>
          </w:p>
        </w:tc>
        <w:tc>
          <w:tcPr>
            <w:tcW w:w="634" w:type="pct"/>
            <w:vAlign w:val="center"/>
          </w:tcPr>
          <w:p w14:paraId="32CE1D8B">
            <w:pPr>
              <w:autoSpaceDE w:val="0"/>
              <w:autoSpaceDN w:val="0"/>
              <w:adjustRightInd w:val="0"/>
              <w:snapToGrid w:val="0"/>
              <w:jc w:val="left"/>
              <w:rPr>
                <w:sz w:val="21"/>
                <w:szCs w:val="21"/>
              </w:rPr>
            </w:pPr>
            <w:r>
              <w:rPr>
                <w:rFonts w:hint="eastAsia"/>
                <w:sz w:val="21"/>
                <w:szCs w:val="21"/>
              </w:rPr>
              <w:t>/</w:t>
            </w:r>
          </w:p>
        </w:tc>
        <w:tc>
          <w:tcPr>
            <w:tcW w:w="1666" w:type="pct"/>
            <w:vAlign w:val="center"/>
          </w:tcPr>
          <w:p w14:paraId="28502B59">
            <w:pPr>
              <w:pStyle w:val="93"/>
              <w:rPr>
                <w:sz w:val="21"/>
                <w:szCs w:val="21"/>
              </w:rPr>
            </w:pPr>
            <w:r>
              <w:rPr>
                <w:rFonts w:hint="eastAsia"/>
                <w:sz w:val="21"/>
                <w:szCs w:val="21"/>
              </w:rPr>
              <w:t>/</w:t>
            </w:r>
          </w:p>
        </w:tc>
        <w:tc>
          <w:tcPr>
            <w:tcW w:w="643" w:type="pct"/>
            <w:vAlign w:val="center"/>
          </w:tcPr>
          <w:p w14:paraId="269BC49C">
            <w:pPr>
              <w:pStyle w:val="93"/>
              <w:rPr>
                <w:sz w:val="21"/>
                <w:szCs w:val="21"/>
              </w:rPr>
            </w:pPr>
            <w:r>
              <w:rPr>
                <w:rFonts w:hint="eastAsia"/>
                <w:sz w:val="21"/>
                <w:szCs w:val="21"/>
              </w:rPr>
              <w:t>/</w:t>
            </w:r>
          </w:p>
        </w:tc>
      </w:tr>
      <w:tr w14:paraId="2856B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03" w:type="pct"/>
            <w:vMerge w:val="restart"/>
            <w:vAlign w:val="center"/>
          </w:tcPr>
          <w:p w14:paraId="175E5E77">
            <w:pPr>
              <w:pStyle w:val="86"/>
              <w:rPr>
                <w:sz w:val="21"/>
                <w:szCs w:val="21"/>
              </w:rPr>
            </w:pPr>
            <w:r>
              <w:rPr>
                <w:sz w:val="21"/>
                <w:szCs w:val="21"/>
              </w:rPr>
              <w:t>地表水环境</w:t>
            </w:r>
          </w:p>
        </w:tc>
        <w:tc>
          <w:tcPr>
            <w:tcW w:w="1454" w:type="pct"/>
            <w:vAlign w:val="center"/>
          </w:tcPr>
          <w:p w14:paraId="1A5AC124">
            <w:pPr>
              <w:pStyle w:val="93"/>
              <w:rPr>
                <w:sz w:val="21"/>
                <w:szCs w:val="21"/>
              </w:rPr>
            </w:pPr>
            <w:r>
              <w:rPr>
                <w:rFonts w:hint="eastAsia"/>
                <w:sz w:val="21"/>
                <w:szCs w:val="21"/>
              </w:rPr>
              <w:t>贝江变电站间隔扩建施工人员生活污水依托变电站内生活污水收集、消纳系统；线路施工人员租用附近农户民房，不另设施工营地，生活污水利用租用民房内的化粪池进行处理。</w:t>
            </w:r>
          </w:p>
        </w:tc>
        <w:tc>
          <w:tcPr>
            <w:tcW w:w="634" w:type="pct"/>
            <w:vMerge w:val="restart"/>
            <w:vAlign w:val="center"/>
          </w:tcPr>
          <w:p w14:paraId="26B0479D">
            <w:pPr>
              <w:autoSpaceDE w:val="0"/>
              <w:autoSpaceDN w:val="0"/>
              <w:adjustRightInd w:val="0"/>
              <w:snapToGrid w:val="0"/>
              <w:jc w:val="left"/>
              <w:rPr>
                <w:sz w:val="21"/>
                <w:szCs w:val="21"/>
              </w:rPr>
            </w:pPr>
            <w:r>
              <w:rPr>
                <w:rFonts w:hint="eastAsia"/>
                <w:sz w:val="21"/>
                <w:szCs w:val="21"/>
              </w:rPr>
              <w:t>废水不外排</w:t>
            </w:r>
          </w:p>
        </w:tc>
        <w:tc>
          <w:tcPr>
            <w:tcW w:w="1666" w:type="pct"/>
            <w:vMerge w:val="restart"/>
            <w:vAlign w:val="center"/>
          </w:tcPr>
          <w:p w14:paraId="53B81B17">
            <w:pPr>
              <w:pStyle w:val="93"/>
              <w:rPr>
                <w:sz w:val="21"/>
                <w:szCs w:val="21"/>
              </w:rPr>
            </w:pPr>
            <w:r>
              <w:rPr>
                <w:rFonts w:hint="eastAsia"/>
                <w:sz w:val="21"/>
                <w:szCs w:val="21"/>
              </w:rPr>
              <w:t>运营期无生产废水产生</w:t>
            </w:r>
          </w:p>
        </w:tc>
        <w:tc>
          <w:tcPr>
            <w:tcW w:w="643" w:type="pct"/>
            <w:vMerge w:val="restart"/>
            <w:vAlign w:val="center"/>
          </w:tcPr>
          <w:p w14:paraId="58F41F04">
            <w:pPr>
              <w:pStyle w:val="93"/>
              <w:rPr>
                <w:sz w:val="21"/>
                <w:szCs w:val="21"/>
              </w:rPr>
            </w:pPr>
            <w:r>
              <w:rPr>
                <w:rFonts w:hint="eastAsia"/>
                <w:sz w:val="21"/>
                <w:szCs w:val="21"/>
              </w:rPr>
              <w:t>/</w:t>
            </w:r>
          </w:p>
        </w:tc>
      </w:tr>
      <w:tr w14:paraId="62022F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03" w:type="pct"/>
            <w:vMerge w:val="continue"/>
            <w:vAlign w:val="center"/>
          </w:tcPr>
          <w:p w14:paraId="3990E934">
            <w:pPr>
              <w:pStyle w:val="86"/>
              <w:rPr>
                <w:sz w:val="21"/>
                <w:szCs w:val="21"/>
              </w:rPr>
            </w:pPr>
          </w:p>
        </w:tc>
        <w:tc>
          <w:tcPr>
            <w:tcW w:w="1454" w:type="pct"/>
            <w:vAlign w:val="center"/>
          </w:tcPr>
          <w:p w14:paraId="074F47A3">
            <w:pPr>
              <w:pStyle w:val="93"/>
              <w:rPr>
                <w:sz w:val="21"/>
                <w:szCs w:val="21"/>
              </w:rPr>
            </w:pPr>
            <w:r>
              <w:rPr>
                <w:rFonts w:hint="eastAsia"/>
                <w:sz w:val="21"/>
                <w:szCs w:val="21"/>
              </w:rPr>
              <w:t>材料堆场和牵张场地周边设置截排水沟和沉淀池，施工废水经临时沉淀池自然沉淀后回用；合理安排工期，尽量避免雨季开挖作业；雨季做好施工场地周围的拦挡措施；不漫排施工废水，弃土弃渣妥善处理；邻近或跨越水域的线路施工，尤其是临近和跨越湖南江华涔天河湿地公园线路段施工，应严控施工范围，严格关注施工废水、堆土弃渣的处理处置情况，确保不对水体造成污染。</w:t>
            </w:r>
          </w:p>
        </w:tc>
        <w:tc>
          <w:tcPr>
            <w:tcW w:w="634" w:type="pct"/>
            <w:vMerge w:val="continue"/>
            <w:vAlign w:val="center"/>
          </w:tcPr>
          <w:p w14:paraId="077BE03B">
            <w:pPr>
              <w:autoSpaceDE w:val="0"/>
              <w:autoSpaceDN w:val="0"/>
              <w:adjustRightInd w:val="0"/>
              <w:snapToGrid w:val="0"/>
              <w:jc w:val="left"/>
              <w:rPr>
                <w:sz w:val="21"/>
                <w:szCs w:val="21"/>
              </w:rPr>
            </w:pPr>
          </w:p>
        </w:tc>
        <w:tc>
          <w:tcPr>
            <w:tcW w:w="1666" w:type="pct"/>
            <w:vMerge w:val="continue"/>
            <w:vAlign w:val="center"/>
          </w:tcPr>
          <w:p w14:paraId="3655EAC3">
            <w:pPr>
              <w:pStyle w:val="93"/>
              <w:rPr>
                <w:sz w:val="21"/>
                <w:szCs w:val="21"/>
              </w:rPr>
            </w:pPr>
          </w:p>
        </w:tc>
        <w:tc>
          <w:tcPr>
            <w:tcW w:w="643" w:type="pct"/>
            <w:vMerge w:val="continue"/>
            <w:vAlign w:val="center"/>
          </w:tcPr>
          <w:p w14:paraId="191BFE94">
            <w:pPr>
              <w:pStyle w:val="93"/>
              <w:rPr>
                <w:sz w:val="21"/>
                <w:szCs w:val="21"/>
              </w:rPr>
            </w:pPr>
          </w:p>
        </w:tc>
      </w:tr>
      <w:tr w14:paraId="62FC2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14:paraId="3AC2EE7A">
            <w:pPr>
              <w:pStyle w:val="86"/>
              <w:rPr>
                <w:sz w:val="21"/>
                <w:szCs w:val="21"/>
              </w:rPr>
            </w:pPr>
            <w:r>
              <w:rPr>
                <w:sz w:val="21"/>
                <w:szCs w:val="21"/>
              </w:rPr>
              <w:t>地下水及土壤环境</w:t>
            </w:r>
          </w:p>
        </w:tc>
        <w:tc>
          <w:tcPr>
            <w:tcW w:w="1454" w:type="pct"/>
            <w:vAlign w:val="center"/>
          </w:tcPr>
          <w:p w14:paraId="634389EC">
            <w:pPr>
              <w:pStyle w:val="93"/>
              <w:rPr>
                <w:sz w:val="21"/>
                <w:szCs w:val="21"/>
              </w:rPr>
            </w:pPr>
            <w:r>
              <w:rPr>
                <w:rFonts w:hint="eastAsia"/>
                <w:sz w:val="21"/>
                <w:szCs w:val="21"/>
              </w:rPr>
              <w:t>/</w:t>
            </w:r>
          </w:p>
        </w:tc>
        <w:tc>
          <w:tcPr>
            <w:tcW w:w="634" w:type="pct"/>
            <w:vAlign w:val="center"/>
          </w:tcPr>
          <w:p w14:paraId="310F0724">
            <w:pPr>
              <w:pStyle w:val="93"/>
              <w:rPr>
                <w:sz w:val="21"/>
                <w:szCs w:val="21"/>
              </w:rPr>
            </w:pPr>
            <w:r>
              <w:rPr>
                <w:sz w:val="21"/>
                <w:szCs w:val="21"/>
              </w:rPr>
              <w:t>/</w:t>
            </w:r>
          </w:p>
        </w:tc>
        <w:tc>
          <w:tcPr>
            <w:tcW w:w="1666" w:type="pct"/>
            <w:vAlign w:val="center"/>
          </w:tcPr>
          <w:p w14:paraId="2891B2D7">
            <w:pPr>
              <w:pStyle w:val="93"/>
              <w:rPr>
                <w:sz w:val="21"/>
                <w:szCs w:val="21"/>
              </w:rPr>
            </w:pPr>
            <w:r>
              <w:rPr>
                <w:sz w:val="21"/>
                <w:szCs w:val="21"/>
              </w:rPr>
              <w:t>/</w:t>
            </w:r>
          </w:p>
        </w:tc>
        <w:tc>
          <w:tcPr>
            <w:tcW w:w="643" w:type="pct"/>
            <w:vAlign w:val="center"/>
          </w:tcPr>
          <w:p w14:paraId="7886B5DF">
            <w:pPr>
              <w:pStyle w:val="93"/>
              <w:rPr>
                <w:sz w:val="21"/>
                <w:szCs w:val="21"/>
              </w:rPr>
            </w:pPr>
            <w:r>
              <w:rPr>
                <w:sz w:val="21"/>
                <w:szCs w:val="21"/>
              </w:rPr>
              <w:t>/</w:t>
            </w:r>
          </w:p>
        </w:tc>
      </w:tr>
      <w:tr w14:paraId="16DB0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14:paraId="7FA646CF">
            <w:pPr>
              <w:pStyle w:val="86"/>
              <w:rPr>
                <w:sz w:val="21"/>
                <w:szCs w:val="21"/>
              </w:rPr>
            </w:pPr>
            <w:r>
              <w:rPr>
                <w:sz w:val="21"/>
                <w:szCs w:val="21"/>
              </w:rPr>
              <w:t>声环境</w:t>
            </w:r>
          </w:p>
        </w:tc>
        <w:tc>
          <w:tcPr>
            <w:tcW w:w="1454" w:type="pct"/>
            <w:vAlign w:val="center"/>
          </w:tcPr>
          <w:p w14:paraId="146DD265">
            <w:pPr>
              <w:pStyle w:val="93"/>
              <w:rPr>
                <w:sz w:val="21"/>
                <w:szCs w:val="21"/>
              </w:rPr>
            </w:pPr>
            <w:r>
              <w:rPr>
                <w:rFonts w:hint="eastAsia"/>
                <w:sz w:val="21"/>
                <w:szCs w:val="21"/>
              </w:rPr>
              <w:t>优选低噪声施工机械和工艺，加强设备维护保养；加强施工管理，文明施工；依法限制夜间施工，运输车辆途径居民密集区限速禁鸣</w:t>
            </w:r>
          </w:p>
        </w:tc>
        <w:tc>
          <w:tcPr>
            <w:tcW w:w="634" w:type="pct"/>
            <w:vAlign w:val="center"/>
          </w:tcPr>
          <w:p w14:paraId="542D3226">
            <w:pPr>
              <w:pStyle w:val="93"/>
              <w:rPr>
                <w:sz w:val="21"/>
                <w:szCs w:val="21"/>
              </w:rPr>
            </w:pPr>
            <w:r>
              <w:rPr>
                <w:sz w:val="21"/>
                <w:szCs w:val="21"/>
              </w:rPr>
              <w:t>施工期噪声满足《建筑施工场界环境噪声排放标准》（GB12523-2011）。</w:t>
            </w:r>
          </w:p>
        </w:tc>
        <w:tc>
          <w:tcPr>
            <w:tcW w:w="1666" w:type="pct"/>
            <w:vAlign w:val="center"/>
          </w:tcPr>
          <w:p w14:paraId="5B2CA51A">
            <w:pPr>
              <w:pStyle w:val="3"/>
              <w:spacing w:line="240" w:lineRule="auto"/>
              <w:ind w:firstLine="0" w:firstLineChars="0"/>
              <w:rPr>
                <w:sz w:val="21"/>
                <w:szCs w:val="21"/>
              </w:rPr>
            </w:pPr>
            <w:r>
              <w:rPr>
                <w:rFonts w:hint="eastAsia"/>
                <w:sz w:val="21"/>
                <w:szCs w:val="21"/>
              </w:rPr>
              <w:t>运营期做好设施的维护和运行管理，定期开展环境监测，线路评价范围内线路声环境保护目标满足《声环境质量标准》（GB3096-2008）相应标准要求。</w:t>
            </w:r>
          </w:p>
        </w:tc>
        <w:tc>
          <w:tcPr>
            <w:tcW w:w="643" w:type="pct"/>
            <w:vAlign w:val="center"/>
          </w:tcPr>
          <w:p w14:paraId="5AC6C75C">
            <w:pPr>
              <w:pStyle w:val="93"/>
              <w:rPr>
                <w:sz w:val="21"/>
                <w:szCs w:val="21"/>
              </w:rPr>
            </w:pPr>
            <w:r>
              <w:rPr>
                <w:rFonts w:hint="eastAsia"/>
                <w:sz w:val="21"/>
                <w:szCs w:val="21"/>
              </w:rPr>
              <w:t>输电线路沿线的声环境保护目标处的声环境均满足《声环境质量标准》（GB3096-2008）相应标准要求。</w:t>
            </w:r>
          </w:p>
        </w:tc>
      </w:tr>
      <w:tr w14:paraId="40FF3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14:paraId="6C294183">
            <w:pPr>
              <w:pStyle w:val="86"/>
              <w:rPr>
                <w:sz w:val="21"/>
                <w:szCs w:val="21"/>
              </w:rPr>
            </w:pPr>
            <w:r>
              <w:rPr>
                <w:sz w:val="21"/>
                <w:szCs w:val="21"/>
              </w:rPr>
              <w:t>振动</w:t>
            </w:r>
          </w:p>
        </w:tc>
        <w:tc>
          <w:tcPr>
            <w:tcW w:w="1454" w:type="pct"/>
            <w:vAlign w:val="center"/>
          </w:tcPr>
          <w:p w14:paraId="05C3337B">
            <w:pPr>
              <w:pStyle w:val="93"/>
              <w:rPr>
                <w:sz w:val="21"/>
                <w:szCs w:val="21"/>
              </w:rPr>
            </w:pPr>
            <w:r>
              <w:rPr>
                <w:sz w:val="21"/>
                <w:szCs w:val="21"/>
              </w:rPr>
              <w:t>/</w:t>
            </w:r>
          </w:p>
        </w:tc>
        <w:tc>
          <w:tcPr>
            <w:tcW w:w="634" w:type="pct"/>
            <w:vAlign w:val="center"/>
          </w:tcPr>
          <w:p w14:paraId="2C9AB6F3">
            <w:pPr>
              <w:pStyle w:val="93"/>
              <w:rPr>
                <w:sz w:val="21"/>
                <w:szCs w:val="21"/>
              </w:rPr>
            </w:pPr>
            <w:r>
              <w:rPr>
                <w:sz w:val="21"/>
                <w:szCs w:val="21"/>
              </w:rPr>
              <w:t>/</w:t>
            </w:r>
          </w:p>
        </w:tc>
        <w:tc>
          <w:tcPr>
            <w:tcW w:w="1666" w:type="pct"/>
            <w:vAlign w:val="center"/>
          </w:tcPr>
          <w:p w14:paraId="466943C5">
            <w:pPr>
              <w:pStyle w:val="93"/>
              <w:rPr>
                <w:sz w:val="21"/>
                <w:szCs w:val="21"/>
              </w:rPr>
            </w:pPr>
            <w:r>
              <w:rPr>
                <w:sz w:val="21"/>
                <w:szCs w:val="21"/>
              </w:rPr>
              <w:t>/</w:t>
            </w:r>
          </w:p>
        </w:tc>
        <w:tc>
          <w:tcPr>
            <w:tcW w:w="643" w:type="pct"/>
            <w:vAlign w:val="center"/>
          </w:tcPr>
          <w:p w14:paraId="4F59BEF2">
            <w:pPr>
              <w:pStyle w:val="93"/>
              <w:rPr>
                <w:sz w:val="21"/>
                <w:szCs w:val="21"/>
              </w:rPr>
            </w:pPr>
            <w:r>
              <w:rPr>
                <w:sz w:val="21"/>
                <w:szCs w:val="21"/>
              </w:rPr>
              <w:t>/</w:t>
            </w:r>
          </w:p>
        </w:tc>
      </w:tr>
      <w:tr w14:paraId="759333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14:paraId="19E2B411">
            <w:pPr>
              <w:pStyle w:val="86"/>
              <w:rPr>
                <w:sz w:val="21"/>
                <w:szCs w:val="21"/>
              </w:rPr>
            </w:pPr>
            <w:r>
              <w:rPr>
                <w:sz w:val="21"/>
                <w:szCs w:val="21"/>
              </w:rPr>
              <w:t>大气环境</w:t>
            </w:r>
          </w:p>
        </w:tc>
        <w:tc>
          <w:tcPr>
            <w:tcW w:w="1454" w:type="pct"/>
            <w:vAlign w:val="center"/>
          </w:tcPr>
          <w:p w14:paraId="5597FE9E">
            <w:pPr>
              <w:autoSpaceDE w:val="0"/>
              <w:autoSpaceDN w:val="0"/>
              <w:adjustRightInd w:val="0"/>
              <w:snapToGrid w:val="0"/>
              <w:jc w:val="left"/>
              <w:rPr>
                <w:sz w:val="21"/>
                <w:szCs w:val="21"/>
              </w:rPr>
            </w:pPr>
            <w:r>
              <w:rPr>
                <w:rFonts w:hint="eastAsia"/>
                <w:sz w:val="21"/>
                <w:szCs w:val="21"/>
              </w:rPr>
              <w:t>建筑垃圾合理堆放，定期清运，弃渣密闭运输；材料转运时应规范操作，合理装卸；易起尘物料密封运输和堆存，并加以遮盖；施工面集中且有条件的地方洒水降尘，材料堆场及进出道路定期洒水；避免大风天气作业，施工现场禁止抛撒建筑废弃物，禁止焚烧各类废弃物；临时堆土应及时苫盖，干燥天气下易起尘的裸露土地及时苫盖或洒水抑尘，施工结束后立即进行场地恢复。</w:t>
            </w:r>
          </w:p>
        </w:tc>
        <w:tc>
          <w:tcPr>
            <w:tcW w:w="634" w:type="pct"/>
            <w:vAlign w:val="center"/>
          </w:tcPr>
          <w:p w14:paraId="430FEA03">
            <w:pPr>
              <w:pStyle w:val="93"/>
              <w:rPr>
                <w:sz w:val="21"/>
                <w:szCs w:val="21"/>
              </w:rPr>
            </w:pPr>
            <w:r>
              <w:rPr>
                <w:sz w:val="21"/>
                <w:szCs w:val="21"/>
              </w:rPr>
              <w:t>符合《大气污染物综合排放标准》（GBl6297-1996）表2新污染源大气污染物排放限制的无组织排放监控浓度限值</w:t>
            </w:r>
          </w:p>
        </w:tc>
        <w:tc>
          <w:tcPr>
            <w:tcW w:w="1666" w:type="pct"/>
            <w:vAlign w:val="center"/>
          </w:tcPr>
          <w:p w14:paraId="54913D2C">
            <w:pPr>
              <w:pStyle w:val="93"/>
              <w:rPr>
                <w:sz w:val="21"/>
                <w:szCs w:val="21"/>
              </w:rPr>
            </w:pPr>
            <w:r>
              <w:rPr>
                <w:sz w:val="21"/>
                <w:szCs w:val="21"/>
              </w:rPr>
              <w:t>/</w:t>
            </w:r>
          </w:p>
        </w:tc>
        <w:tc>
          <w:tcPr>
            <w:tcW w:w="643" w:type="pct"/>
            <w:vAlign w:val="center"/>
          </w:tcPr>
          <w:p w14:paraId="62E490C8">
            <w:pPr>
              <w:pStyle w:val="93"/>
              <w:rPr>
                <w:sz w:val="21"/>
                <w:szCs w:val="21"/>
              </w:rPr>
            </w:pPr>
            <w:r>
              <w:rPr>
                <w:sz w:val="21"/>
                <w:szCs w:val="21"/>
              </w:rPr>
              <w:t>/</w:t>
            </w:r>
          </w:p>
        </w:tc>
      </w:tr>
      <w:tr w14:paraId="4EC71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14:paraId="2B317632">
            <w:pPr>
              <w:pStyle w:val="86"/>
              <w:rPr>
                <w:sz w:val="21"/>
                <w:szCs w:val="21"/>
              </w:rPr>
            </w:pPr>
            <w:r>
              <w:rPr>
                <w:sz w:val="21"/>
                <w:szCs w:val="21"/>
              </w:rPr>
              <w:t>固体废物</w:t>
            </w:r>
          </w:p>
        </w:tc>
        <w:tc>
          <w:tcPr>
            <w:tcW w:w="1454" w:type="pct"/>
            <w:vAlign w:val="center"/>
          </w:tcPr>
          <w:p w14:paraId="6AF3BE62">
            <w:pPr>
              <w:pStyle w:val="131"/>
              <w:spacing w:line="240" w:lineRule="auto"/>
              <w:ind w:firstLine="0" w:firstLineChars="0"/>
              <w:rPr>
                <w:kern w:val="2"/>
                <w:sz w:val="21"/>
                <w:szCs w:val="21"/>
              </w:rPr>
            </w:pPr>
            <w:r>
              <w:rPr>
                <w:rFonts w:hint="eastAsia"/>
                <w:kern w:val="2"/>
                <w:sz w:val="21"/>
                <w:szCs w:val="21"/>
              </w:rPr>
              <w:t>施工过程产生的余土、表土和混凝土废渣分类堆放于指定位置，混凝土废渣请运至管理部门制定消纳场消纳，余土就地平整，表土用于植被恢复。施工场地生活垃圾实行袋装化，及时清运。废导线、废绝缘材料、废包装物分类收集后由物资回收单位回收利用。</w:t>
            </w:r>
          </w:p>
        </w:tc>
        <w:tc>
          <w:tcPr>
            <w:tcW w:w="634" w:type="pct"/>
            <w:vAlign w:val="center"/>
          </w:tcPr>
          <w:p w14:paraId="23DBA2C6">
            <w:pPr>
              <w:pStyle w:val="93"/>
              <w:rPr>
                <w:sz w:val="21"/>
                <w:szCs w:val="21"/>
              </w:rPr>
            </w:pPr>
            <w:r>
              <w:rPr>
                <w:rFonts w:hint="eastAsia"/>
                <w:sz w:val="21"/>
                <w:szCs w:val="21"/>
              </w:rPr>
              <w:t>妥善处置，不产生二次污染</w:t>
            </w:r>
          </w:p>
        </w:tc>
        <w:tc>
          <w:tcPr>
            <w:tcW w:w="1666" w:type="pct"/>
            <w:vAlign w:val="center"/>
          </w:tcPr>
          <w:p w14:paraId="10EE0A9C">
            <w:pPr>
              <w:pStyle w:val="131"/>
              <w:spacing w:line="240" w:lineRule="auto"/>
              <w:ind w:firstLine="0" w:firstLineChars="0"/>
              <w:rPr>
                <w:sz w:val="21"/>
                <w:szCs w:val="21"/>
              </w:rPr>
            </w:pPr>
            <w:r>
              <w:rPr>
                <w:rFonts w:hint="eastAsia"/>
                <w:sz w:val="21"/>
                <w:szCs w:val="21"/>
              </w:rPr>
              <w:t>线路检修垃圾由线路巡检人员带离现场，交由附近环卫部门处置。</w:t>
            </w:r>
          </w:p>
        </w:tc>
        <w:tc>
          <w:tcPr>
            <w:tcW w:w="643" w:type="pct"/>
            <w:vAlign w:val="center"/>
          </w:tcPr>
          <w:p w14:paraId="1719AB23">
            <w:pPr>
              <w:pStyle w:val="93"/>
              <w:rPr>
                <w:sz w:val="21"/>
                <w:szCs w:val="21"/>
              </w:rPr>
            </w:pPr>
            <w:r>
              <w:rPr>
                <w:rFonts w:hint="eastAsia"/>
                <w:sz w:val="21"/>
                <w:szCs w:val="21"/>
              </w:rPr>
              <w:t>妥善处置，不产生二次污染</w:t>
            </w:r>
          </w:p>
        </w:tc>
      </w:tr>
      <w:tr w14:paraId="1591E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14:paraId="4669D0C8">
            <w:pPr>
              <w:pStyle w:val="86"/>
              <w:rPr>
                <w:sz w:val="21"/>
                <w:szCs w:val="21"/>
              </w:rPr>
            </w:pPr>
            <w:r>
              <w:rPr>
                <w:sz w:val="21"/>
                <w:szCs w:val="21"/>
              </w:rPr>
              <w:t>电磁环境</w:t>
            </w:r>
          </w:p>
        </w:tc>
        <w:tc>
          <w:tcPr>
            <w:tcW w:w="1454" w:type="pct"/>
            <w:vAlign w:val="center"/>
          </w:tcPr>
          <w:p w14:paraId="647B6C89">
            <w:pPr>
              <w:pStyle w:val="93"/>
              <w:rPr>
                <w:sz w:val="21"/>
                <w:szCs w:val="21"/>
              </w:rPr>
            </w:pPr>
            <w:r>
              <w:rPr>
                <w:sz w:val="21"/>
                <w:szCs w:val="21"/>
              </w:rPr>
              <w:t>/</w:t>
            </w:r>
          </w:p>
        </w:tc>
        <w:tc>
          <w:tcPr>
            <w:tcW w:w="634" w:type="pct"/>
            <w:vAlign w:val="center"/>
          </w:tcPr>
          <w:p w14:paraId="6DFFA27A">
            <w:pPr>
              <w:pStyle w:val="93"/>
              <w:rPr>
                <w:sz w:val="21"/>
                <w:szCs w:val="21"/>
              </w:rPr>
            </w:pPr>
            <w:r>
              <w:rPr>
                <w:sz w:val="21"/>
                <w:szCs w:val="21"/>
              </w:rPr>
              <w:t>/</w:t>
            </w:r>
          </w:p>
        </w:tc>
        <w:tc>
          <w:tcPr>
            <w:tcW w:w="1666" w:type="pct"/>
            <w:vAlign w:val="center"/>
          </w:tcPr>
          <w:p w14:paraId="782AE72D">
            <w:pPr>
              <w:autoSpaceDE w:val="0"/>
              <w:autoSpaceDN w:val="0"/>
              <w:adjustRightInd w:val="0"/>
              <w:snapToGrid w:val="0"/>
              <w:jc w:val="left"/>
              <w:rPr>
                <w:sz w:val="21"/>
                <w:szCs w:val="21"/>
              </w:rPr>
            </w:pPr>
            <w:r>
              <w:rPr>
                <w:rFonts w:hint="eastAsia"/>
                <w:sz w:val="21"/>
                <w:szCs w:val="21"/>
              </w:rPr>
              <w:t>线路的设计根据 《110～750kV 架空输电线路设计规范》 (GB50545-2010)</w:t>
            </w:r>
          </w:p>
          <w:p w14:paraId="513ACA52">
            <w:pPr>
              <w:autoSpaceDE w:val="0"/>
              <w:autoSpaceDN w:val="0"/>
              <w:adjustRightInd w:val="0"/>
              <w:snapToGrid w:val="0"/>
              <w:jc w:val="left"/>
              <w:rPr>
                <w:sz w:val="21"/>
                <w:szCs w:val="21"/>
              </w:rPr>
            </w:pPr>
            <w:r>
              <w:rPr>
                <w:rFonts w:hint="eastAsia"/>
                <w:sz w:val="21"/>
                <w:szCs w:val="21"/>
              </w:rPr>
              <w:t>等规程进行导线 的结构和物理参数论证并按规范选用。</w:t>
            </w:r>
          </w:p>
        </w:tc>
        <w:tc>
          <w:tcPr>
            <w:tcW w:w="643" w:type="pct"/>
            <w:vAlign w:val="center"/>
          </w:tcPr>
          <w:p w14:paraId="5770985C">
            <w:pPr>
              <w:autoSpaceDE w:val="0"/>
              <w:autoSpaceDN w:val="0"/>
              <w:adjustRightInd w:val="0"/>
              <w:snapToGrid w:val="0"/>
              <w:jc w:val="left"/>
              <w:rPr>
                <w:sz w:val="21"/>
                <w:szCs w:val="21"/>
              </w:rPr>
            </w:pPr>
            <w:r>
              <w:rPr>
                <w:rFonts w:hint="eastAsia"/>
                <w:sz w:val="21"/>
                <w:szCs w:val="21"/>
              </w:rPr>
              <w:t>符合《电磁环境控制限值》（GB8702-2014）厂界工频电场强度4kV/m、工频磁感应强度100μT标准限值要求。</w:t>
            </w:r>
          </w:p>
        </w:tc>
      </w:tr>
      <w:tr w14:paraId="2E53B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14:paraId="18B7BDF4">
            <w:pPr>
              <w:pStyle w:val="86"/>
              <w:rPr>
                <w:sz w:val="21"/>
                <w:szCs w:val="21"/>
              </w:rPr>
            </w:pPr>
            <w:r>
              <w:rPr>
                <w:sz w:val="21"/>
                <w:szCs w:val="21"/>
              </w:rPr>
              <w:t>环境风险</w:t>
            </w:r>
          </w:p>
        </w:tc>
        <w:tc>
          <w:tcPr>
            <w:tcW w:w="1454" w:type="pct"/>
            <w:vAlign w:val="center"/>
          </w:tcPr>
          <w:p w14:paraId="5BFEF26F">
            <w:pPr>
              <w:pStyle w:val="93"/>
              <w:rPr>
                <w:sz w:val="21"/>
                <w:szCs w:val="21"/>
              </w:rPr>
            </w:pPr>
            <w:r>
              <w:rPr>
                <w:sz w:val="21"/>
                <w:szCs w:val="21"/>
              </w:rPr>
              <w:t>/</w:t>
            </w:r>
          </w:p>
        </w:tc>
        <w:tc>
          <w:tcPr>
            <w:tcW w:w="634" w:type="pct"/>
            <w:vAlign w:val="center"/>
          </w:tcPr>
          <w:p w14:paraId="5EA78063">
            <w:pPr>
              <w:pStyle w:val="93"/>
              <w:rPr>
                <w:sz w:val="21"/>
                <w:szCs w:val="21"/>
              </w:rPr>
            </w:pPr>
            <w:r>
              <w:rPr>
                <w:sz w:val="21"/>
                <w:szCs w:val="21"/>
              </w:rPr>
              <w:t>/</w:t>
            </w:r>
          </w:p>
        </w:tc>
        <w:tc>
          <w:tcPr>
            <w:tcW w:w="1666" w:type="pct"/>
            <w:vAlign w:val="center"/>
          </w:tcPr>
          <w:p w14:paraId="34A0EFF0">
            <w:pPr>
              <w:autoSpaceDE w:val="0"/>
              <w:autoSpaceDN w:val="0"/>
              <w:adjustRightInd w:val="0"/>
              <w:snapToGrid w:val="0"/>
              <w:jc w:val="center"/>
              <w:rPr>
                <w:sz w:val="21"/>
                <w:szCs w:val="21"/>
              </w:rPr>
            </w:pPr>
            <w:r>
              <w:rPr>
                <w:rFonts w:hint="eastAsia"/>
                <w:sz w:val="21"/>
                <w:szCs w:val="21"/>
              </w:rPr>
              <w:t>/</w:t>
            </w:r>
          </w:p>
        </w:tc>
        <w:tc>
          <w:tcPr>
            <w:tcW w:w="643" w:type="pct"/>
            <w:vAlign w:val="center"/>
          </w:tcPr>
          <w:p w14:paraId="1D21A215">
            <w:pPr>
              <w:pStyle w:val="93"/>
              <w:rPr>
                <w:sz w:val="21"/>
                <w:szCs w:val="21"/>
              </w:rPr>
            </w:pPr>
            <w:r>
              <w:rPr>
                <w:rFonts w:hint="eastAsia"/>
                <w:sz w:val="21"/>
                <w:szCs w:val="21"/>
              </w:rPr>
              <w:t>/</w:t>
            </w:r>
          </w:p>
        </w:tc>
      </w:tr>
      <w:tr w14:paraId="76645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14:paraId="5E5D4041">
            <w:pPr>
              <w:pStyle w:val="86"/>
              <w:rPr>
                <w:sz w:val="21"/>
                <w:szCs w:val="21"/>
              </w:rPr>
            </w:pPr>
            <w:r>
              <w:rPr>
                <w:rFonts w:hint="eastAsia"/>
                <w:sz w:val="21"/>
                <w:szCs w:val="21"/>
              </w:rPr>
              <w:t>环境监理</w:t>
            </w:r>
          </w:p>
        </w:tc>
        <w:tc>
          <w:tcPr>
            <w:tcW w:w="1454" w:type="pct"/>
            <w:vAlign w:val="center"/>
          </w:tcPr>
          <w:p w14:paraId="3A76D3DB">
            <w:pPr>
              <w:pStyle w:val="93"/>
              <w:rPr>
                <w:sz w:val="21"/>
                <w:szCs w:val="21"/>
              </w:rPr>
            </w:pPr>
            <w:r>
              <w:rPr>
                <w:rFonts w:hint="eastAsia"/>
                <w:sz w:val="21"/>
                <w:szCs w:val="21"/>
              </w:rPr>
              <w:t>按照相关要求开展施工期环境监理</w:t>
            </w:r>
          </w:p>
        </w:tc>
        <w:tc>
          <w:tcPr>
            <w:tcW w:w="634" w:type="pct"/>
            <w:vAlign w:val="center"/>
          </w:tcPr>
          <w:p w14:paraId="7BAA5504">
            <w:pPr>
              <w:pStyle w:val="93"/>
              <w:jc w:val="both"/>
              <w:rPr>
                <w:sz w:val="21"/>
                <w:szCs w:val="21"/>
              </w:rPr>
            </w:pPr>
            <w:r>
              <w:rPr>
                <w:rFonts w:hint="eastAsia"/>
                <w:sz w:val="21"/>
                <w:szCs w:val="21"/>
              </w:rPr>
              <w:t>相关记录和报告完善</w:t>
            </w:r>
          </w:p>
        </w:tc>
        <w:tc>
          <w:tcPr>
            <w:tcW w:w="1666" w:type="pct"/>
            <w:vAlign w:val="center"/>
          </w:tcPr>
          <w:p w14:paraId="508C8033">
            <w:pPr>
              <w:autoSpaceDE w:val="0"/>
              <w:autoSpaceDN w:val="0"/>
              <w:adjustRightInd w:val="0"/>
              <w:snapToGrid w:val="0"/>
              <w:jc w:val="center"/>
              <w:rPr>
                <w:sz w:val="21"/>
                <w:szCs w:val="21"/>
              </w:rPr>
            </w:pPr>
            <w:r>
              <w:rPr>
                <w:rFonts w:hint="eastAsia"/>
                <w:sz w:val="21"/>
                <w:szCs w:val="21"/>
              </w:rPr>
              <w:t>/</w:t>
            </w:r>
          </w:p>
        </w:tc>
        <w:tc>
          <w:tcPr>
            <w:tcW w:w="643" w:type="pct"/>
            <w:vAlign w:val="center"/>
          </w:tcPr>
          <w:p w14:paraId="391F0735">
            <w:pPr>
              <w:pStyle w:val="93"/>
              <w:rPr>
                <w:sz w:val="21"/>
                <w:szCs w:val="21"/>
              </w:rPr>
            </w:pPr>
            <w:r>
              <w:rPr>
                <w:rFonts w:hint="eastAsia"/>
                <w:sz w:val="21"/>
                <w:szCs w:val="21"/>
              </w:rPr>
              <w:t>/</w:t>
            </w:r>
          </w:p>
        </w:tc>
      </w:tr>
      <w:tr w14:paraId="22393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14:paraId="5C69C036">
            <w:pPr>
              <w:pStyle w:val="86"/>
              <w:rPr>
                <w:sz w:val="21"/>
                <w:szCs w:val="21"/>
              </w:rPr>
            </w:pPr>
            <w:r>
              <w:rPr>
                <w:sz w:val="21"/>
                <w:szCs w:val="21"/>
              </w:rPr>
              <w:t>环境监测</w:t>
            </w:r>
          </w:p>
        </w:tc>
        <w:tc>
          <w:tcPr>
            <w:tcW w:w="1454" w:type="pct"/>
            <w:vAlign w:val="center"/>
          </w:tcPr>
          <w:p w14:paraId="5FFFC277">
            <w:pPr>
              <w:pStyle w:val="93"/>
              <w:rPr>
                <w:sz w:val="21"/>
                <w:szCs w:val="21"/>
              </w:rPr>
            </w:pPr>
            <w:r>
              <w:rPr>
                <w:rFonts w:hint="eastAsia"/>
                <w:sz w:val="21"/>
                <w:szCs w:val="21"/>
              </w:rPr>
              <w:t>按要求开展施工期废气、噪声和生态环境监测</w:t>
            </w:r>
          </w:p>
        </w:tc>
        <w:tc>
          <w:tcPr>
            <w:tcW w:w="634" w:type="pct"/>
            <w:vAlign w:val="center"/>
          </w:tcPr>
          <w:p w14:paraId="71D429D1">
            <w:pPr>
              <w:pStyle w:val="93"/>
              <w:rPr>
                <w:sz w:val="21"/>
                <w:szCs w:val="21"/>
              </w:rPr>
            </w:pPr>
            <w:r>
              <w:rPr>
                <w:rFonts w:hint="eastAsia" w:ascii="宋体" w:hAnsi="宋体" w:cs="宋体"/>
                <w:sz w:val="21"/>
                <w:szCs w:val="21"/>
              </w:rPr>
              <w:t>满足各执行标准限值</w:t>
            </w:r>
            <w:r>
              <w:rPr>
                <w:rFonts w:hint="eastAsia"/>
                <w:sz w:val="21"/>
                <w:szCs w:val="21"/>
              </w:rPr>
              <w:t>，满足风景名胜区、湿地公园管理单位和林业主管部门要求</w:t>
            </w:r>
          </w:p>
        </w:tc>
        <w:tc>
          <w:tcPr>
            <w:tcW w:w="1666" w:type="pct"/>
            <w:vAlign w:val="center"/>
          </w:tcPr>
          <w:p w14:paraId="735527EA">
            <w:pPr>
              <w:pStyle w:val="93"/>
              <w:rPr>
                <w:sz w:val="21"/>
                <w:szCs w:val="21"/>
              </w:rPr>
            </w:pPr>
            <w:r>
              <w:rPr>
                <w:rFonts w:hint="eastAsia"/>
                <w:sz w:val="21"/>
                <w:szCs w:val="21"/>
              </w:rPr>
              <w:t>定期开展电磁环境、噪声和生态环境监测</w:t>
            </w:r>
          </w:p>
        </w:tc>
        <w:tc>
          <w:tcPr>
            <w:tcW w:w="643" w:type="pct"/>
            <w:vAlign w:val="center"/>
          </w:tcPr>
          <w:p w14:paraId="24E938EA">
            <w:pPr>
              <w:pStyle w:val="93"/>
              <w:rPr>
                <w:sz w:val="21"/>
                <w:szCs w:val="21"/>
              </w:rPr>
            </w:pPr>
            <w:r>
              <w:rPr>
                <w:sz w:val="21"/>
                <w:szCs w:val="21"/>
              </w:rPr>
              <w:t>按照环评要求落实、监测达标</w:t>
            </w:r>
            <w:r>
              <w:rPr>
                <w:rFonts w:hint="eastAsia"/>
                <w:sz w:val="21"/>
                <w:szCs w:val="21"/>
              </w:rPr>
              <w:t>，满足风景名胜区、湿地公园管理单位和林业主管部门要求</w:t>
            </w:r>
          </w:p>
        </w:tc>
      </w:tr>
      <w:tr w14:paraId="3009C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603" w:type="pct"/>
            <w:vAlign w:val="center"/>
          </w:tcPr>
          <w:p w14:paraId="089B5DF5">
            <w:pPr>
              <w:pStyle w:val="86"/>
              <w:rPr>
                <w:sz w:val="21"/>
                <w:szCs w:val="21"/>
              </w:rPr>
            </w:pPr>
            <w:r>
              <w:rPr>
                <w:sz w:val="21"/>
                <w:szCs w:val="21"/>
              </w:rPr>
              <w:t>其他</w:t>
            </w:r>
          </w:p>
        </w:tc>
        <w:tc>
          <w:tcPr>
            <w:tcW w:w="1454" w:type="pct"/>
            <w:vAlign w:val="center"/>
          </w:tcPr>
          <w:p w14:paraId="4B7039A0">
            <w:pPr>
              <w:pStyle w:val="93"/>
              <w:rPr>
                <w:sz w:val="21"/>
                <w:szCs w:val="21"/>
              </w:rPr>
            </w:pPr>
            <w:r>
              <w:rPr>
                <w:sz w:val="21"/>
                <w:szCs w:val="21"/>
              </w:rPr>
              <w:t>/</w:t>
            </w:r>
          </w:p>
        </w:tc>
        <w:tc>
          <w:tcPr>
            <w:tcW w:w="634" w:type="pct"/>
            <w:vAlign w:val="center"/>
          </w:tcPr>
          <w:p w14:paraId="2B5F7CC1">
            <w:pPr>
              <w:pStyle w:val="93"/>
              <w:rPr>
                <w:sz w:val="21"/>
                <w:szCs w:val="21"/>
              </w:rPr>
            </w:pPr>
            <w:r>
              <w:rPr>
                <w:sz w:val="21"/>
                <w:szCs w:val="21"/>
              </w:rPr>
              <w:t>/</w:t>
            </w:r>
          </w:p>
        </w:tc>
        <w:tc>
          <w:tcPr>
            <w:tcW w:w="1666" w:type="pct"/>
            <w:vAlign w:val="center"/>
          </w:tcPr>
          <w:p w14:paraId="0941B27C">
            <w:pPr>
              <w:pStyle w:val="93"/>
              <w:rPr>
                <w:sz w:val="21"/>
                <w:szCs w:val="21"/>
              </w:rPr>
            </w:pPr>
            <w:r>
              <w:rPr>
                <w:sz w:val="21"/>
                <w:szCs w:val="21"/>
              </w:rPr>
              <w:t>/</w:t>
            </w:r>
          </w:p>
        </w:tc>
        <w:tc>
          <w:tcPr>
            <w:tcW w:w="643" w:type="pct"/>
            <w:vAlign w:val="center"/>
          </w:tcPr>
          <w:p w14:paraId="386905A1">
            <w:pPr>
              <w:pStyle w:val="93"/>
              <w:rPr>
                <w:sz w:val="21"/>
                <w:szCs w:val="21"/>
              </w:rPr>
            </w:pPr>
            <w:r>
              <w:rPr>
                <w:sz w:val="21"/>
                <w:szCs w:val="21"/>
              </w:rPr>
              <w:t>/</w:t>
            </w:r>
          </w:p>
        </w:tc>
      </w:tr>
    </w:tbl>
    <w:p w14:paraId="03656035">
      <w:pPr>
        <w:pStyle w:val="37"/>
        <w:spacing w:before="192" w:beforeLines="80" w:beforeAutospacing="0"/>
        <w:jc w:val="center"/>
        <w:outlineLvl w:val="0"/>
        <w:rPr>
          <w:rFonts w:ascii="黑体" w:hAnsi="黑体" w:eastAsia="黑体"/>
          <w:snapToGrid w:val="0"/>
          <w:sz w:val="30"/>
          <w:szCs w:val="30"/>
        </w:rPr>
      </w:pPr>
      <w:bookmarkStart w:id="261" w:name="_Toc95916536"/>
      <w:bookmarkStart w:id="262" w:name="_Toc95916505"/>
      <w:r>
        <w:rPr>
          <w:rFonts w:ascii="黑体" w:hAnsi="黑体" w:eastAsia="黑体"/>
          <w:snapToGrid w:val="0"/>
          <w:sz w:val="30"/>
          <w:szCs w:val="30"/>
        </w:rPr>
        <w:br w:type="page"/>
      </w:r>
      <w:bookmarkStart w:id="263" w:name="_Toc99093555"/>
      <w:bookmarkStart w:id="264" w:name="_Toc186810120"/>
      <w:bookmarkStart w:id="265" w:name="_Toc99093296"/>
      <w:bookmarkStart w:id="266" w:name="_Toc99090839"/>
      <w:r>
        <w:rPr>
          <w:rFonts w:hint="eastAsia" w:ascii="黑体" w:hAnsi="黑体" w:eastAsia="黑体"/>
          <w:snapToGrid w:val="0"/>
          <w:sz w:val="30"/>
          <w:szCs w:val="30"/>
        </w:rPr>
        <w:t>七、结论</w:t>
      </w:r>
      <w:bookmarkEnd w:id="261"/>
      <w:bookmarkEnd w:id="262"/>
      <w:bookmarkEnd w:id="263"/>
      <w:bookmarkEnd w:id="264"/>
      <w:bookmarkEnd w:id="265"/>
      <w:bookmarkEnd w:id="266"/>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258CB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75" w:hRule="atLeast"/>
          <w:jc w:val="center"/>
        </w:trPr>
        <w:tc>
          <w:tcPr>
            <w:tcW w:w="5000" w:type="pct"/>
          </w:tcPr>
          <w:p w14:paraId="63288BEC">
            <w:pPr>
              <w:pStyle w:val="3"/>
              <w:ind w:firstLine="480"/>
            </w:pPr>
            <w:r>
              <w:rPr>
                <w:rFonts w:hint="eastAsia"/>
              </w:rPr>
              <w:t>综上分析，本项目的选址符合环境要求，符合国家产业政策，项目无害化跨越生态保护红线，已落实</w:t>
            </w:r>
            <w:r>
              <w:rPr>
                <w:rFonts w:hint="eastAsia"/>
                <w:color w:val="000000" w:themeColor="text1"/>
                <w14:textFill>
                  <w14:solidFill>
                    <w14:schemeClr w14:val="tx1"/>
                  </w14:solidFill>
                </w14:textFill>
              </w:rPr>
              <w:t>生态保护红线有限占用相关手续，</w:t>
            </w:r>
            <w:r>
              <w:rPr>
                <w:rFonts w:hint="eastAsia"/>
              </w:rPr>
              <w:t>且符合“三线一单”生态环境分区管控等相关要求；项目跨越湖南江华涔天河国家湿地公园和姑婆山风景名胜区，已按照相关要求取得主管部门同意的意见。工程在设计过程中采取了相应的环境保护措施，在切实落实本环境影响报告表中提出的各项污染防治措施和生态保护措施前提下，项目施工期及营运期产生的各项污染物可达标排放，固体废物能得到有效处置，对生态环境的影响较小。因此，在落实各项生态环境保护措施并加强运营管理后，从环境保护角度分析，本项目的选址选线和建设可行。</w:t>
            </w:r>
          </w:p>
        </w:tc>
      </w:tr>
    </w:tbl>
    <w:p w14:paraId="238F8834">
      <w:pPr>
        <w:pStyle w:val="3"/>
        <w:ind w:firstLine="480"/>
        <w:sectPr>
          <w:footerReference r:id="rId9" w:type="default"/>
          <w:pgSz w:w="11906" w:h="16838"/>
          <w:pgMar w:top="1588" w:right="1361" w:bottom="1474" w:left="1474" w:header="1021" w:footer="851" w:gutter="0"/>
          <w:cols w:space="425" w:num="1"/>
          <w:docGrid w:linePitch="312" w:charSpace="0"/>
        </w:sectPr>
      </w:pPr>
      <w:r>
        <w:br w:type="page"/>
      </w:r>
    </w:p>
    <w:p w14:paraId="5468FEB8">
      <w:pPr>
        <w:ind w:firstLine="480"/>
      </w:pPr>
    </w:p>
    <w:p w14:paraId="5B00ABCA">
      <w:pPr>
        <w:ind w:firstLine="480"/>
      </w:pPr>
    </w:p>
    <w:p w14:paraId="43CB4125">
      <w:pPr>
        <w:ind w:firstLine="480"/>
      </w:pPr>
    </w:p>
    <w:p w14:paraId="678EFD55">
      <w:pPr>
        <w:ind w:firstLine="480"/>
      </w:pPr>
    </w:p>
    <w:p w14:paraId="73999E5C">
      <w:pPr>
        <w:ind w:firstLine="480"/>
      </w:pPr>
    </w:p>
    <w:p w14:paraId="675D329F">
      <w:pPr>
        <w:ind w:firstLine="880"/>
        <w:rPr>
          <w:rFonts w:ascii="黑体" w:hAnsi="黑体" w:eastAsia="黑体"/>
          <w:sz w:val="44"/>
          <w:szCs w:val="44"/>
        </w:rPr>
      </w:pPr>
    </w:p>
    <w:p w14:paraId="7D6BD9B2">
      <w:pPr>
        <w:ind w:firstLine="880"/>
        <w:rPr>
          <w:rFonts w:ascii="黑体" w:hAnsi="黑体" w:eastAsia="黑体"/>
          <w:sz w:val="44"/>
          <w:szCs w:val="44"/>
        </w:rPr>
      </w:pPr>
    </w:p>
    <w:p w14:paraId="2D8B7CFF">
      <w:pPr>
        <w:ind w:firstLine="880"/>
        <w:rPr>
          <w:rFonts w:ascii="黑体" w:hAnsi="黑体" w:eastAsia="黑体"/>
          <w:sz w:val="44"/>
          <w:szCs w:val="44"/>
        </w:rPr>
      </w:pPr>
    </w:p>
    <w:p w14:paraId="32CAA2E3">
      <w:pPr>
        <w:jc w:val="center"/>
        <w:rPr>
          <w:rFonts w:ascii="黑体" w:hAnsi="黑体" w:eastAsia="黑体"/>
          <w:sz w:val="44"/>
          <w:szCs w:val="44"/>
        </w:rPr>
      </w:pPr>
      <w:r>
        <w:rPr>
          <w:rFonts w:hint="eastAsia" w:ascii="黑体" w:hAnsi="黑体" w:eastAsia="黑体"/>
          <w:sz w:val="44"/>
          <w:szCs w:val="44"/>
        </w:rPr>
        <w:t>湖南省江华湾水源抽水蓄能电站</w:t>
      </w:r>
    </w:p>
    <w:p w14:paraId="5B471BE0">
      <w:pPr>
        <w:jc w:val="center"/>
        <w:rPr>
          <w:rFonts w:ascii="黑体" w:hAnsi="黑体" w:eastAsia="黑体"/>
          <w:sz w:val="44"/>
          <w:szCs w:val="44"/>
        </w:rPr>
      </w:pPr>
      <w:r>
        <w:rPr>
          <w:rFonts w:hint="eastAsia" w:ascii="黑体" w:hAnsi="黑体" w:eastAsia="黑体"/>
          <w:sz w:val="44"/>
          <w:szCs w:val="44"/>
        </w:rPr>
        <w:t>施工电源110千伏线路工程电网项目</w:t>
      </w:r>
    </w:p>
    <w:p w14:paraId="52054707">
      <w:pPr>
        <w:ind w:firstLine="880"/>
        <w:rPr>
          <w:rFonts w:ascii="黑体" w:hAnsi="黑体" w:eastAsia="黑体"/>
          <w:sz w:val="44"/>
          <w:szCs w:val="44"/>
        </w:rPr>
      </w:pPr>
    </w:p>
    <w:p w14:paraId="2F82AB8A">
      <w:pPr>
        <w:ind w:firstLine="234" w:firstLineChars="45"/>
        <w:jc w:val="center"/>
        <w:outlineLvl w:val="0"/>
        <w:rPr>
          <w:rFonts w:ascii="黑体" w:hAnsi="黑体" w:eastAsia="黑体"/>
          <w:sz w:val="52"/>
          <w:szCs w:val="52"/>
        </w:rPr>
      </w:pPr>
      <w:bookmarkStart w:id="267" w:name="_Toc174612139"/>
      <w:bookmarkStart w:id="268" w:name="_Toc186810121"/>
      <w:r>
        <w:rPr>
          <w:rFonts w:hint="eastAsia" w:ascii="黑体" w:hAnsi="黑体" w:eastAsia="黑体"/>
          <w:sz w:val="52"/>
          <w:szCs w:val="52"/>
        </w:rPr>
        <w:t>生态环境影响专项评价</w:t>
      </w:r>
      <w:bookmarkEnd w:id="267"/>
      <w:bookmarkEnd w:id="268"/>
    </w:p>
    <w:p w14:paraId="42FB985C">
      <w:pPr>
        <w:ind w:firstLine="480"/>
      </w:pPr>
    </w:p>
    <w:p w14:paraId="4910E959">
      <w:pPr>
        <w:ind w:firstLine="480"/>
      </w:pPr>
    </w:p>
    <w:p w14:paraId="28D4D2B3">
      <w:pPr>
        <w:ind w:firstLine="480"/>
      </w:pPr>
    </w:p>
    <w:p w14:paraId="07A3EEED">
      <w:pPr>
        <w:ind w:firstLine="480"/>
      </w:pPr>
    </w:p>
    <w:p w14:paraId="3711C208">
      <w:pPr>
        <w:ind w:firstLine="480"/>
      </w:pPr>
    </w:p>
    <w:p w14:paraId="3F4D6EC5">
      <w:pPr>
        <w:ind w:firstLine="480"/>
      </w:pPr>
    </w:p>
    <w:p w14:paraId="189F4872">
      <w:pPr>
        <w:ind w:firstLine="480"/>
      </w:pPr>
    </w:p>
    <w:p w14:paraId="31AAFED4">
      <w:pPr>
        <w:ind w:firstLine="480"/>
      </w:pPr>
    </w:p>
    <w:p w14:paraId="07FED473">
      <w:pPr>
        <w:ind w:firstLine="480"/>
      </w:pPr>
    </w:p>
    <w:p w14:paraId="5628F38D">
      <w:pPr>
        <w:ind w:firstLine="480"/>
      </w:pPr>
    </w:p>
    <w:p w14:paraId="7C1455C4">
      <w:pPr>
        <w:ind w:firstLine="480"/>
      </w:pPr>
    </w:p>
    <w:p w14:paraId="332B2F79">
      <w:pPr>
        <w:ind w:firstLine="480"/>
      </w:pPr>
    </w:p>
    <w:p w14:paraId="1AC904C2">
      <w:pPr>
        <w:ind w:firstLine="480"/>
      </w:pPr>
    </w:p>
    <w:p w14:paraId="2CC84B1D">
      <w:pPr>
        <w:ind w:firstLine="480"/>
      </w:pPr>
    </w:p>
    <w:p w14:paraId="1AF659B3">
      <w:pPr>
        <w:ind w:firstLine="480"/>
      </w:pPr>
    </w:p>
    <w:p w14:paraId="77DBEA69">
      <w:pPr>
        <w:ind w:firstLine="480"/>
      </w:pPr>
    </w:p>
    <w:p w14:paraId="4ABCBBCD">
      <w:pPr>
        <w:ind w:firstLine="480"/>
      </w:pPr>
    </w:p>
    <w:p w14:paraId="457D727A">
      <w:pPr>
        <w:ind w:firstLine="480"/>
      </w:pPr>
    </w:p>
    <w:p w14:paraId="789D8556">
      <w:pPr>
        <w:ind w:firstLine="480"/>
      </w:pPr>
    </w:p>
    <w:p w14:paraId="4E113E56">
      <w:pPr>
        <w:ind w:firstLine="480"/>
      </w:pPr>
    </w:p>
    <w:p w14:paraId="06913A18">
      <w:pPr>
        <w:ind w:firstLine="480"/>
      </w:pPr>
    </w:p>
    <w:p w14:paraId="0C6E5DD3">
      <w:pPr>
        <w:ind w:firstLine="480"/>
      </w:pPr>
    </w:p>
    <w:p w14:paraId="0112167D">
      <w:pPr>
        <w:ind w:firstLine="480"/>
      </w:pPr>
    </w:p>
    <w:p w14:paraId="2DF55AAE">
      <w:pPr>
        <w:ind w:firstLine="480"/>
      </w:pPr>
    </w:p>
    <w:p w14:paraId="38A49191">
      <w:pPr>
        <w:ind w:firstLine="480"/>
      </w:pPr>
    </w:p>
    <w:p w14:paraId="1C712A2D">
      <w:pPr>
        <w:ind w:firstLine="480"/>
      </w:pPr>
    </w:p>
    <w:p w14:paraId="3C6BCEE0">
      <w:pPr>
        <w:ind w:firstLine="480"/>
      </w:pPr>
    </w:p>
    <w:p w14:paraId="0EEC28A4">
      <w:pPr>
        <w:ind w:firstLine="480"/>
      </w:pPr>
    </w:p>
    <w:p w14:paraId="14DFD713">
      <w:pPr>
        <w:ind w:firstLine="480"/>
      </w:pPr>
    </w:p>
    <w:p w14:paraId="6A4AAFEB">
      <w:pPr>
        <w:ind w:firstLine="480"/>
      </w:pPr>
    </w:p>
    <w:p w14:paraId="4E4BB72B">
      <w:pPr>
        <w:ind w:firstLine="602"/>
        <w:jc w:val="center"/>
        <w:rPr>
          <w:b/>
          <w:bCs/>
          <w:sz w:val="30"/>
          <w:szCs w:val="30"/>
        </w:rPr>
      </w:pPr>
      <w:r>
        <w:rPr>
          <w:rFonts w:hint="eastAsia"/>
          <w:b/>
          <w:bCs/>
          <w:sz w:val="30"/>
          <w:szCs w:val="30"/>
        </w:rPr>
        <w:t>2</w:t>
      </w:r>
      <w:r>
        <w:rPr>
          <w:b/>
          <w:bCs/>
          <w:sz w:val="30"/>
          <w:szCs w:val="30"/>
        </w:rPr>
        <w:t>025</w:t>
      </w:r>
      <w:r>
        <w:rPr>
          <w:rFonts w:hint="eastAsia"/>
          <w:b/>
          <w:bCs/>
          <w:sz w:val="30"/>
          <w:szCs w:val="30"/>
        </w:rPr>
        <w:t>年</w:t>
      </w:r>
      <w:r>
        <w:rPr>
          <w:b/>
          <w:bCs/>
          <w:sz w:val="30"/>
          <w:szCs w:val="30"/>
        </w:rPr>
        <w:t>4</w:t>
      </w:r>
      <w:r>
        <w:rPr>
          <w:rFonts w:hint="eastAsia"/>
          <w:b/>
          <w:bCs/>
          <w:sz w:val="30"/>
          <w:szCs w:val="30"/>
        </w:rPr>
        <w:t>月</w:t>
      </w:r>
    </w:p>
    <w:p w14:paraId="49BEBC92">
      <w:pPr>
        <w:ind w:firstLine="166" w:firstLineChars="83"/>
      </w:pPr>
    </w:p>
    <w:p w14:paraId="3554FF9C">
      <w:pPr>
        <w:ind w:firstLine="480"/>
        <w:rPr>
          <w:u w:val="wave"/>
        </w:rPr>
        <w:sectPr>
          <w:headerReference r:id="rId10" w:type="default"/>
          <w:pgSz w:w="11906" w:h="16838"/>
          <w:pgMar w:top="1588" w:right="1361" w:bottom="1474" w:left="1474" w:header="1021" w:footer="851" w:gutter="0"/>
          <w:cols w:space="425" w:num="1"/>
          <w:docGrid w:linePitch="312" w:charSpace="0"/>
        </w:sectPr>
      </w:pPr>
    </w:p>
    <w:p w14:paraId="18DEE3F5">
      <w:pPr>
        <w:pStyle w:val="2"/>
        <w:numPr>
          <w:ilvl w:val="0"/>
          <w:numId w:val="5"/>
        </w:numPr>
        <w:jc w:val="left"/>
      </w:pPr>
      <w:bookmarkStart w:id="269" w:name="_Toc174612140"/>
      <w:bookmarkStart w:id="270" w:name="_Toc186810122"/>
      <w:r>
        <w:rPr>
          <w:rFonts w:hint="eastAsia"/>
        </w:rPr>
        <w:t>总则</w:t>
      </w:r>
      <w:bookmarkEnd w:id="269"/>
      <w:bookmarkEnd w:id="270"/>
    </w:p>
    <w:p w14:paraId="39DBF124">
      <w:pPr>
        <w:pStyle w:val="5"/>
        <w:ind w:left="0" w:firstLine="0"/>
        <w:jc w:val="left"/>
      </w:pPr>
      <w:bookmarkStart w:id="271" w:name="_Toc174612141"/>
      <w:r>
        <w:rPr>
          <w:rFonts w:hint="eastAsia"/>
        </w:rPr>
        <w:t>编制依据</w:t>
      </w:r>
      <w:bookmarkEnd w:id="271"/>
    </w:p>
    <w:p w14:paraId="45BEC254">
      <w:pPr>
        <w:pStyle w:val="6"/>
        <w:ind w:left="0" w:firstLine="0"/>
      </w:pPr>
      <w:r>
        <w:rPr>
          <w:rFonts w:hint="eastAsia"/>
        </w:rPr>
        <w:t>国家法律、法规、政策</w:t>
      </w:r>
    </w:p>
    <w:p w14:paraId="4231D899">
      <w:pPr>
        <w:pStyle w:val="3"/>
        <w:ind w:left="480" w:firstLine="0" w:firstLineChars="0"/>
      </w:pPr>
      <w:r>
        <w:rPr>
          <w:rFonts w:hint="eastAsia"/>
        </w:rPr>
        <w:t>《中华人民共和国环境保护法》（2014年4月24日修订，2015年1月1日起施行）；</w:t>
      </w:r>
    </w:p>
    <w:p w14:paraId="0D4F3562">
      <w:pPr>
        <w:pStyle w:val="3"/>
        <w:ind w:left="480" w:firstLine="0" w:firstLineChars="0"/>
      </w:pPr>
      <w:r>
        <w:rPr>
          <w:rFonts w:hint="eastAsia"/>
        </w:rPr>
        <w:t>《中华人民共和国环境影响评价法》（2018年12月29日修订，2018年12月29 日起执行）；</w:t>
      </w:r>
    </w:p>
    <w:p w14:paraId="32BFB53D">
      <w:pPr>
        <w:pStyle w:val="3"/>
        <w:ind w:left="480" w:firstLine="0" w:firstLineChars="0"/>
        <w:rPr>
          <w:color w:val="000000"/>
          <w:szCs w:val="24"/>
        </w:rPr>
      </w:pPr>
      <w:r>
        <w:rPr>
          <w:color w:val="000000"/>
          <w:szCs w:val="24"/>
        </w:rPr>
        <w:t>《中华人民共和国土地管理法》（2019年修订）2019年</w:t>
      </w:r>
      <w:r>
        <w:t>8月26日修订</w:t>
      </w:r>
      <w:r>
        <w:rPr>
          <w:rFonts w:hint="eastAsia"/>
        </w:rPr>
        <w:t>；</w:t>
      </w:r>
    </w:p>
    <w:p w14:paraId="7F98A751">
      <w:pPr>
        <w:pStyle w:val="3"/>
        <w:ind w:left="480" w:firstLine="0" w:firstLineChars="0"/>
      </w:pPr>
      <w:r>
        <w:rPr>
          <w:rFonts w:hint="eastAsia"/>
        </w:rPr>
        <w:t>《中华人民共和国水土保持法》（2010年12月25日修订，2011年3月1日起施行）；</w:t>
      </w:r>
    </w:p>
    <w:p w14:paraId="1E57DD8B">
      <w:pPr>
        <w:pStyle w:val="3"/>
        <w:ind w:left="480" w:firstLine="0" w:firstLineChars="0"/>
        <w:rPr>
          <w:color w:val="000000"/>
          <w:szCs w:val="24"/>
        </w:rPr>
      </w:pPr>
      <w:r>
        <w:rPr>
          <w:rFonts w:hint="eastAsia"/>
          <w:color w:val="000000"/>
          <w:szCs w:val="24"/>
        </w:rPr>
        <w:t>《中华人民共和国水污染防治法》（2017年6月27日修订，2018年1月1日起施行）；</w:t>
      </w:r>
    </w:p>
    <w:p w14:paraId="2BDACE93">
      <w:pPr>
        <w:pStyle w:val="3"/>
        <w:ind w:left="480" w:firstLine="0" w:firstLineChars="0"/>
        <w:rPr>
          <w:color w:val="000000"/>
          <w:szCs w:val="24"/>
        </w:rPr>
      </w:pPr>
      <w:r>
        <w:rPr>
          <w:color w:val="000000"/>
          <w:szCs w:val="24"/>
        </w:rPr>
        <w:t>《中华人民共和国森林法》（</w:t>
      </w:r>
      <w:r>
        <w:rPr>
          <w:rFonts w:hint="eastAsia"/>
          <w:color w:val="000000"/>
          <w:szCs w:val="24"/>
        </w:rPr>
        <w:t>2019年12月28日修订</w:t>
      </w:r>
      <w:r>
        <w:rPr>
          <w:color w:val="000000"/>
          <w:szCs w:val="24"/>
        </w:rPr>
        <w:t>），2020.7.1；</w:t>
      </w:r>
    </w:p>
    <w:p w14:paraId="0433B645">
      <w:pPr>
        <w:pStyle w:val="3"/>
        <w:ind w:left="480" w:firstLine="0" w:firstLineChars="0"/>
        <w:rPr>
          <w:color w:val="000000"/>
          <w:szCs w:val="24"/>
        </w:rPr>
      </w:pPr>
      <w:r>
        <w:rPr>
          <w:color w:val="000000"/>
          <w:szCs w:val="24"/>
        </w:rPr>
        <w:t>《中华人民共和国野生动物保护法》（2018年修正）</w:t>
      </w:r>
      <w:r>
        <w:rPr>
          <w:rFonts w:hint="eastAsia"/>
          <w:color w:val="000000"/>
          <w:szCs w:val="24"/>
        </w:rPr>
        <w:t>，</w:t>
      </w:r>
      <w:r>
        <w:rPr>
          <w:color w:val="000000"/>
          <w:szCs w:val="24"/>
        </w:rPr>
        <w:t>2018年10月26日起施行；</w:t>
      </w:r>
    </w:p>
    <w:p w14:paraId="4EE438E0">
      <w:pPr>
        <w:pStyle w:val="3"/>
        <w:ind w:left="480" w:firstLine="0" w:firstLineChars="0"/>
        <w:rPr>
          <w:color w:val="000000"/>
          <w:szCs w:val="24"/>
        </w:rPr>
      </w:pPr>
      <w:r>
        <w:rPr>
          <w:rFonts w:hint="eastAsia"/>
          <w:color w:val="000000"/>
          <w:szCs w:val="24"/>
        </w:rPr>
        <w:t>《中华人民共和国水生野生动物保护实施条例》（</w:t>
      </w:r>
      <w:r>
        <w:rPr>
          <w:color w:val="000000"/>
          <w:szCs w:val="24"/>
        </w:rPr>
        <w:t>国务院令第588号</w:t>
      </w:r>
      <w:r>
        <w:rPr>
          <w:rFonts w:hint="eastAsia"/>
          <w:color w:val="000000"/>
          <w:szCs w:val="24"/>
        </w:rPr>
        <w:t>，</w:t>
      </w:r>
      <w:r>
        <w:rPr>
          <w:color w:val="000000"/>
          <w:szCs w:val="24"/>
        </w:rPr>
        <w:t>2013</w:t>
      </w:r>
      <w:r>
        <w:rPr>
          <w:rFonts w:hint="eastAsia"/>
          <w:color w:val="000000"/>
          <w:szCs w:val="24"/>
        </w:rPr>
        <w:t>年</w:t>
      </w:r>
      <w:r>
        <w:rPr>
          <w:color w:val="000000"/>
          <w:szCs w:val="24"/>
        </w:rPr>
        <w:t>12</w:t>
      </w:r>
      <w:r>
        <w:rPr>
          <w:rFonts w:hint="eastAsia"/>
          <w:color w:val="000000"/>
          <w:szCs w:val="24"/>
        </w:rPr>
        <w:t>月</w:t>
      </w:r>
      <w:r>
        <w:rPr>
          <w:color w:val="000000"/>
          <w:szCs w:val="24"/>
        </w:rPr>
        <w:t>7</w:t>
      </w:r>
      <w:r>
        <w:rPr>
          <w:rFonts w:hint="eastAsia"/>
          <w:color w:val="000000"/>
          <w:szCs w:val="24"/>
        </w:rPr>
        <w:t>日修正）；</w:t>
      </w:r>
    </w:p>
    <w:p w14:paraId="2466D1FA">
      <w:pPr>
        <w:pStyle w:val="3"/>
        <w:ind w:left="480" w:firstLine="0" w:firstLineChars="0"/>
        <w:rPr>
          <w:color w:val="000000"/>
          <w:szCs w:val="24"/>
        </w:rPr>
      </w:pPr>
      <w:r>
        <w:rPr>
          <w:rFonts w:hint="eastAsia"/>
          <w:color w:val="000000"/>
          <w:szCs w:val="24"/>
        </w:rPr>
        <w:t>《中华人民共和国陆生野生动物保护实施条例》（</w:t>
      </w:r>
      <w:r>
        <w:rPr>
          <w:color w:val="000000"/>
          <w:szCs w:val="24"/>
        </w:rPr>
        <w:t>林策通字</w:t>
      </w:r>
      <w:r>
        <w:rPr>
          <w:rFonts w:hint="eastAsia"/>
          <w:color w:val="000000"/>
          <w:szCs w:val="24"/>
        </w:rPr>
        <w:t>〔</w:t>
      </w:r>
      <w:r>
        <w:rPr>
          <w:color w:val="000000"/>
          <w:szCs w:val="24"/>
        </w:rPr>
        <w:t>1992</w:t>
      </w:r>
      <w:r>
        <w:rPr>
          <w:rFonts w:hint="eastAsia"/>
          <w:color w:val="000000"/>
          <w:szCs w:val="24"/>
        </w:rPr>
        <w:t>〕</w:t>
      </w:r>
      <w:r>
        <w:rPr>
          <w:color w:val="000000"/>
          <w:szCs w:val="24"/>
        </w:rPr>
        <w:t>29号，</w:t>
      </w:r>
      <w:r>
        <w:rPr>
          <w:rFonts w:hint="eastAsia"/>
          <w:color w:val="000000"/>
          <w:szCs w:val="24"/>
        </w:rPr>
        <w:t>2016年</w:t>
      </w:r>
      <w:r>
        <w:rPr>
          <w:color w:val="000000"/>
          <w:szCs w:val="24"/>
        </w:rPr>
        <w:t>2</w:t>
      </w:r>
      <w:r>
        <w:rPr>
          <w:rFonts w:hint="eastAsia"/>
          <w:color w:val="000000"/>
          <w:szCs w:val="24"/>
        </w:rPr>
        <w:t>月</w:t>
      </w:r>
      <w:r>
        <w:rPr>
          <w:color w:val="000000"/>
          <w:szCs w:val="24"/>
        </w:rPr>
        <w:t>6</w:t>
      </w:r>
      <w:r>
        <w:rPr>
          <w:rFonts w:hint="eastAsia"/>
          <w:color w:val="000000"/>
          <w:szCs w:val="24"/>
        </w:rPr>
        <w:t>日</w:t>
      </w:r>
      <w:r>
        <w:rPr>
          <w:color w:val="000000"/>
          <w:szCs w:val="24"/>
        </w:rPr>
        <w:t>国务院令第666号</w:t>
      </w:r>
      <w:r>
        <w:rPr>
          <w:rFonts w:hint="eastAsia"/>
          <w:color w:val="000000"/>
          <w:szCs w:val="24"/>
        </w:rPr>
        <w:t>修订）；</w:t>
      </w:r>
    </w:p>
    <w:p w14:paraId="17922D2E">
      <w:pPr>
        <w:pStyle w:val="3"/>
        <w:ind w:left="480" w:firstLine="0" w:firstLineChars="0"/>
        <w:rPr>
          <w:color w:val="000000"/>
          <w:szCs w:val="24"/>
        </w:rPr>
      </w:pPr>
      <w:r>
        <w:rPr>
          <w:rFonts w:hint="eastAsia"/>
          <w:color w:val="000000"/>
          <w:szCs w:val="24"/>
        </w:rPr>
        <w:t>《中华人民共和国野生植物保护条例》（</w:t>
      </w:r>
      <w:r>
        <w:rPr>
          <w:color w:val="000000"/>
          <w:szCs w:val="24"/>
        </w:rPr>
        <w:t>国务院令第204号</w:t>
      </w:r>
      <w:r>
        <w:rPr>
          <w:rFonts w:hint="eastAsia"/>
          <w:color w:val="000000"/>
          <w:szCs w:val="24"/>
        </w:rPr>
        <w:t>，</w:t>
      </w:r>
      <w:r>
        <w:rPr>
          <w:color w:val="000000"/>
          <w:szCs w:val="24"/>
        </w:rPr>
        <w:t>2017</w:t>
      </w:r>
      <w:r>
        <w:rPr>
          <w:rFonts w:hint="eastAsia"/>
          <w:color w:val="000000"/>
          <w:szCs w:val="24"/>
        </w:rPr>
        <w:t>年</w:t>
      </w:r>
      <w:r>
        <w:rPr>
          <w:color w:val="000000"/>
          <w:szCs w:val="24"/>
        </w:rPr>
        <w:t>10</w:t>
      </w:r>
      <w:r>
        <w:rPr>
          <w:rFonts w:hint="eastAsia"/>
          <w:color w:val="000000"/>
          <w:szCs w:val="24"/>
        </w:rPr>
        <w:t>月</w:t>
      </w:r>
      <w:r>
        <w:rPr>
          <w:color w:val="000000"/>
          <w:szCs w:val="24"/>
        </w:rPr>
        <w:t>7</w:t>
      </w:r>
      <w:r>
        <w:rPr>
          <w:rFonts w:hint="eastAsia"/>
          <w:color w:val="000000"/>
          <w:szCs w:val="24"/>
        </w:rPr>
        <w:t>日修订）；</w:t>
      </w:r>
    </w:p>
    <w:p w14:paraId="5DDBEA84">
      <w:pPr>
        <w:pStyle w:val="3"/>
        <w:ind w:left="480" w:firstLine="0" w:firstLineChars="0"/>
        <w:rPr>
          <w:color w:val="000000"/>
          <w:szCs w:val="24"/>
        </w:rPr>
      </w:pPr>
      <w:r>
        <w:rPr>
          <w:rFonts w:hint="eastAsia"/>
          <w:color w:val="000000"/>
          <w:szCs w:val="24"/>
        </w:rPr>
        <w:t>《国家重点保护野生动物名录》（</w:t>
      </w:r>
      <w:r>
        <w:rPr>
          <w:color w:val="000000"/>
          <w:szCs w:val="24"/>
        </w:rPr>
        <w:t>2021年1月4日国务院批准</w:t>
      </w:r>
      <w:r>
        <w:rPr>
          <w:rFonts w:hint="eastAsia"/>
          <w:color w:val="000000"/>
          <w:szCs w:val="24"/>
        </w:rPr>
        <w:t>）；</w:t>
      </w:r>
    </w:p>
    <w:p w14:paraId="58C0BB9E">
      <w:pPr>
        <w:pStyle w:val="3"/>
        <w:ind w:left="480" w:firstLine="0" w:firstLineChars="0"/>
        <w:rPr>
          <w:color w:val="000000"/>
          <w:szCs w:val="24"/>
        </w:rPr>
      </w:pPr>
      <w:r>
        <w:rPr>
          <w:rFonts w:hint="eastAsia"/>
          <w:color w:val="000000"/>
          <w:szCs w:val="24"/>
        </w:rPr>
        <w:t>《国家重点保护野生植物名录》（</w:t>
      </w:r>
      <w:r>
        <w:rPr>
          <w:color w:val="000000"/>
          <w:szCs w:val="24"/>
        </w:rPr>
        <w:t>2021年8月7日国务院批准</w:t>
      </w:r>
      <w:r>
        <w:rPr>
          <w:rFonts w:hint="eastAsia"/>
          <w:color w:val="000000"/>
          <w:szCs w:val="24"/>
        </w:rPr>
        <w:t>）；</w:t>
      </w:r>
    </w:p>
    <w:p w14:paraId="74EA8B4A">
      <w:pPr>
        <w:pStyle w:val="3"/>
        <w:ind w:left="480" w:firstLine="0" w:firstLineChars="0"/>
      </w:pPr>
      <w:r>
        <w:rPr>
          <w:rFonts w:hint="eastAsia"/>
          <w:color w:val="000000"/>
          <w:szCs w:val="24"/>
        </w:rPr>
        <w:t>《建设项目环境保</w:t>
      </w:r>
      <w:r>
        <w:rPr>
          <w:rFonts w:hint="eastAsia"/>
        </w:rPr>
        <w:t>护管理条例》（2017年7月16日修订，2017年10月1日起施行）。</w:t>
      </w:r>
    </w:p>
    <w:p w14:paraId="64EE8F7D">
      <w:pPr>
        <w:pStyle w:val="6"/>
        <w:ind w:left="0" w:firstLine="0"/>
      </w:pPr>
      <w:r>
        <w:rPr>
          <w:rFonts w:hint="eastAsia"/>
        </w:rPr>
        <w:t>地方法规和政策性文件</w:t>
      </w:r>
    </w:p>
    <w:p w14:paraId="2F03A71F">
      <w:pPr>
        <w:pStyle w:val="3"/>
        <w:ind w:left="480" w:firstLine="0" w:firstLineChars="0"/>
        <w:rPr>
          <w:color w:val="000000"/>
          <w:szCs w:val="24"/>
        </w:rPr>
      </w:pPr>
      <w:r>
        <w:rPr>
          <w:rFonts w:hint="eastAsia"/>
          <w:color w:val="000000"/>
          <w:szCs w:val="24"/>
        </w:rPr>
        <w:t>《湖南省环境保护条例》（2019年9月28日修订）；</w:t>
      </w:r>
    </w:p>
    <w:p w14:paraId="3A2F1BA4">
      <w:pPr>
        <w:pStyle w:val="3"/>
        <w:ind w:left="480" w:firstLine="0" w:firstLineChars="0"/>
        <w:rPr>
          <w:color w:val="000000"/>
          <w:szCs w:val="24"/>
        </w:rPr>
      </w:pPr>
      <w:r>
        <w:rPr>
          <w:color w:val="000000"/>
          <w:szCs w:val="24"/>
        </w:rPr>
        <w:t>《湖南省野生动植物资源保护条例》湖南省人大常委会，2020年3月31日修订；</w:t>
      </w:r>
    </w:p>
    <w:p w14:paraId="3C443214">
      <w:pPr>
        <w:pStyle w:val="3"/>
        <w:ind w:left="480" w:firstLine="0" w:firstLineChars="0"/>
        <w:rPr>
          <w:color w:val="000000"/>
          <w:szCs w:val="24"/>
        </w:rPr>
      </w:pPr>
      <w:r>
        <w:rPr>
          <w:color w:val="000000"/>
          <w:szCs w:val="24"/>
        </w:rPr>
        <w:t>《湖南省湿地保护条例》</w:t>
      </w:r>
      <w:r>
        <w:rPr>
          <w:rFonts w:hint="eastAsia"/>
          <w:color w:val="000000"/>
          <w:szCs w:val="24"/>
        </w:rPr>
        <w:t>湖南省第十三届人民代表大会常务委员会第十八次会议</w:t>
      </w:r>
      <w:r>
        <w:rPr>
          <w:color w:val="000000"/>
          <w:szCs w:val="24"/>
        </w:rPr>
        <w:t>，</w:t>
      </w:r>
      <w:r>
        <w:rPr>
          <w:rFonts w:hint="eastAsia"/>
          <w:color w:val="000000"/>
          <w:szCs w:val="24"/>
        </w:rPr>
        <w:t>2020.6.12</w:t>
      </w:r>
      <w:r>
        <w:rPr>
          <w:color w:val="000000"/>
          <w:szCs w:val="24"/>
        </w:rPr>
        <w:t>；</w:t>
      </w:r>
    </w:p>
    <w:p w14:paraId="1F41F864">
      <w:pPr>
        <w:pStyle w:val="3"/>
        <w:ind w:left="480" w:firstLine="0" w:firstLineChars="0"/>
        <w:rPr>
          <w:color w:val="000000"/>
          <w:szCs w:val="24"/>
        </w:rPr>
      </w:pPr>
      <w:r>
        <w:rPr>
          <w:color w:val="000000"/>
          <w:szCs w:val="24"/>
        </w:rPr>
        <w:t>《湖南省实施〈中华人民共和国水土保持法〉办法》</w:t>
      </w:r>
      <w:r>
        <w:rPr>
          <w:rFonts w:hint="eastAsia"/>
          <w:color w:val="000000"/>
          <w:szCs w:val="24"/>
        </w:rPr>
        <w:t>，</w:t>
      </w:r>
      <w:r>
        <w:rPr>
          <w:color w:val="000000"/>
          <w:szCs w:val="24"/>
        </w:rPr>
        <w:t>湖南省第十</w:t>
      </w:r>
      <w:r>
        <w:rPr>
          <w:rFonts w:hint="eastAsia"/>
          <w:color w:val="000000"/>
          <w:szCs w:val="24"/>
        </w:rPr>
        <w:t>三</w:t>
      </w:r>
      <w:r>
        <w:rPr>
          <w:color w:val="000000"/>
          <w:szCs w:val="24"/>
        </w:rPr>
        <w:t>届人大常委会</w:t>
      </w:r>
      <w:r>
        <w:rPr>
          <w:rFonts w:hint="eastAsia"/>
          <w:color w:val="000000"/>
          <w:szCs w:val="24"/>
        </w:rPr>
        <w:t>第五次会议修订</w:t>
      </w:r>
      <w:r>
        <w:rPr>
          <w:color w:val="000000"/>
          <w:szCs w:val="24"/>
        </w:rPr>
        <w:t>，</w:t>
      </w:r>
      <w:r>
        <w:rPr>
          <w:rFonts w:hint="eastAsia"/>
          <w:color w:val="000000"/>
          <w:szCs w:val="24"/>
        </w:rPr>
        <w:t>2018.7.19</w:t>
      </w:r>
      <w:r>
        <w:rPr>
          <w:color w:val="000000"/>
          <w:szCs w:val="24"/>
        </w:rPr>
        <w:t>；</w:t>
      </w:r>
    </w:p>
    <w:p w14:paraId="40E2E6F9">
      <w:pPr>
        <w:pStyle w:val="3"/>
        <w:ind w:left="480" w:firstLine="0" w:firstLineChars="0"/>
        <w:rPr>
          <w:color w:val="000000"/>
          <w:szCs w:val="24"/>
        </w:rPr>
      </w:pPr>
      <w:r>
        <w:rPr>
          <w:rFonts w:hint="eastAsia"/>
          <w:color w:val="000000"/>
          <w:szCs w:val="24"/>
        </w:rPr>
        <w:t>《湖南省野生动植物资源保护条例》湖南省第十三届人民代表大会常务委员会公告第38号，2020年3月31日起施行；</w:t>
      </w:r>
    </w:p>
    <w:p w14:paraId="5BC3C5B5">
      <w:pPr>
        <w:pStyle w:val="3"/>
        <w:ind w:left="480" w:firstLine="0" w:firstLineChars="0"/>
        <w:rPr>
          <w:color w:val="000000"/>
          <w:szCs w:val="24"/>
        </w:rPr>
      </w:pPr>
      <w:r>
        <w:rPr>
          <w:rFonts w:hint="eastAsia"/>
          <w:color w:val="000000"/>
          <w:szCs w:val="24"/>
        </w:rPr>
        <w:t>《</w:t>
      </w:r>
      <w:r>
        <w:rPr>
          <w:color w:val="000000"/>
          <w:szCs w:val="24"/>
        </w:rPr>
        <w:t>湖南省地方重点保护野生植物名录》（</w:t>
      </w:r>
      <w:r>
        <w:rPr>
          <w:rFonts w:hint="eastAsia"/>
          <w:color w:val="000000"/>
          <w:szCs w:val="24"/>
        </w:rPr>
        <w:t>湘林护〔2023〕9号</w:t>
      </w:r>
      <w:r>
        <w:rPr>
          <w:color w:val="000000"/>
          <w:szCs w:val="24"/>
        </w:rPr>
        <w:t>）</w:t>
      </w:r>
      <w:r>
        <w:rPr>
          <w:rFonts w:hint="eastAsia"/>
          <w:color w:val="000000"/>
          <w:szCs w:val="24"/>
        </w:rPr>
        <w:t>；</w:t>
      </w:r>
    </w:p>
    <w:p w14:paraId="00849623">
      <w:pPr>
        <w:pStyle w:val="3"/>
        <w:ind w:left="480" w:firstLine="0" w:firstLineChars="0"/>
        <w:rPr>
          <w:color w:val="000000"/>
          <w:szCs w:val="24"/>
        </w:rPr>
      </w:pPr>
      <w:r>
        <w:rPr>
          <w:color w:val="000000"/>
          <w:szCs w:val="24"/>
        </w:rPr>
        <w:t>《湖南省地方重点保护野生动物名录》（</w:t>
      </w:r>
      <w:r>
        <w:rPr>
          <w:rFonts w:hint="eastAsia"/>
          <w:color w:val="000000"/>
          <w:szCs w:val="24"/>
        </w:rPr>
        <w:t>湘林护〔2023〕9号</w:t>
      </w:r>
      <w:r>
        <w:rPr>
          <w:color w:val="000000"/>
          <w:szCs w:val="24"/>
        </w:rPr>
        <w:t>）</w:t>
      </w:r>
      <w:r>
        <w:rPr>
          <w:rFonts w:hint="eastAsia"/>
          <w:color w:val="000000"/>
          <w:szCs w:val="24"/>
        </w:rPr>
        <w:t>；</w:t>
      </w:r>
    </w:p>
    <w:p w14:paraId="798066F9">
      <w:pPr>
        <w:pStyle w:val="3"/>
        <w:ind w:left="480" w:firstLine="0" w:firstLineChars="0"/>
        <w:rPr>
          <w:color w:val="000000"/>
          <w:szCs w:val="24"/>
        </w:rPr>
      </w:pPr>
      <w:r>
        <w:rPr>
          <w:rFonts w:hint="eastAsia"/>
          <w:color w:val="000000"/>
          <w:szCs w:val="24"/>
        </w:rPr>
        <w:t>《湖南省人民政府关于印发&lt;湖南省生态保护红线&gt;的通知》（湘政发﹝2018﹞20号）；</w:t>
      </w:r>
    </w:p>
    <w:p w14:paraId="4DFB4961">
      <w:pPr>
        <w:pStyle w:val="3"/>
        <w:ind w:left="480" w:firstLine="0" w:firstLineChars="0"/>
        <w:rPr>
          <w:color w:val="000000"/>
          <w:szCs w:val="24"/>
        </w:rPr>
      </w:pPr>
      <w:r>
        <w:rPr>
          <w:rFonts w:hint="eastAsia"/>
          <w:color w:val="000000"/>
          <w:szCs w:val="24"/>
        </w:rPr>
        <w:t>《湖南省“十四五”生态环境保护规划》（湘政办发〔2021〕61号）。</w:t>
      </w:r>
    </w:p>
    <w:p w14:paraId="3C3AFB69">
      <w:pPr>
        <w:pStyle w:val="6"/>
        <w:ind w:left="0" w:firstLine="0"/>
      </w:pPr>
      <w:r>
        <w:rPr>
          <w:rFonts w:hint="eastAsia"/>
        </w:rPr>
        <w:t>环评技术导则、规范、标准及测量方法</w:t>
      </w:r>
    </w:p>
    <w:p w14:paraId="3DCBB792">
      <w:pPr>
        <w:pStyle w:val="3"/>
        <w:ind w:left="480" w:firstLine="0" w:firstLineChars="0"/>
        <w:rPr>
          <w:color w:val="000000"/>
          <w:szCs w:val="24"/>
        </w:rPr>
      </w:pPr>
      <w:r>
        <w:rPr>
          <w:rFonts w:hint="eastAsia"/>
          <w:color w:val="000000"/>
          <w:szCs w:val="24"/>
        </w:rPr>
        <w:t>《建设项目环境影响评价技术导则</w:t>
      </w:r>
      <w:r>
        <w:rPr>
          <w:color w:val="000000"/>
          <w:szCs w:val="24"/>
        </w:rPr>
        <w:t xml:space="preserve"> </w:t>
      </w:r>
      <w:r>
        <w:rPr>
          <w:rFonts w:hint="eastAsia"/>
          <w:color w:val="000000"/>
          <w:szCs w:val="24"/>
        </w:rPr>
        <w:t>总纲》（</w:t>
      </w:r>
      <w:r>
        <w:rPr>
          <w:color w:val="000000"/>
          <w:szCs w:val="24"/>
        </w:rPr>
        <w:t>HJ 2.1-2016</w:t>
      </w:r>
      <w:r>
        <w:rPr>
          <w:rFonts w:hint="eastAsia"/>
          <w:color w:val="000000"/>
          <w:szCs w:val="24"/>
        </w:rPr>
        <w:t>）；</w:t>
      </w:r>
    </w:p>
    <w:p w14:paraId="4B4E405E">
      <w:pPr>
        <w:pStyle w:val="3"/>
        <w:ind w:left="480" w:firstLine="0" w:firstLineChars="0"/>
        <w:rPr>
          <w:color w:val="000000"/>
          <w:szCs w:val="24"/>
        </w:rPr>
      </w:pPr>
      <w:r>
        <w:rPr>
          <w:rFonts w:hint="eastAsia"/>
          <w:color w:val="000000"/>
          <w:szCs w:val="24"/>
        </w:rPr>
        <w:t>《环境影响评价技术导则 生态影响》（</w:t>
      </w:r>
      <w:r>
        <w:rPr>
          <w:color w:val="000000"/>
          <w:szCs w:val="24"/>
        </w:rPr>
        <w:t>HJ 19-2022</w:t>
      </w:r>
      <w:r>
        <w:rPr>
          <w:rFonts w:hint="eastAsia"/>
          <w:color w:val="000000"/>
          <w:szCs w:val="24"/>
        </w:rPr>
        <w:t>）；</w:t>
      </w:r>
    </w:p>
    <w:p w14:paraId="1408384F">
      <w:pPr>
        <w:pStyle w:val="3"/>
        <w:ind w:left="480" w:firstLine="0" w:firstLineChars="0"/>
        <w:rPr>
          <w:color w:val="000000"/>
          <w:szCs w:val="24"/>
        </w:rPr>
      </w:pPr>
      <w:r>
        <w:rPr>
          <w:rFonts w:hint="eastAsia"/>
          <w:color w:val="000000"/>
          <w:szCs w:val="24"/>
        </w:rPr>
        <w:t>《生态环境状况评价技术规范（试行）》（HJ 192-2015）；</w:t>
      </w:r>
    </w:p>
    <w:p w14:paraId="1A64E03B">
      <w:pPr>
        <w:pStyle w:val="3"/>
        <w:ind w:left="480" w:firstLine="0" w:firstLineChars="0"/>
        <w:rPr>
          <w:color w:val="000000"/>
          <w:szCs w:val="24"/>
        </w:rPr>
      </w:pPr>
      <w:r>
        <w:rPr>
          <w:color w:val="000000"/>
          <w:szCs w:val="24"/>
        </w:rPr>
        <w:t>《</w:t>
      </w:r>
      <w:r>
        <w:rPr>
          <w:rFonts w:hint="eastAsia"/>
          <w:color w:val="000000"/>
          <w:szCs w:val="24"/>
        </w:rPr>
        <w:t>生产</w:t>
      </w:r>
      <w:r>
        <w:rPr>
          <w:color w:val="000000"/>
          <w:szCs w:val="24"/>
        </w:rPr>
        <w:t>建设项目水土保持技术</w:t>
      </w:r>
      <w:r>
        <w:rPr>
          <w:rFonts w:hint="eastAsia"/>
          <w:color w:val="000000"/>
          <w:szCs w:val="24"/>
        </w:rPr>
        <w:t>标准</w:t>
      </w:r>
      <w:r>
        <w:rPr>
          <w:color w:val="000000"/>
          <w:szCs w:val="24"/>
        </w:rPr>
        <w:t>》（GB 50433-2018）；</w:t>
      </w:r>
    </w:p>
    <w:p w14:paraId="2AFAED62">
      <w:pPr>
        <w:pStyle w:val="3"/>
        <w:ind w:left="480" w:firstLine="0" w:firstLineChars="0"/>
        <w:rPr>
          <w:color w:val="000000"/>
          <w:szCs w:val="24"/>
        </w:rPr>
      </w:pPr>
      <w:r>
        <w:rPr>
          <w:rFonts w:hint="eastAsia"/>
          <w:color w:val="000000"/>
          <w:szCs w:val="24"/>
        </w:rPr>
        <w:t>《生产建设项目水土流失防治标准》（GB</w:t>
      </w:r>
      <w:r>
        <w:rPr>
          <w:color w:val="000000"/>
          <w:szCs w:val="24"/>
        </w:rPr>
        <w:t>/T</w:t>
      </w:r>
      <w:r>
        <w:rPr>
          <w:rFonts w:hint="eastAsia"/>
          <w:color w:val="000000"/>
          <w:szCs w:val="24"/>
        </w:rPr>
        <w:t xml:space="preserve"> 50434-2018）。</w:t>
      </w:r>
    </w:p>
    <w:p w14:paraId="77719A0C">
      <w:pPr>
        <w:pStyle w:val="6"/>
        <w:ind w:left="0" w:firstLine="0"/>
      </w:pPr>
      <w:r>
        <w:rPr>
          <w:rFonts w:hint="eastAsia"/>
        </w:rPr>
        <w:t>项目相关资料</w:t>
      </w:r>
    </w:p>
    <w:p w14:paraId="5C2FA935">
      <w:pPr>
        <w:pStyle w:val="3"/>
        <w:ind w:left="480" w:firstLine="0" w:firstLineChars="0"/>
        <w:rPr>
          <w:szCs w:val="24"/>
        </w:rPr>
      </w:pPr>
      <w:r>
        <w:rPr>
          <w:szCs w:val="24"/>
        </w:rPr>
        <w:t>项目</w:t>
      </w:r>
      <w:r>
        <w:rPr>
          <w:rFonts w:hint="eastAsia"/>
          <w:szCs w:val="24"/>
        </w:rPr>
        <w:t>初步设计资料</w:t>
      </w:r>
      <w:r>
        <w:rPr>
          <w:szCs w:val="24"/>
        </w:rPr>
        <w:t>；</w:t>
      </w:r>
    </w:p>
    <w:p w14:paraId="6C08A76E">
      <w:pPr>
        <w:pStyle w:val="3"/>
        <w:ind w:firstLine="480"/>
      </w:pPr>
      <w:r>
        <w:rPr>
          <w:rFonts w:hint="eastAsia"/>
        </w:rPr>
        <w:t>《湖南省江华湾水源抽水蓄能电站施工电源110kV线路工程电网项目穿越湖南江华涔天河国家湿地公园生态影响评价报告》；</w:t>
      </w:r>
    </w:p>
    <w:p w14:paraId="317B9B01">
      <w:pPr>
        <w:pStyle w:val="3"/>
        <w:ind w:firstLine="480"/>
      </w:pPr>
      <w:r>
        <w:rPr>
          <w:rFonts w:hint="eastAsia"/>
        </w:rPr>
        <w:t>《姑婆山风景名胜区湖南省江华湾水源抽水蓄能电站施工电源110千伏线路工程选址方案论证报告》；</w:t>
      </w:r>
    </w:p>
    <w:p w14:paraId="2B7B30FE">
      <w:pPr>
        <w:pStyle w:val="3"/>
        <w:ind w:left="480" w:firstLine="0" w:firstLineChars="0"/>
        <w:rPr>
          <w:color w:val="000000"/>
          <w:szCs w:val="24"/>
        </w:rPr>
      </w:pPr>
      <w:r>
        <w:rPr>
          <w:color w:val="000000"/>
          <w:szCs w:val="24"/>
        </w:rPr>
        <w:t>建设单位提供的其他资料</w:t>
      </w:r>
      <w:r>
        <w:rPr>
          <w:rFonts w:hint="eastAsia"/>
          <w:color w:val="000000"/>
          <w:szCs w:val="24"/>
        </w:rPr>
        <w:t>。</w:t>
      </w:r>
    </w:p>
    <w:p w14:paraId="301358D7">
      <w:pPr>
        <w:pStyle w:val="5"/>
        <w:ind w:left="0" w:firstLine="0"/>
        <w:jc w:val="left"/>
      </w:pPr>
      <w:bookmarkStart w:id="272" w:name="_Toc174612142"/>
      <w:r>
        <w:rPr>
          <w:rFonts w:hint="eastAsia"/>
        </w:rPr>
        <w:t>工程分析和评价因子筛选</w:t>
      </w:r>
      <w:bookmarkEnd w:id="272"/>
    </w:p>
    <w:p w14:paraId="7143FE67">
      <w:pPr>
        <w:pStyle w:val="3"/>
        <w:ind w:firstLine="480"/>
        <w:sectPr>
          <w:headerReference r:id="rId11" w:type="default"/>
          <w:pgSz w:w="11906" w:h="16838"/>
          <w:pgMar w:top="1588" w:right="1361" w:bottom="1474" w:left="1474" w:header="1021" w:footer="851" w:gutter="0"/>
          <w:cols w:space="425" w:num="1"/>
          <w:docGrid w:linePitch="312" w:charSpace="0"/>
        </w:sectPr>
      </w:pPr>
      <w:r>
        <w:t>根据</w:t>
      </w:r>
      <w:r>
        <w:rPr>
          <w:rFonts w:hint="eastAsia"/>
        </w:rPr>
        <w:t>项目特点和工程分析</w:t>
      </w:r>
      <w:r>
        <w:t>、环境特征以及项目运行对环境影响的性质与程度，对拟建工程的生态影响因子进行识别与筛选，具体见表</w:t>
      </w:r>
      <w:r>
        <w:rPr>
          <w:rFonts w:hint="eastAsia"/>
        </w:rPr>
        <w:t>1</w:t>
      </w:r>
      <w:r>
        <w:t>.2-1</w:t>
      </w:r>
      <w:r>
        <w:rPr>
          <w:rFonts w:hint="eastAsia"/>
        </w:rPr>
        <w:t>。</w:t>
      </w:r>
    </w:p>
    <w:p w14:paraId="5883AE80">
      <w:pPr>
        <w:pStyle w:val="148"/>
      </w:pPr>
      <w:r>
        <w:rPr>
          <w:rFonts w:hint="eastAsia"/>
        </w:rPr>
        <w:t>表1</w:t>
      </w:r>
      <w:r>
        <w:t xml:space="preserve">.2-1   </w:t>
      </w:r>
      <w:r>
        <w:rPr>
          <w:rFonts w:hint="eastAsia"/>
        </w:rPr>
        <w:t>生态影响评价因子筛选表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151"/>
        <w:gridCol w:w="1482"/>
        <w:gridCol w:w="1163"/>
        <w:gridCol w:w="815"/>
        <w:gridCol w:w="1074"/>
        <w:gridCol w:w="1016"/>
        <w:gridCol w:w="866"/>
      </w:tblGrid>
      <w:tr w14:paraId="7BCB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restart"/>
            <w:vAlign w:val="center"/>
          </w:tcPr>
          <w:p w14:paraId="4ECA52B8">
            <w:pPr>
              <w:pStyle w:val="159"/>
            </w:pPr>
            <w:r>
              <w:rPr>
                <w:rFonts w:hint="eastAsia"/>
              </w:rPr>
              <w:t>受影响对象</w:t>
            </w:r>
          </w:p>
        </w:tc>
        <w:tc>
          <w:tcPr>
            <w:tcW w:w="1158" w:type="pct"/>
            <w:vMerge w:val="restart"/>
            <w:vAlign w:val="center"/>
          </w:tcPr>
          <w:p w14:paraId="42D43E1A">
            <w:pPr>
              <w:pStyle w:val="159"/>
            </w:pPr>
            <w:r>
              <w:rPr>
                <w:rFonts w:hint="eastAsia"/>
              </w:rPr>
              <w:t>评价因子</w:t>
            </w:r>
          </w:p>
        </w:tc>
        <w:tc>
          <w:tcPr>
            <w:tcW w:w="1863" w:type="pct"/>
            <w:gridSpan w:val="3"/>
            <w:vAlign w:val="center"/>
          </w:tcPr>
          <w:p w14:paraId="635F3C71">
            <w:pPr>
              <w:pStyle w:val="159"/>
            </w:pPr>
            <w:r>
              <w:rPr>
                <w:rFonts w:hint="eastAsia"/>
              </w:rPr>
              <w:t>施工期</w:t>
            </w:r>
          </w:p>
        </w:tc>
        <w:tc>
          <w:tcPr>
            <w:tcW w:w="1591" w:type="pct"/>
            <w:gridSpan w:val="3"/>
            <w:vAlign w:val="center"/>
          </w:tcPr>
          <w:p w14:paraId="579EA273">
            <w:pPr>
              <w:pStyle w:val="159"/>
            </w:pPr>
            <w:r>
              <w:rPr>
                <w:rFonts w:hint="eastAsia"/>
              </w:rPr>
              <w:t>运营期</w:t>
            </w:r>
          </w:p>
        </w:tc>
      </w:tr>
      <w:tr w14:paraId="04D0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vAlign w:val="center"/>
          </w:tcPr>
          <w:p w14:paraId="3728A61A">
            <w:pPr>
              <w:pStyle w:val="159"/>
            </w:pPr>
          </w:p>
        </w:tc>
        <w:tc>
          <w:tcPr>
            <w:tcW w:w="1158" w:type="pct"/>
            <w:vMerge w:val="continue"/>
            <w:vAlign w:val="center"/>
          </w:tcPr>
          <w:p w14:paraId="2D78F8E8">
            <w:pPr>
              <w:pStyle w:val="159"/>
            </w:pPr>
          </w:p>
        </w:tc>
        <w:tc>
          <w:tcPr>
            <w:tcW w:w="798" w:type="pct"/>
            <w:vAlign w:val="center"/>
          </w:tcPr>
          <w:p w14:paraId="14F19E5F">
            <w:pPr>
              <w:pStyle w:val="159"/>
            </w:pPr>
            <w:r>
              <w:rPr>
                <w:rFonts w:hint="eastAsia"/>
              </w:rPr>
              <w:t>工程内容及影响方式</w:t>
            </w:r>
          </w:p>
        </w:tc>
        <w:tc>
          <w:tcPr>
            <w:tcW w:w="626" w:type="pct"/>
            <w:vAlign w:val="center"/>
          </w:tcPr>
          <w:p w14:paraId="14555DEF">
            <w:pPr>
              <w:pStyle w:val="159"/>
            </w:pPr>
            <w:r>
              <w:rPr>
                <w:rFonts w:hint="eastAsia"/>
              </w:rPr>
              <w:t>影响性质</w:t>
            </w:r>
          </w:p>
        </w:tc>
        <w:tc>
          <w:tcPr>
            <w:tcW w:w="439" w:type="pct"/>
            <w:vAlign w:val="center"/>
          </w:tcPr>
          <w:p w14:paraId="2A014EE0">
            <w:pPr>
              <w:pStyle w:val="159"/>
            </w:pPr>
            <w:r>
              <w:rPr>
                <w:rFonts w:hint="eastAsia"/>
              </w:rPr>
              <w:t>影响程度</w:t>
            </w:r>
          </w:p>
        </w:tc>
        <w:tc>
          <w:tcPr>
            <w:tcW w:w="578" w:type="pct"/>
            <w:vAlign w:val="center"/>
          </w:tcPr>
          <w:p w14:paraId="0F3BB1EF">
            <w:pPr>
              <w:pStyle w:val="159"/>
            </w:pPr>
            <w:r>
              <w:rPr>
                <w:rFonts w:hint="eastAsia"/>
              </w:rPr>
              <w:t>工程内容及影响方式</w:t>
            </w:r>
          </w:p>
        </w:tc>
        <w:tc>
          <w:tcPr>
            <w:tcW w:w="547" w:type="pct"/>
            <w:vAlign w:val="center"/>
          </w:tcPr>
          <w:p w14:paraId="0025C70A">
            <w:pPr>
              <w:pStyle w:val="159"/>
            </w:pPr>
            <w:r>
              <w:rPr>
                <w:rFonts w:hint="eastAsia"/>
              </w:rPr>
              <w:t>影响性质</w:t>
            </w:r>
          </w:p>
        </w:tc>
        <w:tc>
          <w:tcPr>
            <w:tcW w:w="466" w:type="pct"/>
            <w:vAlign w:val="center"/>
          </w:tcPr>
          <w:p w14:paraId="44517A5D">
            <w:pPr>
              <w:pStyle w:val="159"/>
            </w:pPr>
            <w:r>
              <w:rPr>
                <w:rFonts w:hint="eastAsia"/>
              </w:rPr>
              <w:t>影响程度</w:t>
            </w:r>
          </w:p>
        </w:tc>
      </w:tr>
      <w:tr w14:paraId="076F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3D0E9CB6">
            <w:pPr>
              <w:pStyle w:val="159"/>
            </w:pPr>
            <w:r>
              <w:rPr>
                <w:rFonts w:hint="eastAsia"/>
              </w:rPr>
              <w:t>物种</w:t>
            </w:r>
          </w:p>
        </w:tc>
        <w:tc>
          <w:tcPr>
            <w:tcW w:w="1158" w:type="pct"/>
            <w:vAlign w:val="center"/>
          </w:tcPr>
          <w:p w14:paraId="749ECF2D">
            <w:pPr>
              <w:pStyle w:val="159"/>
            </w:pPr>
            <w:r>
              <w:rPr>
                <w:rFonts w:hint="eastAsia"/>
              </w:rPr>
              <w:t>陆生生物种类及分布范围、水生生物种类及分布范围</w:t>
            </w:r>
          </w:p>
        </w:tc>
        <w:tc>
          <w:tcPr>
            <w:tcW w:w="798" w:type="pct"/>
            <w:vMerge w:val="restart"/>
            <w:vAlign w:val="center"/>
          </w:tcPr>
          <w:p w14:paraId="0B7EE21E">
            <w:pPr>
              <w:pStyle w:val="159"/>
            </w:pPr>
            <w:r>
              <w:t>场地</w:t>
            </w:r>
            <w:r>
              <w:rPr>
                <w:rFonts w:hint="eastAsia"/>
              </w:rPr>
              <w:t>清理，塔杆</w:t>
            </w:r>
            <w:r>
              <w:t>基础</w:t>
            </w:r>
            <w:r>
              <w:rPr>
                <w:rFonts w:hint="eastAsia"/>
              </w:rPr>
              <w:t>、电缆沟和作业井</w:t>
            </w:r>
            <w:r>
              <w:t>开挖</w:t>
            </w:r>
            <w:r>
              <w:rPr>
                <w:rFonts w:hint="eastAsia"/>
              </w:rPr>
              <w:t>，线路架设、电缆敷设，</w:t>
            </w:r>
            <w:r>
              <w:t>材料运输</w:t>
            </w:r>
            <w:r>
              <w:rPr>
                <w:rFonts w:hint="eastAsia"/>
              </w:rPr>
              <w:t>、</w:t>
            </w:r>
            <w:r>
              <w:t>机械作业</w:t>
            </w:r>
            <w:r>
              <w:rPr>
                <w:rFonts w:hint="eastAsia"/>
              </w:rPr>
              <w:t>等</w:t>
            </w:r>
          </w:p>
        </w:tc>
        <w:tc>
          <w:tcPr>
            <w:tcW w:w="626" w:type="pct"/>
            <w:vAlign w:val="center"/>
          </w:tcPr>
          <w:p w14:paraId="1DB55A9D">
            <w:pPr>
              <w:pStyle w:val="159"/>
            </w:pPr>
            <w:r>
              <w:rPr>
                <w:rFonts w:hint="eastAsia"/>
              </w:rPr>
              <w:t>短期/可逆</w:t>
            </w:r>
          </w:p>
        </w:tc>
        <w:tc>
          <w:tcPr>
            <w:tcW w:w="439" w:type="pct"/>
            <w:vAlign w:val="center"/>
          </w:tcPr>
          <w:p w14:paraId="5161F7F9">
            <w:pPr>
              <w:pStyle w:val="159"/>
            </w:pPr>
            <w:r>
              <w:rPr>
                <w:rFonts w:hint="eastAsia"/>
              </w:rPr>
              <w:t>弱</w:t>
            </w:r>
          </w:p>
        </w:tc>
        <w:tc>
          <w:tcPr>
            <w:tcW w:w="578" w:type="pct"/>
            <w:vMerge w:val="restart"/>
            <w:vAlign w:val="center"/>
          </w:tcPr>
          <w:p w14:paraId="3672FB7A">
            <w:pPr>
              <w:pStyle w:val="159"/>
            </w:pPr>
            <w:r>
              <w:rPr>
                <w:rFonts w:hint="eastAsia"/>
              </w:rPr>
              <w:t>/</w:t>
            </w:r>
          </w:p>
        </w:tc>
        <w:tc>
          <w:tcPr>
            <w:tcW w:w="547" w:type="pct"/>
            <w:vAlign w:val="center"/>
          </w:tcPr>
          <w:p w14:paraId="74263FFF">
            <w:pPr>
              <w:pStyle w:val="159"/>
            </w:pPr>
            <w:r>
              <w:rPr>
                <w:rFonts w:hint="eastAsia"/>
              </w:rPr>
              <w:t>/</w:t>
            </w:r>
          </w:p>
        </w:tc>
        <w:tc>
          <w:tcPr>
            <w:tcW w:w="466" w:type="pct"/>
            <w:vAlign w:val="center"/>
          </w:tcPr>
          <w:p w14:paraId="7A72212E">
            <w:pPr>
              <w:pStyle w:val="159"/>
            </w:pPr>
            <w:r>
              <w:rPr>
                <w:rFonts w:hint="eastAsia"/>
              </w:rPr>
              <w:t>无</w:t>
            </w:r>
          </w:p>
        </w:tc>
      </w:tr>
      <w:tr w14:paraId="797E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67DEFAE9">
            <w:pPr>
              <w:pStyle w:val="159"/>
            </w:pPr>
            <w:r>
              <w:rPr>
                <w:rFonts w:hint="eastAsia"/>
              </w:rPr>
              <w:t>生境</w:t>
            </w:r>
          </w:p>
        </w:tc>
        <w:tc>
          <w:tcPr>
            <w:tcW w:w="1158" w:type="pct"/>
            <w:vAlign w:val="center"/>
          </w:tcPr>
          <w:p w14:paraId="704CB26E">
            <w:pPr>
              <w:pStyle w:val="159"/>
            </w:pPr>
            <w:r>
              <w:t>生境面积、质量</w:t>
            </w:r>
          </w:p>
        </w:tc>
        <w:tc>
          <w:tcPr>
            <w:tcW w:w="798" w:type="pct"/>
            <w:vMerge w:val="continue"/>
            <w:vAlign w:val="center"/>
          </w:tcPr>
          <w:p w14:paraId="4966147B">
            <w:pPr>
              <w:pStyle w:val="159"/>
            </w:pPr>
          </w:p>
        </w:tc>
        <w:tc>
          <w:tcPr>
            <w:tcW w:w="626" w:type="pct"/>
            <w:vAlign w:val="center"/>
          </w:tcPr>
          <w:p w14:paraId="6C2C8986">
            <w:pPr>
              <w:pStyle w:val="159"/>
            </w:pPr>
            <w:r>
              <w:rPr>
                <w:rFonts w:hint="eastAsia"/>
              </w:rPr>
              <w:t>短期/可逆</w:t>
            </w:r>
          </w:p>
        </w:tc>
        <w:tc>
          <w:tcPr>
            <w:tcW w:w="439" w:type="pct"/>
            <w:vAlign w:val="center"/>
          </w:tcPr>
          <w:p w14:paraId="03A4C787">
            <w:pPr>
              <w:pStyle w:val="159"/>
            </w:pPr>
            <w:r>
              <w:rPr>
                <w:rFonts w:hint="eastAsia"/>
              </w:rPr>
              <w:t>弱</w:t>
            </w:r>
          </w:p>
        </w:tc>
        <w:tc>
          <w:tcPr>
            <w:tcW w:w="578" w:type="pct"/>
            <w:vMerge w:val="continue"/>
            <w:vAlign w:val="center"/>
          </w:tcPr>
          <w:p w14:paraId="6387449B">
            <w:pPr>
              <w:pStyle w:val="159"/>
            </w:pPr>
          </w:p>
        </w:tc>
        <w:tc>
          <w:tcPr>
            <w:tcW w:w="547" w:type="pct"/>
            <w:vAlign w:val="center"/>
          </w:tcPr>
          <w:p w14:paraId="575FE1D9">
            <w:pPr>
              <w:pStyle w:val="159"/>
            </w:pPr>
            <w:r>
              <w:rPr>
                <w:rFonts w:hint="eastAsia"/>
              </w:rPr>
              <w:t>/</w:t>
            </w:r>
          </w:p>
        </w:tc>
        <w:tc>
          <w:tcPr>
            <w:tcW w:w="466" w:type="pct"/>
            <w:vAlign w:val="center"/>
          </w:tcPr>
          <w:p w14:paraId="14681F1F">
            <w:pPr>
              <w:pStyle w:val="159"/>
            </w:pPr>
            <w:r>
              <w:rPr>
                <w:rFonts w:hint="eastAsia"/>
              </w:rPr>
              <w:t>无</w:t>
            </w:r>
          </w:p>
        </w:tc>
      </w:tr>
      <w:tr w14:paraId="4604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09FB49E5">
            <w:pPr>
              <w:pStyle w:val="159"/>
            </w:pPr>
            <w:r>
              <w:rPr>
                <w:rFonts w:hint="eastAsia"/>
              </w:rPr>
              <w:t>生物群落</w:t>
            </w:r>
          </w:p>
        </w:tc>
        <w:tc>
          <w:tcPr>
            <w:tcW w:w="1158" w:type="pct"/>
            <w:vAlign w:val="center"/>
          </w:tcPr>
          <w:p w14:paraId="084E8F5E">
            <w:pPr>
              <w:pStyle w:val="159"/>
            </w:pPr>
            <w:r>
              <w:rPr>
                <w:rFonts w:hint="eastAsia"/>
              </w:rPr>
              <w:t>物种组成</w:t>
            </w:r>
          </w:p>
        </w:tc>
        <w:tc>
          <w:tcPr>
            <w:tcW w:w="798" w:type="pct"/>
            <w:vMerge w:val="continue"/>
            <w:vAlign w:val="center"/>
          </w:tcPr>
          <w:p w14:paraId="48DEACF7">
            <w:pPr>
              <w:pStyle w:val="159"/>
            </w:pPr>
          </w:p>
        </w:tc>
        <w:tc>
          <w:tcPr>
            <w:tcW w:w="626" w:type="pct"/>
            <w:vAlign w:val="center"/>
          </w:tcPr>
          <w:p w14:paraId="219E52D4">
            <w:pPr>
              <w:pStyle w:val="159"/>
            </w:pPr>
            <w:r>
              <w:rPr>
                <w:rFonts w:hint="eastAsia"/>
              </w:rPr>
              <w:t>短期/可逆</w:t>
            </w:r>
          </w:p>
        </w:tc>
        <w:tc>
          <w:tcPr>
            <w:tcW w:w="439" w:type="pct"/>
            <w:vAlign w:val="center"/>
          </w:tcPr>
          <w:p w14:paraId="51DC5359">
            <w:pPr>
              <w:pStyle w:val="159"/>
            </w:pPr>
            <w:r>
              <w:rPr>
                <w:rFonts w:hint="eastAsia"/>
              </w:rPr>
              <w:t>弱</w:t>
            </w:r>
          </w:p>
        </w:tc>
        <w:tc>
          <w:tcPr>
            <w:tcW w:w="578" w:type="pct"/>
            <w:vMerge w:val="continue"/>
            <w:vAlign w:val="center"/>
          </w:tcPr>
          <w:p w14:paraId="0C76705A">
            <w:pPr>
              <w:pStyle w:val="159"/>
            </w:pPr>
          </w:p>
        </w:tc>
        <w:tc>
          <w:tcPr>
            <w:tcW w:w="547" w:type="pct"/>
            <w:vAlign w:val="center"/>
          </w:tcPr>
          <w:p w14:paraId="36C0D934">
            <w:pPr>
              <w:pStyle w:val="159"/>
            </w:pPr>
            <w:r>
              <w:rPr>
                <w:rFonts w:hint="eastAsia"/>
              </w:rPr>
              <w:t>/</w:t>
            </w:r>
          </w:p>
        </w:tc>
        <w:tc>
          <w:tcPr>
            <w:tcW w:w="466" w:type="pct"/>
            <w:vAlign w:val="center"/>
          </w:tcPr>
          <w:p w14:paraId="1F5975B0">
            <w:pPr>
              <w:pStyle w:val="159"/>
            </w:pPr>
            <w:r>
              <w:rPr>
                <w:rFonts w:hint="eastAsia"/>
              </w:rPr>
              <w:t>无</w:t>
            </w:r>
          </w:p>
        </w:tc>
      </w:tr>
      <w:tr w14:paraId="5615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389ED99A">
            <w:pPr>
              <w:pStyle w:val="159"/>
            </w:pPr>
            <w:r>
              <w:rPr>
                <w:rFonts w:hint="eastAsia"/>
              </w:rPr>
              <w:t>生态系统</w:t>
            </w:r>
          </w:p>
        </w:tc>
        <w:tc>
          <w:tcPr>
            <w:tcW w:w="1158" w:type="pct"/>
            <w:vAlign w:val="center"/>
          </w:tcPr>
          <w:p w14:paraId="410EC94E">
            <w:pPr>
              <w:pStyle w:val="159"/>
            </w:pPr>
            <w:r>
              <w:t>植被类型</w:t>
            </w:r>
            <w:r>
              <w:rPr>
                <w:rFonts w:hint="eastAsia"/>
              </w:rPr>
              <w:t>和</w:t>
            </w:r>
            <w:r>
              <w:t>种类</w:t>
            </w:r>
          </w:p>
        </w:tc>
        <w:tc>
          <w:tcPr>
            <w:tcW w:w="798" w:type="pct"/>
            <w:vMerge w:val="continue"/>
            <w:vAlign w:val="center"/>
          </w:tcPr>
          <w:p w14:paraId="6F4D7F70">
            <w:pPr>
              <w:pStyle w:val="159"/>
            </w:pPr>
          </w:p>
        </w:tc>
        <w:tc>
          <w:tcPr>
            <w:tcW w:w="626" w:type="pct"/>
            <w:vAlign w:val="center"/>
          </w:tcPr>
          <w:p w14:paraId="0B1EDE2E">
            <w:pPr>
              <w:pStyle w:val="159"/>
            </w:pPr>
            <w:r>
              <w:rPr>
                <w:rFonts w:hint="eastAsia"/>
              </w:rPr>
              <w:t>短期/可逆</w:t>
            </w:r>
          </w:p>
        </w:tc>
        <w:tc>
          <w:tcPr>
            <w:tcW w:w="439" w:type="pct"/>
            <w:vAlign w:val="center"/>
          </w:tcPr>
          <w:p w14:paraId="3A3E532B">
            <w:pPr>
              <w:pStyle w:val="159"/>
            </w:pPr>
            <w:r>
              <w:rPr>
                <w:rFonts w:hint="eastAsia"/>
              </w:rPr>
              <w:t>弱</w:t>
            </w:r>
          </w:p>
        </w:tc>
        <w:tc>
          <w:tcPr>
            <w:tcW w:w="578" w:type="pct"/>
            <w:vMerge w:val="continue"/>
            <w:vAlign w:val="center"/>
          </w:tcPr>
          <w:p w14:paraId="040964E7">
            <w:pPr>
              <w:pStyle w:val="159"/>
            </w:pPr>
          </w:p>
        </w:tc>
        <w:tc>
          <w:tcPr>
            <w:tcW w:w="547" w:type="pct"/>
            <w:vAlign w:val="center"/>
          </w:tcPr>
          <w:p w14:paraId="7770A1F2">
            <w:pPr>
              <w:pStyle w:val="159"/>
            </w:pPr>
            <w:r>
              <w:rPr>
                <w:rFonts w:hint="eastAsia"/>
              </w:rPr>
              <w:t>/</w:t>
            </w:r>
          </w:p>
        </w:tc>
        <w:tc>
          <w:tcPr>
            <w:tcW w:w="466" w:type="pct"/>
            <w:vAlign w:val="center"/>
          </w:tcPr>
          <w:p w14:paraId="3701AB50">
            <w:pPr>
              <w:pStyle w:val="159"/>
            </w:pPr>
            <w:r>
              <w:rPr>
                <w:rFonts w:hint="eastAsia"/>
              </w:rPr>
              <w:t>无</w:t>
            </w:r>
          </w:p>
        </w:tc>
      </w:tr>
      <w:tr w14:paraId="231C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231FF53F">
            <w:pPr>
              <w:pStyle w:val="159"/>
            </w:pPr>
            <w:r>
              <w:t>生物多样性</w:t>
            </w:r>
          </w:p>
        </w:tc>
        <w:tc>
          <w:tcPr>
            <w:tcW w:w="1158" w:type="pct"/>
            <w:vAlign w:val="center"/>
          </w:tcPr>
          <w:p w14:paraId="1C10462F">
            <w:pPr>
              <w:pStyle w:val="159"/>
            </w:pPr>
            <w:r>
              <w:t>物种丰富度</w:t>
            </w:r>
          </w:p>
        </w:tc>
        <w:tc>
          <w:tcPr>
            <w:tcW w:w="798" w:type="pct"/>
            <w:vMerge w:val="continue"/>
            <w:vAlign w:val="center"/>
          </w:tcPr>
          <w:p w14:paraId="376139D0">
            <w:pPr>
              <w:pStyle w:val="159"/>
            </w:pPr>
          </w:p>
        </w:tc>
        <w:tc>
          <w:tcPr>
            <w:tcW w:w="626" w:type="pct"/>
            <w:vAlign w:val="center"/>
          </w:tcPr>
          <w:p w14:paraId="27F3B801">
            <w:pPr>
              <w:pStyle w:val="159"/>
            </w:pPr>
            <w:r>
              <w:rPr>
                <w:rFonts w:hint="eastAsia"/>
              </w:rPr>
              <w:t>短期/可逆</w:t>
            </w:r>
          </w:p>
        </w:tc>
        <w:tc>
          <w:tcPr>
            <w:tcW w:w="439" w:type="pct"/>
            <w:vAlign w:val="center"/>
          </w:tcPr>
          <w:p w14:paraId="4BE6D73A">
            <w:pPr>
              <w:pStyle w:val="159"/>
            </w:pPr>
            <w:r>
              <w:rPr>
                <w:rFonts w:hint="eastAsia"/>
              </w:rPr>
              <w:t>弱</w:t>
            </w:r>
          </w:p>
        </w:tc>
        <w:tc>
          <w:tcPr>
            <w:tcW w:w="578" w:type="pct"/>
            <w:vMerge w:val="continue"/>
            <w:vAlign w:val="center"/>
          </w:tcPr>
          <w:p w14:paraId="71DBB63E">
            <w:pPr>
              <w:pStyle w:val="159"/>
            </w:pPr>
          </w:p>
        </w:tc>
        <w:tc>
          <w:tcPr>
            <w:tcW w:w="547" w:type="pct"/>
            <w:vAlign w:val="center"/>
          </w:tcPr>
          <w:p w14:paraId="14EB5120">
            <w:pPr>
              <w:pStyle w:val="159"/>
            </w:pPr>
            <w:r>
              <w:rPr>
                <w:rFonts w:hint="eastAsia"/>
              </w:rPr>
              <w:t>/</w:t>
            </w:r>
          </w:p>
        </w:tc>
        <w:tc>
          <w:tcPr>
            <w:tcW w:w="466" w:type="pct"/>
            <w:vAlign w:val="center"/>
          </w:tcPr>
          <w:p w14:paraId="229401FB">
            <w:pPr>
              <w:pStyle w:val="159"/>
            </w:pPr>
            <w:r>
              <w:rPr>
                <w:rFonts w:hint="eastAsia"/>
              </w:rPr>
              <w:t>无</w:t>
            </w:r>
          </w:p>
        </w:tc>
      </w:tr>
      <w:tr w14:paraId="7F68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22FEE75D">
            <w:pPr>
              <w:pStyle w:val="159"/>
            </w:pPr>
            <w:r>
              <w:t>生态敏感区</w:t>
            </w:r>
          </w:p>
        </w:tc>
        <w:tc>
          <w:tcPr>
            <w:tcW w:w="1158" w:type="pct"/>
            <w:vAlign w:val="center"/>
          </w:tcPr>
          <w:p w14:paraId="27FEA351">
            <w:pPr>
              <w:pStyle w:val="159"/>
            </w:pPr>
            <w:r>
              <w:t>主要保护对象、生态功能等</w:t>
            </w:r>
          </w:p>
        </w:tc>
        <w:tc>
          <w:tcPr>
            <w:tcW w:w="798" w:type="pct"/>
            <w:vMerge w:val="continue"/>
            <w:vAlign w:val="center"/>
          </w:tcPr>
          <w:p w14:paraId="6ECC2DAB">
            <w:pPr>
              <w:pStyle w:val="159"/>
            </w:pPr>
          </w:p>
        </w:tc>
        <w:tc>
          <w:tcPr>
            <w:tcW w:w="626" w:type="pct"/>
            <w:vAlign w:val="center"/>
          </w:tcPr>
          <w:p w14:paraId="2A00F1C2">
            <w:pPr>
              <w:pStyle w:val="159"/>
            </w:pPr>
            <w:r>
              <w:rPr>
                <w:rFonts w:hint="eastAsia"/>
              </w:rPr>
              <w:t>短期/可逆</w:t>
            </w:r>
          </w:p>
        </w:tc>
        <w:tc>
          <w:tcPr>
            <w:tcW w:w="439" w:type="pct"/>
            <w:vAlign w:val="center"/>
          </w:tcPr>
          <w:p w14:paraId="0147640A">
            <w:pPr>
              <w:pStyle w:val="159"/>
            </w:pPr>
            <w:r>
              <w:rPr>
                <w:rFonts w:hint="eastAsia"/>
              </w:rPr>
              <w:t>弱</w:t>
            </w:r>
          </w:p>
        </w:tc>
        <w:tc>
          <w:tcPr>
            <w:tcW w:w="578" w:type="pct"/>
            <w:vMerge w:val="continue"/>
            <w:vAlign w:val="center"/>
          </w:tcPr>
          <w:p w14:paraId="2AD58ED4">
            <w:pPr>
              <w:pStyle w:val="159"/>
            </w:pPr>
          </w:p>
        </w:tc>
        <w:tc>
          <w:tcPr>
            <w:tcW w:w="547" w:type="pct"/>
            <w:vAlign w:val="center"/>
          </w:tcPr>
          <w:p w14:paraId="5DD52186">
            <w:pPr>
              <w:pStyle w:val="159"/>
            </w:pPr>
            <w:r>
              <w:rPr>
                <w:rFonts w:hint="eastAsia"/>
              </w:rPr>
              <w:t>/</w:t>
            </w:r>
          </w:p>
        </w:tc>
        <w:tc>
          <w:tcPr>
            <w:tcW w:w="466" w:type="pct"/>
            <w:vAlign w:val="center"/>
          </w:tcPr>
          <w:p w14:paraId="5473F419">
            <w:pPr>
              <w:pStyle w:val="159"/>
            </w:pPr>
            <w:r>
              <w:rPr>
                <w:rFonts w:hint="eastAsia"/>
              </w:rPr>
              <w:t>无</w:t>
            </w:r>
          </w:p>
        </w:tc>
      </w:tr>
      <w:tr w14:paraId="744F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5D7195D8">
            <w:pPr>
              <w:pStyle w:val="159"/>
            </w:pPr>
            <w:r>
              <w:t>自然</w:t>
            </w:r>
            <w:r>
              <w:rPr>
                <w:rFonts w:hint="eastAsia"/>
              </w:rPr>
              <w:t>景观</w:t>
            </w:r>
          </w:p>
        </w:tc>
        <w:tc>
          <w:tcPr>
            <w:tcW w:w="1158" w:type="pct"/>
            <w:vAlign w:val="center"/>
          </w:tcPr>
          <w:p w14:paraId="698E678B">
            <w:pPr>
              <w:pStyle w:val="159"/>
            </w:pPr>
            <w:r>
              <w:t>景观多样性、完整性</w:t>
            </w:r>
          </w:p>
        </w:tc>
        <w:tc>
          <w:tcPr>
            <w:tcW w:w="798" w:type="pct"/>
            <w:vMerge w:val="continue"/>
            <w:vAlign w:val="center"/>
          </w:tcPr>
          <w:p w14:paraId="172724CD">
            <w:pPr>
              <w:pStyle w:val="159"/>
            </w:pPr>
          </w:p>
        </w:tc>
        <w:tc>
          <w:tcPr>
            <w:tcW w:w="626" w:type="pct"/>
            <w:vAlign w:val="center"/>
          </w:tcPr>
          <w:p w14:paraId="53BB9620">
            <w:pPr>
              <w:pStyle w:val="159"/>
            </w:pPr>
            <w:r>
              <w:rPr>
                <w:rFonts w:hint="eastAsia"/>
              </w:rPr>
              <w:t>短期/可逆</w:t>
            </w:r>
          </w:p>
        </w:tc>
        <w:tc>
          <w:tcPr>
            <w:tcW w:w="439" w:type="pct"/>
            <w:vAlign w:val="center"/>
          </w:tcPr>
          <w:p w14:paraId="5E7B38AB">
            <w:pPr>
              <w:pStyle w:val="159"/>
            </w:pPr>
            <w:r>
              <w:rPr>
                <w:rFonts w:hint="eastAsia"/>
              </w:rPr>
              <w:t>弱</w:t>
            </w:r>
          </w:p>
        </w:tc>
        <w:tc>
          <w:tcPr>
            <w:tcW w:w="578" w:type="pct"/>
            <w:vMerge w:val="continue"/>
            <w:vAlign w:val="center"/>
          </w:tcPr>
          <w:p w14:paraId="3839D94E">
            <w:pPr>
              <w:pStyle w:val="159"/>
            </w:pPr>
          </w:p>
        </w:tc>
        <w:tc>
          <w:tcPr>
            <w:tcW w:w="547" w:type="pct"/>
            <w:vAlign w:val="center"/>
          </w:tcPr>
          <w:p w14:paraId="1E524F5E">
            <w:pPr>
              <w:pStyle w:val="159"/>
            </w:pPr>
            <w:r>
              <w:rPr>
                <w:rFonts w:hint="eastAsia"/>
              </w:rPr>
              <w:t>长期/可逆</w:t>
            </w:r>
          </w:p>
        </w:tc>
        <w:tc>
          <w:tcPr>
            <w:tcW w:w="466" w:type="pct"/>
            <w:vAlign w:val="center"/>
          </w:tcPr>
          <w:p w14:paraId="56BB8E4E">
            <w:pPr>
              <w:pStyle w:val="159"/>
            </w:pPr>
            <w:r>
              <w:rPr>
                <w:rFonts w:hint="eastAsia"/>
              </w:rPr>
              <w:t>弱</w:t>
            </w:r>
          </w:p>
        </w:tc>
      </w:tr>
    </w:tbl>
    <w:p w14:paraId="436D9AA7">
      <w:pPr>
        <w:pStyle w:val="5"/>
        <w:ind w:left="0" w:firstLine="0"/>
        <w:jc w:val="left"/>
      </w:pPr>
      <w:bookmarkStart w:id="273" w:name="_Toc174612143"/>
      <w:r>
        <w:rPr>
          <w:rFonts w:hint="eastAsia"/>
        </w:rPr>
        <w:t>评价等级</w:t>
      </w:r>
      <w:bookmarkEnd w:id="273"/>
    </w:p>
    <w:p w14:paraId="71A96144">
      <w:pPr>
        <w:pStyle w:val="3"/>
        <w:ind w:firstLine="480"/>
      </w:pPr>
      <w:r>
        <w:rPr>
          <w:rFonts w:hint="eastAsia"/>
        </w:rPr>
        <w:t>根据《环境影响评价技术导则 生态影响》（HJ 19-2022），本工程分段确定评价等级。本工程占地规模远小于20km</w:t>
      </w:r>
      <w:r>
        <w:rPr>
          <w:rFonts w:hint="eastAsia"/>
          <w:vertAlign w:val="superscript"/>
        </w:rPr>
        <w:t>2</w:t>
      </w:r>
      <w:r>
        <w:rPr>
          <w:rFonts w:hint="eastAsia"/>
        </w:rPr>
        <w:t>。输电线路工程涉及姑婆山风景名胜区、湖南江华涔天河国家湿地公园和生态保护红线，其中穿越姑婆山风景名胜区段生态影响评价等级为二级，一档跨越湖南江华涔天河国家湿地公园和生态保护红线段生态影响评价等级为三级；其他工程段属于一般区段，生态影响评价等级为三级。</w:t>
      </w:r>
    </w:p>
    <w:p w14:paraId="32F1A887">
      <w:pPr>
        <w:pStyle w:val="5"/>
        <w:ind w:left="0" w:firstLine="0"/>
        <w:jc w:val="left"/>
      </w:pPr>
      <w:bookmarkStart w:id="274" w:name="_Toc174612144"/>
      <w:r>
        <w:rPr>
          <w:rFonts w:hint="eastAsia"/>
        </w:rPr>
        <w:t>评价范围</w:t>
      </w:r>
      <w:bookmarkEnd w:id="274"/>
    </w:p>
    <w:p w14:paraId="027C2362">
      <w:pPr>
        <w:pStyle w:val="3"/>
        <w:ind w:firstLine="424" w:firstLineChars="177"/>
      </w:pPr>
      <w:r>
        <w:rPr>
          <w:rFonts w:hint="eastAsia"/>
        </w:rPr>
        <w:t>根据《环境影响评价技术导则 输变电》（HJ 24-2020）和《环境影响评价技术导则 生态影响》（HJ 19-2022），本工程穿越生态敏感区的输电线路段以线路穿越段向两端外延1km、边导线地面投影外两侧各1km内的带状区域；其他线路段以线路边导线地面投影外两侧各300m内的带状区域，共2</w:t>
      </w:r>
      <w:r>
        <w:t>026.37hm</w:t>
      </w:r>
      <w:r>
        <w:rPr>
          <w:vertAlign w:val="superscript"/>
        </w:rPr>
        <w:t>2</w:t>
      </w:r>
      <w:r>
        <w:rPr>
          <w:rFonts w:hint="eastAsia"/>
        </w:rPr>
        <w:t>。</w:t>
      </w:r>
    </w:p>
    <w:p w14:paraId="1CC5403F">
      <w:pPr>
        <w:pStyle w:val="5"/>
        <w:ind w:left="0" w:firstLine="0"/>
        <w:jc w:val="left"/>
      </w:pPr>
      <w:bookmarkStart w:id="275" w:name="_Toc174612145"/>
      <w:r>
        <w:rPr>
          <w:rFonts w:hint="eastAsia"/>
        </w:rPr>
        <w:t>生态环境保护目标</w:t>
      </w:r>
      <w:bookmarkEnd w:id="275"/>
    </w:p>
    <w:p w14:paraId="563E6F27">
      <w:pPr>
        <w:pStyle w:val="3"/>
        <w:ind w:firstLine="480"/>
      </w:pPr>
      <w:r>
        <w:t>本项目不</w:t>
      </w:r>
      <w:r>
        <w:rPr>
          <w:rFonts w:hint="eastAsia"/>
        </w:rPr>
        <w:t>涉及</w:t>
      </w:r>
      <w:r>
        <w:t>基本农田</w:t>
      </w:r>
      <w:r>
        <w:rPr>
          <w:rFonts w:hint="eastAsia"/>
        </w:rPr>
        <w:t>，评价范围内生态环境保护目标见表1</w:t>
      </w:r>
      <w:r>
        <w:t>.5-1</w:t>
      </w:r>
      <w:r>
        <w:rPr>
          <w:rFonts w:hint="eastAsia"/>
        </w:rPr>
        <w:t>所示。</w:t>
      </w:r>
    </w:p>
    <w:p w14:paraId="6D89E0FE">
      <w:pPr>
        <w:pStyle w:val="148"/>
      </w:pPr>
      <w:r>
        <w:br w:type="page"/>
      </w:r>
    </w:p>
    <w:p w14:paraId="6E3EB57A">
      <w:pPr>
        <w:pStyle w:val="148"/>
      </w:pPr>
      <w:r>
        <w:rPr>
          <w:rFonts w:hint="eastAsia"/>
        </w:rPr>
        <w:t>表</w:t>
      </w:r>
      <w:r>
        <w:t xml:space="preserve">1.5-1  </w:t>
      </w:r>
      <w:r>
        <w:rPr>
          <w:rFonts w:hint="eastAsia"/>
        </w:rPr>
        <w:t>生态环境保护目标</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3836"/>
        <w:gridCol w:w="1380"/>
        <w:gridCol w:w="1380"/>
        <w:gridCol w:w="1522"/>
      </w:tblGrid>
      <w:tr w14:paraId="4573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29" w:type="pct"/>
            <w:vAlign w:val="center"/>
          </w:tcPr>
          <w:p w14:paraId="56E89326">
            <w:pPr>
              <w:jc w:val="center"/>
              <w:rPr>
                <w:sz w:val="21"/>
                <w:szCs w:val="21"/>
              </w:rPr>
            </w:pPr>
            <w:r>
              <w:rPr>
                <w:rFonts w:hint="eastAsia"/>
                <w:sz w:val="21"/>
                <w:szCs w:val="21"/>
              </w:rPr>
              <w:t>保护目标</w:t>
            </w:r>
          </w:p>
        </w:tc>
        <w:tc>
          <w:tcPr>
            <w:tcW w:w="2065" w:type="pct"/>
            <w:vAlign w:val="center"/>
          </w:tcPr>
          <w:p w14:paraId="3361F69E">
            <w:pPr>
              <w:jc w:val="center"/>
              <w:rPr>
                <w:sz w:val="21"/>
                <w:szCs w:val="21"/>
              </w:rPr>
            </w:pPr>
            <w:r>
              <w:rPr>
                <w:rFonts w:hint="eastAsia"/>
                <w:sz w:val="21"/>
                <w:szCs w:val="21"/>
              </w:rPr>
              <w:t>规模及保护范围</w:t>
            </w:r>
          </w:p>
        </w:tc>
        <w:tc>
          <w:tcPr>
            <w:tcW w:w="743" w:type="pct"/>
            <w:vAlign w:val="center"/>
          </w:tcPr>
          <w:p w14:paraId="5DE93828">
            <w:pPr>
              <w:jc w:val="center"/>
              <w:rPr>
                <w:sz w:val="21"/>
                <w:szCs w:val="21"/>
              </w:rPr>
            </w:pPr>
            <w:r>
              <w:rPr>
                <w:rFonts w:hint="eastAsia"/>
                <w:sz w:val="21"/>
                <w:szCs w:val="21"/>
              </w:rPr>
              <w:t>具体保护对象</w:t>
            </w:r>
          </w:p>
        </w:tc>
        <w:tc>
          <w:tcPr>
            <w:tcW w:w="743" w:type="pct"/>
            <w:vAlign w:val="center"/>
          </w:tcPr>
          <w:p w14:paraId="503ECEC2">
            <w:pPr>
              <w:jc w:val="center"/>
              <w:rPr>
                <w:sz w:val="21"/>
                <w:szCs w:val="21"/>
              </w:rPr>
            </w:pPr>
            <w:r>
              <w:rPr>
                <w:rFonts w:hint="eastAsia"/>
                <w:sz w:val="21"/>
                <w:szCs w:val="21"/>
              </w:rPr>
              <w:t>与工程位置关系</w:t>
            </w:r>
          </w:p>
        </w:tc>
        <w:tc>
          <w:tcPr>
            <w:tcW w:w="819" w:type="pct"/>
            <w:vAlign w:val="center"/>
          </w:tcPr>
          <w:p w14:paraId="148ECDA2">
            <w:pPr>
              <w:jc w:val="center"/>
              <w:rPr>
                <w:sz w:val="21"/>
                <w:szCs w:val="21"/>
              </w:rPr>
            </w:pPr>
            <w:r>
              <w:rPr>
                <w:rFonts w:hint="eastAsia"/>
                <w:sz w:val="21"/>
                <w:szCs w:val="21"/>
              </w:rPr>
              <w:t>可能的工程影响</w:t>
            </w:r>
          </w:p>
        </w:tc>
      </w:tr>
      <w:tr w14:paraId="16F3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pct"/>
            <w:vAlign w:val="center"/>
          </w:tcPr>
          <w:p w14:paraId="23CC0F3F">
            <w:pPr>
              <w:jc w:val="center"/>
              <w:rPr>
                <w:color w:val="FF0000"/>
                <w:sz w:val="21"/>
                <w:szCs w:val="21"/>
              </w:rPr>
            </w:pPr>
            <w:r>
              <w:rPr>
                <w:rFonts w:hint="eastAsia"/>
                <w:sz w:val="21"/>
                <w:szCs w:val="21"/>
              </w:rPr>
              <w:t>江华县生态保护红线</w:t>
            </w:r>
          </w:p>
        </w:tc>
        <w:tc>
          <w:tcPr>
            <w:tcW w:w="2065" w:type="pct"/>
            <w:vAlign w:val="center"/>
          </w:tcPr>
          <w:p w14:paraId="6671B0E9">
            <w:pPr>
              <w:jc w:val="center"/>
              <w:rPr>
                <w:sz w:val="21"/>
                <w:szCs w:val="21"/>
              </w:rPr>
            </w:pPr>
            <w:r>
              <w:rPr>
                <w:rFonts w:hint="eastAsia"/>
                <w:sz w:val="21"/>
                <w:szCs w:val="21"/>
              </w:rPr>
              <w:t>属南岭水源涵养</w:t>
            </w:r>
            <w:r>
              <w:rPr>
                <w:sz w:val="21"/>
                <w:szCs w:val="21"/>
              </w:rPr>
              <w:t>-</w:t>
            </w:r>
            <w:r>
              <w:rPr>
                <w:rFonts w:hint="eastAsia"/>
                <w:sz w:val="21"/>
                <w:szCs w:val="21"/>
              </w:rPr>
              <w:t>生物多样性维护生态保护红线，生态系统特征：红线区为中亚热带季风湿润气候，植被属中亚热带南部含华南区系热带成分的常绿阔叶林亚地带，区内动植物资源丰富，是湖南省生物多样性分布极其重要的地区。红线区是湘江、北江、桂江的发源地，也是长江水系和珠江水系的分水岭，水源涵养生态功能十分重要。保护重点：提高水源涵养能力，逐步恢复生态系统结构和功能；保护森林生态系统，维护生物多样性功能；通过治理和修复，恢复矿产资源开采活动带来的生态破坏；加强石漠化地区生态治理与修复。</w:t>
            </w:r>
          </w:p>
        </w:tc>
        <w:tc>
          <w:tcPr>
            <w:tcW w:w="743" w:type="pct"/>
            <w:vAlign w:val="center"/>
          </w:tcPr>
          <w:p w14:paraId="732473E4">
            <w:pPr>
              <w:jc w:val="center"/>
              <w:rPr>
                <w:sz w:val="21"/>
                <w:szCs w:val="21"/>
              </w:rPr>
            </w:pPr>
            <w:r>
              <w:rPr>
                <w:rFonts w:hint="eastAsia"/>
                <w:sz w:val="21"/>
                <w:szCs w:val="21"/>
              </w:rPr>
              <w:t>水源涵养</w:t>
            </w:r>
            <w:r>
              <w:rPr>
                <w:sz w:val="21"/>
                <w:szCs w:val="21"/>
              </w:rPr>
              <w:t>-</w:t>
            </w:r>
            <w:r>
              <w:rPr>
                <w:rFonts w:hint="eastAsia"/>
                <w:sz w:val="21"/>
                <w:szCs w:val="21"/>
              </w:rPr>
              <w:t>生物多样性维护</w:t>
            </w:r>
          </w:p>
        </w:tc>
        <w:tc>
          <w:tcPr>
            <w:tcW w:w="743" w:type="pct"/>
            <w:vAlign w:val="center"/>
          </w:tcPr>
          <w:p w14:paraId="329CD05C">
            <w:pPr>
              <w:jc w:val="center"/>
              <w:rPr>
                <w:sz w:val="21"/>
                <w:szCs w:val="21"/>
              </w:rPr>
            </w:pPr>
            <w:r>
              <w:rPr>
                <w:rFonts w:hint="eastAsia"/>
                <w:sz w:val="21"/>
                <w:szCs w:val="21"/>
              </w:rPr>
              <w:t>跨越</w:t>
            </w:r>
            <w:r>
              <w:rPr>
                <w:sz w:val="21"/>
                <w:szCs w:val="21"/>
              </w:rPr>
              <w:t>3</w:t>
            </w:r>
            <w:r>
              <w:rPr>
                <w:rFonts w:hint="eastAsia"/>
                <w:sz w:val="21"/>
                <w:szCs w:val="21"/>
              </w:rPr>
              <w:t>次，均为无害式跨越，不在生态保护红线区域内设塔，不涉及临时占地和永久占地</w:t>
            </w:r>
          </w:p>
        </w:tc>
        <w:tc>
          <w:tcPr>
            <w:tcW w:w="819" w:type="pct"/>
            <w:vAlign w:val="center"/>
          </w:tcPr>
          <w:p w14:paraId="44F21A9C">
            <w:pPr>
              <w:jc w:val="center"/>
              <w:rPr>
                <w:sz w:val="21"/>
                <w:szCs w:val="21"/>
              </w:rPr>
            </w:pPr>
            <w:r>
              <w:rPr>
                <w:rFonts w:hint="eastAsia"/>
                <w:sz w:val="21"/>
                <w:szCs w:val="21"/>
              </w:rPr>
              <w:t>植被破坏，生境破坏</w:t>
            </w:r>
          </w:p>
        </w:tc>
      </w:tr>
      <w:tr w14:paraId="017C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pct"/>
            <w:vAlign w:val="center"/>
          </w:tcPr>
          <w:p w14:paraId="1218A1C9">
            <w:pPr>
              <w:jc w:val="center"/>
              <w:rPr>
                <w:sz w:val="21"/>
                <w:szCs w:val="21"/>
              </w:rPr>
            </w:pPr>
            <w:r>
              <w:rPr>
                <w:rFonts w:hint="eastAsia"/>
                <w:sz w:val="21"/>
                <w:szCs w:val="21"/>
              </w:rPr>
              <w:t>姑婆山风景名胜区</w:t>
            </w:r>
          </w:p>
        </w:tc>
        <w:tc>
          <w:tcPr>
            <w:tcW w:w="2065" w:type="pct"/>
            <w:vAlign w:val="center"/>
          </w:tcPr>
          <w:p w14:paraId="560354E4">
            <w:pPr>
              <w:jc w:val="center"/>
              <w:rPr>
                <w:sz w:val="21"/>
                <w:szCs w:val="21"/>
              </w:rPr>
            </w:pPr>
            <w:r>
              <w:rPr>
                <w:sz w:val="21"/>
                <w:szCs w:val="21"/>
              </w:rPr>
              <w:t>2023</w:t>
            </w:r>
            <w:r>
              <w:rPr>
                <w:rFonts w:hint="eastAsia"/>
                <w:sz w:val="21"/>
                <w:szCs w:val="21"/>
              </w:rPr>
              <w:t>年，江华瑶族自治县上报国家林草局的自然保护地及风景区整合优化方案中的姑婆山风景区总面积约</w:t>
            </w:r>
            <w:r>
              <w:rPr>
                <w:sz w:val="21"/>
                <w:szCs w:val="21"/>
              </w:rPr>
              <w:t>80.33km</w:t>
            </w:r>
            <w:r>
              <w:rPr>
                <w:sz w:val="21"/>
                <w:szCs w:val="21"/>
                <w:vertAlign w:val="superscript"/>
              </w:rPr>
              <w:t>2</w:t>
            </w:r>
            <w:r>
              <w:rPr>
                <w:rFonts w:hint="eastAsia"/>
                <w:sz w:val="21"/>
                <w:szCs w:val="21"/>
              </w:rPr>
              <w:t>，包括姑婆山、黄龙山及水口</w:t>
            </w:r>
            <w:r>
              <w:rPr>
                <w:sz w:val="21"/>
                <w:szCs w:val="21"/>
              </w:rPr>
              <w:t xml:space="preserve">3 </w:t>
            </w:r>
            <w:r>
              <w:rPr>
                <w:rFonts w:hint="eastAsia"/>
                <w:sz w:val="21"/>
                <w:szCs w:val="21"/>
              </w:rPr>
              <w:t>个景区。其中水口景区北起湘江乡大屋地水坝，向南沿麻江水岸线至桐冲瑶寨风雨桥，后向西南沿水口镇山脚线至涔天河国家自然湿地公园边界，向东北沿濠江河至十八湾，再向西北沿濠江村、山门村山脊线至湘江乡大屋地水坝，地理坐标东经</w:t>
            </w:r>
            <w:r>
              <w:rPr>
                <w:sz w:val="21"/>
                <w:szCs w:val="21"/>
              </w:rPr>
              <w:t>111</w:t>
            </w:r>
            <w:r>
              <w:rPr>
                <w:rFonts w:hint="eastAsia"/>
                <w:sz w:val="21"/>
                <w:szCs w:val="21"/>
              </w:rPr>
              <w:t>°</w:t>
            </w:r>
            <w:r>
              <w:rPr>
                <w:sz w:val="21"/>
                <w:szCs w:val="21"/>
              </w:rPr>
              <w:t>52'50"</w:t>
            </w:r>
            <w:r>
              <w:rPr>
                <w:rFonts w:hint="eastAsia"/>
                <w:sz w:val="21"/>
                <w:szCs w:val="21"/>
              </w:rPr>
              <w:t>—</w:t>
            </w:r>
            <w:r>
              <w:rPr>
                <w:sz w:val="21"/>
                <w:szCs w:val="21"/>
              </w:rPr>
              <w:t>111</w:t>
            </w:r>
            <w:r>
              <w:rPr>
                <w:rFonts w:hint="eastAsia"/>
                <w:sz w:val="21"/>
                <w:szCs w:val="21"/>
              </w:rPr>
              <w:t>°</w:t>
            </w:r>
            <w:r>
              <w:rPr>
                <w:sz w:val="21"/>
                <w:szCs w:val="21"/>
              </w:rPr>
              <w:t>58'29"</w:t>
            </w:r>
            <w:r>
              <w:rPr>
                <w:rFonts w:hint="eastAsia"/>
                <w:sz w:val="21"/>
                <w:szCs w:val="21"/>
              </w:rPr>
              <w:t>、北纬</w:t>
            </w:r>
            <w:r>
              <w:rPr>
                <w:sz w:val="21"/>
                <w:szCs w:val="21"/>
              </w:rPr>
              <w:t>25</w:t>
            </w:r>
            <w:r>
              <w:rPr>
                <w:rFonts w:hint="eastAsia"/>
                <w:sz w:val="21"/>
                <w:szCs w:val="21"/>
              </w:rPr>
              <w:t>°</w:t>
            </w:r>
            <w:r>
              <w:rPr>
                <w:sz w:val="21"/>
                <w:szCs w:val="21"/>
              </w:rPr>
              <w:t>8'40"</w:t>
            </w:r>
            <w:r>
              <w:rPr>
                <w:rFonts w:hint="eastAsia"/>
                <w:sz w:val="21"/>
                <w:szCs w:val="21"/>
              </w:rPr>
              <w:t>—</w:t>
            </w:r>
            <w:r>
              <w:rPr>
                <w:sz w:val="21"/>
                <w:szCs w:val="21"/>
              </w:rPr>
              <w:t>25</w:t>
            </w:r>
            <w:r>
              <w:rPr>
                <w:rFonts w:hint="eastAsia"/>
                <w:sz w:val="21"/>
                <w:szCs w:val="21"/>
              </w:rPr>
              <w:t>°</w:t>
            </w:r>
            <w:r>
              <w:rPr>
                <w:sz w:val="21"/>
                <w:szCs w:val="21"/>
              </w:rPr>
              <w:t>13'30"</w:t>
            </w:r>
            <w:r>
              <w:rPr>
                <w:rFonts w:hint="eastAsia"/>
                <w:sz w:val="21"/>
                <w:szCs w:val="21"/>
              </w:rPr>
              <w:t>，总面积约</w:t>
            </w:r>
            <w:r>
              <w:rPr>
                <w:sz w:val="21"/>
                <w:szCs w:val="21"/>
              </w:rPr>
              <w:t>27.91km</w:t>
            </w:r>
            <w:r>
              <w:rPr>
                <w:sz w:val="21"/>
                <w:szCs w:val="21"/>
                <w:vertAlign w:val="superscript"/>
              </w:rPr>
              <w:t>2</w:t>
            </w:r>
            <w:r>
              <w:rPr>
                <w:rFonts w:hint="eastAsia"/>
                <w:sz w:val="21"/>
                <w:szCs w:val="21"/>
              </w:rPr>
              <w:t>。</w:t>
            </w:r>
          </w:p>
        </w:tc>
        <w:tc>
          <w:tcPr>
            <w:tcW w:w="743" w:type="pct"/>
            <w:vAlign w:val="center"/>
          </w:tcPr>
          <w:p w14:paraId="184BD7C3">
            <w:pPr>
              <w:jc w:val="center"/>
              <w:rPr>
                <w:sz w:val="21"/>
                <w:szCs w:val="21"/>
              </w:rPr>
            </w:pPr>
            <w:r>
              <w:rPr>
                <w:rFonts w:hint="eastAsia"/>
                <w:sz w:val="21"/>
                <w:szCs w:val="21"/>
              </w:rPr>
              <w:t>风景景观</w:t>
            </w:r>
          </w:p>
        </w:tc>
        <w:tc>
          <w:tcPr>
            <w:tcW w:w="743" w:type="pct"/>
            <w:vAlign w:val="center"/>
          </w:tcPr>
          <w:p w14:paraId="58DC837F">
            <w:pPr>
              <w:jc w:val="center"/>
              <w:rPr>
                <w:sz w:val="21"/>
                <w:szCs w:val="21"/>
              </w:rPr>
            </w:pPr>
            <w:r>
              <w:rPr>
                <w:rFonts w:hint="eastAsia"/>
                <w:sz w:val="21"/>
                <w:szCs w:val="21"/>
              </w:rPr>
              <w:t>工程由南至北穿越姑婆山风景区水口景区，穿越段长度为</w:t>
            </w:r>
            <w:r>
              <w:rPr>
                <w:sz w:val="21"/>
                <w:szCs w:val="21"/>
              </w:rPr>
              <w:t>2521.87m</w:t>
            </w:r>
            <w:r>
              <w:rPr>
                <w:rFonts w:hint="eastAsia"/>
                <w:sz w:val="21"/>
                <w:szCs w:val="21"/>
              </w:rPr>
              <w:t>，其中穿越三级保护区</w:t>
            </w:r>
            <w:r>
              <w:rPr>
                <w:sz w:val="21"/>
                <w:szCs w:val="21"/>
              </w:rPr>
              <w:t>83.1m</w:t>
            </w:r>
            <w:r>
              <w:rPr>
                <w:rFonts w:hint="eastAsia"/>
                <w:sz w:val="21"/>
                <w:szCs w:val="21"/>
              </w:rPr>
              <w:t>，在其内无塔杆；穿越二级保护区</w:t>
            </w:r>
            <w:r>
              <w:rPr>
                <w:sz w:val="21"/>
                <w:szCs w:val="21"/>
              </w:rPr>
              <w:t>2438.77m</w:t>
            </w:r>
            <w:r>
              <w:rPr>
                <w:rFonts w:hint="eastAsia"/>
                <w:sz w:val="21"/>
                <w:szCs w:val="21"/>
              </w:rPr>
              <w:t>，在其内设置杆塔</w:t>
            </w:r>
            <w:r>
              <w:rPr>
                <w:sz w:val="21"/>
                <w:szCs w:val="21"/>
              </w:rPr>
              <w:t>8</w:t>
            </w:r>
            <w:r>
              <w:rPr>
                <w:rFonts w:hint="eastAsia"/>
                <w:sz w:val="21"/>
                <w:szCs w:val="21"/>
              </w:rPr>
              <w:t>基，塔杆用地占地面积</w:t>
            </w:r>
            <w:r>
              <w:rPr>
                <w:sz w:val="21"/>
                <w:szCs w:val="21"/>
              </w:rPr>
              <w:t>669.08m</w:t>
            </w:r>
            <w:r>
              <w:rPr>
                <w:sz w:val="21"/>
                <w:szCs w:val="21"/>
                <w:vertAlign w:val="superscript"/>
              </w:rPr>
              <w:t>2</w:t>
            </w:r>
            <w:r>
              <w:rPr>
                <w:rFonts w:hint="eastAsia"/>
                <w:sz w:val="21"/>
                <w:szCs w:val="21"/>
              </w:rPr>
              <w:t>，塔杆施工区域临时占地</w:t>
            </w:r>
            <w:r>
              <w:rPr>
                <w:sz w:val="21"/>
                <w:szCs w:val="21"/>
              </w:rPr>
              <w:t>0.2hm</w:t>
            </w:r>
            <w:r>
              <w:rPr>
                <w:sz w:val="21"/>
                <w:szCs w:val="21"/>
                <w:vertAlign w:val="superscript"/>
              </w:rPr>
              <w:t>2</w:t>
            </w:r>
            <w:r>
              <w:rPr>
                <w:rFonts w:hint="eastAsia"/>
                <w:sz w:val="21"/>
                <w:szCs w:val="21"/>
              </w:rPr>
              <w:t>。</w:t>
            </w:r>
          </w:p>
        </w:tc>
        <w:tc>
          <w:tcPr>
            <w:tcW w:w="819" w:type="pct"/>
            <w:vAlign w:val="center"/>
          </w:tcPr>
          <w:p w14:paraId="1EAD82B8">
            <w:pPr>
              <w:jc w:val="center"/>
              <w:rPr>
                <w:sz w:val="21"/>
                <w:szCs w:val="21"/>
              </w:rPr>
            </w:pPr>
            <w:r>
              <w:rPr>
                <w:rFonts w:hint="eastAsia"/>
                <w:sz w:val="21"/>
                <w:szCs w:val="21"/>
              </w:rPr>
              <w:t>工程占用，植被破坏，生境破坏</w:t>
            </w:r>
          </w:p>
        </w:tc>
      </w:tr>
      <w:tr w14:paraId="5DD8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pct"/>
            <w:vAlign w:val="center"/>
          </w:tcPr>
          <w:p w14:paraId="79D20038">
            <w:pPr>
              <w:jc w:val="center"/>
              <w:rPr>
                <w:sz w:val="21"/>
                <w:szCs w:val="21"/>
              </w:rPr>
            </w:pPr>
            <w:r>
              <w:rPr>
                <w:rFonts w:hint="eastAsia"/>
                <w:sz w:val="21"/>
                <w:szCs w:val="21"/>
              </w:rPr>
              <w:t>湖南江华涔天河国家湿地公园</w:t>
            </w:r>
          </w:p>
        </w:tc>
        <w:tc>
          <w:tcPr>
            <w:tcW w:w="2065" w:type="pct"/>
            <w:vAlign w:val="center"/>
          </w:tcPr>
          <w:p w14:paraId="085F5C15">
            <w:pPr>
              <w:jc w:val="center"/>
              <w:rPr>
                <w:sz w:val="21"/>
                <w:szCs w:val="21"/>
              </w:rPr>
            </w:pPr>
            <w:r>
              <w:rPr>
                <w:rFonts w:hint="eastAsia"/>
                <w:sz w:val="21"/>
                <w:szCs w:val="21"/>
              </w:rPr>
              <w:t>湖南江华涔天河国家湿地公园规划总面积</w:t>
            </w:r>
            <w:r>
              <w:rPr>
                <w:sz w:val="21"/>
                <w:szCs w:val="21"/>
              </w:rPr>
              <w:t>2864.8</w:t>
            </w:r>
            <w:r>
              <w:rPr>
                <w:rFonts w:hint="eastAsia"/>
                <w:sz w:val="21"/>
                <w:szCs w:val="21"/>
              </w:rPr>
              <w:t>h</w:t>
            </w:r>
            <w:r>
              <w:rPr>
                <w:sz w:val="21"/>
                <w:szCs w:val="21"/>
              </w:rPr>
              <w:t>m</w:t>
            </w:r>
            <w:r>
              <w:rPr>
                <w:sz w:val="21"/>
                <w:szCs w:val="21"/>
                <w:vertAlign w:val="superscript"/>
              </w:rPr>
              <w:t>2</w:t>
            </w:r>
            <w:r>
              <w:rPr>
                <w:rFonts w:hint="eastAsia"/>
                <w:sz w:val="21"/>
                <w:szCs w:val="21"/>
              </w:rPr>
              <w:t>，其中湿地总面积为</w:t>
            </w:r>
            <w:r>
              <w:rPr>
                <w:sz w:val="21"/>
                <w:szCs w:val="21"/>
              </w:rPr>
              <w:t>2839.8</w:t>
            </w:r>
            <w:r>
              <w:rPr>
                <w:rFonts w:hint="eastAsia"/>
                <w:sz w:val="21"/>
                <w:szCs w:val="21"/>
              </w:rPr>
              <w:t>h</w:t>
            </w:r>
            <w:r>
              <w:rPr>
                <w:sz w:val="21"/>
                <w:szCs w:val="21"/>
              </w:rPr>
              <w:t>m</w:t>
            </w:r>
            <w:r>
              <w:rPr>
                <w:sz w:val="21"/>
                <w:szCs w:val="21"/>
                <w:vertAlign w:val="superscript"/>
              </w:rPr>
              <w:t>2</w:t>
            </w:r>
            <w:r>
              <w:rPr>
                <w:rFonts w:hint="eastAsia"/>
                <w:sz w:val="21"/>
                <w:szCs w:val="21"/>
              </w:rPr>
              <w:t>，占公园总面积的</w:t>
            </w:r>
            <w:r>
              <w:rPr>
                <w:sz w:val="21"/>
                <w:szCs w:val="21"/>
              </w:rPr>
              <w:t>99.1%</w:t>
            </w:r>
            <w:r>
              <w:rPr>
                <w:rFonts w:hint="eastAsia"/>
                <w:sz w:val="21"/>
                <w:szCs w:val="21"/>
              </w:rPr>
              <w:t>。主要包括涔天河水库及其下游、西河、沱江及周边一定区域，设有保护保育区、恢复重建区、宣教展示区、合理利用区和管理服务区</w:t>
            </w:r>
            <w:r>
              <w:rPr>
                <w:sz w:val="21"/>
                <w:szCs w:val="21"/>
              </w:rPr>
              <w:t>5</w:t>
            </w:r>
            <w:r>
              <w:rPr>
                <w:rFonts w:hint="eastAsia"/>
                <w:sz w:val="21"/>
                <w:szCs w:val="21"/>
              </w:rPr>
              <w:t>个功能区。</w:t>
            </w:r>
          </w:p>
        </w:tc>
        <w:tc>
          <w:tcPr>
            <w:tcW w:w="743" w:type="pct"/>
            <w:vAlign w:val="center"/>
          </w:tcPr>
          <w:p w14:paraId="302BF75C">
            <w:pPr>
              <w:jc w:val="center"/>
              <w:rPr>
                <w:sz w:val="21"/>
                <w:szCs w:val="21"/>
              </w:rPr>
            </w:pPr>
            <w:r>
              <w:rPr>
                <w:rFonts w:hint="eastAsia"/>
                <w:sz w:val="21"/>
                <w:szCs w:val="21"/>
              </w:rPr>
              <w:t>生物多样性，重要物种及其重要生境</w:t>
            </w:r>
          </w:p>
        </w:tc>
        <w:tc>
          <w:tcPr>
            <w:tcW w:w="743" w:type="pct"/>
            <w:vAlign w:val="center"/>
          </w:tcPr>
          <w:p w14:paraId="4D5C4F4B">
            <w:pPr>
              <w:jc w:val="center"/>
              <w:rPr>
                <w:sz w:val="21"/>
                <w:szCs w:val="21"/>
              </w:rPr>
            </w:pPr>
            <w:r>
              <w:rPr>
                <w:rFonts w:hint="eastAsia"/>
                <w:sz w:val="21"/>
                <w:szCs w:val="21"/>
              </w:rPr>
              <w:t>工程以架空形式穿越其保育区</w:t>
            </w:r>
            <w:r>
              <w:rPr>
                <w:sz w:val="21"/>
                <w:szCs w:val="21"/>
              </w:rPr>
              <w:t>2</w:t>
            </w:r>
            <w:r>
              <w:rPr>
                <w:rFonts w:hint="eastAsia"/>
                <w:sz w:val="21"/>
                <w:szCs w:val="21"/>
              </w:rPr>
              <w:t>次未在湿地公园内立塔，跨越长度约</w:t>
            </w:r>
            <w:r>
              <w:rPr>
                <w:sz w:val="21"/>
                <w:szCs w:val="21"/>
              </w:rPr>
              <w:t>686m</w:t>
            </w:r>
            <w:r>
              <w:rPr>
                <w:rFonts w:hint="eastAsia"/>
                <w:sz w:val="21"/>
                <w:szCs w:val="21"/>
              </w:rPr>
              <w:t>；不在湿地公园内设置不涉及临时占地和永久占地</w:t>
            </w:r>
          </w:p>
        </w:tc>
        <w:tc>
          <w:tcPr>
            <w:tcW w:w="819" w:type="pct"/>
            <w:vAlign w:val="center"/>
          </w:tcPr>
          <w:p w14:paraId="695ADCE4">
            <w:pPr>
              <w:jc w:val="center"/>
              <w:rPr>
                <w:sz w:val="21"/>
                <w:szCs w:val="21"/>
              </w:rPr>
            </w:pPr>
            <w:r>
              <w:rPr>
                <w:rFonts w:hint="eastAsia"/>
                <w:sz w:val="21"/>
                <w:szCs w:val="21"/>
              </w:rPr>
              <w:t>植被破坏，生境破坏</w:t>
            </w:r>
          </w:p>
        </w:tc>
      </w:tr>
      <w:tr w14:paraId="223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pct"/>
            <w:vAlign w:val="center"/>
          </w:tcPr>
          <w:p w14:paraId="76E874EB">
            <w:pPr>
              <w:jc w:val="center"/>
              <w:rPr>
                <w:sz w:val="21"/>
                <w:szCs w:val="21"/>
              </w:rPr>
            </w:pPr>
            <w:r>
              <w:rPr>
                <w:rFonts w:hint="eastAsia"/>
                <w:sz w:val="21"/>
                <w:szCs w:val="21"/>
              </w:rPr>
              <w:t>湘资沅上游国家级水土流失重点预防区</w:t>
            </w:r>
          </w:p>
        </w:tc>
        <w:tc>
          <w:tcPr>
            <w:tcW w:w="2065" w:type="pct"/>
            <w:vAlign w:val="center"/>
          </w:tcPr>
          <w:p w14:paraId="4EDA5B33">
            <w:pPr>
              <w:jc w:val="center"/>
              <w:rPr>
                <w:color w:val="333333"/>
                <w:sz w:val="21"/>
                <w:szCs w:val="21"/>
                <w:shd w:val="clear" w:color="auto" w:fill="FFFFFF"/>
              </w:rPr>
            </w:pPr>
            <w:r>
              <w:rPr>
                <w:rFonts w:hint="eastAsia"/>
                <w:sz w:val="21"/>
                <w:szCs w:val="21"/>
              </w:rPr>
              <w:t>该重点预防面积</w:t>
            </w:r>
            <w:r>
              <w:rPr>
                <w:sz w:val="21"/>
                <w:szCs w:val="21"/>
              </w:rPr>
              <w:t>4199.05km</w:t>
            </w:r>
            <w:r>
              <w:rPr>
                <w:sz w:val="21"/>
                <w:szCs w:val="21"/>
                <w:vertAlign w:val="superscript"/>
              </w:rPr>
              <w:t>2</w:t>
            </w:r>
            <w:r>
              <w:rPr>
                <w:rFonts w:hint="eastAsia"/>
                <w:sz w:val="21"/>
                <w:szCs w:val="21"/>
              </w:rPr>
              <w:t>，占区域国土面积的</w:t>
            </w:r>
            <w:r>
              <w:rPr>
                <w:sz w:val="21"/>
                <w:szCs w:val="21"/>
              </w:rPr>
              <w:t>11.58%</w:t>
            </w:r>
            <w:r>
              <w:rPr>
                <w:rFonts w:hint="eastAsia"/>
                <w:sz w:val="21"/>
                <w:szCs w:val="21"/>
              </w:rPr>
              <w:t>。江华县为其涉及的</w:t>
            </w:r>
            <w:r>
              <w:rPr>
                <w:sz w:val="21"/>
                <w:szCs w:val="21"/>
              </w:rPr>
              <w:t>18</w:t>
            </w:r>
            <w:r>
              <w:rPr>
                <w:rFonts w:hint="eastAsia"/>
                <w:sz w:val="21"/>
                <w:szCs w:val="21"/>
              </w:rPr>
              <w:t>个（市、区）之一。</w:t>
            </w:r>
          </w:p>
        </w:tc>
        <w:tc>
          <w:tcPr>
            <w:tcW w:w="743" w:type="pct"/>
            <w:vAlign w:val="center"/>
          </w:tcPr>
          <w:p w14:paraId="43B18AAC">
            <w:pPr>
              <w:jc w:val="center"/>
              <w:rPr>
                <w:sz w:val="21"/>
                <w:szCs w:val="21"/>
              </w:rPr>
            </w:pPr>
            <w:r>
              <w:rPr>
                <w:rFonts w:hint="eastAsia"/>
                <w:sz w:val="21"/>
                <w:szCs w:val="21"/>
              </w:rPr>
              <w:t>水土流失</w:t>
            </w:r>
          </w:p>
        </w:tc>
        <w:tc>
          <w:tcPr>
            <w:tcW w:w="743" w:type="pct"/>
            <w:vAlign w:val="center"/>
          </w:tcPr>
          <w:p w14:paraId="29E988DF">
            <w:pPr>
              <w:jc w:val="center"/>
              <w:rPr>
                <w:sz w:val="21"/>
                <w:szCs w:val="21"/>
              </w:rPr>
            </w:pPr>
            <w:r>
              <w:rPr>
                <w:rFonts w:hint="eastAsia"/>
                <w:sz w:val="21"/>
                <w:szCs w:val="21"/>
              </w:rPr>
              <w:t>做好水土流失防治</w:t>
            </w:r>
          </w:p>
        </w:tc>
        <w:tc>
          <w:tcPr>
            <w:tcW w:w="819" w:type="pct"/>
            <w:vAlign w:val="center"/>
          </w:tcPr>
          <w:p w14:paraId="7F34A894">
            <w:pPr>
              <w:jc w:val="center"/>
              <w:rPr>
                <w:sz w:val="21"/>
                <w:szCs w:val="21"/>
              </w:rPr>
            </w:pPr>
            <w:r>
              <w:rPr>
                <w:rFonts w:hint="eastAsia"/>
                <w:sz w:val="21"/>
                <w:szCs w:val="21"/>
              </w:rPr>
              <w:t>地表扰动造成水土流失</w:t>
            </w:r>
          </w:p>
        </w:tc>
      </w:tr>
      <w:tr w14:paraId="1C20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pct"/>
            <w:vAlign w:val="center"/>
          </w:tcPr>
          <w:p w14:paraId="0E7C2A33">
            <w:pPr>
              <w:jc w:val="center"/>
              <w:rPr>
                <w:sz w:val="21"/>
                <w:szCs w:val="21"/>
              </w:rPr>
            </w:pPr>
            <w:r>
              <w:rPr>
                <w:rFonts w:hint="eastAsia"/>
                <w:sz w:val="21"/>
                <w:szCs w:val="21"/>
              </w:rPr>
              <w:t>国家生态公益林</w:t>
            </w:r>
          </w:p>
        </w:tc>
        <w:tc>
          <w:tcPr>
            <w:tcW w:w="2065" w:type="pct"/>
            <w:vAlign w:val="center"/>
          </w:tcPr>
          <w:p w14:paraId="4C6B9415">
            <w:pPr>
              <w:jc w:val="center"/>
              <w:rPr>
                <w:sz w:val="21"/>
                <w:szCs w:val="21"/>
              </w:rPr>
            </w:pPr>
            <w:r>
              <w:rPr>
                <w:rFonts w:hint="eastAsia"/>
                <w:sz w:val="21"/>
                <w:szCs w:val="21"/>
              </w:rPr>
              <w:t>评价区国家生态公益林主要功能为涔天河湿地水土保持和南部速生丰产用材林等。</w:t>
            </w:r>
          </w:p>
        </w:tc>
        <w:tc>
          <w:tcPr>
            <w:tcW w:w="743" w:type="pct"/>
            <w:vAlign w:val="center"/>
          </w:tcPr>
          <w:p w14:paraId="561CD440">
            <w:pPr>
              <w:jc w:val="center"/>
              <w:rPr>
                <w:sz w:val="21"/>
                <w:szCs w:val="21"/>
              </w:rPr>
            </w:pPr>
            <w:r>
              <w:rPr>
                <w:rFonts w:hint="eastAsia"/>
                <w:sz w:val="21"/>
                <w:szCs w:val="21"/>
              </w:rPr>
              <w:t>公益林</w:t>
            </w:r>
          </w:p>
        </w:tc>
        <w:tc>
          <w:tcPr>
            <w:tcW w:w="743" w:type="pct"/>
            <w:vAlign w:val="center"/>
          </w:tcPr>
          <w:p w14:paraId="0027842B">
            <w:pPr>
              <w:jc w:val="center"/>
              <w:rPr>
                <w:sz w:val="21"/>
                <w:szCs w:val="21"/>
              </w:rPr>
            </w:pPr>
            <w:r>
              <w:rPr>
                <w:rFonts w:hint="eastAsia"/>
                <w:sz w:val="21"/>
                <w:szCs w:val="21"/>
              </w:rPr>
              <w:t>线路沿线分布，塔基避让国家一级公益林，占用穿越国家二级公益林</w:t>
            </w:r>
          </w:p>
          <w:p w14:paraId="2B07874C">
            <w:pPr>
              <w:jc w:val="center"/>
              <w:rPr>
                <w:sz w:val="21"/>
                <w:szCs w:val="21"/>
              </w:rPr>
            </w:pPr>
            <w:r>
              <w:rPr>
                <w:rFonts w:hint="eastAsia"/>
                <w:sz w:val="21"/>
                <w:szCs w:val="21"/>
              </w:rPr>
              <w:t>0</w:t>
            </w:r>
            <w:r>
              <w:rPr>
                <w:sz w:val="21"/>
                <w:szCs w:val="21"/>
              </w:rPr>
              <w:t>.2611hm</w:t>
            </w:r>
            <w:r>
              <w:rPr>
                <w:sz w:val="21"/>
                <w:szCs w:val="21"/>
                <w:vertAlign w:val="superscript"/>
              </w:rPr>
              <w:t>2</w:t>
            </w:r>
            <w:r>
              <w:rPr>
                <w:rFonts w:hint="eastAsia"/>
                <w:sz w:val="21"/>
                <w:szCs w:val="21"/>
              </w:rPr>
              <w:t>。</w:t>
            </w:r>
          </w:p>
        </w:tc>
        <w:tc>
          <w:tcPr>
            <w:tcW w:w="819" w:type="pct"/>
            <w:vAlign w:val="center"/>
          </w:tcPr>
          <w:p w14:paraId="5ADE459A">
            <w:pPr>
              <w:jc w:val="center"/>
              <w:rPr>
                <w:sz w:val="21"/>
                <w:szCs w:val="21"/>
              </w:rPr>
            </w:pPr>
            <w:r>
              <w:rPr>
                <w:rFonts w:hint="eastAsia"/>
                <w:sz w:val="21"/>
                <w:szCs w:val="21"/>
              </w:rPr>
              <w:t>工程占用，植被破坏</w:t>
            </w:r>
          </w:p>
        </w:tc>
      </w:tr>
      <w:tr w14:paraId="673C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pct"/>
            <w:vAlign w:val="center"/>
          </w:tcPr>
          <w:p w14:paraId="29E9A5D6">
            <w:pPr>
              <w:jc w:val="center"/>
              <w:rPr>
                <w:sz w:val="21"/>
                <w:szCs w:val="21"/>
              </w:rPr>
            </w:pPr>
            <w:r>
              <w:rPr>
                <w:rFonts w:hint="eastAsia"/>
                <w:sz w:val="21"/>
                <w:szCs w:val="21"/>
              </w:rPr>
              <w:t>动植物</w:t>
            </w:r>
          </w:p>
        </w:tc>
        <w:tc>
          <w:tcPr>
            <w:tcW w:w="2065" w:type="pct"/>
            <w:vAlign w:val="center"/>
          </w:tcPr>
          <w:p w14:paraId="038BDED5">
            <w:pPr>
              <w:jc w:val="center"/>
              <w:rPr>
                <w:sz w:val="21"/>
                <w:szCs w:val="21"/>
              </w:rPr>
            </w:pPr>
            <w:r>
              <w:rPr>
                <w:rFonts w:hint="eastAsia"/>
                <w:sz w:val="21"/>
                <w:szCs w:val="21"/>
              </w:rPr>
              <w:t>评价区内暂未发现珍稀濒危植物和古树名木；有国家二级重点保护鸟类，省级重点保护鸟类、两栖类和哺乳类动物活动。</w:t>
            </w:r>
          </w:p>
        </w:tc>
        <w:tc>
          <w:tcPr>
            <w:tcW w:w="743" w:type="pct"/>
            <w:vAlign w:val="center"/>
          </w:tcPr>
          <w:p w14:paraId="27F04DEC">
            <w:pPr>
              <w:jc w:val="center"/>
              <w:rPr>
                <w:sz w:val="21"/>
                <w:szCs w:val="21"/>
              </w:rPr>
            </w:pPr>
            <w:r>
              <w:rPr>
                <w:rFonts w:hint="eastAsia"/>
                <w:sz w:val="21"/>
                <w:szCs w:val="21"/>
              </w:rPr>
              <w:t>保护物种个体及其生境</w:t>
            </w:r>
          </w:p>
        </w:tc>
        <w:tc>
          <w:tcPr>
            <w:tcW w:w="743" w:type="pct"/>
            <w:vAlign w:val="center"/>
          </w:tcPr>
          <w:p w14:paraId="48EA2795">
            <w:pPr>
              <w:jc w:val="center"/>
              <w:rPr>
                <w:sz w:val="21"/>
                <w:szCs w:val="21"/>
              </w:rPr>
            </w:pPr>
            <w:r>
              <w:rPr>
                <w:rFonts w:hint="eastAsia"/>
                <w:sz w:val="21"/>
                <w:szCs w:val="21"/>
              </w:rPr>
              <w:t>工程沿线区域分布</w:t>
            </w:r>
          </w:p>
        </w:tc>
        <w:tc>
          <w:tcPr>
            <w:tcW w:w="819" w:type="pct"/>
            <w:vAlign w:val="center"/>
          </w:tcPr>
          <w:p w14:paraId="59FD5898">
            <w:pPr>
              <w:jc w:val="center"/>
              <w:rPr>
                <w:sz w:val="21"/>
                <w:szCs w:val="21"/>
              </w:rPr>
            </w:pPr>
            <w:r>
              <w:rPr>
                <w:rFonts w:hint="eastAsia"/>
                <w:sz w:val="21"/>
                <w:szCs w:val="21"/>
              </w:rPr>
              <w:t>砍伐、破坏、捕杀，生境破坏等</w:t>
            </w:r>
          </w:p>
        </w:tc>
      </w:tr>
    </w:tbl>
    <w:p w14:paraId="44C5A258">
      <w:pPr>
        <w:pStyle w:val="3"/>
        <w:ind w:firstLine="480"/>
        <w:sectPr>
          <w:headerReference r:id="rId12" w:type="default"/>
          <w:pgSz w:w="11906" w:h="16838"/>
          <w:pgMar w:top="1588" w:right="1361" w:bottom="1474" w:left="1474" w:header="1021" w:footer="851" w:gutter="0"/>
          <w:cols w:space="425" w:num="1"/>
          <w:docGrid w:linePitch="312" w:charSpace="0"/>
        </w:sectPr>
      </w:pPr>
    </w:p>
    <w:p w14:paraId="6CF1F02B">
      <w:pPr>
        <w:pStyle w:val="2"/>
        <w:ind w:left="0" w:firstLine="0"/>
        <w:jc w:val="left"/>
      </w:pPr>
      <w:bookmarkStart w:id="276" w:name="_Toc186810123"/>
      <w:bookmarkStart w:id="277" w:name="_Toc174612146"/>
      <w:r>
        <w:rPr>
          <w:rFonts w:hint="eastAsia"/>
        </w:rPr>
        <w:t>生态环境质量调查与评价</w:t>
      </w:r>
      <w:bookmarkEnd w:id="276"/>
      <w:bookmarkEnd w:id="277"/>
    </w:p>
    <w:p w14:paraId="18979889">
      <w:pPr>
        <w:pStyle w:val="5"/>
        <w:ind w:left="0" w:firstLine="0"/>
        <w:jc w:val="left"/>
      </w:pPr>
      <w:bookmarkStart w:id="278" w:name="_Toc174612147"/>
      <w:r>
        <w:rPr>
          <w:rFonts w:hint="eastAsia"/>
        </w:rPr>
        <w:t>区域环境功能区划</w:t>
      </w:r>
      <w:bookmarkEnd w:id="278"/>
    </w:p>
    <w:p w14:paraId="0AC37D70">
      <w:pPr>
        <w:pStyle w:val="6"/>
        <w:ind w:left="0" w:firstLine="0"/>
      </w:pPr>
      <w:r>
        <w:rPr>
          <w:rFonts w:hint="eastAsia"/>
        </w:rPr>
        <w:t>主体功能区划</w:t>
      </w:r>
    </w:p>
    <w:p w14:paraId="47602E2E">
      <w:pPr>
        <w:pStyle w:val="3"/>
        <w:ind w:firstLine="480"/>
      </w:pPr>
      <w:r>
        <w:rPr>
          <w:rFonts w:hint="eastAsia"/>
        </w:rPr>
        <w:t>《湖南省主体功能区划》按开发内容分为：城市化地区、农产品主产区和重点生态功能区。本项目位于永州市江华县，属于省级重点生态功能区。功能定位为保障我省生态安全的重要区域，建设绿色湖南的重要载体，实现可持续发展的重要生态功能区，人与自然和谐相处的示范区。维系长江流域和珠江流域水体安全，减少河流泥沙，维护生物多样性的重要区域。</w:t>
      </w:r>
    </w:p>
    <w:p w14:paraId="61C8CD78">
      <w:pPr>
        <w:pStyle w:val="6"/>
        <w:ind w:left="0" w:firstLine="0"/>
      </w:pPr>
      <w:r>
        <w:rPr>
          <w:rFonts w:hint="eastAsia"/>
        </w:rPr>
        <w:t>生态功能区划</w:t>
      </w:r>
    </w:p>
    <w:p w14:paraId="6F7F4F67">
      <w:pPr>
        <w:pStyle w:val="3"/>
        <w:ind w:firstLine="480"/>
      </w:pPr>
      <w:bookmarkStart w:id="279" w:name="_Toc174612148"/>
      <w:r>
        <w:t>根据《全国生态功能区划（修编版）》（环境保护部中国科学院，2015），评价区属于 I-01-19 都庞岭－萌渚岭水源涵养与生物多样性保护功能区。</w:t>
      </w:r>
    </w:p>
    <w:p w14:paraId="02162852">
      <w:pPr>
        <w:pStyle w:val="3"/>
        <w:ind w:firstLine="480"/>
      </w:pPr>
      <w:r>
        <w:t>根据《湖南省生态功能区划研究报告》（原湖南省环境保护厅等，2005），评价区属于湘南山地丘陵常绿阔叶林生态区—都庞岭萌渚岭山丘常绿阔叶林生态亚区。</w:t>
      </w:r>
    </w:p>
    <w:p w14:paraId="271575AE">
      <w:pPr>
        <w:pStyle w:val="3"/>
        <w:ind w:firstLine="480"/>
      </w:pPr>
      <w:r>
        <w:t>本区生态环境建设应以加强矿区生态恢复为重点，丘陵岗地应大力进行乔灌草结合的生态系统重建，控制土壤侵蚀。积极调整农业种植业，发展无公害蔬菜、畜禽产品的生产，提供安全优质食品。</w:t>
      </w:r>
    </w:p>
    <w:p w14:paraId="7D506E46">
      <w:pPr>
        <w:pStyle w:val="5"/>
        <w:ind w:left="0" w:firstLine="0"/>
        <w:jc w:val="left"/>
      </w:pPr>
      <w:r>
        <w:rPr>
          <w:rFonts w:hint="eastAsia"/>
        </w:rPr>
        <w:t>区域环境功能现状</w:t>
      </w:r>
      <w:bookmarkEnd w:id="279"/>
    </w:p>
    <w:p w14:paraId="11A37103">
      <w:pPr>
        <w:pStyle w:val="3"/>
        <w:ind w:firstLine="480"/>
      </w:pPr>
      <w:r>
        <w:t>项目所在地周围环境功能属性如下表所示：</w:t>
      </w:r>
    </w:p>
    <w:p w14:paraId="4633440D">
      <w:pPr>
        <w:pStyle w:val="148"/>
      </w:pPr>
      <w:r>
        <w:t>表3.2-1   项目所在地区域环境功能划分</w:t>
      </w:r>
    </w:p>
    <w:tbl>
      <w:tblPr>
        <w:tblStyle w:val="40"/>
        <w:tblW w:w="49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3590"/>
        <w:gridCol w:w="4822"/>
      </w:tblGrid>
      <w:tr w14:paraId="0EB9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17" w:type="pct"/>
            <w:shd w:val="clear" w:color="auto" w:fill="auto"/>
            <w:vAlign w:val="center"/>
          </w:tcPr>
          <w:p w14:paraId="37C676E6">
            <w:pPr>
              <w:pStyle w:val="159"/>
            </w:pPr>
            <w:r>
              <w:t>序号</w:t>
            </w:r>
          </w:p>
        </w:tc>
        <w:tc>
          <w:tcPr>
            <w:tcW w:w="1956" w:type="pct"/>
            <w:shd w:val="clear" w:color="auto" w:fill="auto"/>
            <w:vAlign w:val="center"/>
          </w:tcPr>
          <w:p w14:paraId="53CC16AB">
            <w:pPr>
              <w:pStyle w:val="159"/>
            </w:pPr>
            <w:r>
              <w:t>区划内</w:t>
            </w:r>
          </w:p>
        </w:tc>
        <w:tc>
          <w:tcPr>
            <w:tcW w:w="2628" w:type="pct"/>
            <w:shd w:val="clear" w:color="auto" w:fill="auto"/>
            <w:vAlign w:val="center"/>
          </w:tcPr>
          <w:p w14:paraId="578E720A">
            <w:pPr>
              <w:pStyle w:val="159"/>
            </w:pPr>
            <w:r>
              <w:t>功能属性及执行标准</w:t>
            </w:r>
          </w:p>
        </w:tc>
      </w:tr>
      <w:tr w14:paraId="33FF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0A10ADAA">
            <w:pPr>
              <w:pStyle w:val="159"/>
            </w:pPr>
            <w:r>
              <w:t>1</w:t>
            </w:r>
          </w:p>
        </w:tc>
        <w:tc>
          <w:tcPr>
            <w:tcW w:w="1956" w:type="pct"/>
            <w:shd w:val="clear" w:color="auto" w:fill="auto"/>
            <w:vAlign w:val="center"/>
          </w:tcPr>
          <w:p w14:paraId="3CE30363">
            <w:pPr>
              <w:pStyle w:val="159"/>
            </w:pPr>
            <w:r>
              <w:t>环境空气质量功能区</w:t>
            </w:r>
          </w:p>
        </w:tc>
        <w:tc>
          <w:tcPr>
            <w:tcW w:w="2628" w:type="pct"/>
            <w:shd w:val="clear" w:color="auto" w:fill="auto"/>
            <w:vAlign w:val="center"/>
          </w:tcPr>
          <w:p w14:paraId="6C05C261">
            <w:pPr>
              <w:pStyle w:val="159"/>
            </w:pPr>
            <w:r>
              <w:rPr>
                <w:rFonts w:hint="eastAsia"/>
              </w:rPr>
              <w:t>项目所在区域为</w:t>
            </w:r>
            <w:r>
              <w:t>二类区，执行《环境空气质量标准》（GB3095-2012）中的二级标准</w:t>
            </w:r>
            <w:r>
              <w:rPr>
                <w:rFonts w:hint="eastAsia"/>
              </w:rPr>
              <w:t>；其中姑婆山风景名胜区为一类区，执行</w:t>
            </w:r>
            <w:r>
              <w:t>《环境空气质量标准》（GB3095-2012）中的</w:t>
            </w:r>
            <w:r>
              <w:rPr>
                <w:rFonts w:hint="eastAsia"/>
              </w:rPr>
              <w:t>一</w:t>
            </w:r>
            <w:r>
              <w:t>级标准</w:t>
            </w:r>
          </w:p>
        </w:tc>
      </w:tr>
      <w:tr w14:paraId="03C9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599B5324">
            <w:pPr>
              <w:pStyle w:val="159"/>
            </w:pPr>
            <w:r>
              <w:rPr>
                <w:rFonts w:hint="eastAsia"/>
              </w:rPr>
              <w:t>2</w:t>
            </w:r>
          </w:p>
        </w:tc>
        <w:tc>
          <w:tcPr>
            <w:tcW w:w="1956" w:type="pct"/>
            <w:shd w:val="clear" w:color="auto" w:fill="auto"/>
            <w:vAlign w:val="center"/>
          </w:tcPr>
          <w:p w14:paraId="36D17188">
            <w:pPr>
              <w:pStyle w:val="159"/>
            </w:pPr>
            <w:r>
              <w:t>地表水环境功能区</w:t>
            </w:r>
          </w:p>
        </w:tc>
        <w:tc>
          <w:tcPr>
            <w:tcW w:w="2628" w:type="pct"/>
            <w:shd w:val="clear" w:color="auto" w:fill="auto"/>
            <w:vAlign w:val="center"/>
          </w:tcPr>
          <w:p w14:paraId="5E732E70">
            <w:pPr>
              <w:pStyle w:val="159"/>
            </w:pPr>
            <w:r>
              <w:rPr>
                <w:rFonts w:hint="eastAsia"/>
              </w:rPr>
              <w:t>涔天河水库水域功能为渔业用水区，</w:t>
            </w:r>
            <w:r>
              <w:rPr>
                <w:rFonts w:hint="eastAsia"/>
                <w:color w:val="000000" w:themeColor="text1"/>
                <w14:textFill>
                  <w14:solidFill>
                    <w14:schemeClr w14:val="tx1"/>
                  </w14:solidFill>
                </w14:textFill>
              </w:rPr>
              <w:t>麻江及其支流</w:t>
            </w:r>
            <w:r>
              <w:rPr>
                <w:rFonts w:hint="eastAsia"/>
              </w:rPr>
              <w:t>未划定水域功能，</w:t>
            </w:r>
            <w:r>
              <w:t>地表水环境</w:t>
            </w:r>
            <w:r>
              <w:rPr>
                <w:rFonts w:hint="eastAsia"/>
              </w:rPr>
              <w:t>均</w:t>
            </w:r>
            <w:r>
              <w:t>执行《地表水环境质量标准</w:t>
            </w:r>
            <w:r>
              <w:rPr>
                <w:rFonts w:hint="eastAsia"/>
              </w:rPr>
              <w:t>》</w:t>
            </w:r>
            <w:r>
              <w:t>（GB3838-2002）中的Ⅲ类水质标准</w:t>
            </w:r>
            <w:r>
              <w:rPr>
                <w:rFonts w:hint="eastAsia"/>
              </w:rPr>
              <w:t>。</w:t>
            </w:r>
          </w:p>
        </w:tc>
      </w:tr>
      <w:tr w14:paraId="028E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5F8C76BF">
            <w:pPr>
              <w:pStyle w:val="159"/>
            </w:pPr>
            <w:r>
              <w:t>3</w:t>
            </w:r>
          </w:p>
        </w:tc>
        <w:tc>
          <w:tcPr>
            <w:tcW w:w="1956" w:type="pct"/>
            <w:shd w:val="clear" w:color="auto" w:fill="auto"/>
            <w:vAlign w:val="center"/>
          </w:tcPr>
          <w:p w14:paraId="2AB46610">
            <w:pPr>
              <w:pStyle w:val="159"/>
            </w:pPr>
            <w:r>
              <w:t>声环境功能区</w:t>
            </w:r>
          </w:p>
        </w:tc>
        <w:tc>
          <w:tcPr>
            <w:tcW w:w="2628" w:type="pct"/>
            <w:shd w:val="clear" w:color="auto" w:fill="auto"/>
            <w:vAlign w:val="center"/>
          </w:tcPr>
          <w:p w14:paraId="65BC4422">
            <w:pPr>
              <w:pStyle w:val="159"/>
            </w:pPr>
            <w:r>
              <w:t>1</w:t>
            </w:r>
            <w:r>
              <w:rPr>
                <w:rFonts w:hint="eastAsia"/>
              </w:rPr>
              <w:t>类区</w:t>
            </w:r>
            <w:r>
              <w:t>，执行《声环境质量标准》(GB3096-2008)中的1类标准</w:t>
            </w:r>
          </w:p>
        </w:tc>
      </w:tr>
      <w:tr w14:paraId="1CEF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39AC47E2">
            <w:pPr>
              <w:pStyle w:val="159"/>
            </w:pPr>
            <w:r>
              <w:t>4</w:t>
            </w:r>
          </w:p>
        </w:tc>
        <w:tc>
          <w:tcPr>
            <w:tcW w:w="1956" w:type="pct"/>
            <w:shd w:val="clear" w:color="auto" w:fill="auto"/>
            <w:vAlign w:val="center"/>
          </w:tcPr>
          <w:p w14:paraId="214E6E1D">
            <w:pPr>
              <w:pStyle w:val="159"/>
            </w:pPr>
            <w:r>
              <w:t>是否自然保护区</w:t>
            </w:r>
          </w:p>
        </w:tc>
        <w:tc>
          <w:tcPr>
            <w:tcW w:w="2628" w:type="pct"/>
            <w:shd w:val="clear" w:color="auto" w:fill="auto"/>
            <w:vAlign w:val="center"/>
          </w:tcPr>
          <w:p w14:paraId="58E3242D">
            <w:pPr>
              <w:pStyle w:val="159"/>
            </w:pPr>
            <w:r>
              <w:t>否</w:t>
            </w:r>
          </w:p>
        </w:tc>
      </w:tr>
      <w:tr w14:paraId="7430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3536F65F">
            <w:pPr>
              <w:pStyle w:val="159"/>
            </w:pPr>
            <w:r>
              <w:t>5</w:t>
            </w:r>
          </w:p>
        </w:tc>
        <w:tc>
          <w:tcPr>
            <w:tcW w:w="1956" w:type="pct"/>
            <w:shd w:val="clear" w:color="auto" w:fill="auto"/>
            <w:vAlign w:val="center"/>
          </w:tcPr>
          <w:p w14:paraId="18967A1F">
            <w:pPr>
              <w:pStyle w:val="159"/>
            </w:pPr>
            <w:r>
              <w:t>是否风景名胜区</w:t>
            </w:r>
          </w:p>
        </w:tc>
        <w:tc>
          <w:tcPr>
            <w:tcW w:w="2628" w:type="pct"/>
            <w:shd w:val="clear" w:color="auto" w:fill="auto"/>
            <w:vAlign w:val="center"/>
          </w:tcPr>
          <w:p w14:paraId="5FD7C868">
            <w:pPr>
              <w:pStyle w:val="159"/>
            </w:pPr>
            <w:r>
              <w:rPr>
                <w:rFonts w:hint="eastAsia"/>
              </w:rPr>
              <w:t>是</w:t>
            </w:r>
          </w:p>
        </w:tc>
      </w:tr>
      <w:tr w14:paraId="6F56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7825F0F8">
            <w:pPr>
              <w:pStyle w:val="159"/>
            </w:pPr>
            <w:r>
              <w:t>6</w:t>
            </w:r>
          </w:p>
        </w:tc>
        <w:tc>
          <w:tcPr>
            <w:tcW w:w="1956" w:type="pct"/>
            <w:shd w:val="clear" w:color="auto" w:fill="auto"/>
            <w:vAlign w:val="center"/>
          </w:tcPr>
          <w:p w14:paraId="629A49A9">
            <w:pPr>
              <w:pStyle w:val="159"/>
            </w:pPr>
            <w:r>
              <w:t>是否饮用水水源保护区</w:t>
            </w:r>
          </w:p>
        </w:tc>
        <w:tc>
          <w:tcPr>
            <w:tcW w:w="2628" w:type="pct"/>
            <w:shd w:val="clear" w:color="auto" w:fill="auto"/>
            <w:vAlign w:val="center"/>
          </w:tcPr>
          <w:p w14:paraId="5408C411">
            <w:pPr>
              <w:pStyle w:val="159"/>
            </w:pPr>
            <w:r>
              <w:t>否</w:t>
            </w:r>
          </w:p>
        </w:tc>
      </w:tr>
      <w:tr w14:paraId="2A6D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68793BF5">
            <w:pPr>
              <w:pStyle w:val="159"/>
            </w:pPr>
            <w:r>
              <w:t>7</w:t>
            </w:r>
          </w:p>
        </w:tc>
        <w:tc>
          <w:tcPr>
            <w:tcW w:w="1956" w:type="pct"/>
            <w:shd w:val="clear" w:color="auto" w:fill="auto"/>
            <w:vAlign w:val="center"/>
          </w:tcPr>
          <w:p w14:paraId="0DFE271C">
            <w:pPr>
              <w:pStyle w:val="159"/>
            </w:pPr>
            <w:r>
              <w:t>是否基本耕地（菜地）保护区</w:t>
            </w:r>
          </w:p>
        </w:tc>
        <w:tc>
          <w:tcPr>
            <w:tcW w:w="2628" w:type="pct"/>
            <w:shd w:val="clear" w:color="auto" w:fill="auto"/>
            <w:vAlign w:val="center"/>
          </w:tcPr>
          <w:p w14:paraId="6A2F0F5F">
            <w:pPr>
              <w:pStyle w:val="159"/>
            </w:pPr>
            <w:r>
              <w:t>否</w:t>
            </w:r>
          </w:p>
        </w:tc>
      </w:tr>
      <w:tr w14:paraId="6331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4B402511">
            <w:pPr>
              <w:pStyle w:val="159"/>
            </w:pPr>
            <w:r>
              <w:t>8</w:t>
            </w:r>
          </w:p>
        </w:tc>
        <w:tc>
          <w:tcPr>
            <w:tcW w:w="1956" w:type="pct"/>
            <w:shd w:val="clear" w:color="auto" w:fill="auto"/>
            <w:vAlign w:val="center"/>
          </w:tcPr>
          <w:p w14:paraId="76DAEB64">
            <w:pPr>
              <w:pStyle w:val="159"/>
            </w:pPr>
            <w:r>
              <w:t>是否森林公园</w:t>
            </w:r>
          </w:p>
        </w:tc>
        <w:tc>
          <w:tcPr>
            <w:tcW w:w="2628" w:type="pct"/>
            <w:shd w:val="clear" w:color="auto" w:fill="auto"/>
            <w:vAlign w:val="center"/>
          </w:tcPr>
          <w:p w14:paraId="478562F3">
            <w:pPr>
              <w:pStyle w:val="159"/>
            </w:pPr>
            <w:r>
              <w:t>否</w:t>
            </w:r>
          </w:p>
        </w:tc>
      </w:tr>
      <w:tr w14:paraId="4E47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09D58593">
            <w:pPr>
              <w:pStyle w:val="159"/>
            </w:pPr>
            <w:r>
              <w:t>9</w:t>
            </w:r>
          </w:p>
        </w:tc>
        <w:tc>
          <w:tcPr>
            <w:tcW w:w="1956" w:type="pct"/>
            <w:shd w:val="clear" w:color="auto" w:fill="auto"/>
            <w:vAlign w:val="center"/>
          </w:tcPr>
          <w:p w14:paraId="5F721D1C">
            <w:pPr>
              <w:pStyle w:val="159"/>
            </w:pPr>
            <w:r>
              <w:t>是否地质公园</w:t>
            </w:r>
          </w:p>
        </w:tc>
        <w:tc>
          <w:tcPr>
            <w:tcW w:w="2628" w:type="pct"/>
            <w:shd w:val="clear" w:color="auto" w:fill="auto"/>
            <w:vAlign w:val="center"/>
          </w:tcPr>
          <w:p w14:paraId="37D3AAAA">
            <w:pPr>
              <w:pStyle w:val="159"/>
            </w:pPr>
            <w:r>
              <w:t>否</w:t>
            </w:r>
          </w:p>
        </w:tc>
      </w:tr>
      <w:tr w14:paraId="3426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19B24DA2">
            <w:pPr>
              <w:pStyle w:val="159"/>
            </w:pPr>
            <w:r>
              <w:t>1</w:t>
            </w:r>
            <w:r>
              <w:rPr>
                <w:rFonts w:hint="eastAsia"/>
              </w:rPr>
              <w:t>0</w:t>
            </w:r>
          </w:p>
        </w:tc>
        <w:tc>
          <w:tcPr>
            <w:tcW w:w="1956" w:type="pct"/>
            <w:shd w:val="clear" w:color="auto" w:fill="auto"/>
            <w:vAlign w:val="center"/>
          </w:tcPr>
          <w:p w14:paraId="68590742">
            <w:pPr>
              <w:pStyle w:val="159"/>
            </w:pPr>
            <w:r>
              <w:t>是否重要湿地</w:t>
            </w:r>
          </w:p>
        </w:tc>
        <w:tc>
          <w:tcPr>
            <w:tcW w:w="2628" w:type="pct"/>
            <w:shd w:val="clear" w:color="auto" w:fill="auto"/>
            <w:vAlign w:val="center"/>
          </w:tcPr>
          <w:p w14:paraId="3A784CCA">
            <w:pPr>
              <w:pStyle w:val="159"/>
            </w:pPr>
            <w:r>
              <w:rPr>
                <w:rFonts w:hint="eastAsia"/>
              </w:rPr>
              <w:t>是</w:t>
            </w:r>
          </w:p>
        </w:tc>
      </w:tr>
      <w:tr w14:paraId="606A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498AF22D">
            <w:pPr>
              <w:pStyle w:val="159"/>
            </w:pPr>
            <w:r>
              <w:t>11</w:t>
            </w:r>
          </w:p>
        </w:tc>
        <w:tc>
          <w:tcPr>
            <w:tcW w:w="1956" w:type="pct"/>
            <w:shd w:val="clear" w:color="auto" w:fill="auto"/>
            <w:vAlign w:val="center"/>
          </w:tcPr>
          <w:p w14:paraId="72798A6D">
            <w:pPr>
              <w:pStyle w:val="159"/>
            </w:pPr>
            <w:r>
              <w:t>是否水土流失重点防治区</w:t>
            </w:r>
          </w:p>
        </w:tc>
        <w:tc>
          <w:tcPr>
            <w:tcW w:w="2628" w:type="pct"/>
            <w:shd w:val="clear" w:color="auto" w:fill="auto"/>
            <w:vAlign w:val="center"/>
          </w:tcPr>
          <w:p w14:paraId="3BC06EE2">
            <w:pPr>
              <w:pStyle w:val="159"/>
            </w:pPr>
            <w:r>
              <w:rPr>
                <w:rFonts w:hint="eastAsia"/>
              </w:rPr>
              <w:t>是，属</w:t>
            </w:r>
            <w:r>
              <w:t>湘资沅</w:t>
            </w:r>
            <w:r>
              <w:rPr>
                <w:rFonts w:hint="eastAsia"/>
              </w:rPr>
              <w:t>上</w:t>
            </w:r>
            <w:r>
              <w:t>游国家级水土流失重点</w:t>
            </w:r>
            <w:r>
              <w:rPr>
                <w:rFonts w:hint="eastAsia"/>
              </w:rPr>
              <w:t>预防</w:t>
            </w:r>
            <w:r>
              <w:t>区</w:t>
            </w:r>
          </w:p>
        </w:tc>
      </w:tr>
      <w:tr w14:paraId="5955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789CBCD7">
            <w:pPr>
              <w:pStyle w:val="159"/>
            </w:pPr>
            <w:r>
              <w:t>12</w:t>
            </w:r>
          </w:p>
        </w:tc>
        <w:tc>
          <w:tcPr>
            <w:tcW w:w="1956" w:type="pct"/>
            <w:shd w:val="clear" w:color="auto" w:fill="auto"/>
            <w:vAlign w:val="center"/>
          </w:tcPr>
          <w:p w14:paraId="3005727A">
            <w:pPr>
              <w:pStyle w:val="159"/>
            </w:pPr>
            <w:r>
              <w:t>是否人口密集区</w:t>
            </w:r>
          </w:p>
        </w:tc>
        <w:tc>
          <w:tcPr>
            <w:tcW w:w="2628" w:type="pct"/>
            <w:shd w:val="clear" w:color="auto" w:fill="auto"/>
            <w:vAlign w:val="center"/>
          </w:tcPr>
          <w:p w14:paraId="5C057B39">
            <w:pPr>
              <w:pStyle w:val="159"/>
            </w:pPr>
            <w:r>
              <w:rPr>
                <w:rFonts w:hint="eastAsia"/>
              </w:rPr>
              <w:t>否</w:t>
            </w:r>
          </w:p>
        </w:tc>
      </w:tr>
      <w:tr w14:paraId="6403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341762C7">
            <w:pPr>
              <w:pStyle w:val="159"/>
            </w:pPr>
            <w:r>
              <w:t>13</w:t>
            </w:r>
          </w:p>
        </w:tc>
        <w:tc>
          <w:tcPr>
            <w:tcW w:w="1956" w:type="pct"/>
            <w:shd w:val="clear" w:color="auto" w:fill="auto"/>
            <w:vAlign w:val="center"/>
          </w:tcPr>
          <w:p w14:paraId="00353294">
            <w:pPr>
              <w:pStyle w:val="159"/>
            </w:pPr>
            <w:r>
              <w:t>是否重点文物保护单位</w:t>
            </w:r>
          </w:p>
        </w:tc>
        <w:tc>
          <w:tcPr>
            <w:tcW w:w="2628" w:type="pct"/>
            <w:shd w:val="clear" w:color="auto" w:fill="auto"/>
            <w:vAlign w:val="center"/>
          </w:tcPr>
          <w:p w14:paraId="13E219C8">
            <w:pPr>
              <w:pStyle w:val="159"/>
            </w:pPr>
            <w:r>
              <w:t>否</w:t>
            </w:r>
          </w:p>
        </w:tc>
      </w:tr>
      <w:tr w14:paraId="7982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7F3A73B5">
            <w:pPr>
              <w:pStyle w:val="159"/>
            </w:pPr>
            <w:r>
              <w:t>14</w:t>
            </w:r>
          </w:p>
        </w:tc>
        <w:tc>
          <w:tcPr>
            <w:tcW w:w="1956" w:type="pct"/>
            <w:shd w:val="clear" w:color="auto" w:fill="auto"/>
            <w:vAlign w:val="center"/>
          </w:tcPr>
          <w:p w14:paraId="0075DA5F">
            <w:pPr>
              <w:pStyle w:val="159"/>
            </w:pPr>
            <w:r>
              <w:t>是否三河、三湖、两控区</w:t>
            </w:r>
          </w:p>
        </w:tc>
        <w:tc>
          <w:tcPr>
            <w:tcW w:w="2628" w:type="pct"/>
            <w:shd w:val="clear" w:color="auto" w:fill="auto"/>
            <w:vAlign w:val="center"/>
          </w:tcPr>
          <w:p w14:paraId="44472C7A">
            <w:pPr>
              <w:pStyle w:val="159"/>
            </w:pPr>
            <w:r>
              <w:rPr>
                <w:rFonts w:hint="eastAsia"/>
              </w:rPr>
              <w:t>否</w:t>
            </w:r>
          </w:p>
        </w:tc>
      </w:tr>
      <w:tr w14:paraId="1437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110AF9AE">
            <w:pPr>
              <w:pStyle w:val="159"/>
            </w:pPr>
            <w:r>
              <w:t>15</w:t>
            </w:r>
          </w:p>
        </w:tc>
        <w:tc>
          <w:tcPr>
            <w:tcW w:w="1956" w:type="pct"/>
            <w:shd w:val="clear" w:color="auto" w:fill="auto"/>
            <w:vAlign w:val="center"/>
          </w:tcPr>
          <w:p w14:paraId="6D19364A">
            <w:pPr>
              <w:pStyle w:val="159"/>
            </w:pPr>
            <w:r>
              <w:t>是否城镇生活污水处理厂集水范围</w:t>
            </w:r>
          </w:p>
        </w:tc>
        <w:tc>
          <w:tcPr>
            <w:tcW w:w="2628" w:type="pct"/>
            <w:shd w:val="clear" w:color="auto" w:fill="auto"/>
            <w:vAlign w:val="center"/>
          </w:tcPr>
          <w:p w14:paraId="7B44A9EB">
            <w:pPr>
              <w:pStyle w:val="159"/>
            </w:pPr>
            <w:r>
              <w:rPr>
                <w:rFonts w:hint="eastAsia"/>
              </w:rPr>
              <w:t>否</w:t>
            </w:r>
          </w:p>
        </w:tc>
      </w:tr>
      <w:tr w14:paraId="08F0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shd w:val="clear" w:color="auto" w:fill="auto"/>
            <w:vAlign w:val="center"/>
          </w:tcPr>
          <w:p w14:paraId="32EC1741">
            <w:pPr>
              <w:pStyle w:val="159"/>
            </w:pPr>
            <w:r>
              <w:t>16</w:t>
            </w:r>
          </w:p>
        </w:tc>
        <w:tc>
          <w:tcPr>
            <w:tcW w:w="1956" w:type="pct"/>
            <w:shd w:val="clear" w:color="auto" w:fill="auto"/>
            <w:vAlign w:val="center"/>
          </w:tcPr>
          <w:p w14:paraId="2644FA79">
            <w:pPr>
              <w:pStyle w:val="159"/>
            </w:pPr>
            <w:r>
              <w:t>是否属于生态敏感脆弱区</w:t>
            </w:r>
          </w:p>
        </w:tc>
        <w:tc>
          <w:tcPr>
            <w:tcW w:w="2628" w:type="pct"/>
            <w:shd w:val="clear" w:color="auto" w:fill="auto"/>
            <w:vAlign w:val="center"/>
          </w:tcPr>
          <w:p w14:paraId="3F49AFFA">
            <w:pPr>
              <w:pStyle w:val="159"/>
            </w:pPr>
            <w:r>
              <w:t>否</w:t>
            </w:r>
          </w:p>
        </w:tc>
      </w:tr>
    </w:tbl>
    <w:p w14:paraId="4C114E3A">
      <w:pPr>
        <w:pStyle w:val="3"/>
        <w:spacing w:line="240" w:lineRule="auto"/>
        <w:ind w:firstLine="480"/>
      </w:pPr>
      <w:bookmarkStart w:id="280" w:name="_Toc174612149"/>
    </w:p>
    <w:p w14:paraId="19721D90">
      <w:pPr>
        <w:pStyle w:val="5"/>
        <w:ind w:left="0" w:firstLine="0"/>
        <w:jc w:val="left"/>
      </w:pPr>
      <w:r>
        <w:rPr>
          <w:rFonts w:hint="eastAsia"/>
        </w:rPr>
        <w:t>生态环境现状调查</w:t>
      </w:r>
      <w:bookmarkEnd w:id="280"/>
    </w:p>
    <w:p w14:paraId="7B49A660">
      <w:pPr>
        <w:pStyle w:val="3"/>
        <w:ind w:firstLine="480"/>
      </w:pPr>
      <w:r>
        <w:t>本评价生态现状调查内容来源于查阅《湖南省江华湾水源抽水蓄能电站施工电源110kV线路工程</w:t>
      </w:r>
      <w:r>
        <w:rPr>
          <w:rFonts w:hint="eastAsia"/>
        </w:rPr>
        <w:t>电网项目</w:t>
      </w:r>
      <w:r>
        <w:t>穿越涔天河国家湿地公园生态影响评价报告》《湖南省江华湾水源抽水蓄能电站施工电源110kV线路工程</w:t>
      </w:r>
      <w:r>
        <w:rPr>
          <w:rFonts w:hint="eastAsia"/>
        </w:rPr>
        <w:t>选址方案论证</w:t>
      </w:r>
      <w:r>
        <w:t>报告》，并结合现场调研、卫星遥感影像解译等形成。</w:t>
      </w:r>
    </w:p>
    <w:p w14:paraId="1F528D85">
      <w:pPr>
        <w:pStyle w:val="6"/>
        <w:ind w:left="0" w:firstLine="0"/>
      </w:pPr>
      <w:r>
        <w:rPr>
          <w:rFonts w:hint="eastAsia"/>
        </w:rPr>
        <w:t>土地利用现状</w:t>
      </w:r>
    </w:p>
    <w:p w14:paraId="3D0BF145">
      <w:pPr>
        <w:pStyle w:val="3"/>
        <w:ind w:firstLine="480"/>
      </w:pPr>
      <w:r>
        <w:rPr>
          <w:rFonts w:hint="eastAsia"/>
        </w:rPr>
        <w:t>在卫星遥感影像解译的基础上，结合三调数据和实地调查结果，综合分析后对评价区土地进行分类。评价区土地利用类型包括耕地、园地、林地、草地、耕地、园地、建设用地、水域及水利设施用地等多个类型。其中，林地面积最大，为</w:t>
      </w:r>
      <w:r>
        <w:t>1636.66</w:t>
      </w:r>
      <w:r>
        <w:rPr>
          <w:rFonts w:hint="eastAsia"/>
        </w:rPr>
        <w:t>hm</w:t>
      </w:r>
      <w:r>
        <w:rPr>
          <w:rFonts w:hint="eastAsia"/>
          <w:vertAlign w:val="superscript"/>
        </w:rPr>
        <w:t>2</w:t>
      </w:r>
      <w:r>
        <w:rPr>
          <w:rFonts w:hint="eastAsia"/>
        </w:rPr>
        <w:t>，占评价区总面积的</w:t>
      </w:r>
      <w:r>
        <w:t>80.77</w:t>
      </w:r>
      <w:r>
        <w:rPr>
          <w:rFonts w:hint="eastAsia"/>
        </w:rPr>
        <w:t>%，详见表</w:t>
      </w:r>
      <w:r>
        <w:t>2.3-1</w:t>
      </w:r>
      <w:r>
        <w:rPr>
          <w:rFonts w:hint="eastAsia"/>
        </w:rPr>
        <w:t>。</w:t>
      </w:r>
    </w:p>
    <w:p w14:paraId="73A44C75">
      <w:pPr>
        <w:pStyle w:val="148"/>
      </w:pPr>
      <w:r>
        <w:rPr>
          <w:rFonts w:hint="eastAsia"/>
        </w:rPr>
        <w:t>表2</w:t>
      </w:r>
      <w:r>
        <w:t>.3</w:t>
      </w:r>
      <w:r>
        <w:rPr>
          <w:rFonts w:hint="eastAsia"/>
        </w:rPr>
        <w:t>-</w:t>
      </w:r>
      <w:r>
        <w:t xml:space="preserve">1  </w:t>
      </w:r>
      <w:r>
        <w:rPr>
          <w:rFonts w:hint="eastAsia"/>
        </w:rPr>
        <w:t>评价区土地利用现状表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3525"/>
        <w:gridCol w:w="2298"/>
        <w:gridCol w:w="1969"/>
      </w:tblGrid>
      <w:tr w14:paraId="6F88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3" w:type="pct"/>
            <w:gridSpan w:val="2"/>
            <w:shd w:val="clear" w:color="auto" w:fill="auto"/>
            <w:noWrap/>
            <w:vAlign w:val="center"/>
          </w:tcPr>
          <w:p w14:paraId="01161666">
            <w:pPr>
              <w:pStyle w:val="159"/>
            </w:pPr>
            <w:r>
              <w:rPr>
                <w:rFonts w:hint="eastAsia"/>
              </w:rPr>
              <w:t>用地类型</w:t>
            </w:r>
          </w:p>
        </w:tc>
        <w:tc>
          <w:tcPr>
            <w:tcW w:w="1237" w:type="pct"/>
            <w:shd w:val="clear" w:color="auto" w:fill="auto"/>
            <w:noWrap/>
            <w:vAlign w:val="center"/>
          </w:tcPr>
          <w:p w14:paraId="4765FE20">
            <w:pPr>
              <w:pStyle w:val="159"/>
              <w:rPr>
                <w:color w:val="000000"/>
                <w:sz w:val="22"/>
                <w:szCs w:val="22"/>
              </w:rPr>
            </w:pPr>
            <w:r>
              <w:rPr>
                <w:color w:val="000000"/>
                <w:sz w:val="22"/>
                <w:szCs w:val="22"/>
              </w:rPr>
              <w:t>面积（hm</w:t>
            </w:r>
            <w:r>
              <w:rPr>
                <w:color w:val="000000"/>
                <w:sz w:val="22"/>
                <w:szCs w:val="22"/>
                <w:vertAlign w:val="superscript"/>
              </w:rPr>
              <w:t>2</w:t>
            </w:r>
            <w:r>
              <w:rPr>
                <w:color w:val="000000"/>
                <w:sz w:val="22"/>
                <w:szCs w:val="22"/>
              </w:rPr>
              <w:t>）</w:t>
            </w:r>
          </w:p>
        </w:tc>
        <w:tc>
          <w:tcPr>
            <w:tcW w:w="1060" w:type="pct"/>
            <w:shd w:val="clear" w:color="auto" w:fill="auto"/>
            <w:noWrap/>
            <w:vAlign w:val="center"/>
          </w:tcPr>
          <w:p w14:paraId="2ED2FEDF">
            <w:pPr>
              <w:pStyle w:val="159"/>
              <w:rPr>
                <w:color w:val="000000"/>
                <w:sz w:val="22"/>
                <w:szCs w:val="22"/>
              </w:rPr>
            </w:pPr>
            <w:r>
              <w:rPr>
                <w:color w:val="000000"/>
                <w:sz w:val="22"/>
                <w:szCs w:val="22"/>
              </w:rPr>
              <w:t>比例（%）</w:t>
            </w:r>
          </w:p>
        </w:tc>
      </w:tr>
      <w:tr w14:paraId="14F8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restart"/>
            <w:shd w:val="clear" w:color="auto" w:fill="auto"/>
            <w:noWrap/>
            <w:vAlign w:val="center"/>
          </w:tcPr>
          <w:p w14:paraId="65043633">
            <w:pPr>
              <w:pStyle w:val="159"/>
            </w:pPr>
            <w:r>
              <w:t>非建设用地</w:t>
            </w:r>
          </w:p>
        </w:tc>
        <w:tc>
          <w:tcPr>
            <w:tcW w:w="1898" w:type="pct"/>
            <w:shd w:val="clear" w:color="auto" w:fill="auto"/>
            <w:noWrap/>
            <w:vAlign w:val="center"/>
          </w:tcPr>
          <w:p w14:paraId="6DA03AC9">
            <w:pPr>
              <w:pStyle w:val="159"/>
              <w:rPr>
                <w:color w:val="000000"/>
                <w:sz w:val="22"/>
                <w:szCs w:val="22"/>
              </w:rPr>
            </w:pPr>
            <w:r>
              <w:rPr>
                <w:color w:val="000000"/>
                <w:sz w:val="22"/>
                <w:szCs w:val="22"/>
              </w:rPr>
              <w:t>耕地</w:t>
            </w:r>
          </w:p>
        </w:tc>
        <w:tc>
          <w:tcPr>
            <w:tcW w:w="1237" w:type="pct"/>
            <w:shd w:val="clear" w:color="auto" w:fill="auto"/>
            <w:noWrap/>
            <w:vAlign w:val="center"/>
          </w:tcPr>
          <w:p w14:paraId="36FC1F51">
            <w:pPr>
              <w:pStyle w:val="159"/>
              <w:rPr>
                <w:color w:val="000000"/>
                <w:sz w:val="22"/>
                <w:szCs w:val="22"/>
              </w:rPr>
            </w:pPr>
            <w:r>
              <w:rPr>
                <w:color w:val="000000"/>
                <w:sz w:val="22"/>
                <w:szCs w:val="22"/>
              </w:rPr>
              <w:t xml:space="preserve">16.61 </w:t>
            </w:r>
          </w:p>
        </w:tc>
        <w:tc>
          <w:tcPr>
            <w:tcW w:w="1060" w:type="pct"/>
            <w:shd w:val="clear" w:color="auto" w:fill="auto"/>
            <w:noWrap/>
            <w:vAlign w:val="center"/>
          </w:tcPr>
          <w:p w14:paraId="014A284B">
            <w:pPr>
              <w:pStyle w:val="159"/>
              <w:rPr>
                <w:color w:val="000000"/>
                <w:sz w:val="22"/>
                <w:szCs w:val="22"/>
              </w:rPr>
            </w:pPr>
            <w:r>
              <w:rPr>
                <w:color w:val="000000"/>
                <w:sz w:val="22"/>
                <w:szCs w:val="22"/>
              </w:rPr>
              <w:t xml:space="preserve">0.82 </w:t>
            </w:r>
          </w:p>
        </w:tc>
      </w:tr>
      <w:tr w14:paraId="13F1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194AD942">
            <w:pPr>
              <w:pStyle w:val="159"/>
              <w:rPr>
                <w:color w:val="000000"/>
                <w:sz w:val="22"/>
                <w:szCs w:val="22"/>
              </w:rPr>
            </w:pPr>
          </w:p>
        </w:tc>
        <w:tc>
          <w:tcPr>
            <w:tcW w:w="1898" w:type="pct"/>
            <w:shd w:val="clear" w:color="auto" w:fill="auto"/>
            <w:noWrap/>
            <w:vAlign w:val="center"/>
          </w:tcPr>
          <w:p w14:paraId="677D678B">
            <w:pPr>
              <w:pStyle w:val="159"/>
              <w:rPr>
                <w:color w:val="000000"/>
                <w:sz w:val="22"/>
                <w:szCs w:val="22"/>
              </w:rPr>
            </w:pPr>
            <w:r>
              <w:rPr>
                <w:color w:val="000000"/>
                <w:sz w:val="22"/>
                <w:szCs w:val="22"/>
              </w:rPr>
              <w:t>园地</w:t>
            </w:r>
          </w:p>
        </w:tc>
        <w:tc>
          <w:tcPr>
            <w:tcW w:w="1237" w:type="pct"/>
            <w:shd w:val="clear" w:color="auto" w:fill="auto"/>
            <w:noWrap/>
            <w:vAlign w:val="center"/>
          </w:tcPr>
          <w:p w14:paraId="50FA2848">
            <w:pPr>
              <w:pStyle w:val="159"/>
              <w:rPr>
                <w:color w:val="000000"/>
                <w:sz w:val="22"/>
                <w:szCs w:val="22"/>
              </w:rPr>
            </w:pPr>
            <w:r>
              <w:rPr>
                <w:color w:val="000000"/>
                <w:sz w:val="22"/>
                <w:szCs w:val="22"/>
              </w:rPr>
              <w:t xml:space="preserve">11.64 </w:t>
            </w:r>
          </w:p>
        </w:tc>
        <w:tc>
          <w:tcPr>
            <w:tcW w:w="1060" w:type="pct"/>
            <w:shd w:val="clear" w:color="auto" w:fill="auto"/>
            <w:noWrap/>
            <w:vAlign w:val="center"/>
          </w:tcPr>
          <w:p w14:paraId="27E84027">
            <w:pPr>
              <w:pStyle w:val="159"/>
              <w:rPr>
                <w:color w:val="000000"/>
                <w:sz w:val="22"/>
                <w:szCs w:val="22"/>
              </w:rPr>
            </w:pPr>
            <w:r>
              <w:rPr>
                <w:color w:val="000000"/>
                <w:sz w:val="22"/>
                <w:szCs w:val="22"/>
              </w:rPr>
              <w:t xml:space="preserve">0.57 </w:t>
            </w:r>
          </w:p>
        </w:tc>
      </w:tr>
      <w:tr w14:paraId="1987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41D89FAD">
            <w:pPr>
              <w:pStyle w:val="159"/>
              <w:rPr>
                <w:color w:val="000000"/>
                <w:sz w:val="22"/>
                <w:szCs w:val="22"/>
              </w:rPr>
            </w:pPr>
          </w:p>
        </w:tc>
        <w:tc>
          <w:tcPr>
            <w:tcW w:w="1898" w:type="pct"/>
            <w:shd w:val="clear" w:color="auto" w:fill="auto"/>
            <w:noWrap/>
            <w:vAlign w:val="center"/>
          </w:tcPr>
          <w:p w14:paraId="2E729620">
            <w:pPr>
              <w:pStyle w:val="159"/>
              <w:rPr>
                <w:color w:val="000000"/>
                <w:sz w:val="22"/>
                <w:szCs w:val="22"/>
              </w:rPr>
            </w:pPr>
            <w:r>
              <w:rPr>
                <w:color w:val="000000"/>
                <w:sz w:val="22"/>
                <w:szCs w:val="22"/>
              </w:rPr>
              <w:t>林地</w:t>
            </w:r>
          </w:p>
        </w:tc>
        <w:tc>
          <w:tcPr>
            <w:tcW w:w="1237" w:type="pct"/>
            <w:shd w:val="clear" w:color="auto" w:fill="auto"/>
            <w:noWrap/>
            <w:vAlign w:val="center"/>
          </w:tcPr>
          <w:p w14:paraId="7CF62123">
            <w:pPr>
              <w:pStyle w:val="159"/>
              <w:rPr>
                <w:color w:val="000000"/>
                <w:sz w:val="22"/>
                <w:szCs w:val="22"/>
              </w:rPr>
            </w:pPr>
            <w:r>
              <w:rPr>
                <w:color w:val="000000"/>
                <w:sz w:val="22"/>
                <w:szCs w:val="22"/>
              </w:rPr>
              <w:t xml:space="preserve">1636.66 </w:t>
            </w:r>
          </w:p>
        </w:tc>
        <w:tc>
          <w:tcPr>
            <w:tcW w:w="1060" w:type="pct"/>
            <w:shd w:val="clear" w:color="auto" w:fill="auto"/>
            <w:noWrap/>
            <w:vAlign w:val="center"/>
          </w:tcPr>
          <w:p w14:paraId="096241EA">
            <w:pPr>
              <w:pStyle w:val="159"/>
              <w:rPr>
                <w:color w:val="000000"/>
                <w:sz w:val="22"/>
                <w:szCs w:val="22"/>
              </w:rPr>
            </w:pPr>
            <w:r>
              <w:rPr>
                <w:color w:val="000000"/>
                <w:sz w:val="22"/>
                <w:szCs w:val="22"/>
              </w:rPr>
              <w:t xml:space="preserve">80.77 </w:t>
            </w:r>
          </w:p>
        </w:tc>
      </w:tr>
      <w:tr w14:paraId="7959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7B8B0E82">
            <w:pPr>
              <w:pStyle w:val="159"/>
              <w:rPr>
                <w:color w:val="000000"/>
                <w:sz w:val="22"/>
                <w:szCs w:val="22"/>
              </w:rPr>
            </w:pPr>
          </w:p>
        </w:tc>
        <w:tc>
          <w:tcPr>
            <w:tcW w:w="1898" w:type="pct"/>
            <w:shd w:val="clear" w:color="auto" w:fill="auto"/>
            <w:noWrap/>
            <w:vAlign w:val="center"/>
          </w:tcPr>
          <w:p w14:paraId="20B8794E">
            <w:pPr>
              <w:pStyle w:val="159"/>
              <w:rPr>
                <w:color w:val="000000"/>
                <w:sz w:val="22"/>
                <w:szCs w:val="22"/>
              </w:rPr>
            </w:pPr>
            <w:r>
              <w:rPr>
                <w:color w:val="000000"/>
                <w:sz w:val="22"/>
                <w:szCs w:val="22"/>
              </w:rPr>
              <w:t>草地</w:t>
            </w:r>
          </w:p>
        </w:tc>
        <w:tc>
          <w:tcPr>
            <w:tcW w:w="1237" w:type="pct"/>
            <w:shd w:val="clear" w:color="auto" w:fill="auto"/>
            <w:noWrap/>
            <w:vAlign w:val="center"/>
          </w:tcPr>
          <w:p w14:paraId="60126459">
            <w:pPr>
              <w:pStyle w:val="159"/>
              <w:rPr>
                <w:color w:val="000000"/>
                <w:sz w:val="22"/>
                <w:szCs w:val="22"/>
              </w:rPr>
            </w:pPr>
            <w:r>
              <w:rPr>
                <w:color w:val="000000"/>
                <w:sz w:val="22"/>
                <w:szCs w:val="22"/>
              </w:rPr>
              <w:t xml:space="preserve">2.70 </w:t>
            </w:r>
          </w:p>
        </w:tc>
        <w:tc>
          <w:tcPr>
            <w:tcW w:w="1060" w:type="pct"/>
            <w:shd w:val="clear" w:color="auto" w:fill="auto"/>
            <w:noWrap/>
            <w:vAlign w:val="center"/>
          </w:tcPr>
          <w:p w14:paraId="3CA0A152">
            <w:pPr>
              <w:pStyle w:val="159"/>
              <w:rPr>
                <w:color w:val="000000"/>
                <w:sz w:val="22"/>
                <w:szCs w:val="22"/>
              </w:rPr>
            </w:pPr>
            <w:r>
              <w:rPr>
                <w:color w:val="000000"/>
                <w:sz w:val="22"/>
                <w:szCs w:val="22"/>
              </w:rPr>
              <w:t xml:space="preserve">0.13 </w:t>
            </w:r>
          </w:p>
        </w:tc>
      </w:tr>
      <w:tr w14:paraId="392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7B43B6E3">
            <w:pPr>
              <w:pStyle w:val="159"/>
              <w:rPr>
                <w:color w:val="000000"/>
                <w:sz w:val="22"/>
                <w:szCs w:val="22"/>
              </w:rPr>
            </w:pPr>
          </w:p>
        </w:tc>
        <w:tc>
          <w:tcPr>
            <w:tcW w:w="1898" w:type="pct"/>
            <w:shd w:val="clear" w:color="auto" w:fill="auto"/>
            <w:noWrap/>
            <w:vAlign w:val="center"/>
          </w:tcPr>
          <w:p w14:paraId="6FCC0F7C">
            <w:pPr>
              <w:pStyle w:val="159"/>
              <w:rPr>
                <w:color w:val="000000"/>
                <w:sz w:val="22"/>
                <w:szCs w:val="22"/>
              </w:rPr>
            </w:pPr>
            <w:r>
              <w:rPr>
                <w:color w:val="000000"/>
                <w:sz w:val="22"/>
                <w:szCs w:val="22"/>
              </w:rPr>
              <w:t>水域及水利设施用地</w:t>
            </w:r>
          </w:p>
        </w:tc>
        <w:tc>
          <w:tcPr>
            <w:tcW w:w="1237" w:type="pct"/>
            <w:shd w:val="clear" w:color="auto" w:fill="auto"/>
            <w:noWrap/>
            <w:vAlign w:val="center"/>
          </w:tcPr>
          <w:p w14:paraId="027AECFB">
            <w:pPr>
              <w:pStyle w:val="159"/>
              <w:rPr>
                <w:color w:val="000000"/>
                <w:sz w:val="22"/>
                <w:szCs w:val="22"/>
              </w:rPr>
            </w:pPr>
            <w:r>
              <w:rPr>
                <w:color w:val="000000"/>
                <w:sz w:val="22"/>
                <w:szCs w:val="22"/>
              </w:rPr>
              <w:t xml:space="preserve">301.93 </w:t>
            </w:r>
          </w:p>
        </w:tc>
        <w:tc>
          <w:tcPr>
            <w:tcW w:w="1060" w:type="pct"/>
            <w:shd w:val="clear" w:color="auto" w:fill="auto"/>
            <w:noWrap/>
            <w:vAlign w:val="center"/>
          </w:tcPr>
          <w:p w14:paraId="40E20012">
            <w:pPr>
              <w:pStyle w:val="159"/>
              <w:rPr>
                <w:color w:val="000000"/>
                <w:sz w:val="22"/>
                <w:szCs w:val="22"/>
              </w:rPr>
            </w:pPr>
            <w:r>
              <w:rPr>
                <w:color w:val="000000"/>
                <w:sz w:val="22"/>
                <w:szCs w:val="22"/>
              </w:rPr>
              <w:t xml:space="preserve">14.90 </w:t>
            </w:r>
          </w:p>
        </w:tc>
      </w:tr>
      <w:tr w14:paraId="1940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0B8ADBF1">
            <w:pPr>
              <w:pStyle w:val="159"/>
              <w:rPr>
                <w:color w:val="000000"/>
                <w:sz w:val="22"/>
                <w:szCs w:val="22"/>
              </w:rPr>
            </w:pPr>
          </w:p>
        </w:tc>
        <w:tc>
          <w:tcPr>
            <w:tcW w:w="1898" w:type="pct"/>
            <w:shd w:val="clear" w:color="auto" w:fill="auto"/>
            <w:noWrap/>
            <w:vAlign w:val="center"/>
          </w:tcPr>
          <w:p w14:paraId="69245922">
            <w:pPr>
              <w:pStyle w:val="159"/>
              <w:rPr>
                <w:color w:val="000000"/>
                <w:sz w:val="22"/>
                <w:szCs w:val="22"/>
              </w:rPr>
            </w:pPr>
            <w:r>
              <w:rPr>
                <w:color w:val="000000"/>
                <w:sz w:val="22"/>
                <w:szCs w:val="22"/>
              </w:rPr>
              <w:t>小计</w:t>
            </w:r>
          </w:p>
        </w:tc>
        <w:tc>
          <w:tcPr>
            <w:tcW w:w="1237" w:type="pct"/>
            <w:shd w:val="clear" w:color="auto" w:fill="auto"/>
            <w:noWrap/>
            <w:vAlign w:val="center"/>
          </w:tcPr>
          <w:p w14:paraId="327C4A1D">
            <w:pPr>
              <w:pStyle w:val="159"/>
              <w:rPr>
                <w:color w:val="000000"/>
                <w:sz w:val="22"/>
                <w:szCs w:val="22"/>
              </w:rPr>
            </w:pPr>
            <w:r>
              <w:rPr>
                <w:color w:val="000000"/>
                <w:sz w:val="22"/>
                <w:szCs w:val="22"/>
              </w:rPr>
              <w:t xml:space="preserve">1969.53 </w:t>
            </w:r>
          </w:p>
        </w:tc>
        <w:tc>
          <w:tcPr>
            <w:tcW w:w="1060" w:type="pct"/>
            <w:shd w:val="clear" w:color="auto" w:fill="auto"/>
            <w:noWrap/>
            <w:vAlign w:val="center"/>
          </w:tcPr>
          <w:p w14:paraId="65340F6D">
            <w:pPr>
              <w:pStyle w:val="159"/>
              <w:rPr>
                <w:color w:val="000000"/>
                <w:sz w:val="22"/>
                <w:szCs w:val="22"/>
              </w:rPr>
            </w:pPr>
            <w:r>
              <w:rPr>
                <w:color w:val="000000"/>
                <w:sz w:val="22"/>
                <w:szCs w:val="22"/>
              </w:rPr>
              <w:t xml:space="preserve">97.20 </w:t>
            </w:r>
          </w:p>
        </w:tc>
      </w:tr>
      <w:tr w14:paraId="3900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restart"/>
            <w:shd w:val="clear" w:color="auto" w:fill="auto"/>
            <w:noWrap/>
            <w:vAlign w:val="center"/>
          </w:tcPr>
          <w:p w14:paraId="643C1F77">
            <w:pPr>
              <w:pStyle w:val="159"/>
              <w:rPr>
                <w:color w:val="000000"/>
                <w:sz w:val="22"/>
                <w:szCs w:val="22"/>
              </w:rPr>
            </w:pPr>
            <w:r>
              <w:rPr>
                <w:color w:val="000000"/>
                <w:sz w:val="22"/>
                <w:szCs w:val="22"/>
              </w:rPr>
              <w:t>建设用地</w:t>
            </w:r>
          </w:p>
        </w:tc>
        <w:tc>
          <w:tcPr>
            <w:tcW w:w="1898" w:type="pct"/>
            <w:shd w:val="clear" w:color="auto" w:fill="auto"/>
            <w:noWrap/>
            <w:vAlign w:val="center"/>
          </w:tcPr>
          <w:p w14:paraId="718FF417">
            <w:pPr>
              <w:pStyle w:val="159"/>
              <w:rPr>
                <w:color w:val="000000"/>
                <w:sz w:val="22"/>
                <w:szCs w:val="22"/>
              </w:rPr>
            </w:pPr>
            <w:r>
              <w:rPr>
                <w:color w:val="000000"/>
                <w:sz w:val="22"/>
                <w:szCs w:val="22"/>
              </w:rPr>
              <w:t>工矿仓储用地</w:t>
            </w:r>
          </w:p>
        </w:tc>
        <w:tc>
          <w:tcPr>
            <w:tcW w:w="1237" w:type="pct"/>
            <w:shd w:val="clear" w:color="auto" w:fill="auto"/>
            <w:noWrap/>
            <w:vAlign w:val="center"/>
          </w:tcPr>
          <w:p w14:paraId="3A940AB8">
            <w:pPr>
              <w:pStyle w:val="159"/>
              <w:rPr>
                <w:color w:val="000000"/>
                <w:sz w:val="22"/>
                <w:szCs w:val="22"/>
              </w:rPr>
            </w:pPr>
            <w:r>
              <w:rPr>
                <w:color w:val="000000"/>
                <w:sz w:val="22"/>
                <w:szCs w:val="22"/>
              </w:rPr>
              <w:t xml:space="preserve">1.89 </w:t>
            </w:r>
          </w:p>
        </w:tc>
        <w:tc>
          <w:tcPr>
            <w:tcW w:w="1060" w:type="pct"/>
            <w:shd w:val="clear" w:color="auto" w:fill="auto"/>
            <w:noWrap/>
            <w:vAlign w:val="center"/>
          </w:tcPr>
          <w:p w14:paraId="5C6C1221">
            <w:pPr>
              <w:pStyle w:val="159"/>
              <w:rPr>
                <w:color w:val="000000"/>
                <w:sz w:val="22"/>
                <w:szCs w:val="22"/>
              </w:rPr>
            </w:pPr>
            <w:r>
              <w:rPr>
                <w:color w:val="000000"/>
                <w:sz w:val="22"/>
                <w:szCs w:val="22"/>
              </w:rPr>
              <w:t xml:space="preserve">0.09 </w:t>
            </w:r>
          </w:p>
        </w:tc>
      </w:tr>
      <w:tr w14:paraId="30F7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5DBB4E3F">
            <w:pPr>
              <w:pStyle w:val="159"/>
              <w:rPr>
                <w:color w:val="000000"/>
                <w:sz w:val="22"/>
                <w:szCs w:val="22"/>
              </w:rPr>
            </w:pPr>
          </w:p>
        </w:tc>
        <w:tc>
          <w:tcPr>
            <w:tcW w:w="1898" w:type="pct"/>
            <w:shd w:val="clear" w:color="auto" w:fill="auto"/>
            <w:noWrap/>
            <w:vAlign w:val="center"/>
          </w:tcPr>
          <w:p w14:paraId="75B5A658">
            <w:pPr>
              <w:pStyle w:val="159"/>
              <w:rPr>
                <w:color w:val="000000"/>
                <w:sz w:val="22"/>
                <w:szCs w:val="22"/>
              </w:rPr>
            </w:pPr>
            <w:r>
              <w:rPr>
                <w:color w:val="000000"/>
                <w:sz w:val="22"/>
                <w:szCs w:val="22"/>
              </w:rPr>
              <w:t>住宅用地</w:t>
            </w:r>
          </w:p>
        </w:tc>
        <w:tc>
          <w:tcPr>
            <w:tcW w:w="1237" w:type="pct"/>
            <w:shd w:val="clear" w:color="auto" w:fill="auto"/>
            <w:noWrap/>
            <w:vAlign w:val="center"/>
          </w:tcPr>
          <w:p w14:paraId="54BB678B">
            <w:pPr>
              <w:pStyle w:val="159"/>
              <w:rPr>
                <w:color w:val="000000"/>
                <w:sz w:val="22"/>
                <w:szCs w:val="22"/>
              </w:rPr>
            </w:pPr>
            <w:r>
              <w:rPr>
                <w:color w:val="000000"/>
                <w:sz w:val="22"/>
                <w:szCs w:val="22"/>
              </w:rPr>
              <w:t xml:space="preserve">16.39 </w:t>
            </w:r>
          </w:p>
        </w:tc>
        <w:tc>
          <w:tcPr>
            <w:tcW w:w="1060" w:type="pct"/>
            <w:shd w:val="clear" w:color="auto" w:fill="auto"/>
            <w:noWrap/>
            <w:vAlign w:val="center"/>
          </w:tcPr>
          <w:p w14:paraId="348016CA">
            <w:pPr>
              <w:pStyle w:val="159"/>
              <w:rPr>
                <w:color w:val="000000"/>
                <w:sz w:val="22"/>
                <w:szCs w:val="22"/>
              </w:rPr>
            </w:pPr>
            <w:r>
              <w:rPr>
                <w:color w:val="000000"/>
                <w:sz w:val="22"/>
                <w:szCs w:val="22"/>
              </w:rPr>
              <w:t xml:space="preserve">0.81 </w:t>
            </w:r>
          </w:p>
        </w:tc>
      </w:tr>
      <w:tr w14:paraId="39D7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10ECDF1E">
            <w:pPr>
              <w:pStyle w:val="159"/>
              <w:rPr>
                <w:color w:val="000000"/>
                <w:sz w:val="22"/>
                <w:szCs w:val="22"/>
              </w:rPr>
            </w:pPr>
          </w:p>
        </w:tc>
        <w:tc>
          <w:tcPr>
            <w:tcW w:w="1898" w:type="pct"/>
            <w:shd w:val="clear" w:color="auto" w:fill="auto"/>
            <w:noWrap/>
            <w:vAlign w:val="center"/>
          </w:tcPr>
          <w:p w14:paraId="6A384362">
            <w:pPr>
              <w:pStyle w:val="159"/>
              <w:rPr>
                <w:color w:val="000000"/>
                <w:sz w:val="22"/>
                <w:szCs w:val="22"/>
              </w:rPr>
            </w:pPr>
            <w:r>
              <w:rPr>
                <w:color w:val="000000"/>
                <w:sz w:val="22"/>
                <w:szCs w:val="22"/>
              </w:rPr>
              <w:t>公共管理与公共服务用地</w:t>
            </w:r>
          </w:p>
        </w:tc>
        <w:tc>
          <w:tcPr>
            <w:tcW w:w="1237" w:type="pct"/>
            <w:shd w:val="clear" w:color="auto" w:fill="auto"/>
            <w:noWrap/>
            <w:vAlign w:val="center"/>
          </w:tcPr>
          <w:p w14:paraId="0B7DFD5E">
            <w:pPr>
              <w:pStyle w:val="159"/>
              <w:rPr>
                <w:color w:val="000000"/>
                <w:sz w:val="22"/>
                <w:szCs w:val="22"/>
              </w:rPr>
            </w:pPr>
            <w:r>
              <w:rPr>
                <w:color w:val="000000"/>
                <w:sz w:val="22"/>
                <w:szCs w:val="22"/>
              </w:rPr>
              <w:t xml:space="preserve">3.51 </w:t>
            </w:r>
          </w:p>
        </w:tc>
        <w:tc>
          <w:tcPr>
            <w:tcW w:w="1060" w:type="pct"/>
            <w:shd w:val="clear" w:color="auto" w:fill="auto"/>
            <w:noWrap/>
            <w:vAlign w:val="center"/>
          </w:tcPr>
          <w:p w14:paraId="7B6DAECD">
            <w:pPr>
              <w:pStyle w:val="159"/>
              <w:rPr>
                <w:color w:val="000000"/>
                <w:sz w:val="22"/>
                <w:szCs w:val="22"/>
              </w:rPr>
            </w:pPr>
            <w:r>
              <w:rPr>
                <w:color w:val="000000"/>
                <w:sz w:val="22"/>
                <w:szCs w:val="22"/>
              </w:rPr>
              <w:t xml:space="preserve">0.17 </w:t>
            </w:r>
          </w:p>
        </w:tc>
      </w:tr>
      <w:tr w14:paraId="294A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292ED427">
            <w:pPr>
              <w:pStyle w:val="159"/>
              <w:rPr>
                <w:color w:val="000000"/>
                <w:sz w:val="22"/>
                <w:szCs w:val="22"/>
              </w:rPr>
            </w:pPr>
          </w:p>
        </w:tc>
        <w:tc>
          <w:tcPr>
            <w:tcW w:w="1898" w:type="pct"/>
            <w:shd w:val="clear" w:color="auto" w:fill="auto"/>
            <w:noWrap/>
            <w:vAlign w:val="center"/>
          </w:tcPr>
          <w:p w14:paraId="048D9E42">
            <w:pPr>
              <w:pStyle w:val="159"/>
              <w:rPr>
                <w:color w:val="000000"/>
                <w:sz w:val="22"/>
                <w:szCs w:val="22"/>
              </w:rPr>
            </w:pPr>
            <w:r>
              <w:rPr>
                <w:color w:val="000000"/>
                <w:sz w:val="22"/>
                <w:szCs w:val="22"/>
              </w:rPr>
              <w:t>商业服务用地</w:t>
            </w:r>
          </w:p>
        </w:tc>
        <w:tc>
          <w:tcPr>
            <w:tcW w:w="1237" w:type="pct"/>
            <w:shd w:val="clear" w:color="auto" w:fill="auto"/>
            <w:noWrap/>
            <w:vAlign w:val="center"/>
          </w:tcPr>
          <w:p w14:paraId="47FD0565">
            <w:pPr>
              <w:pStyle w:val="159"/>
              <w:rPr>
                <w:color w:val="000000"/>
                <w:sz w:val="22"/>
                <w:szCs w:val="22"/>
              </w:rPr>
            </w:pPr>
            <w:r>
              <w:rPr>
                <w:color w:val="000000"/>
                <w:sz w:val="22"/>
                <w:szCs w:val="22"/>
              </w:rPr>
              <w:t xml:space="preserve">0.11 </w:t>
            </w:r>
          </w:p>
        </w:tc>
        <w:tc>
          <w:tcPr>
            <w:tcW w:w="1060" w:type="pct"/>
            <w:shd w:val="clear" w:color="auto" w:fill="auto"/>
            <w:noWrap/>
            <w:vAlign w:val="center"/>
          </w:tcPr>
          <w:p w14:paraId="50C4CF1A">
            <w:pPr>
              <w:pStyle w:val="159"/>
              <w:rPr>
                <w:color w:val="000000"/>
                <w:sz w:val="22"/>
                <w:szCs w:val="22"/>
              </w:rPr>
            </w:pPr>
            <w:r>
              <w:rPr>
                <w:color w:val="000000"/>
                <w:sz w:val="22"/>
                <w:szCs w:val="22"/>
              </w:rPr>
              <w:t xml:space="preserve">0.01 </w:t>
            </w:r>
          </w:p>
        </w:tc>
      </w:tr>
      <w:tr w14:paraId="3665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1856045D">
            <w:pPr>
              <w:pStyle w:val="159"/>
              <w:rPr>
                <w:color w:val="000000"/>
                <w:sz w:val="22"/>
                <w:szCs w:val="22"/>
              </w:rPr>
            </w:pPr>
          </w:p>
        </w:tc>
        <w:tc>
          <w:tcPr>
            <w:tcW w:w="1898" w:type="pct"/>
            <w:shd w:val="clear" w:color="auto" w:fill="auto"/>
            <w:noWrap/>
            <w:vAlign w:val="center"/>
          </w:tcPr>
          <w:p w14:paraId="36F21384">
            <w:pPr>
              <w:pStyle w:val="159"/>
              <w:rPr>
                <w:color w:val="000000"/>
                <w:sz w:val="22"/>
                <w:szCs w:val="22"/>
              </w:rPr>
            </w:pPr>
            <w:r>
              <w:rPr>
                <w:color w:val="000000"/>
                <w:sz w:val="22"/>
                <w:szCs w:val="22"/>
              </w:rPr>
              <w:t>特殊用地</w:t>
            </w:r>
          </w:p>
        </w:tc>
        <w:tc>
          <w:tcPr>
            <w:tcW w:w="1237" w:type="pct"/>
            <w:shd w:val="clear" w:color="auto" w:fill="auto"/>
            <w:noWrap/>
            <w:vAlign w:val="center"/>
          </w:tcPr>
          <w:p w14:paraId="7FE37D79">
            <w:pPr>
              <w:pStyle w:val="159"/>
              <w:rPr>
                <w:color w:val="000000"/>
                <w:sz w:val="22"/>
                <w:szCs w:val="22"/>
              </w:rPr>
            </w:pPr>
            <w:r>
              <w:rPr>
                <w:color w:val="000000"/>
                <w:sz w:val="22"/>
                <w:szCs w:val="22"/>
              </w:rPr>
              <w:t xml:space="preserve">0.26 </w:t>
            </w:r>
          </w:p>
        </w:tc>
        <w:tc>
          <w:tcPr>
            <w:tcW w:w="1060" w:type="pct"/>
            <w:shd w:val="clear" w:color="auto" w:fill="auto"/>
            <w:noWrap/>
            <w:vAlign w:val="center"/>
          </w:tcPr>
          <w:p w14:paraId="555198F2">
            <w:pPr>
              <w:pStyle w:val="159"/>
              <w:rPr>
                <w:color w:val="000000"/>
                <w:sz w:val="22"/>
                <w:szCs w:val="22"/>
              </w:rPr>
            </w:pPr>
            <w:r>
              <w:rPr>
                <w:color w:val="000000"/>
                <w:sz w:val="22"/>
                <w:szCs w:val="22"/>
              </w:rPr>
              <w:t xml:space="preserve">0.01 </w:t>
            </w:r>
          </w:p>
        </w:tc>
      </w:tr>
      <w:tr w14:paraId="7978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69CE10D1">
            <w:pPr>
              <w:pStyle w:val="159"/>
              <w:rPr>
                <w:color w:val="000000"/>
                <w:sz w:val="22"/>
                <w:szCs w:val="22"/>
              </w:rPr>
            </w:pPr>
          </w:p>
        </w:tc>
        <w:tc>
          <w:tcPr>
            <w:tcW w:w="1898" w:type="pct"/>
            <w:shd w:val="clear" w:color="auto" w:fill="auto"/>
            <w:noWrap/>
            <w:vAlign w:val="center"/>
          </w:tcPr>
          <w:p w14:paraId="21680A9A">
            <w:pPr>
              <w:pStyle w:val="159"/>
              <w:rPr>
                <w:color w:val="000000"/>
                <w:sz w:val="22"/>
                <w:szCs w:val="22"/>
              </w:rPr>
            </w:pPr>
            <w:r>
              <w:rPr>
                <w:color w:val="000000"/>
                <w:sz w:val="22"/>
                <w:szCs w:val="22"/>
              </w:rPr>
              <w:t>交通运输用地</w:t>
            </w:r>
          </w:p>
        </w:tc>
        <w:tc>
          <w:tcPr>
            <w:tcW w:w="1237" w:type="pct"/>
            <w:shd w:val="clear" w:color="auto" w:fill="auto"/>
            <w:noWrap/>
            <w:vAlign w:val="center"/>
          </w:tcPr>
          <w:p w14:paraId="2F6B8645">
            <w:pPr>
              <w:pStyle w:val="159"/>
              <w:rPr>
                <w:color w:val="000000"/>
                <w:sz w:val="22"/>
                <w:szCs w:val="22"/>
              </w:rPr>
            </w:pPr>
            <w:r>
              <w:rPr>
                <w:color w:val="000000"/>
                <w:sz w:val="22"/>
                <w:szCs w:val="22"/>
              </w:rPr>
              <w:t xml:space="preserve">34.53 </w:t>
            </w:r>
          </w:p>
        </w:tc>
        <w:tc>
          <w:tcPr>
            <w:tcW w:w="1060" w:type="pct"/>
            <w:shd w:val="clear" w:color="auto" w:fill="auto"/>
            <w:noWrap/>
            <w:vAlign w:val="center"/>
          </w:tcPr>
          <w:p w14:paraId="4B0AD41E">
            <w:pPr>
              <w:pStyle w:val="159"/>
              <w:rPr>
                <w:color w:val="000000"/>
                <w:sz w:val="22"/>
                <w:szCs w:val="22"/>
              </w:rPr>
            </w:pPr>
            <w:r>
              <w:rPr>
                <w:color w:val="000000"/>
                <w:sz w:val="22"/>
                <w:szCs w:val="22"/>
              </w:rPr>
              <w:t xml:space="preserve">1.70 </w:t>
            </w:r>
          </w:p>
        </w:tc>
      </w:tr>
      <w:tr w14:paraId="4B27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176B48C7">
            <w:pPr>
              <w:pStyle w:val="159"/>
              <w:rPr>
                <w:color w:val="000000"/>
                <w:sz w:val="22"/>
                <w:szCs w:val="22"/>
              </w:rPr>
            </w:pPr>
          </w:p>
        </w:tc>
        <w:tc>
          <w:tcPr>
            <w:tcW w:w="1898" w:type="pct"/>
            <w:shd w:val="clear" w:color="auto" w:fill="auto"/>
            <w:noWrap/>
            <w:vAlign w:val="center"/>
          </w:tcPr>
          <w:p w14:paraId="09D3B903">
            <w:pPr>
              <w:pStyle w:val="159"/>
              <w:rPr>
                <w:color w:val="000000"/>
                <w:sz w:val="22"/>
                <w:szCs w:val="22"/>
              </w:rPr>
            </w:pPr>
            <w:r>
              <w:rPr>
                <w:color w:val="000000"/>
                <w:sz w:val="22"/>
                <w:szCs w:val="22"/>
              </w:rPr>
              <w:t>其它土地</w:t>
            </w:r>
          </w:p>
        </w:tc>
        <w:tc>
          <w:tcPr>
            <w:tcW w:w="1237" w:type="pct"/>
            <w:shd w:val="clear" w:color="auto" w:fill="auto"/>
            <w:noWrap/>
            <w:vAlign w:val="center"/>
          </w:tcPr>
          <w:p w14:paraId="1A6D5CD8">
            <w:pPr>
              <w:pStyle w:val="159"/>
              <w:rPr>
                <w:color w:val="000000"/>
                <w:sz w:val="22"/>
                <w:szCs w:val="22"/>
              </w:rPr>
            </w:pPr>
            <w:r>
              <w:rPr>
                <w:color w:val="000000"/>
                <w:sz w:val="22"/>
                <w:szCs w:val="22"/>
              </w:rPr>
              <w:t xml:space="preserve">0.14 </w:t>
            </w:r>
          </w:p>
        </w:tc>
        <w:tc>
          <w:tcPr>
            <w:tcW w:w="1060" w:type="pct"/>
            <w:shd w:val="clear" w:color="auto" w:fill="auto"/>
            <w:noWrap/>
            <w:vAlign w:val="center"/>
          </w:tcPr>
          <w:p w14:paraId="708F7925">
            <w:pPr>
              <w:pStyle w:val="159"/>
              <w:rPr>
                <w:color w:val="000000"/>
                <w:sz w:val="22"/>
                <w:szCs w:val="22"/>
              </w:rPr>
            </w:pPr>
            <w:r>
              <w:rPr>
                <w:color w:val="000000"/>
                <w:sz w:val="22"/>
                <w:szCs w:val="22"/>
              </w:rPr>
              <w:t xml:space="preserve">0.01 </w:t>
            </w:r>
          </w:p>
        </w:tc>
      </w:tr>
      <w:tr w14:paraId="4EF9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shd w:val="clear" w:color="auto" w:fill="auto"/>
            <w:noWrap/>
            <w:vAlign w:val="center"/>
          </w:tcPr>
          <w:p w14:paraId="466DA107">
            <w:pPr>
              <w:pStyle w:val="159"/>
              <w:rPr>
                <w:color w:val="000000"/>
                <w:sz w:val="22"/>
                <w:szCs w:val="22"/>
              </w:rPr>
            </w:pPr>
          </w:p>
        </w:tc>
        <w:tc>
          <w:tcPr>
            <w:tcW w:w="1898" w:type="pct"/>
            <w:shd w:val="clear" w:color="auto" w:fill="auto"/>
            <w:noWrap/>
            <w:vAlign w:val="center"/>
          </w:tcPr>
          <w:p w14:paraId="76C77417">
            <w:pPr>
              <w:pStyle w:val="159"/>
              <w:rPr>
                <w:color w:val="000000"/>
                <w:sz w:val="22"/>
                <w:szCs w:val="22"/>
              </w:rPr>
            </w:pPr>
            <w:r>
              <w:rPr>
                <w:color w:val="000000"/>
                <w:sz w:val="22"/>
                <w:szCs w:val="22"/>
              </w:rPr>
              <w:t>小计</w:t>
            </w:r>
          </w:p>
        </w:tc>
        <w:tc>
          <w:tcPr>
            <w:tcW w:w="1237" w:type="pct"/>
            <w:shd w:val="clear" w:color="auto" w:fill="auto"/>
            <w:noWrap/>
            <w:vAlign w:val="center"/>
          </w:tcPr>
          <w:p w14:paraId="5CBD7B6F">
            <w:pPr>
              <w:pStyle w:val="159"/>
              <w:rPr>
                <w:color w:val="000000"/>
                <w:sz w:val="22"/>
                <w:szCs w:val="22"/>
              </w:rPr>
            </w:pPr>
            <w:r>
              <w:rPr>
                <w:color w:val="000000"/>
                <w:sz w:val="22"/>
                <w:szCs w:val="22"/>
              </w:rPr>
              <w:t xml:space="preserve">56.83 </w:t>
            </w:r>
          </w:p>
        </w:tc>
        <w:tc>
          <w:tcPr>
            <w:tcW w:w="1060" w:type="pct"/>
            <w:shd w:val="clear" w:color="auto" w:fill="auto"/>
            <w:noWrap/>
            <w:vAlign w:val="center"/>
          </w:tcPr>
          <w:p w14:paraId="6C352C82">
            <w:pPr>
              <w:pStyle w:val="159"/>
              <w:rPr>
                <w:color w:val="000000"/>
                <w:sz w:val="22"/>
                <w:szCs w:val="22"/>
              </w:rPr>
            </w:pPr>
            <w:r>
              <w:rPr>
                <w:color w:val="000000"/>
                <w:sz w:val="22"/>
                <w:szCs w:val="22"/>
              </w:rPr>
              <w:t xml:space="preserve">2.80 </w:t>
            </w:r>
          </w:p>
        </w:tc>
      </w:tr>
      <w:tr w14:paraId="2E04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3" w:type="pct"/>
            <w:gridSpan w:val="2"/>
            <w:shd w:val="clear" w:color="auto" w:fill="auto"/>
            <w:noWrap/>
            <w:vAlign w:val="center"/>
          </w:tcPr>
          <w:p w14:paraId="53BAE4E2">
            <w:pPr>
              <w:pStyle w:val="159"/>
              <w:rPr>
                <w:color w:val="000000"/>
                <w:sz w:val="22"/>
                <w:szCs w:val="22"/>
              </w:rPr>
            </w:pPr>
            <w:r>
              <w:rPr>
                <w:color w:val="000000"/>
                <w:sz w:val="22"/>
                <w:szCs w:val="22"/>
              </w:rPr>
              <w:t>合计</w:t>
            </w:r>
          </w:p>
        </w:tc>
        <w:tc>
          <w:tcPr>
            <w:tcW w:w="1237" w:type="pct"/>
            <w:shd w:val="clear" w:color="auto" w:fill="auto"/>
            <w:noWrap/>
            <w:vAlign w:val="center"/>
          </w:tcPr>
          <w:p w14:paraId="43EB8712">
            <w:pPr>
              <w:pStyle w:val="159"/>
              <w:rPr>
                <w:color w:val="000000"/>
                <w:sz w:val="22"/>
                <w:szCs w:val="22"/>
              </w:rPr>
            </w:pPr>
            <w:r>
              <w:rPr>
                <w:color w:val="000000"/>
                <w:sz w:val="22"/>
                <w:szCs w:val="22"/>
              </w:rPr>
              <w:t xml:space="preserve">2026.37 </w:t>
            </w:r>
          </w:p>
        </w:tc>
        <w:tc>
          <w:tcPr>
            <w:tcW w:w="1060" w:type="pct"/>
            <w:shd w:val="clear" w:color="auto" w:fill="auto"/>
            <w:noWrap/>
            <w:vAlign w:val="center"/>
          </w:tcPr>
          <w:p w14:paraId="3DA996A1">
            <w:pPr>
              <w:pStyle w:val="159"/>
              <w:rPr>
                <w:color w:val="000000"/>
                <w:sz w:val="22"/>
                <w:szCs w:val="22"/>
              </w:rPr>
            </w:pPr>
            <w:r>
              <w:rPr>
                <w:color w:val="000000"/>
                <w:sz w:val="22"/>
                <w:szCs w:val="22"/>
              </w:rPr>
              <w:t xml:space="preserve">100.00 </w:t>
            </w:r>
          </w:p>
        </w:tc>
      </w:tr>
    </w:tbl>
    <w:p w14:paraId="2712DEB8">
      <w:pPr>
        <w:pStyle w:val="3"/>
        <w:ind w:firstLine="480"/>
      </w:pPr>
    </w:p>
    <w:p w14:paraId="2C45D6F4">
      <w:pPr>
        <w:pStyle w:val="6"/>
        <w:ind w:left="0" w:firstLine="0"/>
      </w:pPr>
      <w:r>
        <w:rPr>
          <w:rFonts w:hint="eastAsia"/>
        </w:rPr>
        <w:t>生态系统现状调查与评价</w:t>
      </w:r>
    </w:p>
    <w:p w14:paraId="3B276AE3">
      <w:pPr>
        <w:pStyle w:val="3"/>
        <w:ind w:firstLine="480"/>
        <w:rPr>
          <w:rFonts w:ascii="CIDFont+F3" w:eastAsia="CIDFont+F3" w:cs="CIDFont+F3"/>
          <w:szCs w:val="24"/>
        </w:rPr>
      </w:pPr>
      <w:r>
        <w:rPr>
          <w:rFonts w:hint="eastAsia"/>
        </w:rPr>
        <w:t>根据对评价区内土地利用现状的分析，结合动植物分布和生物量的调查，把评价区内的生态系统划分为</w:t>
      </w:r>
      <w:r>
        <w:t>6</w:t>
      </w:r>
      <w:r>
        <w:rPr>
          <w:rFonts w:hint="eastAsia"/>
        </w:rPr>
        <w:t>类，分别为：森林生态系统、灌丛生态系统、草丛生态系统、农田生态系统、城镇/村落生态系统、湿地生态系统。其中，森林生态系统面积最大为</w:t>
      </w:r>
      <w:r>
        <w:t>1631.86hm</w:t>
      </w:r>
      <w:r>
        <w:rPr>
          <w:vertAlign w:val="superscript"/>
        </w:rPr>
        <w:t>2</w:t>
      </w:r>
      <w:r>
        <w:rPr>
          <w:rFonts w:hint="eastAsia"/>
        </w:rPr>
        <w:t>，占评价区总面积的</w:t>
      </w:r>
      <w:r>
        <w:t>80.53%</w:t>
      </w:r>
      <w:r>
        <w:rPr>
          <w:rFonts w:hint="eastAsia"/>
        </w:rPr>
        <w:t>。评价区生态系统类型统计见表</w:t>
      </w:r>
      <w:r>
        <w:t>2.3-1</w:t>
      </w:r>
      <w:r>
        <w:rPr>
          <w:rFonts w:hint="eastAsia"/>
        </w:rPr>
        <w:t>所示，生态系统类型空间分布见图</w:t>
      </w:r>
      <w:r>
        <w:t>2.3-1</w:t>
      </w:r>
      <w:r>
        <w:rPr>
          <w:rFonts w:hint="eastAsia"/>
        </w:rPr>
        <w:t>、图2</w:t>
      </w:r>
      <w:r>
        <w:t>.3-2</w:t>
      </w:r>
      <w:r>
        <w:rPr>
          <w:rFonts w:hint="eastAsia"/>
        </w:rPr>
        <w:t>所示，生态系统典型现状照片见图2</w:t>
      </w:r>
      <w:r>
        <w:t>.3-3</w:t>
      </w:r>
      <w:r>
        <w:rPr>
          <w:rFonts w:hint="eastAsia"/>
        </w:rPr>
        <w:t>所示。</w:t>
      </w:r>
    </w:p>
    <w:p w14:paraId="723C60FA">
      <w:pPr>
        <w:pStyle w:val="148"/>
      </w:pPr>
      <w:r>
        <w:rPr>
          <w:rFonts w:hint="eastAsia"/>
        </w:rPr>
        <w:t>表</w:t>
      </w:r>
      <w:r>
        <w:t xml:space="preserve">2.3-1  </w:t>
      </w:r>
      <w:r>
        <w:rPr>
          <w:rFonts w:hint="eastAsia"/>
        </w:rPr>
        <w:t>评价区生态系统现状表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295"/>
        <w:gridCol w:w="1068"/>
        <w:gridCol w:w="1068"/>
        <w:gridCol w:w="1068"/>
        <w:gridCol w:w="1068"/>
        <w:gridCol w:w="1358"/>
        <w:gridCol w:w="1289"/>
      </w:tblGrid>
      <w:tr w14:paraId="15A7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vMerge w:val="restart"/>
            <w:shd w:val="clear" w:color="auto" w:fill="auto"/>
            <w:vAlign w:val="center"/>
          </w:tcPr>
          <w:p w14:paraId="57CABB71">
            <w:pPr>
              <w:widowControl/>
              <w:jc w:val="center"/>
              <w:rPr>
                <w:color w:val="000000"/>
                <w:kern w:val="0"/>
                <w:sz w:val="21"/>
                <w:szCs w:val="21"/>
              </w:rPr>
            </w:pPr>
            <w:r>
              <w:rPr>
                <w:rFonts w:hint="eastAsia"/>
                <w:color w:val="000000"/>
                <w:kern w:val="0"/>
                <w:sz w:val="21"/>
                <w:szCs w:val="21"/>
              </w:rPr>
              <w:t>项目</w:t>
            </w:r>
          </w:p>
        </w:tc>
        <w:tc>
          <w:tcPr>
            <w:tcW w:w="3728" w:type="pct"/>
            <w:gridSpan w:val="6"/>
            <w:shd w:val="clear" w:color="auto" w:fill="auto"/>
            <w:vAlign w:val="center"/>
          </w:tcPr>
          <w:p w14:paraId="1785C83A">
            <w:pPr>
              <w:pStyle w:val="159"/>
              <w:rPr>
                <w:rFonts w:ascii="CIDFont+F3" w:hAnsi="等线" w:eastAsia="CIDFont+F3"/>
              </w:rPr>
            </w:pPr>
            <w:r>
              <w:rPr>
                <w:rFonts w:hint="eastAsia"/>
              </w:rPr>
              <w:t>生态系统类型</w:t>
            </w:r>
          </w:p>
        </w:tc>
        <w:tc>
          <w:tcPr>
            <w:tcW w:w="694" w:type="pct"/>
            <w:vMerge w:val="restart"/>
            <w:shd w:val="clear" w:color="auto" w:fill="auto"/>
            <w:noWrap/>
            <w:vAlign w:val="center"/>
          </w:tcPr>
          <w:p w14:paraId="025F1B50">
            <w:pPr>
              <w:pStyle w:val="159"/>
              <w:rPr>
                <w:rFonts w:ascii="CIDFont+F3" w:hAnsi="等线" w:eastAsia="CIDFont+F3" w:cs="宋体"/>
                <w:color w:val="000000"/>
                <w:kern w:val="0"/>
                <w:szCs w:val="21"/>
              </w:rPr>
            </w:pPr>
            <w:r>
              <w:rPr>
                <w:rFonts w:hint="eastAsia"/>
              </w:rPr>
              <w:t>合计</w:t>
            </w:r>
          </w:p>
        </w:tc>
      </w:tr>
      <w:tr w14:paraId="43F8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vMerge w:val="continue"/>
            <w:shd w:val="clear" w:color="auto" w:fill="auto"/>
            <w:vAlign w:val="center"/>
          </w:tcPr>
          <w:p w14:paraId="535C3F42">
            <w:pPr>
              <w:widowControl/>
              <w:jc w:val="left"/>
              <w:rPr>
                <w:rFonts w:eastAsia="等线"/>
                <w:color w:val="000000"/>
                <w:kern w:val="0"/>
                <w:sz w:val="21"/>
                <w:szCs w:val="21"/>
              </w:rPr>
            </w:pPr>
          </w:p>
        </w:tc>
        <w:tc>
          <w:tcPr>
            <w:tcW w:w="697" w:type="pct"/>
            <w:shd w:val="clear" w:color="auto" w:fill="auto"/>
            <w:vAlign w:val="center"/>
          </w:tcPr>
          <w:p w14:paraId="14F3A949">
            <w:pPr>
              <w:pStyle w:val="159"/>
            </w:pPr>
            <w:r>
              <w:rPr>
                <w:rFonts w:hint="eastAsia"/>
              </w:rPr>
              <w:t>森林生态系统</w:t>
            </w:r>
          </w:p>
        </w:tc>
        <w:tc>
          <w:tcPr>
            <w:tcW w:w="575" w:type="pct"/>
            <w:shd w:val="clear" w:color="auto" w:fill="auto"/>
            <w:vAlign w:val="center"/>
          </w:tcPr>
          <w:p w14:paraId="62B214FB">
            <w:pPr>
              <w:pStyle w:val="159"/>
            </w:pPr>
            <w:r>
              <w:rPr>
                <w:rFonts w:hint="eastAsia"/>
              </w:rPr>
              <w:t>灌丛生态系统</w:t>
            </w:r>
          </w:p>
        </w:tc>
        <w:tc>
          <w:tcPr>
            <w:tcW w:w="575" w:type="pct"/>
            <w:shd w:val="clear" w:color="auto" w:fill="auto"/>
            <w:vAlign w:val="center"/>
          </w:tcPr>
          <w:p w14:paraId="64DBDB9D">
            <w:pPr>
              <w:pStyle w:val="159"/>
              <w:rPr>
                <w:rFonts w:ascii="宋体" w:hAnsi="宋体" w:cs="宋体"/>
                <w:color w:val="000000"/>
                <w:kern w:val="0"/>
                <w:szCs w:val="21"/>
              </w:rPr>
            </w:pPr>
            <w:r>
              <w:rPr>
                <w:rFonts w:hint="eastAsia" w:ascii="宋体" w:hAnsi="宋体" w:cs="宋体"/>
                <w:color w:val="000000"/>
                <w:kern w:val="0"/>
                <w:szCs w:val="21"/>
              </w:rPr>
              <w:t>草地生态系统</w:t>
            </w:r>
          </w:p>
        </w:tc>
        <w:tc>
          <w:tcPr>
            <w:tcW w:w="575" w:type="pct"/>
            <w:shd w:val="clear" w:color="auto" w:fill="auto"/>
            <w:vAlign w:val="center"/>
          </w:tcPr>
          <w:p w14:paraId="61850E98">
            <w:pPr>
              <w:pStyle w:val="159"/>
              <w:rPr>
                <w:rFonts w:ascii="宋体" w:hAnsi="宋体" w:cs="宋体"/>
                <w:color w:val="000000"/>
                <w:kern w:val="0"/>
                <w:szCs w:val="21"/>
              </w:rPr>
            </w:pPr>
            <w:r>
              <w:rPr>
                <w:rFonts w:hint="eastAsia" w:ascii="宋体" w:hAnsi="宋体" w:cs="宋体"/>
                <w:color w:val="000000"/>
                <w:kern w:val="0"/>
                <w:szCs w:val="21"/>
              </w:rPr>
              <w:t>湿地生态系统</w:t>
            </w:r>
          </w:p>
        </w:tc>
        <w:tc>
          <w:tcPr>
            <w:tcW w:w="575" w:type="pct"/>
            <w:shd w:val="clear" w:color="auto" w:fill="auto"/>
            <w:vAlign w:val="center"/>
          </w:tcPr>
          <w:p w14:paraId="488DC106">
            <w:pPr>
              <w:pStyle w:val="159"/>
              <w:rPr>
                <w:rFonts w:ascii="宋体" w:hAnsi="宋体" w:cs="宋体"/>
                <w:color w:val="000000"/>
                <w:kern w:val="0"/>
                <w:szCs w:val="21"/>
              </w:rPr>
            </w:pPr>
            <w:r>
              <w:rPr>
                <w:rFonts w:hint="eastAsia" w:ascii="宋体" w:hAnsi="宋体" w:cs="宋体"/>
                <w:color w:val="000000"/>
                <w:kern w:val="0"/>
                <w:szCs w:val="21"/>
              </w:rPr>
              <w:t>农田生态系统</w:t>
            </w:r>
          </w:p>
        </w:tc>
        <w:tc>
          <w:tcPr>
            <w:tcW w:w="731" w:type="pct"/>
            <w:shd w:val="clear" w:color="auto" w:fill="auto"/>
            <w:vAlign w:val="center"/>
          </w:tcPr>
          <w:p w14:paraId="0132DAED">
            <w:pPr>
              <w:pStyle w:val="159"/>
              <w:rPr>
                <w:rFonts w:ascii="宋体" w:hAnsi="宋体" w:cs="宋体"/>
                <w:color w:val="000000"/>
                <w:kern w:val="0"/>
                <w:szCs w:val="21"/>
              </w:rPr>
            </w:pPr>
            <w:r>
              <w:rPr>
                <w:rFonts w:hint="eastAsia" w:ascii="宋体" w:hAnsi="宋体" w:cs="宋体"/>
                <w:color w:val="000000"/>
                <w:kern w:val="0"/>
                <w:szCs w:val="21"/>
              </w:rPr>
              <w:t>城镇/村落生态系统</w:t>
            </w:r>
          </w:p>
        </w:tc>
        <w:tc>
          <w:tcPr>
            <w:tcW w:w="694" w:type="pct"/>
            <w:vMerge w:val="continue"/>
            <w:shd w:val="clear" w:color="auto" w:fill="auto"/>
            <w:noWrap/>
            <w:vAlign w:val="center"/>
          </w:tcPr>
          <w:p w14:paraId="17055E1D">
            <w:pPr>
              <w:pStyle w:val="159"/>
            </w:pPr>
          </w:p>
        </w:tc>
      </w:tr>
      <w:tr w14:paraId="3482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shd w:val="clear" w:color="auto" w:fill="auto"/>
            <w:vAlign w:val="center"/>
          </w:tcPr>
          <w:p w14:paraId="239DBA86">
            <w:pPr>
              <w:widowControl/>
              <w:jc w:val="center"/>
              <w:rPr>
                <w:rFonts w:ascii="宋体" w:hAnsi="宋体" w:cs="宋体"/>
                <w:color w:val="000000"/>
                <w:kern w:val="0"/>
                <w:sz w:val="21"/>
                <w:szCs w:val="21"/>
              </w:rPr>
            </w:pPr>
            <w:r>
              <w:rPr>
                <w:rFonts w:hint="eastAsia" w:ascii="宋体" w:hAnsi="宋体" w:cs="宋体"/>
                <w:color w:val="000000"/>
                <w:kern w:val="0"/>
                <w:sz w:val="21"/>
                <w:szCs w:val="21"/>
              </w:rPr>
              <w:t>面积（</w:t>
            </w:r>
            <w:r>
              <w:rPr>
                <w:color w:val="000000"/>
                <w:kern w:val="0"/>
                <w:sz w:val="21"/>
                <w:szCs w:val="21"/>
              </w:rPr>
              <w:t>hm</w:t>
            </w:r>
            <w:r>
              <w:rPr>
                <w:color w:val="000000"/>
                <w:kern w:val="0"/>
                <w:sz w:val="21"/>
                <w:szCs w:val="21"/>
                <w:vertAlign w:val="superscript"/>
              </w:rPr>
              <w:t>2</w:t>
            </w:r>
            <w:r>
              <w:rPr>
                <w:rFonts w:hint="eastAsia" w:ascii="宋体" w:hAnsi="宋体" w:cs="宋体"/>
                <w:color w:val="000000"/>
                <w:kern w:val="0"/>
                <w:sz w:val="21"/>
                <w:szCs w:val="21"/>
              </w:rPr>
              <w:t>）</w:t>
            </w:r>
          </w:p>
        </w:tc>
        <w:tc>
          <w:tcPr>
            <w:tcW w:w="697" w:type="pct"/>
            <w:shd w:val="clear" w:color="auto" w:fill="auto"/>
            <w:vAlign w:val="center"/>
          </w:tcPr>
          <w:p w14:paraId="7509708E">
            <w:pPr>
              <w:pStyle w:val="159"/>
            </w:pPr>
            <w:r>
              <w:rPr>
                <w:rFonts w:hint="eastAsia"/>
              </w:rPr>
              <w:t>1631.86</w:t>
            </w:r>
          </w:p>
        </w:tc>
        <w:tc>
          <w:tcPr>
            <w:tcW w:w="575" w:type="pct"/>
            <w:shd w:val="clear" w:color="auto" w:fill="auto"/>
            <w:vAlign w:val="center"/>
          </w:tcPr>
          <w:p w14:paraId="062FFB8A">
            <w:pPr>
              <w:pStyle w:val="159"/>
            </w:pPr>
            <w:r>
              <w:rPr>
                <w:rFonts w:hint="eastAsia"/>
              </w:rPr>
              <w:t>4.80</w:t>
            </w:r>
          </w:p>
        </w:tc>
        <w:tc>
          <w:tcPr>
            <w:tcW w:w="575" w:type="pct"/>
            <w:shd w:val="clear" w:color="auto" w:fill="auto"/>
            <w:vAlign w:val="center"/>
          </w:tcPr>
          <w:p w14:paraId="79D18BA9">
            <w:pPr>
              <w:pStyle w:val="159"/>
            </w:pPr>
            <w:r>
              <w:rPr>
                <w:rFonts w:hint="eastAsia"/>
              </w:rPr>
              <w:t>2.70</w:t>
            </w:r>
          </w:p>
        </w:tc>
        <w:tc>
          <w:tcPr>
            <w:tcW w:w="575" w:type="pct"/>
            <w:shd w:val="clear" w:color="auto" w:fill="auto"/>
            <w:vAlign w:val="center"/>
          </w:tcPr>
          <w:p w14:paraId="76E7CAE0">
            <w:pPr>
              <w:pStyle w:val="159"/>
            </w:pPr>
            <w:r>
              <w:rPr>
                <w:rFonts w:hint="eastAsia"/>
              </w:rPr>
              <w:t>301.93</w:t>
            </w:r>
          </w:p>
        </w:tc>
        <w:tc>
          <w:tcPr>
            <w:tcW w:w="575" w:type="pct"/>
            <w:shd w:val="clear" w:color="auto" w:fill="auto"/>
            <w:vAlign w:val="center"/>
          </w:tcPr>
          <w:p w14:paraId="355EF693">
            <w:pPr>
              <w:pStyle w:val="159"/>
            </w:pPr>
            <w:r>
              <w:rPr>
                <w:rFonts w:hint="eastAsia"/>
              </w:rPr>
              <w:t>28.25</w:t>
            </w:r>
          </w:p>
        </w:tc>
        <w:tc>
          <w:tcPr>
            <w:tcW w:w="731" w:type="pct"/>
            <w:shd w:val="clear" w:color="auto" w:fill="auto"/>
            <w:vAlign w:val="center"/>
          </w:tcPr>
          <w:p w14:paraId="17264158">
            <w:pPr>
              <w:pStyle w:val="159"/>
            </w:pPr>
            <w:r>
              <w:rPr>
                <w:rFonts w:hint="eastAsia"/>
              </w:rPr>
              <w:t>56.83</w:t>
            </w:r>
          </w:p>
        </w:tc>
        <w:tc>
          <w:tcPr>
            <w:tcW w:w="694" w:type="pct"/>
            <w:shd w:val="clear" w:color="auto" w:fill="auto"/>
            <w:vAlign w:val="center"/>
          </w:tcPr>
          <w:p w14:paraId="31A57B93">
            <w:pPr>
              <w:pStyle w:val="159"/>
            </w:pPr>
            <w:r>
              <w:rPr>
                <w:rFonts w:hint="eastAsia"/>
              </w:rPr>
              <w:t>2026.37</w:t>
            </w:r>
          </w:p>
        </w:tc>
      </w:tr>
      <w:tr w14:paraId="30E4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shd w:val="clear" w:color="auto" w:fill="auto"/>
            <w:vAlign w:val="center"/>
          </w:tcPr>
          <w:p w14:paraId="0FC7AD7E">
            <w:pPr>
              <w:widowControl/>
              <w:jc w:val="center"/>
              <w:rPr>
                <w:rFonts w:ascii="宋体" w:hAnsi="宋体" w:cs="宋体"/>
                <w:color w:val="000000"/>
                <w:kern w:val="0"/>
                <w:sz w:val="21"/>
                <w:szCs w:val="21"/>
              </w:rPr>
            </w:pPr>
            <w:r>
              <w:rPr>
                <w:rFonts w:hint="eastAsia" w:ascii="宋体" w:hAnsi="宋体" w:cs="宋体"/>
                <w:color w:val="000000"/>
                <w:kern w:val="0"/>
                <w:sz w:val="21"/>
                <w:szCs w:val="21"/>
              </w:rPr>
              <w:t>百分比（</w:t>
            </w:r>
            <w:r>
              <w:rPr>
                <w:color w:val="000000"/>
                <w:kern w:val="0"/>
                <w:sz w:val="21"/>
                <w:szCs w:val="21"/>
              </w:rPr>
              <w:t>%</w:t>
            </w:r>
            <w:r>
              <w:rPr>
                <w:rFonts w:hint="eastAsia" w:ascii="宋体" w:hAnsi="宋体" w:cs="宋体"/>
                <w:color w:val="000000"/>
                <w:kern w:val="0"/>
                <w:sz w:val="21"/>
                <w:szCs w:val="21"/>
              </w:rPr>
              <w:t>）</w:t>
            </w:r>
          </w:p>
        </w:tc>
        <w:tc>
          <w:tcPr>
            <w:tcW w:w="697" w:type="pct"/>
            <w:shd w:val="clear" w:color="auto" w:fill="auto"/>
            <w:vAlign w:val="center"/>
          </w:tcPr>
          <w:p w14:paraId="7A5770A5">
            <w:pPr>
              <w:pStyle w:val="159"/>
            </w:pPr>
            <w:r>
              <w:rPr>
                <w:rFonts w:hint="eastAsia"/>
              </w:rPr>
              <w:t>80.53</w:t>
            </w:r>
          </w:p>
        </w:tc>
        <w:tc>
          <w:tcPr>
            <w:tcW w:w="575" w:type="pct"/>
            <w:shd w:val="clear" w:color="auto" w:fill="auto"/>
            <w:vAlign w:val="center"/>
          </w:tcPr>
          <w:p w14:paraId="07895ACA">
            <w:pPr>
              <w:pStyle w:val="159"/>
            </w:pPr>
            <w:r>
              <w:rPr>
                <w:rFonts w:hint="eastAsia"/>
              </w:rPr>
              <w:t>0.24</w:t>
            </w:r>
          </w:p>
        </w:tc>
        <w:tc>
          <w:tcPr>
            <w:tcW w:w="575" w:type="pct"/>
            <w:shd w:val="clear" w:color="auto" w:fill="auto"/>
            <w:vAlign w:val="center"/>
          </w:tcPr>
          <w:p w14:paraId="3B6C99C7">
            <w:pPr>
              <w:pStyle w:val="159"/>
            </w:pPr>
            <w:r>
              <w:rPr>
                <w:rFonts w:hint="eastAsia"/>
              </w:rPr>
              <w:t>0.13</w:t>
            </w:r>
          </w:p>
        </w:tc>
        <w:tc>
          <w:tcPr>
            <w:tcW w:w="575" w:type="pct"/>
            <w:shd w:val="clear" w:color="auto" w:fill="auto"/>
            <w:vAlign w:val="center"/>
          </w:tcPr>
          <w:p w14:paraId="50542914">
            <w:pPr>
              <w:pStyle w:val="159"/>
            </w:pPr>
            <w:r>
              <w:rPr>
                <w:rFonts w:hint="eastAsia"/>
              </w:rPr>
              <w:t>14.90</w:t>
            </w:r>
          </w:p>
        </w:tc>
        <w:tc>
          <w:tcPr>
            <w:tcW w:w="575" w:type="pct"/>
            <w:shd w:val="clear" w:color="auto" w:fill="auto"/>
            <w:vAlign w:val="center"/>
          </w:tcPr>
          <w:p w14:paraId="47B8D089">
            <w:pPr>
              <w:pStyle w:val="159"/>
            </w:pPr>
            <w:r>
              <w:rPr>
                <w:rFonts w:hint="eastAsia"/>
              </w:rPr>
              <w:t>1.39</w:t>
            </w:r>
          </w:p>
        </w:tc>
        <w:tc>
          <w:tcPr>
            <w:tcW w:w="731" w:type="pct"/>
            <w:shd w:val="clear" w:color="auto" w:fill="auto"/>
            <w:vAlign w:val="center"/>
          </w:tcPr>
          <w:p w14:paraId="182503AB">
            <w:pPr>
              <w:pStyle w:val="159"/>
            </w:pPr>
            <w:r>
              <w:rPr>
                <w:rFonts w:hint="eastAsia"/>
              </w:rPr>
              <w:t>2.80</w:t>
            </w:r>
          </w:p>
        </w:tc>
        <w:tc>
          <w:tcPr>
            <w:tcW w:w="694" w:type="pct"/>
            <w:shd w:val="clear" w:color="auto" w:fill="auto"/>
            <w:vAlign w:val="center"/>
          </w:tcPr>
          <w:p w14:paraId="5F0A802D">
            <w:pPr>
              <w:pStyle w:val="159"/>
            </w:pPr>
            <w:r>
              <w:rPr>
                <w:rFonts w:hint="eastAsia"/>
              </w:rPr>
              <w:t>100.00</w:t>
            </w:r>
          </w:p>
        </w:tc>
      </w:tr>
    </w:tbl>
    <w:p w14:paraId="575AAA5C">
      <w:pPr>
        <w:pStyle w:val="3"/>
        <w:ind w:firstLine="480"/>
      </w:pPr>
    </w:p>
    <w:p w14:paraId="55759B41">
      <w:pPr>
        <w:pStyle w:val="159"/>
        <w:rPr>
          <w:rFonts w:eastAsia="Times New Roman"/>
          <w:snapToGrid w:val="0"/>
          <w:color w:val="000000"/>
          <w:w w:val="0"/>
          <w:kern w:val="0"/>
          <w:sz w:val="0"/>
          <w:szCs w:val="0"/>
          <w:u w:color="000000"/>
          <w:shd w:val="clear" w:color="000000" w:fill="000000"/>
          <w:lang w:val="zh-CN" w:eastAsia="zh-CN" w:bidi="zh-CN"/>
        </w:rPr>
      </w:pPr>
    </w:p>
    <w:p w14:paraId="71E03C6D">
      <w:pPr>
        <w:pStyle w:val="3"/>
        <w:ind w:firstLine="480"/>
      </w:pPr>
      <w:r>
        <w:rPr>
          <w:rFonts w:hint="eastAsia"/>
        </w:rPr>
        <w:drawing>
          <wp:inline distT="0" distB="0" distL="0" distR="0">
            <wp:extent cx="5827395" cy="822007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val="0"/>
                        </a:ext>
                      </a:extLst>
                    </a:blip>
                    <a:srcRect l="4522" t="3078" r="3707" b="5406"/>
                    <a:stretch>
                      <a:fillRect/>
                    </a:stretch>
                  </pic:blipFill>
                  <pic:spPr>
                    <a:xfrm>
                      <a:off x="0" y="0"/>
                      <a:ext cx="5832185" cy="8226787"/>
                    </a:xfrm>
                    <a:prstGeom prst="rect">
                      <a:avLst/>
                    </a:prstGeom>
                    <a:ln>
                      <a:noFill/>
                    </a:ln>
                  </pic:spPr>
                </pic:pic>
              </a:graphicData>
            </a:graphic>
          </wp:inline>
        </w:drawing>
      </w:r>
    </w:p>
    <w:p w14:paraId="6ECD02F1">
      <w:pPr>
        <w:pStyle w:val="148"/>
      </w:pPr>
      <w:r>
        <w:rPr>
          <w:rFonts w:hint="eastAsia"/>
        </w:rPr>
        <w:t>图2</w:t>
      </w:r>
      <w:r>
        <w:t xml:space="preserve">.3-1  </w:t>
      </w:r>
      <w:r>
        <w:rPr>
          <w:rFonts w:hint="eastAsia"/>
        </w:rPr>
        <w:t>评价区生态系统类型类型空间分布图1</w:t>
      </w:r>
    </w:p>
    <w:p w14:paraId="75A2FC34">
      <w:pPr>
        <w:pStyle w:val="3"/>
        <w:ind w:firstLine="480"/>
      </w:pPr>
      <w:r>
        <w:drawing>
          <wp:inline distT="0" distB="0" distL="0" distR="0">
            <wp:extent cx="5814060" cy="8210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a14="http://schemas.microsoft.com/office/drawing/2010/main" val="0"/>
                        </a:ext>
                      </a:extLst>
                    </a:blip>
                    <a:srcRect l="5024" t="3078" r="3539" b="5643"/>
                    <a:stretch>
                      <a:fillRect/>
                    </a:stretch>
                  </pic:blipFill>
                  <pic:spPr>
                    <a:xfrm>
                      <a:off x="0" y="0"/>
                      <a:ext cx="5817703" cy="8215109"/>
                    </a:xfrm>
                    <a:prstGeom prst="rect">
                      <a:avLst/>
                    </a:prstGeom>
                    <a:ln>
                      <a:noFill/>
                    </a:ln>
                  </pic:spPr>
                </pic:pic>
              </a:graphicData>
            </a:graphic>
          </wp:inline>
        </w:drawing>
      </w:r>
    </w:p>
    <w:p w14:paraId="00E9DD3B">
      <w:pPr>
        <w:pStyle w:val="148"/>
      </w:pPr>
      <w:r>
        <w:rPr>
          <w:rFonts w:hint="eastAsia"/>
        </w:rPr>
        <w:t>图2</w:t>
      </w:r>
      <w:r>
        <w:t xml:space="preserve">.3-2  </w:t>
      </w:r>
      <w:r>
        <w:rPr>
          <w:rFonts w:hint="eastAsia"/>
        </w:rPr>
        <w:t>评价区生态系统类型类型空间分布图</w:t>
      </w:r>
      <w:r>
        <w:t>2</w:t>
      </w:r>
    </w:p>
    <w:tbl>
      <w:tblPr>
        <w:tblStyle w:val="4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9"/>
        <w:gridCol w:w="4521"/>
      </w:tblGrid>
      <w:tr w14:paraId="5E927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436" w:type="dxa"/>
            <w:vAlign w:val="center"/>
          </w:tcPr>
          <w:p w14:paraId="5ACE2B99">
            <w:pPr>
              <w:pStyle w:val="3"/>
              <w:ind w:firstLine="0" w:firstLineChars="0"/>
            </w:pPr>
            <w:r>
              <w:drawing>
                <wp:inline distT="0" distB="0" distL="0" distR="0">
                  <wp:extent cx="2726055" cy="2044700"/>
                  <wp:effectExtent l="0" t="0" r="0" b="0"/>
                  <wp:docPr id="16" name="图片 16" descr="E:\1、2024\5、江华湾抽水蓄能110KV电力线路项目\现场调查照片和视频\IMG_20241112_10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1、2024\5、江华湾抽水蓄能110KV电力线路项目\现场调查照片和视频\IMG_20241112_1024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26446" cy="2044800"/>
                          </a:xfrm>
                          <a:prstGeom prst="rect">
                            <a:avLst/>
                          </a:prstGeom>
                          <a:noFill/>
                          <a:ln>
                            <a:noFill/>
                          </a:ln>
                        </pic:spPr>
                      </pic:pic>
                    </a:graphicData>
                  </a:graphic>
                </wp:inline>
              </w:drawing>
            </w:r>
          </w:p>
        </w:tc>
        <w:tc>
          <w:tcPr>
            <w:tcW w:w="4521" w:type="dxa"/>
            <w:vAlign w:val="center"/>
          </w:tcPr>
          <w:p w14:paraId="326B6F1D">
            <w:pPr>
              <w:pStyle w:val="3"/>
              <w:ind w:firstLine="0" w:firstLineChars="0"/>
            </w:pPr>
            <w:r>
              <w:drawing>
                <wp:inline distT="0" distB="0" distL="0" distR="0">
                  <wp:extent cx="2727960" cy="2045970"/>
                  <wp:effectExtent l="0" t="0" r="0" b="0"/>
                  <wp:docPr id="17" name="图片 17" descr="E:\1、2024\5、江华湾抽水蓄能110KV电力线路项目\现场调查照片和视频\IMG_20241112_10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1、2024\5、江华湾抽水蓄能110KV电力线路项目\现场调查照片和视频\IMG_20241112_1024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33545" cy="2050125"/>
                          </a:xfrm>
                          <a:prstGeom prst="rect">
                            <a:avLst/>
                          </a:prstGeom>
                          <a:noFill/>
                          <a:ln>
                            <a:noFill/>
                          </a:ln>
                        </pic:spPr>
                      </pic:pic>
                    </a:graphicData>
                  </a:graphic>
                </wp:inline>
              </w:drawing>
            </w:r>
          </w:p>
        </w:tc>
      </w:tr>
      <w:tr w14:paraId="2499F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436" w:type="dxa"/>
            <w:vAlign w:val="center"/>
          </w:tcPr>
          <w:p w14:paraId="3541AEFD">
            <w:pPr>
              <w:pStyle w:val="159"/>
            </w:pPr>
            <w:r>
              <w:rPr>
                <w:rFonts w:hint="eastAsia"/>
              </w:rPr>
              <w:t>灌丛/草丛生态系统</w:t>
            </w:r>
          </w:p>
        </w:tc>
        <w:tc>
          <w:tcPr>
            <w:tcW w:w="4521" w:type="dxa"/>
            <w:vAlign w:val="center"/>
          </w:tcPr>
          <w:p w14:paraId="33E2F33B">
            <w:pPr>
              <w:pStyle w:val="159"/>
              <w:spacing w:line="276" w:lineRule="auto"/>
            </w:pPr>
            <w:r>
              <w:rPr>
                <w:rFonts w:hint="eastAsia"/>
              </w:rPr>
              <w:t>湿地生态系统</w:t>
            </w:r>
          </w:p>
        </w:tc>
      </w:tr>
      <w:tr w14:paraId="26754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436" w:type="dxa"/>
            <w:vAlign w:val="center"/>
          </w:tcPr>
          <w:p w14:paraId="41BF6823">
            <w:pPr>
              <w:pStyle w:val="3"/>
              <w:ind w:firstLine="0" w:firstLineChars="0"/>
            </w:pPr>
            <w:r>
              <w:rPr>
                <w:rFonts w:eastAsia="Times New Roman"/>
                <w:snapToGrid w:val="0"/>
                <w:color w:val="000000"/>
                <w:w w:val="0"/>
                <w:kern w:val="0"/>
                <w:sz w:val="0"/>
                <w:szCs w:val="0"/>
                <w:u w:color="000000"/>
                <w:shd w:val="clear" w:color="000000" w:fill="000000"/>
              </w:rPr>
              <w:drawing>
                <wp:inline distT="0" distB="0" distL="0" distR="0">
                  <wp:extent cx="2726055" cy="2044700"/>
                  <wp:effectExtent l="0" t="0" r="0" b="0"/>
                  <wp:docPr id="19" name="图片 19" descr="E:\1、2024\5、江华湾抽水蓄能110KV电力线路项目\现场调查照片和视频\IMG_20241113_09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1、2024\5、江华湾抽水蓄能110KV电力线路项目\现场调查照片和视频\IMG_20241113_0903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26446" cy="2044800"/>
                          </a:xfrm>
                          <a:prstGeom prst="rect">
                            <a:avLst/>
                          </a:prstGeom>
                          <a:noFill/>
                          <a:ln>
                            <a:noFill/>
                          </a:ln>
                        </pic:spPr>
                      </pic:pic>
                    </a:graphicData>
                  </a:graphic>
                </wp:inline>
              </w:drawing>
            </w:r>
          </w:p>
        </w:tc>
        <w:tc>
          <w:tcPr>
            <w:tcW w:w="4521" w:type="dxa"/>
            <w:vAlign w:val="center"/>
          </w:tcPr>
          <w:p w14:paraId="670ADAB5">
            <w:pPr>
              <w:adjustRightInd w:val="0"/>
              <w:snapToGrid w:val="0"/>
              <w:rPr>
                <w:sz w:val="21"/>
              </w:rPr>
            </w:pPr>
            <w:r>
              <w:rPr>
                <w:sz w:val="21"/>
              </w:rPr>
              <w:drawing>
                <wp:inline distT="0" distB="0" distL="0" distR="0">
                  <wp:extent cx="2724785" cy="2049145"/>
                  <wp:effectExtent l="0" t="0" r="0" b="8255"/>
                  <wp:docPr id="20" name="图片 20" descr="E:\1、2024\5、江华湾抽水蓄能110KV电力线路项目\现场调查照片和视频\IMG_20241112_15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1、2024\5、江华湾抽水蓄能110KV电力线路项目\现场调查照片和视频\IMG_20241112_154256.jpg"/>
                          <pic:cNvPicPr>
                            <a:picLocks noChangeAspect="1" noChangeArrowheads="1"/>
                          </pic:cNvPicPr>
                        </pic:nvPicPr>
                        <pic:blipFill>
                          <a:blip r:embed="rId25" cstate="print">
                            <a:extLst>
                              <a:ext uri="{28A0092B-C50C-407E-A947-70E740481C1C}">
                                <a14:useLocalDpi xmlns:a14="http://schemas.microsoft.com/office/drawing/2010/main" val="0"/>
                              </a:ext>
                            </a:extLst>
                          </a:blip>
                          <a:srcRect b="40966"/>
                          <a:stretch>
                            <a:fillRect/>
                          </a:stretch>
                        </pic:blipFill>
                        <pic:spPr>
                          <a:xfrm>
                            <a:off x="0" y="0"/>
                            <a:ext cx="2741013" cy="2061754"/>
                          </a:xfrm>
                          <a:prstGeom prst="rect">
                            <a:avLst/>
                          </a:prstGeom>
                          <a:noFill/>
                          <a:ln>
                            <a:noFill/>
                          </a:ln>
                        </pic:spPr>
                      </pic:pic>
                    </a:graphicData>
                  </a:graphic>
                </wp:inline>
              </w:drawing>
            </w:r>
          </w:p>
        </w:tc>
      </w:tr>
      <w:tr w14:paraId="444D2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436" w:type="dxa"/>
            <w:vAlign w:val="center"/>
          </w:tcPr>
          <w:p w14:paraId="7BA56EE4">
            <w:pPr>
              <w:pStyle w:val="159"/>
              <w:rPr>
                <w:rFonts w:eastAsia="Times New Roman"/>
                <w:snapToGrid w:val="0"/>
                <w:color w:val="000000"/>
                <w:w w:val="0"/>
                <w:kern w:val="0"/>
                <w:sz w:val="0"/>
                <w:szCs w:val="0"/>
                <w:u w:color="000000"/>
                <w:shd w:val="clear" w:color="000000" w:fill="000000"/>
              </w:rPr>
            </w:pPr>
            <w:r>
              <w:rPr>
                <w:rFonts w:hint="eastAsia"/>
              </w:rPr>
              <w:t>城镇/村落生态系统</w:t>
            </w:r>
          </w:p>
        </w:tc>
        <w:tc>
          <w:tcPr>
            <w:tcW w:w="4521" w:type="dxa"/>
            <w:vAlign w:val="center"/>
          </w:tcPr>
          <w:p w14:paraId="149C1E90">
            <w:pPr>
              <w:pStyle w:val="159"/>
            </w:pPr>
            <w:r>
              <w:rPr>
                <w:rFonts w:hint="eastAsia"/>
              </w:rPr>
              <w:t>森林生态系统</w:t>
            </w:r>
          </w:p>
        </w:tc>
      </w:tr>
    </w:tbl>
    <w:p w14:paraId="06B70035">
      <w:pPr>
        <w:pStyle w:val="148"/>
      </w:pPr>
      <w:r>
        <w:rPr>
          <w:rFonts w:hint="eastAsia"/>
        </w:rPr>
        <w:t>图3</w:t>
      </w:r>
      <w:r>
        <w:t xml:space="preserve">.2-3  </w:t>
      </w:r>
      <w:r>
        <w:rPr>
          <w:rFonts w:hint="eastAsia"/>
        </w:rPr>
        <w:t>评价范围内生态系统典型现状照片</w:t>
      </w:r>
    </w:p>
    <w:p w14:paraId="741C3902">
      <w:pPr>
        <w:pStyle w:val="7"/>
      </w:pPr>
      <w:r>
        <w:rPr>
          <w:rFonts w:hint="eastAsia"/>
        </w:rPr>
        <w:t>森林生态系统现状</w:t>
      </w:r>
    </w:p>
    <w:p w14:paraId="5703D3C8">
      <w:pPr>
        <w:pStyle w:val="3"/>
        <w:ind w:firstLine="480"/>
      </w:pPr>
      <w:r>
        <w:rPr>
          <w:rFonts w:hint="eastAsia"/>
        </w:rPr>
        <w:t>森林生态系统是森林群落与其环境在功能流的作用下形成一定结构、功能和自调控的自然综合体，是陆地生态系统中面积最多、最重要的自然生态系统。评价区内森林生态系统面积为1631.86hm</w:t>
      </w:r>
      <w:r>
        <w:rPr>
          <w:rFonts w:hint="eastAsia"/>
          <w:vertAlign w:val="superscript"/>
        </w:rPr>
        <w:t>2</w:t>
      </w:r>
      <w:r>
        <w:rPr>
          <w:rFonts w:hint="eastAsia"/>
        </w:rPr>
        <w:t>，占评价区总面积的8</w:t>
      </w:r>
      <w:r>
        <w:t>0.53</w:t>
      </w:r>
      <w:r>
        <w:rPr>
          <w:rFonts w:hint="eastAsia"/>
        </w:rPr>
        <w:t>%。此类型生态系生物多样性丰富，生态功能突出。这些区域沿线植被较好，森林生态系统较为完整。此类型生态系统在评价区范围内面积大，分布广。</w:t>
      </w:r>
    </w:p>
    <w:p w14:paraId="48E08C87">
      <w:pPr>
        <w:pStyle w:val="3"/>
        <w:ind w:firstLine="480"/>
      </w:pPr>
      <w:r>
        <w:rPr>
          <w:rFonts w:hint="eastAsia"/>
        </w:rPr>
        <w:t>a）植被现状</w:t>
      </w:r>
    </w:p>
    <w:p w14:paraId="0F4B13FC">
      <w:pPr>
        <w:pStyle w:val="3"/>
        <w:ind w:firstLine="480"/>
      </w:pPr>
      <w:r>
        <w:rPr>
          <w:rFonts w:hint="eastAsia"/>
        </w:rPr>
        <w:t>评价区森林植被多为原始次生林和人工林。其中自然植被类型主要有常绿阔叶林、落叶阔叶林、常绿-落叶阔叶林、暖性针叶林和竹林。常绿阔叶林主要</w:t>
      </w:r>
      <w:r>
        <w:t>黧蒴锥</w:t>
      </w:r>
      <w:r>
        <w:rPr>
          <w:i/>
        </w:rPr>
        <w:t>Castanopsis fissa</w:t>
      </w:r>
      <w:r>
        <w:rPr>
          <w:rFonts w:hint="eastAsia" w:ascii="宋体" w:cs="宋体"/>
        </w:rPr>
        <w:t>、毛锥</w:t>
      </w:r>
      <w:r>
        <w:rPr>
          <w:i/>
        </w:rPr>
        <w:t>Castanopsis fordii</w:t>
      </w:r>
      <w:r>
        <w:rPr>
          <w:rFonts w:hint="eastAsia" w:ascii="宋体" w:cs="宋体"/>
        </w:rPr>
        <w:t>、甜槠</w:t>
      </w:r>
      <w:r>
        <w:rPr>
          <w:rFonts w:ascii="宋体" w:cs="宋体"/>
        </w:rPr>
        <w:t xml:space="preserve"> </w:t>
      </w:r>
      <w:r>
        <w:rPr>
          <w:i/>
        </w:rPr>
        <w:t>Castanopsis eyrei</w:t>
      </w:r>
      <w:r>
        <w:rPr>
          <w:rFonts w:hint="eastAsia" w:ascii="宋体" w:cs="宋体"/>
        </w:rPr>
        <w:t>、红锥</w:t>
      </w:r>
      <w:r>
        <w:rPr>
          <w:i/>
        </w:rPr>
        <w:t>Castanopsis hystrix</w:t>
      </w:r>
      <w:r>
        <w:rPr>
          <w:rFonts w:hint="eastAsia" w:ascii="宋体" w:cs="宋体"/>
        </w:rPr>
        <w:t>、</w:t>
      </w:r>
      <w:r>
        <w:t>桉树</w:t>
      </w:r>
      <w:r>
        <w:rPr>
          <w:i/>
        </w:rPr>
        <w:t>Eucalyptus robusta</w:t>
      </w:r>
      <w:r>
        <w:t>等，</w:t>
      </w:r>
    </w:p>
    <w:p w14:paraId="1E0A9CC1">
      <w:pPr>
        <w:pStyle w:val="3"/>
        <w:ind w:firstLine="480"/>
      </w:pPr>
      <w:r>
        <w:rPr>
          <w:rFonts w:hint="eastAsia"/>
        </w:rPr>
        <w:t>落叶阔叶林有枫杨</w:t>
      </w:r>
      <w:r>
        <w:rPr>
          <w:i/>
        </w:rPr>
        <w:t>Pterocarya stenoptera</w:t>
      </w:r>
      <w:r>
        <w:rPr>
          <w:rFonts w:hint="eastAsia"/>
        </w:rPr>
        <w:t>、枫香</w:t>
      </w:r>
      <w:r>
        <w:rPr>
          <w:i/>
        </w:rPr>
        <w:t>Liquidambar formosana Hance</w:t>
      </w:r>
      <w:r>
        <w:rPr>
          <w:rFonts w:hint="eastAsia"/>
        </w:rPr>
        <w:t>、野漆</w:t>
      </w:r>
      <w:r>
        <w:rPr>
          <w:i/>
        </w:rPr>
        <w:t>Toxicodendron succedaneum</w:t>
      </w:r>
      <w:r>
        <w:rPr>
          <w:rFonts w:hint="eastAsia"/>
        </w:rPr>
        <w:t>、山乌桕</w:t>
      </w:r>
      <w:r>
        <w:t xml:space="preserve"> </w:t>
      </w:r>
      <w:r>
        <w:rPr>
          <w:i/>
        </w:rPr>
        <w:t>Triadica cochinchinensis</w:t>
      </w:r>
      <w:r>
        <w:rPr>
          <w:rFonts w:hint="eastAsia"/>
        </w:rPr>
        <w:t>等，针叶林主要为</w:t>
      </w:r>
      <w:r>
        <w:t>杉木</w:t>
      </w:r>
      <w:r>
        <w:rPr>
          <w:i/>
        </w:rPr>
        <w:t>Cunninghamia lanceolata</w:t>
      </w:r>
      <w:r>
        <w:rPr>
          <w:rFonts w:hint="eastAsia" w:ascii="宋体" w:cs="宋体"/>
        </w:rPr>
        <w:t>、马尾松</w:t>
      </w:r>
      <w:r>
        <w:rPr>
          <w:i/>
        </w:rPr>
        <w:t>Pinus massoniana</w:t>
      </w:r>
      <w:r>
        <w:rPr>
          <w:rFonts w:hint="eastAsia" w:ascii="宋体" w:cs="宋体"/>
        </w:rPr>
        <w:t>等，</w:t>
      </w:r>
      <w:r>
        <w:rPr>
          <w:rFonts w:hint="eastAsia"/>
        </w:rPr>
        <w:t>竹林主要为毛竹群系（</w:t>
      </w:r>
      <w:r>
        <w:rPr>
          <w:rFonts w:hint="eastAsia"/>
          <w:i/>
        </w:rPr>
        <w:t>Form.Phyllostachysedulis</w:t>
      </w:r>
      <w:r>
        <w:rPr>
          <w:rFonts w:hint="eastAsia"/>
        </w:rPr>
        <w:t>）等。</w:t>
      </w:r>
    </w:p>
    <w:p w14:paraId="2C28ACB3">
      <w:pPr>
        <w:pStyle w:val="3"/>
        <w:ind w:firstLine="480"/>
      </w:pPr>
      <w:r>
        <w:rPr>
          <w:rFonts w:hint="eastAsia"/>
        </w:rPr>
        <w:t>此外，森林生态系统中林下、林缘还有灌丛、灌草丛等植被类型分布，主要有</w:t>
      </w:r>
      <w:r>
        <w:t>盐麸木</w:t>
      </w:r>
      <w:r>
        <w:rPr>
          <w:i/>
        </w:rPr>
        <w:t>Rhus chinensis</w:t>
      </w:r>
      <w:r>
        <w:rPr>
          <w:rFonts w:hint="eastAsia" w:cs="宋体"/>
        </w:rPr>
        <w:t>、茶</w:t>
      </w:r>
      <w:r>
        <w:rPr>
          <w:i/>
        </w:rPr>
        <w:t>Camellia sinensis</w:t>
      </w:r>
      <w:r>
        <w:rPr>
          <w:rFonts w:hint="eastAsia"/>
        </w:rPr>
        <w:t>、</w:t>
      </w:r>
      <w:r>
        <w:t>狗脊蕨</w:t>
      </w:r>
      <w:r>
        <w:rPr>
          <w:i/>
          <w:sz w:val="21"/>
          <w:szCs w:val="21"/>
        </w:rPr>
        <w:t>Woodwardia japonica</w:t>
      </w:r>
      <w:r>
        <w:rPr>
          <w:rFonts w:hint="eastAsia" w:cs="宋体"/>
        </w:rPr>
        <w:t>、芒萁</w:t>
      </w:r>
      <w:r>
        <w:rPr>
          <w:i/>
        </w:rPr>
        <w:t>Dicranopteris pedata</w:t>
      </w:r>
      <w:r>
        <w:rPr>
          <w:rFonts w:hint="eastAsia" w:cs="宋体"/>
        </w:rPr>
        <w:t>、铁线蕨</w:t>
      </w:r>
      <w:r>
        <w:rPr>
          <w:i/>
        </w:rPr>
        <w:t>Adiantum capillus-veneris</w:t>
      </w:r>
      <w:r>
        <w:rPr>
          <w:rFonts w:hint="eastAsia" w:cs="宋体"/>
        </w:rPr>
        <w:t>等植物和禾本科草本植物。</w:t>
      </w:r>
    </w:p>
    <w:p w14:paraId="4547C7D0">
      <w:pPr>
        <w:pStyle w:val="3"/>
        <w:ind w:firstLine="480"/>
      </w:pPr>
      <w:r>
        <w:rPr>
          <w:rFonts w:hint="eastAsia"/>
        </w:rPr>
        <w:t>b）动物现状</w:t>
      </w:r>
    </w:p>
    <w:p w14:paraId="6DC93F77">
      <w:pPr>
        <w:pStyle w:val="3"/>
        <w:ind w:firstLine="480"/>
      </w:pPr>
      <w:r>
        <w:rPr>
          <w:rFonts w:hint="eastAsia"/>
        </w:rPr>
        <w:t>评价区森林生态系统中陆生动物多样性较为丰富，尤其以生态红线段最为丰富。</w:t>
      </w:r>
    </w:p>
    <w:p w14:paraId="27C44720">
      <w:pPr>
        <w:pStyle w:val="3"/>
        <w:ind w:firstLine="480"/>
        <w:rPr>
          <w:color w:val="FF0000"/>
        </w:rPr>
      </w:pPr>
      <w:r>
        <w:rPr>
          <w:rFonts w:hint="eastAsia"/>
        </w:rPr>
        <w:t>评价区内森林生态系统两栖动物常见种类有中华蟾蜍（</w:t>
      </w:r>
      <w:r>
        <w:rPr>
          <w:rFonts w:hint="eastAsia"/>
          <w:i/>
        </w:rPr>
        <w:t>Bufogargarizans</w:t>
      </w:r>
      <w:r>
        <w:rPr>
          <w:rFonts w:hint="eastAsia"/>
        </w:rPr>
        <w:t>）等；哺乳动物有</w:t>
      </w:r>
      <w:r>
        <w:t xml:space="preserve">赤腹松鼠 </w:t>
      </w:r>
      <w:r>
        <w:rPr>
          <w:i/>
        </w:rPr>
        <w:t>Calosciurus erythraeus</w:t>
      </w:r>
      <w:r>
        <w:t>、隐纹花松鼠</w:t>
      </w:r>
      <w:r>
        <w:rPr>
          <w:i/>
        </w:rPr>
        <w:t>Tamiops macclellandi</w:t>
      </w:r>
      <w:r>
        <w:rPr>
          <w:rFonts w:hint="eastAsia"/>
        </w:rPr>
        <w:t>等，鸟类有</w:t>
      </w:r>
      <w:r>
        <w:t>雉类，颈雉</w:t>
      </w:r>
      <w:r>
        <w:rPr>
          <w:i/>
        </w:rPr>
        <w:t>Phasianus colchicus</w:t>
      </w:r>
      <w:r>
        <w:t>、灰胸竹鸡</w:t>
      </w:r>
      <w:r>
        <w:rPr>
          <w:i/>
        </w:rPr>
        <w:t>Bambusicola thoracicus</w:t>
      </w:r>
      <w:r>
        <w:t xml:space="preserve">等，栖息于竹林、森林、灌丛内。还有一些林鸟，如大山雀 </w:t>
      </w:r>
      <w:r>
        <w:rPr>
          <w:i/>
        </w:rPr>
        <w:t>Parus minor</w:t>
      </w:r>
      <w:r>
        <w:t>、黑短脚鹎</w:t>
      </w:r>
      <w:r>
        <w:rPr>
          <w:i/>
        </w:rPr>
        <w:t xml:space="preserve">Hypsipetes leucocephalus </w:t>
      </w:r>
      <w:r>
        <w:rPr>
          <w:rFonts w:hint="eastAsia"/>
        </w:rPr>
        <w:t>、</w:t>
      </w:r>
      <w:r>
        <w:t>黄眉柳莺</w:t>
      </w:r>
      <w:r>
        <w:rPr>
          <w:i/>
        </w:rPr>
        <w:t>Phylloscopus inornatus</w:t>
      </w:r>
      <w:r>
        <w:t>、黄腰柳莺</w:t>
      </w:r>
      <w:r>
        <w:rPr>
          <w:i/>
        </w:rPr>
        <w:t>Phylloscopus proregulus</w:t>
      </w:r>
      <w:r>
        <w:t>、灰眶雀鹛</w:t>
      </w:r>
      <w:r>
        <w:rPr>
          <w:i/>
        </w:rPr>
        <w:t>Alcippe davidi</w:t>
      </w:r>
      <w:r>
        <w:t>、红嘴相思鸟</w:t>
      </w:r>
      <w:r>
        <w:rPr>
          <w:i/>
        </w:rPr>
        <w:t>Leiothrix lutea</w:t>
      </w:r>
      <w:r>
        <w:t>等中小型林鸟。</w:t>
      </w:r>
    </w:p>
    <w:p w14:paraId="3A81F795">
      <w:pPr>
        <w:pStyle w:val="3"/>
        <w:ind w:firstLine="480"/>
      </w:pPr>
      <w:r>
        <w:rPr>
          <w:rFonts w:hint="eastAsia"/>
        </w:rPr>
        <w:t>c）生态服务功能</w:t>
      </w:r>
    </w:p>
    <w:p w14:paraId="7F6E696F">
      <w:pPr>
        <w:pStyle w:val="3"/>
        <w:ind w:firstLine="480"/>
      </w:pPr>
      <w:r>
        <w:rPr>
          <w:rFonts w:hint="eastAsia"/>
        </w:rPr>
        <w:t>森林生态系统比地表其他生态系统更加具有复杂的空间结构和营养链式结构，这有助于提高系统自身调节适应能力。其生态服务功能包括光能利用、调节大气、调节气温、涵养水源、稳定水文、改良土壤、防风固沙、水土保持、净化环境、孕育和保存生物多样性等几个方面。根据现场调查，并结合《湖南省生态功能区划》等相关资料，工程沿线森林生态系统服务功能主要为水源涵养和保存生物多样性等。</w:t>
      </w:r>
    </w:p>
    <w:p w14:paraId="5D80227B">
      <w:pPr>
        <w:pStyle w:val="7"/>
      </w:pPr>
      <w:r>
        <w:rPr>
          <w:rFonts w:hint="eastAsia"/>
        </w:rPr>
        <w:t>灌丛/草地生态系统现状</w:t>
      </w:r>
    </w:p>
    <w:p w14:paraId="10C9D8BC">
      <w:pPr>
        <w:pStyle w:val="3"/>
        <w:ind w:firstLine="480"/>
      </w:pPr>
      <w:r>
        <w:rPr>
          <w:rFonts w:hint="eastAsia"/>
        </w:rPr>
        <w:t>灌丛是指以灌木为主的植被或植物群落；草地是指以草本植物为主要建群种，但其中散生灌木的植物群落。灌丛/草地生态系统是指以灌木、草本为主的生物与其环境构成的统一整体，广泛分布于中国温带、亚热带及热带地区。除特殊生境下为原生类型外，大部分是森林、灌丛被砍伐，导致水土流失，土壤日趋瘠薄，生境趋于干旱化所形成的次生类型。评价区内灌丛生态系统面积为</w:t>
      </w:r>
      <w:r>
        <w:t>4.80</w:t>
      </w:r>
      <w:r>
        <w:rPr>
          <w:rFonts w:hint="eastAsia"/>
        </w:rPr>
        <w:t>hm</w:t>
      </w:r>
      <w:r>
        <w:rPr>
          <w:rFonts w:hint="eastAsia"/>
          <w:vertAlign w:val="superscript"/>
        </w:rPr>
        <w:t>2</w:t>
      </w:r>
      <w:r>
        <w:rPr>
          <w:rFonts w:hint="eastAsia"/>
        </w:rPr>
        <w:t>，占评价区总面积的</w:t>
      </w:r>
      <w:r>
        <w:t>0.24</w:t>
      </w:r>
      <w:r>
        <w:rPr>
          <w:rFonts w:hint="eastAsia"/>
        </w:rPr>
        <w:t>%；草地生态系统面积为</w:t>
      </w:r>
      <w:r>
        <w:t>2.7</w:t>
      </w:r>
      <w:r>
        <w:rPr>
          <w:rFonts w:hint="eastAsia"/>
        </w:rPr>
        <w:t>hm</w:t>
      </w:r>
      <w:r>
        <w:rPr>
          <w:rFonts w:hint="eastAsia"/>
          <w:vertAlign w:val="superscript"/>
        </w:rPr>
        <w:t>2</w:t>
      </w:r>
      <w:r>
        <w:rPr>
          <w:rFonts w:hint="eastAsia"/>
        </w:rPr>
        <w:t>，占评价区总面积的</w:t>
      </w:r>
      <w:r>
        <w:t>0.13</w:t>
      </w:r>
      <w:r>
        <w:rPr>
          <w:rFonts w:hint="eastAsia"/>
        </w:rPr>
        <w:t>%，灌丛/草地生态系统主要分布于受人为破坏后的山丘。</w:t>
      </w:r>
    </w:p>
    <w:p w14:paraId="2A8C5693">
      <w:pPr>
        <w:pStyle w:val="3"/>
        <w:ind w:firstLine="480"/>
      </w:pPr>
      <w:r>
        <w:rPr>
          <w:rFonts w:hint="eastAsia"/>
        </w:rPr>
        <w:t>a）植被现状</w:t>
      </w:r>
    </w:p>
    <w:p w14:paraId="2BF5FB34">
      <w:pPr>
        <w:pStyle w:val="3"/>
        <w:ind w:firstLine="480"/>
      </w:pPr>
      <w:r>
        <w:rPr>
          <w:rFonts w:hint="eastAsia"/>
        </w:rPr>
        <w:t>评价区内灌丛/草地生态系统大部分是森林和原生灌丛被砍伐后所形成的次生类型，部分区域还受人为活动干扰较大，植物物种丰富度相对较低。主要有芦苇丛、狗牙根灌草丛和芒灌草丛。</w:t>
      </w:r>
    </w:p>
    <w:p w14:paraId="55EB2B71">
      <w:pPr>
        <w:pStyle w:val="3"/>
        <w:ind w:firstLine="480"/>
      </w:pPr>
      <w:r>
        <w:rPr>
          <w:rFonts w:hint="eastAsia"/>
        </w:rPr>
        <w:t>b）动物现状</w:t>
      </w:r>
    </w:p>
    <w:p w14:paraId="35E5829D">
      <w:pPr>
        <w:pStyle w:val="3"/>
        <w:ind w:firstLine="480"/>
      </w:pPr>
      <w:r>
        <w:rPr>
          <w:rFonts w:hint="eastAsia"/>
        </w:rPr>
        <w:t>评价区灌丛/草地生态系统中两栖动物较少，偶见中华蟾蜍（</w:t>
      </w:r>
      <w:r>
        <w:rPr>
          <w:rFonts w:hint="eastAsia"/>
          <w:i/>
        </w:rPr>
        <w:t>Bufogargarizans</w:t>
      </w:r>
      <w:r>
        <w:rPr>
          <w:rFonts w:hint="eastAsia"/>
        </w:rPr>
        <w:t>）等；鸟类主要以雀形目种类为主，如</w:t>
      </w:r>
      <w:r>
        <w:t>棕颈钩嘴鹛</w:t>
      </w:r>
      <w:r>
        <w:rPr>
          <w:i/>
        </w:rPr>
        <w:t>Pomatorhinus ruficollis</w:t>
      </w:r>
      <w:r>
        <w:t>、白颊噪鹛</w:t>
      </w:r>
      <w:r>
        <w:rPr>
          <w:i/>
        </w:rPr>
        <w:t>Garrulax sannio</w:t>
      </w:r>
      <w:r>
        <w:t>、棕头鸦雀</w:t>
      </w:r>
      <w:r>
        <w:rPr>
          <w:i/>
        </w:rPr>
        <w:t>Sinosuthora webbiana</w:t>
      </w:r>
      <w:r>
        <w:t>、红头穗鹛</w:t>
      </w:r>
      <w:r>
        <w:rPr>
          <w:i/>
        </w:rPr>
        <w:t>Cyanoderma ruficeps</w:t>
      </w:r>
      <w:r>
        <w:t xml:space="preserve">、纯色山鹪莺 </w:t>
      </w:r>
      <w:r>
        <w:rPr>
          <w:i/>
        </w:rPr>
        <w:t>Prinia inornata</w:t>
      </w:r>
      <w:r>
        <w:t>等。</w:t>
      </w:r>
    </w:p>
    <w:p w14:paraId="3B07F8C0">
      <w:pPr>
        <w:pStyle w:val="3"/>
        <w:ind w:firstLine="480"/>
      </w:pPr>
      <w:r>
        <w:rPr>
          <w:rFonts w:hint="eastAsia"/>
        </w:rPr>
        <w:t>c）生态服务功能</w:t>
      </w:r>
    </w:p>
    <w:p w14:paraId="12154CC2">
      <w:pPr>
        <w:pStyle w:val="3"/>
        <w:ind w:firstLine="480"/>
      </w:pPr>
      <w:r>
        <w:rPr>
          <w:rFonts w:hint="eastAsia"/>
        </w:rPr>
        <w:t>灌丛/草地生态系统的生态功能主要表现为气候调节、水源涵养、生物多样性保育、碳素固定、侵蚀控制、土壤形成、营养循环、废物处理、生物控制、栖息地、基因资源等。根据现场调查，工程沿线灌丛/灌草丛生态系统服务功能主要为水源涵养、生物多样性保育和营养循环等。</w:t>
      </w:r>
    </w:p>
    <w:p w14:paraId="562E7B94">
      <w:pPr>
        <w:pStyle w:val="7"/>
      </w:pPr>
      <w:r>
        <w:rPr>
          <w:rFonts w:hint="eastAsia"/>
        </w:rPr>
        <w:t>湿地生态系统现状</w:t>
      </w:r>
    </w:p>
    <w:p w14:paraId="6D113EAC">
      <w:pPr>
        <w:pStyle w:val="3"/>
        <w:ind w:firstLine="480"/>
      </w:pPr>
      <w:r>
        <w:rPr>
          <w:rFonts w:hint="eastAsia"/>
        </w:rPr>
        <w:t>湿地是地球上具有多功能的独特生态系统，是自然界最富生物多样性的生态景观和人类最重要的生存环境之一，被人们誉为“自然之肾”。它不但拥有丰富的资源，还具有巨大的环境调节功能和环境效益。湿地生态系统具有独特的水文状况并在蓄洪防旱、调节气候、降解污染、保护生物多样性等方面起着非常重要的作用。湿地生态系统是指介于水、陆生生态系统之间的一类生态单元。其生物群落由水生和陆生种类组成，物质循环、能量流动和物种迁移与演变活跃，具有较高的生态多样性、物种多样性和生物生产力。评价区内湿地生态系统面积为</w:t>
      </w:r>
      <w:r>
        <w:t>301.93</w:t>
      </w:r>
      <w:r>
        <w:rPr>
          <w:rFonts w:hint="eastAsia"/>
        </w:rPr>
        <w:t>hm</w:t>
      </w:r>
      <w:r>
        <w:rPr>
          <w:rFonts w:hint="eastAsia"/>
          <w:vertAlign w:val="superscript"/>
        </w:rPr>
        <w:t>2</w:t>
      </w:r>
      <w:r>
        <w:rPr>
          <w:rFonts w:hint="eastAsia"/>
        </w:rPr>
        <w:t>，占评价区总面积的</w:t>
      </w:r>
      <w:r>
        <w:t>14.90</w:t>
      </w:r>
      <w:r>
        <w:rPr>
          <w:rFonts w:hint="eastAsia"/>
        </w:rPr>
        <w:t>%。</w:t>
      </w:r>
    </w:p>
    <w:p w14:paraId="499E33E3">
      <w:pPr>
        <w:pStyle w:val="3"/>
        <w:ind w:firstLine="480"/>
      </w:pPr>
      <w:r>
        <w:rPr>
          <w:rFonts w:hint="eastAsia"/>
        </w:rPr>
        <w:t>此类型生态系统包括评价区内所有水域及滩涂，主要包括评价涔天河水库、麻江及其支流等。</w:t>
      </w:r>
    </w:p>
    <w:p w14:paraId="5539586A">
      <w:pPr>
        <w:pStyle w:val="3"/>
        <w:ind w:firstLine="480"/>
      </w:pPr>
      <w:r>
        <w:rPr>
          <w:rFonts w:hint="eastAsia"/>
        </w:rPr>
        <w:t>a）植被现状</w:t>
      </w:r>
    </w:p>
    <w:p w14:paraId="239287ED">
      <w:pPr>
        <w:pStyle w:val="3"/>
        <w:ind w:firstLine="480"/>
      </w:pPr>
      <w:r>
        <w:rPr>
          <w:rFonts w:hint="eastAsia"/>
        </w:rPr>
        <w:t>其中评价区典型沼泽植被有芦苇（Phragmitesaustralis）等，典型水生植被有莲（Nelumbonucifera）、浮萍（Lemnaminor）等。</w:t>
      </w:r>
    </w:p>
    <w:p w14:paraId="4775433F">
      <w:pPr>
        <w:pStyle w:val="3"/>
        <w:ind w:firstLine="480"/>
      </w:pPr>
      <w:r>
        <w:rPr>
          <w:rFonts w:hint="eastAsia"/>
        </w:rPr>
        <w:t>b）动物现状</w:t>
      </w:r>
    </w:p>
    <w:p w14:paraId="6EB513B6">
      <w:pPr>
        <w:pStyle w:val="3"/>
        <w:ind w:firstLine="480"/>
        <w:rPr>
          <w:szCs w:val="24"/>
        </w:rPr>
      </w:pPr>
      <w:r>
        <w:rPr>
          <w:rFonts w:hint="eastAsia"/>
        </w:rPr>
        <w:t>湿地生态系统为野生动物提供栖息、繁衍、迁徙、越冬场所等，是评价区内野生动物的重要栖息地。评价区内湿地生态系统中，两栖动物种类丰富、数量较多，常见有</w:t>
      </w:r>
      <w:r>
        <w:t>中</w:t>
      </w:r>
      <w:r>
        <w:rPr>
          <w:szCs w:val="24"/>
        </w:rPr>
        <w:t>华蟾蜍</w:t>
      </w:r>
      <w:r>
        <w:rPr>
          <w:i/>
          <w:iCs/>
          <w:szCs w:val="24"/>
        </w:rPr>
        <w:t>Bufo gargarizans</w:t>
      </w:r>
      <w:r>
        <w:rPr>
          <w:rFonts w:hint="eastAsia" w:ascii="宋体" w:cs="宋体"/>
          <w:szCs w:val="24"/>
        </w:rPr>
        <w:t>、</w:t>
      </w:r>
      <w:r>
        <w:rPr>
          <w:rFonts w:hint="eastAsia"/>
          <w:szCs w:val="24"/>
        </w:rPr>
        <w:t>泽陆蛙</w:t>
      </w:r>
      <w:r>
        <w:rPr>
          <w:i/>
          <w:iCs/>
          <w:szCs w:val="24"/>
        </w:rPr>
        <w:t>Fejervarya multistriata</w:t>
      </w:r>
      <w:r>
        <w:rPr>
          <w:rFonts w:hint="eastAsia"/>
          <w:szCs w:val="24"/>
        </w:rPr>
        <w:t>、沼水蛙</w:t>
      </w:r>
      <w:r>
        <w:rPr>
          <w:i/>
          <w:iCs/>
          <w:szCs w:val="24"/>
        </w:rPr>
        <w:t>Hylarana guentheri</w:t>
      </w:r>
      <w:r>
        <w:rPr>
          <w:rFonts w:hint="eastAsia"/>
          <w:szCs w:val="24"/>
        </w:rPr>
        <w:t>等；爬行动物有</w:t>
      </w:r>
      <w:r>
        <w:rPr>
          <w:szCs w:val="24"/>
        </w:rPr>
        <w:t>中国水蛇</w:t>
      </w:r>
      <w:r>
        <w:rPr>
          <w:i/>
          <w:iCs/>
          <w:szCs w:val="24"/>
        </w:rPr>
        <w:t>Myrrophis chinensis</w:t>
      </w:r>
      <w:r>
        <w:rPr>
          <w:rFonts w:hint="eastAsia" w:ascii="宋体" w:cs="宋体"/>
          <w:szCs w:val="24"/>
        </w:rPr>
        <w:t>、</w:t>
      </w:r>
      <w:r>
        <w:rPr>
          <w:rFonts w:hint="eastAsia"/>
          <w:szCs w:val="24"/>
        </w:rPr>
        <w:t>乌华游蛇</w:t>
      </w:r>
      <w:r>
        <w:rPr>
          <w:i/>
          <w:iCs/>
          <w:szCs w:val="24"/>
        </w:rPr>
        <w:t>Trimerodytes percarinatus</w:t>
      </w:r>
      <w:r>
        <w:rPr>
          <w:rFonts w:hint="eastAsia"/>
          <w:szCs w:val="24"/>
        </w:rPr>
        <w:t>等</w:t>
      </w:r>
      <w:r>
        <w:rPr>
          <w:rFonts w:hint="eastAsia" w:ascii="宋体" w:cs="宋体"/>
          <w:szCs w:val="24"/>
        </w:rPr>
        <w:t>，</w:t>
      </w:r>
      <w:r>
        <w:rPr>
          <w:rFonts w:hint="eastAsia"/>
          <w:szCs w:val="24"/>
        </w:rPr>
        <w:t>鸟类主要为涉禽、水禽以及一些林栖傍水型，常见种类有</w:t>
      </w:r>
      <w:r>
        <w:rPr>
          <w:szCs w:val="24"/>
        </w:rPr>
        <w:t>池鹭、白鹭、普通翠鸟、灰背燕尾</w:t>
      </w:r>
      <w:r>
        <w:rPr>
          <w:rFonts w:hint="eastAsia"/>
          <w:szCs w:val="24"/>
        </w:rPr>
        <w:t>等。</w:t>
      </w:r>
    </w:p>
    <w:p w14:paraId="33C21C3D">
      <w:pPr>
        <w:pStyle w:val="3"/>
        <w:ind w:firstLine="480"/>
      </w:pPr>
      <w:r>
        <w:rPr>
          <w:rFonts w:hint="eastAsia"/>
        </w:rPr>
        <w:t>c）生态服务功能</w:t>
      </w:r>
    </w:p>
    <w:p w14:paraId="0CB1629F">
      <w:pPr>
        <w:pStyle w:val="3"/>
        <w:ind w:firstLine="480"/>
      </w:pPr>
      <w:r>
        <w:rPr>
          <w:rFonts w:hint="eastAsia"/>
        </w:rPr>
        <w:t>湿地生态系统服务功能不仅包括提供大量资源产品，而且具有大的环境调节功能和环境效益，在调蓄洪水、调节气候、控制土壤等多方面发挥着重要作用。同时，湿地还是重要的遗传基因库，拥有丰富的动植物群落。根据现场调查，工程沿线水系众多，包含了永久性河流湿地、永久淡水湖泊湿地、泛洪平原湿地等不同类型湿地，评价区湿地生态系统发挥了调蓄洪水、调节气候、控制土壤等各方面的服务功能。</w:t>
      </w:r>
    </w:p>
    <w:p w14:paraId="0C2134F2">
      <w:pPr>
        <w:pStyle w:val="7"/>
      </w:pPr>
      <w:r>
        <w:rPr>
          <w:rFonts w:hint="eastAsia"/>
        </w:rPr>
        <w:t>农田生态系统现状</w:t>
      </w:r>
    </w:p>
    <w:p w14:paraId="291D3E8C">
      <w:pPr>
        <w:pStyle w:val="3"/>
        <w:ind w:firstLine="480"/>
      </w:pPr>
      <w:r>
        <w:rPr>
          <w:rFonts w:hint="eastAsia"/>
        </w:rPr>
        <w:t>评价区由一定农业地域内相互作用的生物因素和非生物因素构成的功能整体，是人类生产活动干预下形成的人工生态系统。构建合理的评价区，对于农业资源的有效利用、农业生产的持续发展以及维护良好的人类生存环境都有重要作用。评价区内农田生态系统面积为</w:t>
      </w:r>
      <w:r>
        <w:t>28.25</w:t>
      </w:r>
      <w:r>
        <w:rPr>
          <w:rFonts w:hint="eastAsia"/>
        </w:rPr>
        <w:t>hm</w:t>
      </w:r>
      <w:r>
        <w:rPr>
          <w:rFonts w:hint="eastAsia"/>
          <w:vertAlign w:val="superscript"/>
        </w:rPr>
        <w:t>2</w:t>
      </w:r>
      <w:r>
        <w:rPr>
          <w:rFonts w:hint="eastAsia"/>
        </w:rPr>
        <w:t>，占评价区总面积</w:t>
      </w:r>
      <w:r>
        <w:t>1.39</w:t>
      </w:r>
      <w:r>
        <w:rPr>
          <w:rFonts w:hint="eastAsia"/>
        </w:rPr>
        <w:t>%。</w:t>
      </w:r>
    </w:p>
    <w:p w14:paraId="61F542DF">
      <w:pPr>
        <w:pStyle w:val="3"/>
        <w:ind w:firstLine="480"/>
      </w:pPr>
      <w:r>
        <w:rPr>
          <w:rFonts w:hint="eastAsia"/>
        </w:rPr>
        <w:t>a）植被现状</w:t>
      </w:r>
    </w:p>
    <w:p w14:paraId="75B5827A">
      <w:pPr>
        <w:pStyle w:val="3"/>
        <w:ind w:firstLine="480"/>
      </w:pPr>
      <w:r>
        <w:rPr>
          <w:rFonts w:hint="eastAsia"/>
        </w:rPr>
        <w:t>农田生态系统主要为栽培、种植的农作物、人工经济林、人工用材林等。评价区内农作物主要有水稻（</w:t>
      </w:r>
      <w:r>
        <w:rPr>
          <w:rFonts w:hint="eastAsia"/>
          <w:i/>
        </w:rPr>
        <w:t>Oryzasativa</w:t>
      </w:r>
      <w:r>
        <w:rPr>
          <w:rFonts w:hint="eastAsia"/>
        </w:rPr>
        <w:t>）、玉米（</w:t>
      </w:r>
      <w:r>
        <w:rPr>
          <w:rFonts w:hint="eastAsia"/>
          <w:i/>
        </w:rPr>
        <w:t>Zeamays</w:t>
      </w:r>
      <w:r>
        <w:rPr>
          <w:rFonts w:hint="eastAsia"/>
        </w:rPr>
        <w:t>）、豆类、薯类等；人工经济作物有柑橘（</w:t>
      </w:r>
      <w:r>
        <w:rPr>
          <w:rFonts w:hint="eastAsia"/>
          <w:i/>
        </w:rPr>
        <w:t>Citrusreticulat</w:t>
      </w:r>
      <w:r>
        <w:rPr>
          <w:rFonts w:hint="eastAsia"/>
        </w:rPr>
        <w:t>a）、油菜（</w:t>
      </w:r>
      <w:r>
        <w:rPr>
          <w:rFonts w:hint="eastAsia"/>
          <w:i/>
        </w:rPr>
        <w:t>Brassicarapavar.oleifera</w:t>
      </w:r>
      <w:r>
        <w:rPr>
          <w:rFonts w:hint="eastAsia"/>
        </w:rPr>
        <w:t>）、红豆杉（</w:t>
      </w:r>
      <w:r>
        <w:rPr>
          <w:rFonts w:hint="eastAsia"/>
          <w:i/>
        </w:rPr>
        <w:t>Taxuschinensis</w:t>
      </w:r>
      <w:r>
        <w:rPr>
          <w:rFonts w:hint="eastAsia"/>
        </w:rPr>
        <w:t>）、玉兰（</w:t>
      </w:r>
      <w:r>
        <w:rPr>
          <w:rFonts w:hint="eastAsia"/>
          <w:i/>
        </w:rPr>
        <w:t>Yulaniadenudat</w:t>
      </w:r>
      <w:r>
        <w:rPr>
          <w:rFonts w:hint="eastAsia"/>
        </w:rPr>
        <w:t>a）、桂花（</w:t>
      </w:r>
      <w:r>
        <w:rPr>
          <w:rFonts w:hint="eastAsia"/>
          <w:i/>
        </w:rPr>
        <w:t>Osmanthusfragrans</w:t>
      </w:r>
      <w:r>
        <w:rPr>
          <w:rFonts w:hint="eastAsia"/>
        </w:rPr>
        <w:t>）等；用材林有杉木（</w:t>
      </w:r>
      <w:r>
        <w:rPr>
          <w:rFonts w:hint="eastAsia"/>
          <w:i/>
        </w:rPr>
        <w:t>Cunninghamia</w:t>
      </w:r>
      <w:r>
        <w:rPr>
          <w:rFonts w:hint="eastAsia"/>
        </w:rPr>
        <w:t>）、毛竹（</w:t>
      </w:r>
      <w:r>
        <w:rPr>
          <w:rFonts w:hint="eastAsia"/>
          <w:i/>
        </w:rPr>
        <w:t>Phyllostachysedulis</w:t>
      </w:r>
      <w:r>
        <w:rPr>
          <w:rFonts w:hint="eastAsia"/>
        </w:rPr>
        <w:t>）、马尾松（</w:t>
      </w:r>
      <w:r>
        <w:rPr>
          <w:rFonts w:hint="eastAsia"/>
          <w:i/>
        </w:rPr>
        <w:t>Pinusmassoniana</w:t>
      </w:r>
      <w:r>
        <w:rPr>
          <w:rFonts w:hint="eastAsia"/>
        </w:rPr>
        <w:t>）等。</w:t>
      </w:r>
    </w:p>
    <w:p w14:paraId="73529E22">
      <w:pPr>
        <w:pStyle w:val="3"/>
        <w:ind w:firstLine="480"/>
      </w:pPr>
      <w:r>
        <w:rPr>
          <w:rFonts w:hint="eastAsia"/>
        </w:rPr>
        <w:t>b）动物现状</w:t>
      </w:r>
    </w:p>
    <w:p w14:paraId="74F6D492">
      <w:pPr>
        <w:pStyle w:val="3"/>
        <w:ind w:firstLine="480"/>
      </w:pPr>
      <w:r>
        <w:rPr>
          <w:rFonts w:hint="eastAsia"/>
        </w:rPr>
        <w:t>农田生态系统内主要是与人类伴居的动物，如鸟类中的树麻雀（Passermontanus）、喜鹊等，兽类中的褐家鼠（Rattusnorvegicus）、小家鼠等。此外，在农田开垦期，可常见白鹭（Egrettagarzetta）、牛背鹭（Bubulcusibis）等来此觅食。</w:t>
      </w:r>
    </w:p>
    <w:p w14:paraId="3C45CFD0">
      <w:pPr>
        <w:pStyle w:val="3"/>
        <w:ind w:firstLine="480"/>
      </w:pPr>
      <w:r>
        <w:rPr>
          <w:rFonts w:hint="eastAsia"/>
        </w:rPr>
        <w:t>c）生态服务功能</w:t>
      </w:r>
    </w:p>
    <w:p w14:paraId="21566209">
      <w:pPr>
        <w:pStyle w:val="3"/>
        <w:ind w:firstLine="480"/>
      </w:pPr>
      <w:r>
        <w:rPr>
          <w:rFonts w:hint="eastAsia"/>
        </w:rPr>
        <w:t>评价区的主要生态功能体现在农产品及副产品生产，包括为人们提供农产品，为现代工业提供加工原料，以及提供生物生源等。此外，评价区也具有大气调节、环境净化、土壤保持、养分循环、水分调节、传粉播种、病虫害控制、生物多样性及基因资源以及餐饮、娱乐、文化等功能。根据现场调查，评价区农田主要以耕作、培植为主，生态系统服务功能主要为提供农产品、提供生物生源、土壤保持等功能。</w:t>
      </w:r>
    </w:p>
    <w:p w14:paraId="09FBADA4">
      <w:pPr>
        <w:pStyle w:val="7"/>
      </w:pPr>
      <w:r>
        <w:rPr>
          <w:rFonts w:hint="eastAsia"/>
        </w:rPr>
        <w:t>城镇生态系统现状</w:t>
      </w:r>
    </w:p>
    <w:p w14:paraId="353687FC">
      <w:pPr>
        <w:pStyle w:val="3"/>
        <w:ind w:firstLine="480"/>
      </w:pPr>
      <w:r>
        <w:rPr>
          <w:rFonts w:hint="eastAsia"/>
        </w:rPr>
        <w:t>评价区城镇/村落生态系统面积为</w:t>
      </w:r>
      <w:r>
        <w:t>56.83</w:t>
      </w:r>
      <w:r>
        <w:rPr>
          <w:rFonts w:hint="eastAsia"/>
        </w:rPr>
        <w:t>hm</w:t>
      </w:r>
      <w:r>
        <w:rPr>
          <w:rFonts w:hint="eastAsia"/>
          <w:vertAlign w:val="superscript"/>
        </w:rPr>
        <w:t>2</w:t>
      </w:r>
      <w:r>
        <w:rPr>
          <w:rFonts w:hint="eastAsia"/>
        </w:rPr>
        <w:t>，占评价区总面积的2.</w:t>
      </w:r>
      <w:r>
        <w:t>80</w:t>
      </w:r>
      <w:r>
        <w:rPr>
          <w:rFonts w:hint="eastAsia"/>
        </w:rPr>
        <w:t>%。此类型生态系统主要包括评价区内的居民建设用地、道路、公共设施、城镇绿化用地等，在工程沿线均有零星分布。</w:t>
      </w:r>
    </w:p>
    <w:p w14:paraId="080BAF95">
      <w:pPr>
        <w:pStyle w:val="3"/>
        <w:ind w:firstLine="480"/>
      </w:pPr>
      <w:r>
        <w:rPr>
          <w:rFonts w:hint="eastAsia"/>
        </w:rPr>
        <w:t>a）植被现状</w:t>
      </w:r>
    </w:p>
    <w:p w14:paraId="442BF100">
      <w:pPr>
        <w:pStyle w:val="3"/>
        <w:ind w:firstLine="480"/>
      </w:pPr>
      <w:r>
        <w:rPr>
          <w:rFonts w:hint="eastAsia"/>
        </w:rPr>
        <w:t>城镇/村落生态系统中的植被以人工种植的绿化植被为主。评价区城镇/村落生态系统中植被类型主要是居民房前屋后种植的果树和经济作物，以及道路沿线绿化，主要的类型有红豆杉（</w:t>
      </w:r>
      <w:r>
        <w:rPr>
          <w:rFonts w:hint="eastAsia"/>
          <w:i/>
        </w:rPr>
        <w:t>Taxuschinensis</w:t>
      </w:r>
      <w:r>
        <w:rPr>
          <w:rFonts w:hint="eastAsia"/>
        </w:rPr>
        <w:t>）、柑橘（</w:t>
      </w:r>
      <w:r>
        <w:rPr>
          <w:rFonts w:hint="eastAsia"/>
          <w:i/>
        </w:rPr>
        <w:t>Citrusreticulat</w:t>
      </w:r>
      <w:r>
        <w:rPr>
          <w:rFonts w:hint="eastAsia"/>
        </w:rPr>
        <w:t>a）、桂花（</w:t>
      </w:r>
      <w:r>
        <w:rPr>
          <w:rFonts w:hint="eastAsia"/>
          <w:i/>
        </w:rPr>
        <w:t>Osmanthusfragrans</w:t>
      </w:r>
      <w:r>
        <w:rPr>
          <w:rFonts w:hint="eastAsia"/>
        </w:rPr>
        <w:t>）、石楠（</w:t>
      </w:r>
      <w:r>
        <w:rPr>
          <w:rFonts w:hint="eastAsia"/>
          <w:i/>
        </w:rPr>
        <w:t>Photiniaserratifolia</w:t>
      </w:r>
      <w:r>
        <w:rPr>
          <w:rFonts w:hint="eastAsia"/>
        </w:rPr>
        <w:t>）等。</w:t>
      </w:r>
    </w:p>
    <w:p w14:paraId="64C95FF2">
      <w:pPr>
        <w:pStyle w:val="3"/>
        <w:ind w:firstLine="480"/>
      </w:pPr>
      <w:r>
        <w:rPr>
          <w:rFonts w:hint="eastAsia"/>
        </w:rPr>
        <w:t>b）动物现状</w:t>
      </w:r>
    </w:p>
    <w:p w14:paraId="4E3C6325">
      <w:pPr>
        <w:pStyle w:val="3"/>
        <w:ind w:firstLine="480"/>
      </w:pPr>
      <w:r>
        <w:rPr>
          <w:rFonts w:hint="eastAsia"/>
        </w:rPr>
        <w:t>城镇/村落生态系统中陆生动物主要为喜与人伴居的种类。两栖动物极为少见等，可偶见中华蟾蜍等；爬行动物如多疣壁虎；鸟类以家燕（</w:t>
      </w:r>
      <w:r>
        <w:rPr>
          <w:rFonts w:hint="eastAsia"/>
          <w:i/>
        </w:rPr>
        <w:t>Hirundorustica</w:t>
      </w:r>
      <w:r>
        <w:rPr>
          <w:rFonts w:hint="eastAsia"/>
        </w:rPr>
        <w:t>）、麻雀、喜鹊、等为优势种；兽类主要为褐家鼠、小家鼠等。</w:t>
      </w:r>
    </w:p>
    <w:p w14:paraId="7DB45F46">
      <w:pPr>
        <w:pStyle w:val="3"/>
        <w:ind w:firstLine="480"/>
      </w:pPr>
      <w:r>
        <w:rPr>
          <w:rFonts w:hint="eastAsia"/>
        </w:rPr>
        <w:t>c）生态服务功能</w:t>
      </w:r>
    </w:p>
    <w:p w14:paraId="0BB802A9">
      <w:pPr>
        <w:pStyle w:val="3"/>
        <w:ind w:firstLine="480"/>
      </w:pPr>
      <w:r>
        <w:rPr>
          <w:rFonts w:hint="eastAsia"/>
        </w:rPr>
        <w:t>城镇/村落生态系统的服务功能主要包括三大类：</w:t>
      </w:r>
    </w:p>
    <w:p w14:paraId="17524032">
      <w:pPr>
        <w:pStyle w:val="3"/>
        <w:ind w:firstLine="480"/>
      </w:pPr>
      <w:r>
        <w:rPr>
          <w:rFonts w:hint="eastAsia"/>
        </w:rPr>
        <w:t>1）提供生活和生产物质的功能，包括食物生产、原材料生产。2）与人类日常生活和身心健康相关的生命支持的功能，包括：气候调节、水源涵养、固碳释氮、土壤形成与保护、净化空气、生物多样性保护、减轻噪声。3）满足人类精神生活需求的功能，包括娱乐文化。根据现场调查，评价区内主要以村落为主，其生态服务功能主要为提供生活和生产物质的功能以及与人类日常生活和身心健康相关的生命支持的功能。</w:t>
      </w:r>
    </w:p>
    <w:p w14:paraId="2A69597E">
      <w:pPr>
        <w:pStyle w:val="159"/>
      </w:pPr>
    </w:p>
    <w:p w14:paraId="1DB9B80D">
      <w:pPr>
        <w:pStyle w:val="6"/>
        <w:ind w:left="0" w:firstLine="0"/>
      </w:pPr>
      <w:r>
        <w:rPr>
          <w:rFonts w:hint="eastAsia"/>
        </w:rPr>
        <w:t>陆生生态现状调查</w:t>
      </w:r>
    </w:p>
    <w:p w14:paraId="1262CF1D">
      <w:pPr>
        <w:pStyle w:val="140"/>
        <w:spacing w:line="360" w:lineRule="auto"/>
        <w:ind w:firstLine="480" w:firstLineChars="200"/>
        <w:rPr>
          <w:rFonts w:hint="default" w:ascii="宋体" w:hAnsi="宋体" w:eastAsia="宋体"/>
          <w:szCs w:val="24"/>
        </w:rPr>
      </w:pPr>
      <w:r>
        <w:rPr>
          <w:rFonts w:ascii="宋体" w:hAnsi="宋体" w:eastAsia="宋体"/>
          <w:szCs w:val="24"/>
        </w:rPr>
        <w:t>a）植物多样性</w:t>
      </w:r>
    </w:p>
    <w:p w14:paraId="71BCB3F2">
      <w:pPr>
        <w:pStyle w:val="3"/>
        <w:ind w:firstLine="480"/>
      </w:pPr>
      <w:r>
        <w:t>评价区共设置了16</w:t>
      </w:r>
      <w:r>
        <w:rPr>
          <w:rFonts w:hint="eastAsia"/>
        </w:rPr>
        <w:t>个样方，见表</w:t>
      </w:r>
      <w:r>
        <w:t>2.3-2</w:t>
      </w:r>
      <w:r>
        <w:rPr>
          <w:rFonts w:hint="eastAsia"/>
        </w:rPr>
        <w:t>所示。</w:t>
      </w:r>
    </w:p>
    <w:p w14:paraId="38146698">
      <w:pPr>
        <w:pStyle w:val="148"/>
      </w:pPr>
      <w:r>
        <w:t xml:space="preserve">表2.3-2  </w:t>
      </w:r>
      <w:r>
        <w:rPr>
          <w:rFonts w:hint="eastAsia"/>
        </w:rPr>
        <w:t>植被样方设置情况一览表</w:t>
      </w:r>
    </w:p>
    <w:tbl>
      <w:tblPr>
        <w:tblStyle w:val="4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0"/>
        <w:gridCol w:w="3221"/>
        <w:gridCol w:w="2898"/>
        <w:gridCol w:w="2108"/>
      </w:tblGrid>
      <w:tr w14:paraId="3896E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61853C9E">
            <w:pPr>
              <w:pStyle w:val="159"/>
            </w:pPr>
            <w:r>
              <w:t>编号</w:t>
            </w:r>
          </w:p>
        </w:tc>
        <w:tc>
          <w:tcPr>
            <w:tcW w:w="1734" w:type="pct"/>
            <w:vAlign w:val="center"/>
          </w:tcPr>
          <w:p w14:paraId="4F736478">
            <w:pPr>
              <w:pStyle w:val="159"/>
            </w:pPr>
            <w:r>
              <w:t>北纬</w:t>
            </w:r>
          </w:p>
        </w:tc>
        <w:tc>
          <w:tcPr>
            <w:tcW w:w="1560" w:type="pct"/>
            <w:vAlign w:val="center"/>
          </w:tcPr>
          <w:p w14:paraId="18E23F17">
            <w:pPr>
              <w:pStyle w:val="159"/>
            </w:pPr>
            <w:r>
              <w:t>东经</w:t>
            </w:r>
          </w:p>
        </w:tc>
        <w:tc>
          <w:tcPr>
            <w:tcW w:w="1135" w:type="pct"/>
            <w:vAlign w:val="center"/>
          </w:tcPr>
          <w:p w14:paraId="506735C9">
            <w:pPr>
              <w:pStyle w:val="159"/>
              <w:rPr>
                <w:rFonts w:ascii="宋体" w:hAnsi="宋体"/>
                <w:szCs w:val="24"/>
              </w:rPr>
            </w:pPr>
            <w:r>
              <w:rPr>
                <w:rFonts w:hint="eastAsia"/>
              </w:rPr>
              <w:t>植物群系</w:t>
            </w:r>
          </w:p>
        </w:tc>
      </w:tr>
      <w:tr w14:paraId="6C478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6A790B49">
            <w:pPr>
              <w:pStyle w:val="159"/>
              <w:rPr>
                <w:rFonts w:ascii="宋体" w:hAnsi="宋体"/>
                <w:szCs w:val="24"/>
              </w:rPr>
            </w:pPr>
            <w:r>
              <w:rPr>
                <w:rFonts w:hint="eastAsia" w:ascii="宋体" w:hAnsi="宋体"/>
                <w:szCs w:val="24"/>
              </w:rPr>
              <w:t>1</w:t>
            </w:r>
          </w:p>
        </w:tc>
        <w:tc>
          <w:tcPr>
            <w:tcW w:w="1734" w:type="pct"/>
            <w:vAlign w:val="center"/>
          </w:tcPr>
          <w:p w14:paraId="40B2E6CE">
            <w:pPr>
              <w:pStyle w:val="159"/>
              <w:rPr>
                <w:rFonts w:ascii="宋体" w:hAnsi="宋体"/>
                <w:szCs w:val="24"/>
              </w:rPr>
            </w:pPr>
            <w:r>
              <w:t>111</w:t>
            </w:r>
            <w:r>
              <w:rPr>
                <w:rFonts w:hint="eastAsia"/>
              </w:rPr>
              <w:t>°</w:t>
            </w:r>
            <w:r>
              <w:t>49'38.715"</w:t>
            </w:r>
          </w:p>
        </w:tc>
        <w:tc>
          <w:tcPr>
            <w:tcW w:w="1560" w:type="pct"/>
            <w:vAlign w:val="center"/>
          </w:tcPr>
          <w:p w14:paraId="2A4D4D45">
            <w:pPr>
              <w:pStyle w:val="159"/>
              <w:rPr>
                <w:rFonts w:ascii="宋体" w:hAnsi="宋体"/>
                <w:szCs w:val="24"/>
              </w:rPr>
            </w:pPr>
            <w:r>
              <w:t>24</w:t>
            </w:r>
            <w:r>
              <w:rPr>
                <w:rFonts w:hint="eastAsia"/>
              </w:rPr>
              <w:t>°</w:t>
            </w:r>
            <w:r>
              <w:t>59'25.454"</w:t>
            </w:r>
          </w:p>
        </w:tc>
        <w:tc>
          <w:tcPr>
            <w:tcW w:w="1135" w:type="pct"/>
            <w:vAlign w:val="center"/>
          </w:tcPr>
          <w:p w14:paraId="3C2D5747">
            <w:pPr>
              <w:pStyle w:val="159"/>
            </w:pPr>
            <w:r>
              <w:rPr>
                <w:rFonts w:hint="eastAsia"/>
                <w:color w:val="000000"/>
                <w:szCs w:val="21"/>
              </w:rPr>
              <w:t>杉木群系</w:t>
            </w:r>
          </w:p>
        </w:tc>
      </w:tr>
      <w:tr w14:paraId="2F3DA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0A9D8513">
            <w:pPr>
              <w:pStyle w:val="159"/>
              <w:rPr>
                <w:rFonts w:ascii="宋体" w:hAnsi="宋体"/>
                <w:szCs w:val="24"/>
              </w:rPr>
            </w:pPr>
            <w:r>
              <w:rPr>
                <w:rFonts w:hint="eastAsia" w:ascii="宋体" w:hAnsi="宋体"/>
                <w:szCs w:val="24"/>
              </w:rPr>
              <w:t>2</w:t>
            </w:r>
          </w:p>
        </w:tc>
        <w:tc>
          <w:tcPr>
            <w:tcW w:w="1734" w:type="pct"/>
            <w:vAlign w:val="center"/>
          </w:tcPr>
          <w:p w14:paraId="5806DA61">
            <w:pPr>
              <w:pStyle w:val="159"/>
              <w:rPr>
                <w:rFonts w:ascii="宋体" w:hAnsi="宋体"/>
                <w:szCs w:val="24"/>
              </w:rPr>
            </w:pPr>
            <w:r>
              <w:t>111</w:t>
            </w:r>
            <w:r>
              <w:rPr>
                <w:rFonts w:hint="eastAsia"/>
              </w:rPr>
              <w:t>°</w:t>
            </w:r>
            <w:r>
              <w:t>50'5.055"</w:t>
            </w:r>
          </w:p>
        </w:tc>
        <w:tc>
          <w:tcPr>
            <w:tcW w:w="1560" w:type="pct"/>
            <w:vAlign w:val="center"/>
          </w:tcPr>
          <w:p w14:paraId="19F4A916">
            <w:pPr>
              <w:pStyle w:val="159"/>
              <w:rPr>
                <w:rFonts w:ascii="宋体" w:hAnsi="宋体"/>
                <w:szCs w:val="24"/>
              </w:rPr>
            </w:pPr>
            <w:r>
              <w:t>24</w:t>
            </w:r>
            <w:r>
              <w:rPr>
                <w:rFonts w:hint="eastAsia"/>
              </w:rPr>
              <w:t>°</w:t>
            </w:r>
            <w:r>
              <w:t>59'21.046"</w:t>
            </w:r>
          </w:p>
        </w:tc>
        <w:tc>
          <w:tcPr>
            <w:tcW w:w="1135" w:type="pct"/>
            <w:vAlign w:val="center"/>
          </w:tcPr>
          <w:p w14:paraId="12F87A8B">
            <w:pPr>
              <w:pStyle w:val="159"/>
            </w:pPr>
            <w:r>
              <w:rPr>
                <w:rFonts w:hint="eastAsia"/>
                <w:color w:val="000000"/>
                <w:szCs w:val="21"/>
              </w:rPr>
              <w:t>杉木群系</w:t>
            </w:r>
          </w:p>
        </w:tc>
      </w:tr>
      <w:tr w14:paraId="671D9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7C5AEE83">
            <w:pPr>
              <w:pStyle w:val="159"/>
              <w:rPr>
                <w:rFonts w:ascii="宋体" w:hAnsi="宋体"/>
                <w:szCs w:val="24"/>
              </w:rPr>
            </w:pPr>
            <w:r>
              <w:rPr>
                <w:rFonts w:hint="eastAsia" w:ascii="宋体" w:hAnsi="宋体"/>
                <w:szCs w:val="24"/>
              </w:rPr>
              <w:t>3</w:t>
            </w:r>
          </w:p>
        </w:tc>
        <w:tc>
          <w:tcPr>
            <w:tcW w:w="1734" w:type="pct"/>
            <w:vAlign w:val="center"/>
          </w:tcPr>
          <w:p w14:paraId="477D1206">
            <w:pPr>
              <w:pStyle w:val="159"/>
              <w:rPr>
                <w:rFonts w:ascii="宋体" w:hAnsi="宋体"/>
                <w:szCs w:val="24"/>
              </w:rPr>
            </w:pPr>
            <w:r>
              <w:t>111</w:t>
            </w:r>
            <w:r>
              <w:rPr>
                <w:rFonts w:hint="eastAsia"/>
              </w:rPr>
              <w:t>°</w:t>
            </w:r>
            <w:r>
              <w:t>49'4.466"</w:t>
            </w:r>
          </w:p>
        </w:tc>
        <w:tc>
          <w:tcPr>
            <w:tcW w:w="1560" w:type="pct"/>
            <w:vAlign w:val="center"/>
          </w:tcPr>
          <w:p w14:paraId="24294287">
            <w:pPr>
              <w:pStyle w:val="159"/>
              <w:rPr>
                <w:rFonts w:ascii="宋体" w:hAnsi="宋体"/>
                <w:szCs w:val="24"/>
              </w:rPr>
            </w:pPr>
            <w:r>
              <w:t>25</w:t>
            </w:r>
            <w:r>
              <w:rPr>
                <w:rFonts w:hint="eastAsia"/>
              </w:rPr>
              <w:t>°</w:t>
            </w:r>
            <w:r>
              <w:t>0'38.361"</w:t>
            </w:r>
          </w:p>
        </w:tc>
        <w:tc>
          <w:tcPr>
            <w:tcW w:w="1135" w:type="pct"/>
            <w:vAlign w:val="center"/>
          </w:tcPr>
          <w:p w14:paraId="4C01893C">
            <w:pPr>
              <w:pStyle w:val="159"/>
            </w:pPr>
            <w:r>
              <w:rPr>
                <w:rFonts w:hint="eastAsia"/>
                <w:color w:val="000000"/>
                <w:szCs w:val="21"/>
              </w:rPr>
              <w:t>杉木群系</w:t>
            </w:r>
          </w:p>
        </w:tc>
      </w:tr>
      <w:tr w14:paraId="16ECC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0C8B3E96">
            <w:pPr>
              <w:pStyle w:val="159"/>
              <w:rPr>
                <w:rFonts w:ascii="宋体" w:hAnsi="宋体"/>
                <w:szCs w:val="24"/>
              </w:rPr>
            </w:pPr>
            <w:r>
              <w:rPr>
                <w:rFonts w:hint="eastAsia" w:ascii="宋体" w:hAnsi="宋体"/>
                <w:szCs w:val="24"/>
              </w:rPr>
              <w:t>4</w:t>
            </w:r>
          </w:p>
        </w:tc>
        <w:tc>
          <w:tcPr>
            <w:tcW w:w="1734" w:type="pct"/>
            <w:vAlign w:val="center"/>
          </w:tcPr>
          <w:p w14:paraId="54ECA5A8">
            <w:pPr>
              <w:pStyle w:val="159"/>
              <w:rPr>
                <w:rFonts w:ascii="宋体" w:hAnsi="宋体"/>
                <w:szCs w:val="24"/>
              </w:rPr>
            </w:pPr>
            <w:r>
              <w:t>111</w:t>
            </w:r>
            <w:r>
              <w:rPr>
                <w:rFonts w:hint="eastAsia"/>
              </w:rPr>
              <w:t>°</w:t>
            </w:r>
            <w:r>
              <w:t>49'16.626"</w:t>
            </w:r>
          </w:p>
        </w:tc>
        <w:tc>
          <w:tcPr>
            <w:tcW w:w="1560" w:type="pct"/>
            <w:vAlign w:val="center"/>
          </w:tcPr>
          <w:p w14:paraId="159BFB78">
            <w:pPr>
              <w:pStyle w:val="159"/>
              <w:rPr>
                <w:rFonts w:ascii="宋体" w:hAnsi="宋体"/>
                <w:szCs w:val="24"/>
              </w:rPr>
            </w:pPr>
            <w:r>
              <w:t>25</w:t>
            </w:r>
            <w:r>
              <w:rPr>
                <w:rFonts w:hint="eastAsia"/>
              </w:rPr>
              <w:t>°</w:t>
            </w:r>
            <w:r>
              <w:t>2'45.137"</w:t>
            </w:r>
          </w:p>
        </w:tc>
        <w:tc>
          <w:tcPr>
            <w:tcW w:w="1135" w:type="pct"/>
            <w:vAlign w:val="center"/>
          </w:tcPr>
          <w:p w14:paraId="36802914">
            <w:pPr>
              <w:pStyle w:val="159"/>
            </w:pPr>
            <w:r>
              <w:rPr>
                <w:rFonts w:hint="eastAsia"/>
                <w:color w:val="000000"/>
                <w:szCs w:val="21"/>
              </w:rPr>
              <w:t>马尾松群系</w:t>
            </w:r>
          </w:p>
        </w:tc>
      </w:tr>
      <w:tr w14:paraId="142A9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68F029E5">
            <w:pPr>
              <w:pStyle w:val="159"/>
              <w:rPr>
                <w:rFonts w:ascii="宋体" w:hAnsi="宋体"/>
                <w:szCs w:val="24"/>
              </w:rPr>
            </w:pPr>
            <w:r>
              <w:rPr>
                <w:rFonts w:hint="eastAsia" w:ascii="宋体" w:hAnsi="宋体"/>
                <w:szCs w:val="24"/>
              </w:rPr>
              <w:t>5</w:t>
            </w:r>
          </w:p>
        </w:tc>
        <w:tc>
          <w:tcPr>
            <w:tcW w:w="1734" w:type="pct"/>
            <w:vAlign w:val="center"/>
          </w:tcPr>
          <w:p w14:paraId="6084362B">
            <w:pPr>
              <w:pStyle w:val="159"/>
              <w:rPr>
                <w:rFonts w:ascii="宋体" w:hAnsi="宋体"/>
                <w:szCs w:val="24"/>
              </w:rPr>
            </w:pPr>
            <w:r>
              <w:t>111</w:t>
            </w:r>
            <w:r>
              <w:rPr>
                <w:rFonts w:hint="eastAsia"/>
              </w:rPr>
              <w:t>°</w:t>
            </w:r>
            <w:r>
              <w:t>49'36.875"</w:t>
            </w:r>
          </w:p>
        </w:tc>
        <w:tc>
          <w:tcPr>
            <w:tcW w:w="1560" w:type="pct"/>
            <w:vAlign w:val="center"/>
          </w:tcPr>
          <w:p w14:paraId="4B1EF2C0">
            <w:pPr>
              <w:pStyle w:val="159"/>
              <w:rPr>
                <w:rFonts w:ascii="宋体" w:hAnsi="宋体"/>
                <w:szCs w:val="24"/>
              </w:rPr>
            </w:pPr>
            <w:r>
              <w:t>24</w:t>
            </w:r>
            <w:r>
              <w:rPr>
                <w:rFonts w:hint="eastAsia"/>
              </w:rPr>
              <w:t>°</w:t>
            </w:r>
            <w:r>
              <w:t>58'47.920"</w:t>
            </w:r>
          </w:p>
        </w:tc>
        <w:tc>
          <w:tcPr>
            <w:tcW w:w="1135" w:type="pct"/>
            <w:vAlign w:val="center"/>
          </w:tcPr>
          <w:p w14:paraId="46F7059F">
            <w:pPr>
              <w:pStyle w:val="159"/>
            </w:pPr>
            <w:r>
              <w:rPr>
                <w:rFonts w:hint="eastAsia"/>
                <w:color w:val="000000"/>
                <w:szCs w:val="21"/>
              </w:rPr>
              <w:t>杉木群系</w:t>
            </w:r>
          </w:p>
        </w:tc>
      </w:tr>
      <w:tr w14:paraId="6BBA6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12769409">
            <w:pPr>
              <w:pStyle w:val="159"/>
              <w:rPr>
                <w:rFonts w:ascii="宋体" w:hAnsi="宋体"/>
                <w:szCs w:val="24"/>
              </w:rPr>
            </w:pPr>
            <w:r>
              <w:rPr>
                <w:rFonts w:hint="eastAsia" w:ascii="宋体" w:hAnsi="宋体"/>
                <w:szCs w:val="24"/>
              </w:rPr>
              <w:t>6</w:t>
            </w:r>
          </w:p>
        </w:tc>
        <w:tc>
          <w:tcPr>
            <w:tcW w:w="1734" w:type="pct"/>
            <w:vAlign w:val="center"/>
          </w:tcPr>
          <w:p w14:paraId="6A19C7C0">
            <w:pPr>
              <w:pStyle w:val="159"/>
              <w:rPr>
                <w:rFonts w:ascii="宋体" w:hAnsi="宋体"/>
                <w:szCs w:val="24"/>
              </w:rPr>
            </w:pPr>
            <w:r>
              <w:t>111</w:t>
            </w:r>
            <w:r>
              <w:rPr>
                <w:rFonts w:hint="eastAsia"/>
              </w:rPr>
              <w:t>°</w:t>
            </w:r>
            <w:r>
              <w:t>49'22.932"</w:t>
            </w:r>
          </w:p>
        </w:tc>
        <w:tc>
          <w:tcPr>
            <w:tcW w:w="1560" w:type="pct"/>
            <w:vAlign w:val="center"/>
          </w:tcPr>
          <w:p w14:paraId="7A111093">
            <w:pPr>
              <w:pStyle w:val="159"/>
              <w:rPr>
                <w:rFonts w:ascii="宋体" w:hAnsi="宋体"/>
                <w:szCs w:val="24"/>
              </w:rPr>
            </w:pPr>
            <w:r>
              <w:t>24</w:t>
            </w:r>
            <w:r>
              <w:rPr>
                <w:rFonts w:hint="eastAsia"/>
              </w:rPr>
              <w:t>°</w:t>
            </w:r>
            <w:r>
              <w:t>58'17.625"</w:t>
            </w:r>
          </w:p>
        </w:tc>
        <w:tc>
          <w:tcPr>
            <w:tcW w:w="1135" w:type="pct"/>
            <w:vAlign w:val="center"/>
          </w:tcPr>
          <w:p w14:paraId="3CCE1457">
            <w:pPr>
              <w:pStyle w:val="159"/>
            </w:pPr>
            <w:r>
              <w:rPr>
                <w:rFonts w:hint="eastAsia"/>
                <w:color w:val="000000"/>
                <w:szCs w:val="21"/>
              </w:rPr>
              <w:t>芒灌草丛</w:t>
            </w:r>
          </w:p>
        </w:tc>
      </w:tr>
      <w:tr w14:paraId="3A9F4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074D76F5">
            <w:pPr>
              <w:pStyle w:val="159"/>
              <w:rPr>
                <w:rFonts w:ascii="宋体" w:hAnsi="宋体"/>
                <w:szCs w:val="24"/>
              </w:rPr>
            </w:pPr>
            <w:r>
              <w:rPr>
                <w:rFonts w:hint="eastAsia" w:ascii="宋体" w:hAnsi="宋体"/>
                <w:szCs w:val="24"/>
              </w:rPr>
              <w:t>7</w:t>
            </w:r>
          </w:p>
        </w:tc>
        <w:tc>
          <w:tcPr>
            <w:tcW w:w="1734" w:type="pct"/>
            <w:vAlign w:val="center"/>
          </w:tcPr>
          <w:p w14:paraId="41D93DD7">
            <w:pPr>
              <w:pStyle w:val="159"/>
              <w:rPr>
                <w:rFonts w:ascii="宋体" w:hAnsi="宋体"/>
                <w:szCs w:val="24"/>
              </w:rPr>
            </w:pPr>
            <w:r>
              <w:t>111</w:t>
            </w:r>
            <w:r>
              <w:rPr>
                <w:rFonts w:hint="eastAsia"/>
              </w:rPr>
              <w:t>°</w:t>
            </w:r>
            <w:r>
              <w:t>49'38.030"</w:t>
            </w:r>
          </w:p>
        </w:tc>
        <w:tc>
          <w:tcPr>
            <w:tcW w:w="1560" w:type="pct"/>
            <w:vAlign w:val="center"/>
          </w:tcPr>
          <w:p w14:paraId="46263AB8">
            <w:pPr>
              <w:pStyle w:val="159"/>
              <w:rPr>
                <w:rFonts w:ascii="宋体" w:hAnsi="宋体"/>
                <w:szCs w:val="24"/>
              </w:rPr>
            </w:pPr>
            <w:r>
              <w:t>24</w:t>
            </w:r>
            <w:r>
              <w:rPr>
                <w:rFonts w:hint="eastAsia"/>
              </w:rPr>
              <w:t>°</w:t>
            </w:r>
            <w:r>
              <w:t>57'50.199"</w:t>
            </w:r>
          </w:p>
        </w:tc>
        <w:tc>
          <w:tcPr>
            <w:tcW w:w="1135" w:type="pct"/>
            <w:vAlign w:val="center"/>
          </w:tcPr>
          <w:p w14:paraId="17C9691C">
            <w:pPr>
              <w:pStyle w:val="159"/>
            </w:pPr>
            <w:r>
              <w:rPr>
                <w:rFonts w:hint="eastAsia"/>
                <w:color w:val="000000"/>
                <w:szCs w:val="21"/>
              </w:rPr>
              <w:t>芒灌草丛</w:t>
            </w:r>
          </w:p>
        </w:tc>
      </w:tr>
      <w:tr w14:paraId="31128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4114AA7D">
            <w:pPr>
              <w:pStyle w:val="159"/>
              <w:rPr>
                <w:rFonts w:ascii="宋体" w:hAnsi="宋体"/>
                <w:szCs w:val="24"/>
              </w:rPr>
            </w:pPr>
            <w:r>
              <w:rPr>
                <w:rFonts w:hint="eastAsia" w:ascii="宋体" w:hAnsi="宋体"/>
                <w:szCs w:val="24"/>
              </w:rPr>
              <w:t>8</w:t>
            </w:r>
          </w:p>
        </w:tc>
        <w:tc>
          <w:tcPr>
            <w:tcW w:w="1734" w:type="pct"/>
            <w:vAlign w:val="center"/>
          </w:tcPr>
          <w:p w14:paraId="50DD553A">
            <w:pPr>
              <w:pStyle w:val="159"/>
              <w:rPr>
                <w:rFonts w:ascii="宋体" w:hAnsi="宋体"/>
                <w:szCs w:val="24"/>
              </w:rPr>
            </w:pPr>
            <w:r>
              <w:t>111</w:t>
            </w:r>
            <w:r>
              <w:rPr>
                <w:rFonts w:hint="eastAsia"/>
              </w:rPr>
              <w:t>°</w:t>
            </w:r>
            <w:r>
              <w:t>48'38.807"</w:t>
            </w:r>
          </w:p>
        </w:tc>
        <w:tc>
          <w:tcPr>
            <w:tcW w:w="1560" w:type="pct"/>
            <w:vAlign w:val="center"/>
          </w:tcPr>
          <w:p w14:paraId="561B676A">
            <w:pPr>
              <w:pStyle w:val="159"/>
              <w:rPr>
                <w:rFonts w:ascii="宋体" w:hAnsi="宋体"/>
                <w:szCs w:val="24"/>
              </w:rPr>
            </w:pPr>
            <w:r>
              <w:t>25</w:t>
            </w:r>
            <w:r>
              <w:rPr>
                <w:rFonts w:hint="eastAsia"/>
              </w:rPr>
              <w:t>°</w:t>
            </w:r>
            <w:r>
              <w:t>0'59.334"</w:t>
            </w:r>
          </w:p>
        </w:tc>
        <w:tc>
          <w:tcPr>
            <w:tcW w:w="1135" w:type="pct"/>
            <w:vAlign w:val="center"/>
          </w:tcPr>
          <w:p w14:paraId="29904CBC">
            <w:pPr>
              <w:pStyle w:val="159"/>
            </w:pPr>
            <w:r>
              <w:rPr>
                <w:rFonts w:hint="eastAsia"/>
                <w:color w:val="000000"/>
                <w:szCs w:val="21"/>
              </w:rPr>
              <w:t>杉木群系</w:t>
            </w:r>
          </w:p>
        </w:tc>
      </w:tr>
      <w:tr w14:paraId="71AE9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14F13E81">
            <w:pPr>
              <w:pStyle w:val="159"/>
              <w:rPr>
                <w:rFonts w:ascii="宋体" w:hAnsi="宋体"/>
                <w:szCs w:val="24"/>
              </w:rPr>
            </w:pPr>
            <w:r>
              <w:rPr>
                <w:rFonts w:hint="eastAsia" w:ascii="宋体" w:hAnsi="宋体"/>
                <w:szCs w:val="24"/>
              </w:rPr>
              <w:t>9</w:t>
            </w:r>
          </w:p>
        </w:tc>
        <w:tc>
          <w:tcPr>
            <w:tcW w:w="1734" w:type="pct"/>
            <w:vAlign w:val="center"/>
          </w:tcPr>
          <w:p w14:paraId="05F7A100">
            <w:pPr>
              <w:pStyle w:val="159"/>
              <w:rPr>
                <w:rFonts w:ascii="宋体" w:hAnsi="宋体"/>
                <w:szCs w:val="24"/>
              </w:rPr>
            </w:pPr>
            <w:r>
              <w:t>111</w:t>
            </w:r>
            <w:r>
              <w:rPr>
                <w:rFonts w:hint="eastAsia"/>
              </w:rPr>
              <w:t>°</w:t>
            </w:r>
            <w:r>
              <w:t>49'31.187"</w:t>
            </w:r>
          </w:p>
        </w:tc>
        <w:tc>
          <w:tcPr>
            <w:tcW w:w="1560" w:type="pct"/>
            <w:vAlign w:val="center"/>
          </w:tcPr>
          <w:p w14:paraId="07E83114">
            <w:pPr>
              <w:pStyle w:val="159"/>
              <w:rPr>
                <w:rFonts w:ascii="宋体" w:hAnsi="宋体"/>
                <w:szCs w:val="24"/>
              </w:rPr>
            </w:pPr>
            <w:r>
              <w:t>25</w:t>
            </w:r>
            <w:r>
              <w:rPr>
                <w:rFonts w:hint="eastAsia"/>
              </w:rPr>
              <w:t>°</w:t>
            </w:r>
            <w:r>
              <w:t>3'24.328"</w:t>
            </w:r>
          </w:p>
        </w:tc>
        <w:tc>
          <w:tcPr>
            <w:tcW w:w="1135" w:type="pct"/>
            <w:vAlign w:val="center"/>
          </w:tcPr>
          <w:p w14:paraId="6E1CAC32">
            <w:pPr>
              <w:pStyle w:val="159"/>
            </w:pPr>
            <w:r>
              <w:rPr>
                <w:rFonts w:hint="eastAsia"/>
                <w:color w:val="000000"/>
                <w:szCs w:val="21"/>
              </w:rPr>
              <w:t>杉木群系</w:t>
            </w:r>
          </w:p>
        </w:tc>
      </w:tr>
      <w:tr w14:paraId="15B4C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505C5C5F">
            <w:pPr>
              <w:pStyle w:val="159"/>
              <w:rPr>
                <w:rFonts w:ascii="宋体" w:hAnsi="宋体"/>
                <w:szCs w:val="24"/>
              </w:rPr>
            </w:pPr>
            <w:r>
              <w:rPr>
                <w:rFonts w:hint="eastAsia" w:ascii="宋体" w:hAnsi="宋体"/>
                <w:szCs w:val="24"/>
              </w:rPr>
              <w:t>10</w:t>
            </w:r>
          </w:p>
        </w:tc>
        <w:tc>
          <w:tcPr>
            <w:tcW w:w="1734" w:type="pct"/>
            <w:vAlign w:val="center"/>
          </w:tcPr>
          <w:p w14:paraId="025079D0">
            <w:pPr>
              <w:pStyle w:val="159"/>
              <w:rPr>
                <w:rFonts w:ascii="宋体" w:hAnsi="宋体"/>
                <w:szCs w:val="24"/>
              </w:rPr>
            </w:pPr>
            <w:r>
              <w:t>111</w:t>
            </w:r>
            <w:r>
              <w:rPr>
                <w:rFonts w:hint="eastAsia"/>
              </w:rPr>
              <w:t>°</w:t>
            </w:r>
            <w:r>
              <w:t>49'1.492"</w:t>
            </w:r>
          </w:p>
        </w:tc>
        <w:tc>
          <w:tcPr>
            <w:tcW w:w="1560" w:type="pct"/>
            <w:vAlign w:val="center"/>
          </w:tcPr>
          <w:p w14:paraId="645DD71C">
            <w:pPr>
              <w:pStyle w:val="159"/>
              <w:rPr>
                <w:rFonts w:ascii="宋体" w:hAnsi="宋体"/>
                <w:szCs w:val="24"/>
              </w:rPr>
            </w:pPr>
            <w:r>
              <w:t>25</w:t>
            </w:r>
            <w:r>
              <w:rPr>
                <w:rFonts w:hint="eastAsia"/>
              </w:rPr>
              <w:t>°</w:t>
            </w:r>
            <w:r>
              <w:t>2'18.998"</w:t>
            </w:r>
          </w:p>
        </w:tc>
        <w:tc>
          <w:tcPr>
            <w:tcW w:w="1135" w:type="pct"/>
            <w:vAlign w:val="center"/>
          </w:tcPr>
          <w:p w14:paraId="6CD45B84">
            <w:pPr>
              <w:pStyle w:val="159"/>
            </w:pPr>
            <w:r>
              <w:rPr>
                <w:rFonts w:hint="eastAsia"/>
                <w:color w:val="000000"/>
                <w:szCs w:val="21"/>
              </w:rPr>
              <w:t>杉木群系</w:t>
            </w:r>
          </w:p>
        </w:tc>
      </w:tr>
      <w:tr w14:paraId="60BB4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0B23BDED">
            <w:pPr>
              <w:pStyle w:val="159"/>
              <w:rPr>
                <w:rFonts w:ascii="宋体" w:hAnsi="宋体"/>
                <w:szCs w:val="24"/>
              </w:rPr>
            </w:pPr>
            <w:r>
              <w:rPr>
                <w:rFonts w:hint="eastAsia" w:ascii="宋体" w:hAnsi="宋体"/>
                <w:szCs w:val="24"/>
              </w:rPr>
              <w:t>11</w:t>
            </w:r>
          </w:p>
        </w:tc>
        <w:tc>
          <w:tcPr>
            <w:tcW w:w="1734" w:type="pct"/>
            <w:vAlign w:val="center"/>
          </w:tcPr>
          <w:p w14:paraId="7539E644">
            <w:pPr>
              <w:pStyle w:val="159"/>
              <w:rPr>
                <w:rFonts w:ascii="宋体" w:hAnsi="宋体"/>
                <w:szCs w:val="24"/>
              </w:rPr>
            </w:pPr>
            <w:r>
              <w:t>111</w:t>
            </w:r>
            <w:r>
              <w:rPr>
                <w:rFonts w:hint="eastAsia"/>
              </w:rPr>
              <w:t>°</w:t>
            </w:r>
            <w:r>
              <w:t>49'55.426"</w:t>
            </w:r>
          </w:p>
        </w:tc>
        <w:tc>
          <w:tcPr>
            <w:tcW w:w="1560" w:type="pct"/>
            <w:vAlign w:val="center"/>
          </w:tcPr>
          <w:p w14:paraId="4943AF3F">
            <w:pPr>
              <w:pStyle w:val="159"/>
              <w:rPr>
                <w:rFonts w:ascii="宋体" w:hAnsi="宋体"/>
                <w:szCs w:val="24"/>
              </w:rPr>
            </w:pPr>
            <w:r>
              <w:t>25</w:t>
            </w:r>
            <w:r>
              <w:rPr>
                <w:rFonts w:hint="eastAsia"/>
              </w:rPr>
              <w:t>°</w:t>
            </w:r>
            <w:r>
              <w:t>3'34.342"</w:t>
            </w:r>
          </w:p>
        </w:tc>
        <w:tc>
          <w:tcPr>
            <w:tcW w:w="1135" w:type="pct"/>
            <w:vAlign w:val="center"/>
          </w:tcPr>
          <w:p w14:paraId="732884C1">
            <w:pPr>
              <w:pStyle w:val="159"/>
            </w:pPr>
            <w:r>
              <w:rPr>
                <w:rFonts w:hint="eastAsia"/>
                <w:color w:val="000000"/>
                <w:szCs w:val="21"/>
              </w:rPr>
              <w:t>黧蒴锥群系</w:t>
            </w:r>
          </w:p>
        </w:tc>
      </w:tr>
      <w:tr w14:paraId="4A263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0EC5C1D2">
            <w:pPr>
              <w:pStyle w:val="159"/>
              <w:rPr>
                <w:rFonts w:ascii="宋体" w:hAnsi="宋体"/>
                <w:szCs w:val="24"/>
              </w:rPr>
            </w:pPr>
            <w:r>
              <w:rPr>
                <w:rFonts w:hint="eastAsia" w:ascii="宋体" w:hAnsi="宋体"/>
                <w:szCs w:val="24"/>
              </w:rPr>
              <w:t>12</w:t>
            </w:r>
          </w:p>
        </w:tc>
        <w:tc>
          <w:tcPr>
            <w:tcW w:w="1734" w:type="pct"/>
            <w:vAlign w:val="center"/>
          </w:tcPr>
          <w:p w14:paraId="53A9526F">
            <w:pPr>
              <w:pStyle w:val="159"/>
              <w:rPr>
                <w:rFonts w:ascii="宋体" w:hAnsi="宋体"/>
                <w:szCs w:val="24"/>
              </w:rPr>
            </w:pPr>
            <w:r>
              <w:t>111</w:t>
            </w:r>
            <w:r>
              <w:rPr>
                <w:rFonts w:hint="eastAsia"/>
              </w:rPr>
              <w:t>°</w:t>
            </w:r>
            <w:r>
              <w:t>49'37.058"</w:t>
            </w:r>
          </w:p>
        </w:tc>
        <w:tc>
          <w:tcPr>
            <w:tcW w:w="1560" w:type="pct"/>
            <w:vAlign w:val="center"/>
          </w:tcPr>
          <w:p w14:paraId="21CC3F32">
            <w:pPr>
              <w:pStyle w:val="159"/>
              <w:rPr>
                <w:rFonts w:ascii="宋体" w:hAnsi="宋体"/>
                <w:szCs w:val="24"/>
              </w:rPr>
            </w:pPr>
            <w:r>
              <w:t>24</w:t>
            </w:r>
            <w:r>
              <w:rPr>
                <w:rFonts w:hint="eastAsia"/>
              </w:rPr>
              <w:t>°</w:t>
            </w:r>
            <w:r>
              <w:t>58'59.410"</w:t>
            </w:r>
          </w:p>
        </w:tc>
        <w:tc>
          <w:tcPr>
            <w:tcW w:w="1135" w:type="pct"/>
            <w:vAlign w:val="center"/>
          </w:tcPr>
          <w:p w14:paraId="01E47DA8">
            <w:pPr>
              <w:pStyle w:val="159"/>
            </w:pPr>
            <w:r>
              <w:rPr>
                <w:rFonts w:hint="eastAsia"/>
                <w:color w:val="000000"/>
                <w:szCs w:val="21"/>
              </w:rPr>
              <w:t>马尾松群系</w:t>
            </w:r>
          </w:p>
        </w:tc>
      </w:tr>
      <w:tr w14:paraId="4556E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33A71301">
            <w:pPr>
              <w:pStyle w:val="159"/>
              <w:rPr>
                <w:rFonts w:ascii="宋体" w:hAnsi="宋体"/>
                <w:szCs w:val="24"/>
              </w:rPr>
            </w:pPr>
            <w:r>
              <w:rPr>
                <w:rFonts w:hint="eastAsia" w:ascii="宋体" w:hAnsi="宋体"/>
                <w:szCs w:val="24"/>
              </w:rPr>
              <w:t>13</w:t>
            </w:r>
          </w:p>
        </w:tc>
        <w:tc>
          <w:tcPr>
            <w:tcW w:w="1734" w:type="pct"/>
            <w:vAlign w:val="center"/>
          </w:tcPr>
          <w:p w14:paraId="2B90D9A4">
            <w:pPr>
              <w:pStyle w:val="159"/>
              <w:rPr>
                <w:rFonts w:ascii="宋体" w:hAnsi="宋体"/>
                <w:szCs w:val="24"/>
              </w:rPr>
            </w:pPr>
            <w:r>
              <w:t>111</w:t>
            </w:r>
            <w:r>
              <w:rPr>
                <w:rFonts w:hint="eastAsia"/>
              </w:rPr>
              <w:t>°</w:t>
            </w:r>
            <w:r>
              <w:t>49'49.634"</w:t>
            </w:r>
          </w:p>
        </w:tc>
        <w:tc>
          <w:tcPr>
            <w:tcW w:w="1560" w:type="pct"/>
            <w:vAlign w:val="center"/>
          </w:tcPr>
          <w:p w14:paraId="6EFA3EF8">
            <w:pPr>
              <w:pStyle w:val="159"/>
              <w:rPr>
                <w:rFonts w:ascii="宋体" w:hAnsi="宋体"/>
                <w:szCs w:val="24"/>
              </w:rPr>
            </w:pPr>
            <w:r>
              <w:t>24</w:t>
            </w:r>
            <w:r>
              <w:rPr>
                <w:rFonts w:hint="eastAsia"/>
              </w:rPr>
              <w:t>°</w:t>
            </w:r>
            <w:r>
              <w:t>59'4.912"</w:t>
            </w:r>
          </w:p>
        </w:tc>
        <w:tc>
          <w:tcPr>
            <w:tcW w:w="1135" w:type="pct"/>
            <w:vAlign w:val="center"/>
          </w:tcPr>
          <w:p w14:paraId="08C03BA9">
            <w:pPr>
              <w:pStyle w:val="159"/>
            </w:pPr>
            <w:r>
              <w:rPr>
                <w:rFonts w:hint="eastAsia"/>
                <w:color w:val="000000"/>
                <w:szCs w:val="21"/>
              </w:rPr>
              <w:t>桉树群系</w:t>
            </w:r>
          </w:p>
        </w:tc>
      </w:tr>
      <w:tr w14:paraId="0CDE6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0AA592B9">
            <w:pPr>
              <w:pStyle w:val="159"/>
              <w:rPr>
                <w:rFonts w:ascii="宋体" w:hAnsi="宋体"/>
                <w:szCs w:val="24"/>
              </w:rPr>
            </w:pPr>
            <w:r>
              <w:rPr>
                <w:rFonts w:hint="eastAsia" w:ascii="宋体" w:hAnsi="宋体"/>
                <w:szCs w:val="24"/>
              </w:rPr>
              <w:t>14</w:t>
            </w:r>
          </w:p>
        </w:tc>
        <w:tc>
          <w:tcPr>
            <w:tcW w:w="1734" w:type="pct"/>
            <w:vAlign w:val="center"/>
          </w:tcPr>
          <w:p w14:paraId="0CFA8706">
            <w:pPr>
              <w:pStyle w:val="159"/>
              <w:rPr>
                <w:rFonts w:ascii="宋体" w:hAnsi="宋体"/>
                <w:szCs w:val="24"/>
              </w:rPr>
            </w:pPr>
            <w:r>
              <w:t>111</w:t>
            </w:r>
            <w:r>
              <w:rPr>
                <w:rFonts w:hint="eastAsia"/>
              </w:rPr>
              <w:t>°</w:t>
            </w:r>
            <w:r>
              <w:t>49'19.325"</w:t>
            </w:r>
          </w:p>
        </w:tc>
        <w:tc>
          <w:tcPr>
            <w:tcW w:w="1560" w:type="pct"/>
            <w:vAlign w:val="center"/>
          </w:tcPr>
          <w:p w14:paraId="021A9AB6">
            <w:pPr>
              <w:pStyle w:val="159"/>
              <w:rPr>
                <w:rFonts w:ascii="宋体" w:hAnsi="宋体"/>
                <w:szCs w:val="24"/>
              </w:rPr>
            </w:pPr>
            <w:r>
              <w:t>24</w:t>
            </w:r>
            <w:r>
              <w:rPr>
                <w:rFonts w:hint="eastAsia"/>
              </w:rPr>
              <w:t>°</w:t>
            </w:r>
            <w:r>
              <w:t>58'51.383"</w:t>
            </w:r>
          </w:p>
        </w:tc>
        <w:tc>
          <w:tcPr>
            <w:tcW w:w="1135" w:type="pct"/>
            <w:vAlign w:val="center"/>
          </w:tcPr>
          <w:p w14:paraId="6D03964F">
            <w:pPr>
              <w:pStyle w:val="159"/>
            </w:pPr>
            <w:r>
              <w:rPr>
                <w:rFonts w:hint="eastAsia"/>
                <w:color w:val="000000"/>
                <w:szCs w:val="21"/>
              </w:rPr>
              <w:t>狗牙根群系</w:t>
            </w:r>
          </w:p>
        </w:tc>
      </w:tr>
      <w:tr w14:paraId="124EB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1FC8AC16">
            <w:pPr>
              <w:pStyle w:val="159"/>
              <w:rPr>
                <w:rFonts w:ascii="宋体" w:hAnsi="宋体"/>
                <w:szCs w:val="24"/>
              </w:rPr>
            </w:pPr>
            <w:r>
              <w:rPr>
                <w:rFonts w:hint="eastAsia" w:ascii="宋体" w:hAnsi="宋体"/>
                <w:szCs w:val="24"/>
              </w:rPr>
              <w:t>15</w:t>
            </w:r>
          </w:p>
        </w:tc>
        <w:tc>
          <w:tcPr>
            <w:tcW w:w="1734" w:type="pct"/>
            <w:vAlign w:val="center"/>
          </w:tcPr>
          <w:p w14:paraId="707E940B">
            <w:pPr>
              <w:pStyle w:val="159"/>
            </w:pPr>
            <w:r>
              <w:rPr>
                <w:rFonts w:hint="eastAsia"/>
              </w:rPr>
              <w:t>111°51′4.6</w:t>
            </w:r>
            <w:r>
              <w:t>30</w:t>
            </w:r>
            <w:r>
              <w:rPr>
                <w:rFonts w:hint="eastAsia"/>
              </w:rPr>
              <w:t>″</w:t>
            </w:r>
          </w:p>
        </w:tc>
        <w:tc>
          <w:tcPr>
            <w:tcW w:w="1560" w:type="pct"/>
            <w:vAlign w:val="center"/>
          </w:tcPr>
          <w:p w14:paraId="430251D9">
            <w:pPr>
              <w:pStyle w:val="159"/>
            </w:pPr>
            <w:r>
              <w:rPr>
                <w:rFonts w:hint="eastAsia"/>
              </w:rPr>
              <w:t>25°6′16.93</w:t>
            </w:r>
            <w:r>
              <w:t>1</w:t>
            </w:r>
            <w:r>
              <w:rPr>
                <w:rFonts w:hint="eastAsia"/>
              </w:rPr>
              <w:t>″</w:t>
            </w:r>
          </w:p>
        </w:tc>
        <w:tc>
          <w:tcPr>
            <w:tcW w:w="1135" w:type="pct"/>
            <w:vAlign w:val="center"/>
          </w:tcPr>
          <w:p w14:paraId="49C19CAA">
            <w:pPr>
              <w:pStyle w:val="159"/>
            </w:pPr>
            <w:r>
              <w:rPr>
                <w:rFonts w:hint="eastAsia"/>
                <w:color w:val="000000"/>
                <w:szCs w:val="21"/>
              </w:rPr>
              <w:t>毛竹群系</w:t>
            </w:r>
          </w:p>
        </w:tc>
      </w:tr>
      <w:tr w14:paraId="62CD3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Align w:val="center"/>
          </w:tcPr>
          <w:p w14:paraId="0AF7E92C">
            <w:pPr>
              <w:pStyle w:val="159"/>
              <w:rPr>
                <w:rFonts w:ascii="宋体" w:hAnsi="宋体"/>
                <w:szCs w:val="24"/>
              </w:rPr>
            </w:pPr>
            <w:r>
              <w:rPr>
                <w:rFonts w:hint="eastAsia" w:ascii="宋体" w:hAnsi="宋体"/>
                <w:szCs w:val="24"/>
              </w:rPr>
              <w:t>16</w:t>
            </w:r>
          </w:p>
        </w:tc>
        <w:tc>
          <w:tcPr>
            <w:tcW w:w="1734" w:type="pct"/>
            <w:vAlign w:val="center"/>
          </w:tcPr>
          <w:p w14:paraId="63B8EB4A">
            <w:pPr>
              <w:pStyle w:val="159"/>
            </w:pPr>
            <w:r>
              <w:rPr>
                <w:rFonts w:hint="eastAsia"/>
              </w:rPr>
              <w:t>111°50′36.038″</w:t>
            </w:r>
          </w:p>
        </w:tc>
        <w:tc>
          <w:tcPr>
            <w:tcW w:w="1560" w:type="pct"/>
            <w:vAlign w:val="center"/>
          </w:tcPr>
          <w:p w14:paraId="48275976">
            <w:pPr>
              <w:pStyle w:val="159"/>
            </w:pPr>
            <w:r>
              <w:rPr>
                <w:rFonts w:hint="eastAsia"/>
              </w:rPr>
              <w:t>25°5′15.59</w:t>
            </w:r>
            <w:r>
              <w:t>8</w:t>
            </w:r>
            <w:r>
              <w:rPr>
                <w:rFonts w:hint="eastAsia"/>
              </w:rPr>
              <w:t>″</w:t>
            </w:r>
          </w:p>
        </w:tc>
        <w:tc>
          <w:tcPr>
            <w:tcW w:w="1135" w:type="pct"/>
            <w:vAlign w:val="center"/>
          </w:tcPr>
          <w:p w14:paraId="643591E7">
            <w:pPr>
              <w:pStyle w:val="159"/>
            </w:pPr>
            <w:r>
              <w:rPr>
                <w:rFonts w:hint="eastAsia"/>
                <w:color w:val="000000"/>
                <w:szCs w:val="21"/>
              </w:rPr>
              <w:t>杉木群系</w:t>
            </w:r>
          </w:p>
        </w:tc>
      </w:tr>
    </w:tbl>
    <w:p w14:paraId="0458C00D">
      <w:pPr>
        <w:pStyle w:val="3"/>
        <w:ind w:firstLine="480"/>
      </w:pPr>
      <w:r>
        <w:rPr>
          <w:rFonts w:hint="eastAsia"/>
        </w:rPr>
        <w:t>评价区内有植物430种隶属于109科311属，其中蕨类植物</w:t>
      </w:r>
      <w:r>
        <w:t>8</w:t>
      </w:r>
      <w:r>
        <w:rPr>
          <w:rFonts w:hint="eastAsia"/>
        </w:rPr>
        <w:t>科</w:t>
      </w:r>
      <w:r>
        <w:t>11</w:t>
      </w:r>
      <w:r>
        <w:rPr>
          <w:rFonts w:hint="eastAsia"/>
        </w:rPr>
        <w:t>属</w:t>
      </w:r>
      <w:r>
        <w:t>13</w:t>
      </w:r>
      <w:r>
        <w:rPr>
          <w:rFonts w:hint="eastAsia"/>
        </w:rPr>
        <w:t>种，裸子植物</w:t>
      </w:r>
      <w:r>
        <w:t>2</w:t>
      </w:r>
      <w:r>
        <w:rPr>
          <w:rFonts w:hint="eastAsia"/>
        </w:rPr>
        <w:t>科</w:t>
      </w:r>
      <w:r>
        <w:t>2</w:t>
      </w:r>
      <w:r>
        <w:rPr>
          <w:rFonts w:hint="eastAsia"/>
        </w:rPr>
        <w:t>属</w:t>
      </w:r>
      <w:r>
        <w:t>3</w:t>
      </w:r>
      <w:r>
        <w:rPr>
          <w:rFonts w:hint="eastAsia"/>
        </w:rPr>
        <w:t>种，被子植物</w:t>
      </w:r>
      <w:r>
        <w:t>99</w:t>
      </w:r>
      <w:r>
        <w:rPr>
          <w:rFonts w:hint="eastAsia"/>
        </w:rPr>
        <w:t>科</w:t>
      </w:r>
      <w:r>
        <w:t>298</w:t>
      </w:r>
      <w:r>
        <w:rPr>
          <w:rFonts w:hint="eastAsia"/>
        </w:rPr>
        <w:t>属</w:t>
      </w:r>
      <w:r>
        <w:t>414</w:t>
      </w:r>
      <w:r>
        <w:rPr>
          <w:rFonts w:hint="eastAsia"/>
        </w:rPr>
        <w:t>种。</w:t>
      </w:r>
      <w:r>
        <w:t xml:space="preserve"> </w:t>
      </w:r>
    </w:p>
    <w:p w14:paraId="5BCC6140">
      <w:pPr>
        <w:pStyle w:val="3"/>
        <w:ind w:firstLine="480"/>
      </w:pPr>
      <w:r>
        <w:rPr>
          <w:rFonts w:hint="eastAsia"/>
        </w:rPr>
        <w:t>主要乔木树种有杉木、马尾松、湿地松、桉树、枫杨、黧蒴锥、乌桕、樟树、木樨、黄檀、构树、楝</w:t>
      </w:r>
      <w:r>
        <w:rPr>
          <w:i/>
          <w:iCs/>
        </w:rPr>
        <w:t>Melia azedarach</w:t>
      </w:r>
      <w:r>
        <w:rPr>
          <w:rFonts w:hint="eastAsia"/>
        </w:rPr>
        <w:t>、香椿</w:t>
      </w:r>
      <w:r>
        <w:rPr>
          <w:i/>
          <w:iCs/>
        </w:rPr>
        <w:t>Toona sinensis</w:t>
      </w:r>
      <w:r>
        <w:rPr>
          <w:rFonts w:hint="eastAsia"/>
        </w:rPr>
        <w:t>、油桐</w:t>
      </w:r>
      <w:r>
        <w:rPr>
          <w:i/>
          <w:iCs/>
        </w:rPr>
        <w:t>Vernicia fordii</w:t>
      </w:r>
      <w:r>
        <w:rPr>
          <w:rFonts w:hint="eastAsia"/>
        </w:rPr>
        <w:t>、化香树</w:t>
      </w:r>
      <w:r>
        <w:rPr>
          <w:i/>
          <w:iCs/>
        </w:rPr>
        <w:t>Platycarya strobilacea</w:t>
      </w:r>
      <w:r>
        <w:rPr>
          <w:rFonts w:hint="eastAsia"/>
        </w:rPr>
        <w:t>、朴树</w:t>
      </w:r>
      <w:r>
        <w:rPr>
          <w:i/>
          <w:iCs/>
        </w:rPr>
        <w:t>Celtis sinensis</w:t>
      </w:r>
      <w:r>
        <w:rPr>
          <w:rFonts w:hint="eastAsia"/>
        </w:rPr>
        <w:t>、小叶石楠</w:t>
      </w:r>
      <w:r>
        <w:rPr>
          <w:i/>
          <w:iCs/>
        </w:rPr>
        <w:t>Photinia parvifolia</w:t>
      </w:r>
      <w:r>
        <w:rPr>
          <w:rFonts w:hint="eastAsia"/>
        </w:rPr>
        <w:t>、桃叶石楠</w:t>
      </w:r>
      <w:r>
        <w:rPr>
          <w:i/>
          <w:iCs/>
        </w:rPr>
        <w:t>Photinia prunifolia</w:t>
      </w:r>
      <w:r>
        <w:rPr>
          <w:rFonts w:hint="eastAsia"/>
        </w:rPr>
        <w:t>、山槐</w:t>
      </w:r>
      <w:r>
        <w:rPr>
          <w:i/>
          <w:iCs/>
        </w:rPr>
        <w:t>Albizia kalkora</w:t>
      </w:r>
      <w:r>
        <w:rPr>
          <w:rFonts w:hint="eastAsia"/>
        </w:rPr>
        <w:t>等。</w:t>
      </w:r>
      <w:r>
        <w:t xml:space="preserve"> </w:t>
      </w:r>
    </w:p>
    <w:p w14:paraId="4ABBCCBC">
      <w:pPr>
        <w:pStyle w:val="3"/>
        <w:ind w:firstLine="480"/>
      </w:pPr>
      <w:r>
        <w:rPr>
          <w:rFonts w:hint="eastAsia"/>
        </w:rPr>
        <w:t>主要灌木有胡枝子</w:t>
      </w:r>
      <w:r>
        <w:rPr>
          <w:i/>
          <w:iCs/>
        </w:rPr>
        <w:t>Lespedeza bicolor</w:t>
      </w:r>
      <w:r>
        <w:rPr>
          <w:rFonts w:hint="eastAsia"/>
        </w:rPr>
        <w:t>、截叶铁扫帚</w:t>
      </w:r>
      <w:r>
        <w:rPr>
          <w:i/>
          <w:iCs/>
        </w:rPr>
        <w:t>Lespedeza cuneata</w:t>
      </w:r>
      <w:r>
        <w:rPr>
          <w:rFonts w:hint="eastAsia"/>
        </w:rPr>
        <w:t>、粗叶悬钩子</w:t>
      </w:r>
      <w:r>
        <w:rPr>
          <w:i/>
          <w:iCs/>
        </w:rPr>
        <w:t>Rubus alceifolius</w:t>
      </w:r>
      <w:r>
        <w:rPr>
          <w:rFonts w:hint="eastAsia"/>
        </w:rPr>
        <w:t>、中华绣线菊</w:t>
      </w:r>
      <w:r>
        <w:rPr>
          <w:i/>
          <w:iCs/>
        </w:rPr>
        <w:t>Spiraea chinensis</w:t>
      </w:r>
      <w:r>
        <w:rPr>
          <w:rFonts w:hint="eastAsia"/>
        </w:rPr>
        <w:t>、山油麻</w:t>
      </w:r>
      <w:r>
        <w:rPr>
          <w:i/>
          <w:iCs/>
        </w:rPr>
        <w:t xml:space="preserve">Trema cannabina </w:t>
      </w:r>
      <w:r>
        <w:t xml:space="preserve">var. </w:t>
      </w:r>
      <w:r>
        <w:rPr>
          <w:i/>
          <w:iCs/>
        </w:rPr>
        <w:t>dielsiana</w:t>
      </w:r>
      <w:r>
        <w:rPr>
          <w:rFonts w:hint="eastAsia"/>
        </w:rPr>
        <w:t>、盐肤木</w:t>
      </w:r>
      <w:r>
        <w:rPr>
          <w:i/>
          <w:iCs/>
        </w:rPr>
        <w:t>Rhus chinensis</w:t>
      </w:r>
      <w:r>
        <w:rPr>
          <w:rFonts w:hint="eastAsia"/>
        </w:rPr>
        <w:t>、豆梨</w:t>
      </w:r>
      <w:r>
        <w:rPr>
          <w:i/>
          <w:iCs/>
        </w:rPr>
        <w:t>Pyrus calleryana</w:t>
      </w:r>
      <w:r>
        <w:rPr>
          <w:rFonts w:hint="eastAsia"/>
        </w:rPr>
        <w:t>、背叶</w:t>
      </w:r>
      <w:r>
        <w:rPr>
          <w:i/>
          <w:iCs/>
        </w:rPr>
        <w:t>Mallotus apelta</w:t>
      </w:r>
      <w:r>
        <w:rPr>
          <w:rFonts w:hint="eastAsia"/>
        </w:rPr>
        <w:t>、格药柃</w:t>
      </w:r>
      <w:r>
        <w:rPr>
          <w:i/>
          <w:iCs/>
        </w:rPr>
        <w:t>Eurya muricata</w:t>
      </w:r>
      <w:r>
        <w:rPr>
          <w:rFonts w:hint="eastAsia"/>
        </w:rPr>
        <w:t>、油茶</w:t>
      </w:r>
      <w:r>
        <w:rPr>
          <w:i/>
          <w:iCs/>
        </w:rPr>
        <w:t>Camellia oleifera</w:t>
      </w:r>
      <w:r>
        <w:rPr>
          <w:rFonts w:hint="eastAsia"/>
        </w:rPr>
        <w:t>、杜茎山</w:t>
      </w:r>
      <w:r>
        <w:rPr>
          <w:i/>
          <w:iCs/>
        </w:rPr>
        <w:t>Maesa japonica</w:t>
      </w:r>
      <w:r>
        <w:rPr>
          <w:rFonts w:hint="eastAsia"/>
        </w:rPr>
        <w:t>、白檀</w:t>
      </w:r>
      <w:r>
        <w:rPr>
          <w:i/>
          <w:iCs/>
        </w:rPr>
        <w:t xml:space="preserve">Symplocos </w:t>
      </w:r>
      <w:r>
        <w:t>paniculata</w:t>
      </w:r>
      <w:r>
        <w:rPr>
          <w:rFonts w:hint="eastAsia"/>
        </w:rPr>
        <w:t>、杜鹃</w:t>
      </w:r>
      <w:r>
        <w:rPr>
          <w:i/>
          <w:iCs/>
        </w:rPr>
        <w:t>Rhododendron simsii</w:t>
      </w:r>
      <w:r>
        <w:rPr>
          <w:rFonts w:hint="eastAsia"/>
        </w:rPr>
        <w:t>、白马骨</w:t>
      </w:r>
      <w:r>
        <w:rPr>
          <w:i/>
          <w:iCs/>
        </w:rPr>
        <w:t>Serissa serissoides</w:t>
      </w:r>
      <w:r>
        <w:rPr>
          <w:rFonts w:hint="eastAsia"/>
        </w:rPr>
        <w:t>、牡荆</w:t>
      </w:r>
      <w:r>
        <w:rPr>
          <w:i/>
          <w:iCs/>
        </w:rPr>
        <w:t xml:space="preserve">Vitex negundo </w:t>
      </w:r>
      <w:r>
        <w:t xml:space="preserve">var. </w:t>
      </w:r>
      <w:r>
        <w:rPr>
          <w:i/>
          <w:iCs/>
        </w:rPr>
        <w:t>cannabifolia</w:t>
      </w:r>
      <w:r>
        <w:rPr>
          <w:rFonts w:hint="eastAsia"/>
        </w:rPr>
        <w:t>、楤木</w:t>
      </w:r>
      <w:r>
        <w:rPr>
          <w:i/>
          <w:iCs/>
        </w:rPr>
        <w:t>Aralia elata</w:t>
      </w:r>
      <w:r>
        <w:rPr>
          <w:rFonts w:hint="eastAsia"/>
        </w:rPr>
        <w:t>等。</w:t>
      </w:r>
      <w:r>
        <w:t xml:space="preserve"> </w:t>
      </w:r>
    </w:p>
    <w:p w14:paraId="21AA2523">
      <w:pPr>
        <w:pStyle w:val="3"/>
        <w:ind w:firstLine="480"/>
      </w:pPr>
      <w:r>
        <w:rPr>
          <w:rFonts w:hint="eastAsia"/>
        </w:rPr>
        <w:t>主要草本有芒、芒萁、蕨</w:t>
      </w:r>
      <w:r>
        <w:rPr>
          <w:i/>
          <w:iCs/>
        </w:rPr>
        <w:t xml:space="preserve">Pteridium aquilinum </w:t>
      </w:r>
      <w:r>
        <w:t xml:space="preserve">var. </w:t>
      </w:r>
      <w:r>
        <w:rPr>
          <w:i/>
          <w:iCs/>
        </w:rPr>
        <w:t>Latiusculum</w:t>
      </w:r>
      <w:r>
        <w:rPr>
          <w:rFonts w:hint="eastAsia"/>
        </w:rPr>
        <w:t>、青葙、狗牙根、苎麻、葎草、小蓬草</w:t>
      </w:r>
      <w:r>
        <w:rPr>
          <w:i/>
          <w:iCs/>
        </w:rPr>
        <w:t>Conyza canadensis</w:t>
      </w:r>
      <w:r>
        <w:rPr>
          <w:rFonts w:hint="eastAsia"/>
        </w:rPr>
        <w:t>、一年蓬</w:t>
      </w:r>
      <w:r>
        <w:rPr>
          <w:i/>
          <w:iCs/>
        </w:rPr>
        <w:t>Erigeron annuus</w:t>
      </w:r>
      <w:r>
        <w:rPr>
          <w:rFonts w:hint="eastAsia"/>
        </w:rPr>
        <w:t>、窃衣</w:t>
      </w:r>
      <w:r>
        <w:t>Toril</w:t>
      </w:r>
      <w:r>
        <w:rPr>
          <w:i/>
          <w:iCs/>
        </w:rPr>
        <w:t>is scabra</w:t>
      </w:r>
      <w:r>
        <w:rPr>
          <w:rFonts w:hint="eastAsia"/>
        </w:rPr>
        <w:t>、五月艾</w:t>
      </w:r>
      <w:r>
        <w:rPr>
          <w:i/>
          <w:iCs/>
        </w:rPr>
        <w:t>Artemisia indica</w:t>
      </w:r>
      <w:r>
        <w:rPr>
          <w:rFonts w:hint="eastAsia"/>
        </w:rPr>
        <w:t>、风轮菜</w:t>
      </w:r>
      <w:r>
        <w:rPr>
          <w:i/>
          <w:iCs/>
        </w:rPr>
        <w:t>Clinopodium chinense</w:t>
      </w:r>
      <w:r>
        <w:rPr>
          <w:rFonts w:hint="eastAsia"/>
        </w:rPr>
        <w:t>、龙葵</w:t>
      </w:r>
      <w:r>
        <w:t>Solanum nigrum</w:t>
      </w:r>
      <w:r>
        <w:rPr>
          <w:rFonts w:hint="eastAsia"/>
        </w:rPr>
        <w:t>、附地菜</w:t>
      </w:r>
      <w:r>
        <w:rPr>
          <w:i/>
          <w:iCs/>
        </w:rPr>
        <w:t>Trigonotis peduncularis</w:t>
      </w:r>
      <w:r>
        <w:rPr>
          <w:rFonts w:hint="eastAsia"/>
        </w:rPr>
        <w:t>、喜旱莲子草</w:t>
      </w:r>
      <w:r>
        <w:rPr>
          <w:i/>
          <w:iCs/>
        </w:rPr>
        <w:t xml:space="preserve">Alternanthera </w:t>
      </w:r>
      <w:r>
        <w:t>philoxeroides</w:t>
      </w:r>
      <w:r>
        <w:rPr>
          <w:rFonts w:hint="eastAsia"/>
        </w:rPr>
        <w:t>、酸模</w:t>
      </w:r>
      <w:r>
        <w:rPr>
          <w:i/>
          <w:iCs/>
        </w:rPr>
        <w:t>Rumex acetosa</w:t>
      </w:r>
      <w:r>
        <w:rPr>
          <w:rFonts w:hint="eastAsia"/>
        </w:rPr>
        <w:t>、里白</w:t>
      </w:r>
      <w:r>
        <w:rPr>
          <w:i/>
          <w:iCs/>
        </w:rPr>
        <w:t>Diplopterygium glaucum</w:t>
      </w:r>
      <w:r>
        <w:rPr>
          <w:rFonts w:hint="eastAsia"/>
        </w:rPr>
        <w:t>、鬼针草、风花菜</w:t>
      </w:r>
      <w:r>
        <w:rPr>
          <w:i/>
          <w:iCs/>
        </w:rPr>
        <w:t>Rorippa globosa</w:t>
      </w:r>
      <w:r>
        <w:rPr>
          <w:rFonts w:hint="eastAsia"/>
        </w:rPr>
        <w:t>等常见种类。</w:t>
      </w:r>
      <w:r>
        <w:t xml:space="preserve"> </w:t>
      </w:r>
    </w:p>
    <w:p w14:paraId="175F6537">
      <w:pPr>
        <w:pStyle w:val="3"/>
        <w:ind w:firstLine="480"/>
      </w:pPr>
      <w:r>
        <w:rPr>
          <w:rFonts w:hint="eastAsia"/>
        </w:rPr>
        <w:t>主要竹类有毛竹</w:t>
      </w:r>
      <w:r>
        <w:rPr>
          <w:i/>
          <w:iCs/>
        </w:rPr>
        <w:t>Phyllostachys edulis</w:t>
      </w:r>
      <w:r>
        <w:rPr>
          <w:rFonts w:hint="eastAsia"/>
        </w:rPr>
        <w:t>、篌竹</w:t>
      </w:r>
      <w:r>
        <w:rPr>
          <w:i/>
          <w:iCs/>
        </w:rPr>
        <w:t>Phyllostachys nidularia</w:t>
      </w:r>
      <w:r>
        <w:rPr>
          <w:rFonts w:hint="eastAsia"/>
        </w:rPr>
        <w:t>等。</w:t>
      </w:r>
      <w:r>
        <w:t xml:space="preserve"> </w:t>
      </w:r>
    </w:p>
    <w:p w14:paraId="198EDA0A">
      <w:pPr>
        <w:pStyle w:val="140"/>
        <w:spacing w:line="360" w:lineRule="auto"/>
        <w:ind w:firstLine="480" w:firstLineChars="200"/>
        <w:rPr>
          <w:rFonts w:hint="default" w:ascii="宋体" w:hAnsi="宋体" w:eastAsia="宋体"/>
          <w:szCs w:val="24"/>
        </w:rPr>
      </w:pPr>
      <w:r>
        <w:rPr>
          <w:rFonts w:ascii="宋体" w:hAnsi="宋体" w:eastAsia="宋体"/>
          <w:szCs w:val="24"/>
        </w:rPr>
        <w:t>经调查，评价区内植物都是南方常见种，并未发现有国家重点保护野生植物和古树名木。</w:t>
      </w:r>
    </w:p>
    <w:p w14:paraId="380EB689">
      <w:pPr>
        <w:pStyle w:val="140"/>
        <w:spacing w:line="360" w:lineRule="auto"/>
        <w:ind w:firstLine="480" w:firstLineChars="200"/>
        <w:rPr>
          <w:rFonts w:hint="default"/>
        </w:rPr>
      </w:pPr>
      <w:r>
        <w:rPr>
          <w:rFonts w:hint="default" w:ascii="宋体" w:hAnsi="宋体" w:eastAsia="宋体"/>
          <w:szCs w:val="24"/>
        </w:rPr>
        <w:t>c</w:t>
      </w:r>
      <w:r>
        <w:rPr>
          <w:rFonts w:ascii="宋体" w:hAnsi="宋体" w:eastAsia="宋体"/>
          <w:szCs w:val="24"/>
        </w:rPr>
        <w:t>）动物多样性</w:t>
      </w:r>
    </w:p>
    <w:p w14:paraId="68F97C65">
      <w:pPr>
        <w:pStyle w:val="3"/>
        <w:ind w:firstLine="480"/>
      </w:pPr>
      <w:r>
        <w:rPr>
          <w:rFonts w:hint="eastAsia"/>
        </w:rPr>
        <w:t>评价区内有野生脊椎动物</w:t>
      </w:r>
      <w:r>
        <w:t>5</w:t>
      </w:r>
      <w:r>
        <w:rPr>
          <w:rFonts w:hint="eastAsia"/>
        </w:rPr>
        <w:t>纲</w:t>
      </w:r>
      <w:r>
        <w:t>12</w:t>
      </w:r>
      <w:r>
        <w:rPr>
          <w:rFonts w:hint="eastAsia"/>
        </w:rPr>
        <w:t>目</w:t>
      </w:r>
      <w:r>
        <w:t>35</w:t>
      </w:r>
      <w:r>
        <w:rPr>
          <w:rFonts w:hint="eastAsia"/>
        </w:rPr>
        <w:t>科</w:t>
      </w:r>
      <w:r>
        <w:t>66</w:t>
      </w:r>
      <w:r>
        <w:rPr>
          <w:rFonts w:hint="eastAsia"/>
        </w:rPr>
        <w:t>种，其中鸟类</w:t>
      </w:r>
      <w:r>
        <w:t>10</w:t>
      </w:r>
      <w:r>
        <w:rPr>
          <w:rFonts w:hint="eastAsia"/>
        </w:rPr>
        <w:t>目</w:t>
      </w:r>
      <w:r>
        <w:t>32</w:t>
      </w:r>
      <w:r>
        <w:rPr>
          <w:rFonts w:hint="eastAsia"/>
        </w:rPr>
        <w:t>科</w:t>
      </w:r>
      <w:r>
        <w:t>67</w:t>
      </w:r>
      <w:r>
        <w:rPr>
          <w:rFonts w:hint="eastAsia"/>
        </w:rPr>
        <w:t>种；哺乳动物</w:t>
      </w:r>
      <w:r>
        <w:t>4</w:t>
      </w:r>
      <w:r>
        <w:rPr>
          <w:rFonts w:hint="eastAsia"/>
        </w:rPr>
        <w:t>目</w:t>
      </w:r>
      <w:r>
        <w:t>6</w:t>
      </w:r>
      <w:r>
        <w:rPr>
          <w:rFonts w:hint="eastAsia"/>
        </w:rPr>
        <w:t>科</w:t>
      </w:r>
      <w:r>
        <w:t>10</w:t>
      </w:r>
      <w:r>
        <w:rPr>
          <w:rFonts w:hint="eastAsia"/>
        </w:rPr>
        <w:t>种；两栖动物</w:t>
      </w:r>
      <w:r>
        <w:t>1</w:t>
      </w:r>
      <w:r>
        <w:rPr>
          <w:rFonts w:hint="eastAsia"/>
        </w:rPr>
        <w:t>目</w:t>
      </w:r>
      <w:r>
        <w:t>4</w:t>
      </w:r>
      <w:r>
        <w:rPr>
          <w:rFonts w:hint="eastAsia"/>
        </w:rPr>
        <w:t>科</w:t>
      </w:r>
      <w:r>
        <w:t>8</w:t>
      </w:r>
      <w:r>
        <w:rPr>
          <w:rFonts w:hint="eastAsia"/>
        </w:rPr>
        <w:t>种；爬行动物</w:t>
      </w:r>
      <w:r>
        <w:t>1</w:t>
      </w:r>
      <w:r>
        <w:rPr>
          <w:rFonts w:hint="eastAsia"/>
        </w:rPr>
        <w:t>目</w:t>
      </w:r>
      <w:r>
        <w:t>4</w:t>
      </w:r>
      <w:r>
        <w:rPr>
          <w:rFonts w:hint="eastAsia"/>
        </w:rPr>
        <w:t>科</w:t>
      </w:r>
      <w:r>
        <w:t>5</w:t>
      </w:r>
      <w:r>
        <w:rPr>
          <w:rFonts w:hint="eastAsia"/>
        </w:rPr>
        <w:t>种。</w:t>
      </w:r>
    </w:p>
    <w:p w14:paraId="462629F3">
      <w:pPr>
        <w:pStyle w:val="3"/>
        <w:ind w:firstLine="480"/>
      </w:pPr>
      <w:r>
        <w:t>1</w:t>
      </w:r>
      <w:r>
        <w:rPr>
          <w:rFonts w:hint="eastAsia"/>
        </w:rPr>
        <w:t>）两栖动物</w:t>
      </w:r>
      <w:r>
        <w:t xml:space="preserve"> </w:t>
      </w:r>
    </w:p>
    <w:p w14:paraId="41242CDD">
      <w:pPr>
        <w:pStyle w:val="3"/>
        <w:ind w:firstLine="480"/>
      </w:pPr>
      <w:r>
        <w:rPr>
          <w:rFonts w:hint="eastAsia"/>
        </w:rPr>
        <w:t>评价区内发现有两栖动物</w:t>
      </w:r>
      <w:r>
        <w:t>1</w:t>
      </w:r>
      <w:r>
        <w:rPr>
          <w:rFonts w:hint="eastAsia"/>
        </w:rPr>
        <w:t>目</w:t>
      </w:r>
      <w:r>
        <w:t>4</w:t>
      </w:r>
      <w:r>
        <w:rPr>
          <w:rFonts w:hint="eastAsia"/>
        </w:rPr>
        <w:t>科</w:t>
      </w:r>
      <w:r>
        <w:t>8</w:t>
      </w:r>
      <w:r>
        <w:rPr>
          <w:rFonts w:hint="eastAsia"/>
        </w:rPr>
        <w:t>种。动物群落为亚热带林灌、草地、农田动物群，属于静水型蛙类包括黑斑侧褶蛙</w:t>
      </w:r>
      <w:r>
        <w:rPr>
          <w:i/>
          <w:iCs/>
        </w:rPr>
        <w:t>Pelophylax nigromaculatus</w:t>
      </w:r>
      <w:r>
        <w:rPr>
          <w:rFonts w:hint="eastAsia"/>
        </w:rPr>
        <w:t>、泽陆蛙</w:t>
      </w:r>
      <w:r>
        <w:rPr>
          <w:i/>
          <w:iCs/>
        </w:rPr>
        <w:t>Fejervarya multistriata</w:t>
      </w:r>
      <w:r>
        <w:rPr>
          <w:rFonts w:hint="eastAsia"/>
        </w:rPr>
        <w:t>、沼水蛙</w:t>
      </w:r>
      <w:r>
        <w:rPr>
          <w:i/>
          <w:iCs/>
        </w:rPr>
        <w:t xml:space="preserve">Hylarana guentheri </w:t>
      </w:r>
      <w:r>
        <w:t>3</w:t>
      </w:r>
      <w:r>
        <w:rPr>
          <w:rFonts w:hint="eastAsia"/>
        </w:rPr>
        <w:t>种，它们主要是在评价区内的水沟内或水域附近的草丛中及稻田等静水水体中生活，与人类活动关系较密切。</w:t>
      </w:r>
      <w:r>
        <w:t xml:space="preserve"> </w:t>
      </w:r>
    </w:p>
    <w:p w14:paraId="23D9EF1B">
      <w:pPr>
        <w:pStyle w:val="3"/>
        <w:ind w:firstLine="480"/>
      </w:pPr>
      <w:r>
        <w:rPr>
          <w:rFonts w:hint="eastAsia"/>
        </w:rPr>
        <w:t>评价区内无国家重点保护两栖动物，有省级重点保护两栖动物</w:t>
      </w:r>
      <w:r>
        <w:t>4</w:t>
      </w:r>
      <w:r>
        <w:rPr>
          <w:rFonts w:hint="eastAsia"/>
        </w:rPr>
        <w:t>种，分别为中华蟾蜍</w:t>
      </w:r>
      <w:r>
        <w:rPr>
          <w:i/>
          <w:iCs/>
        </w:rPr>
        <w:t>Bufo gargarizans</w:t>
      </w:r>
      <w:r>
        <w:rPr>
          <w:rFonts w:hint="eastAsia"/>
        </w:rPr>
        <w:t>、黑眶蟾蜍</w:t>
      </w:r>
      <w:r>
        <w:rPr>
          <w:i/>
          <w:iCs/>
        </w:rPr>
        <w:t>Duttaphrynus melanostictus</w:t>
      </w:r>
      <w:r>
        <w:rPr>
          <w:rFonts w:hint="eastAsia"/>
        </w:rPr>
        <w:t>、黑斑侧褶蛙和棘胸蛙</w:t>
      </w:r>
      <w:r>
        <w:rPr>
          <w:i/>
          <w:iCs/>
        </w:rPr>
        <w:t>Quasipaa spinosa</w:t>
      </w:r>
      <w:r>
        <w:rPr>
          <w:rFonts w:hint="eastAsia"/>
        </w:rPr>
        <w:t>，均为常见物种。</w:t>
      </w:r>
      <w:r>
        <w:t xml:space="preserve"> </w:t>
      </w:r>
    </w:p>
    <w:p w14:paraId="7AB6A9F5">
      <w:pPr>
        <w:pStyle w:val="3"/>
        <w:ind w:firstLine="480"/>
      </w:pPr>
      <w:r>
        <w:t>2</w:t>
      </w:r>
      <w:r>
        <w:rPr>
          <w:rFonts w:hint="eastAsia"/>
        </w:rPr>
        <w:t>）爬行动物</w:t>
      </w:r>
      <w:r>
        <w:t xml:space="preserve"> </w:t>
      </w:r>
    </w:p>
    <w:p w14:paraId="4CA32353">
      <w:pPr>
        <w:pStyle w:val="3"/>
        <w:ind w:firstLine="480"/>
      </w:pPr>
      <w:r>
        <w:rPr>
          <w:rFonts w:hint="eastAsia"/>
        </w:rPr>
        <w:t>爬行动物</w:t>
      </w:r>
      <w:r>
        <w:t>1</w:t>
      </w:r>
      <w:r>
        <w:rPr>
          <w:rFonts w:hint="eastAsia"/>
        </w:rPr>
        <w:t>目</w:t>
      </w:r>
      <w:r>
        <w:t>4</w:t>
      </w:r>
      <w:r>
        <w:rPr>
          <w:rFonts w:hint="eastAsia"/>
        </w:rPr>
        <w:t>科</w:t>
      </w:r>
      <w:r>
        <w:t>5</w:t>
      </w:r>
      <w:r>
        <w:rPr>
          <w:rFonts w:hint="eastAsia"/>
        </w:rPr>
        <w:t>种，未发现有国家重点保护动物；按照生活习性，灌丛石隙型：包括中国石龙子</w:t>
      </w:r>
      <w:r>
        <w:rPr>
          <w:i/>
          <w:iCs/>
        </w:rPr>
        <w:t xml:space="preserve">Plestiodon chinensis </w:t>
      </w:r>
      <w:r>
        <w:t>1</w:t>
      </w:r>
      <w:r>
        <w:rPr>
          <w:rFonts w:hint="eastAsia"/>
        </w:rPr>
        <w:t>种。它们主要在评价区内的灌丛中活动，与人类活动关系较密切。林栖傍水型：包括中国水蛇</w:t>
      </w:r>
      <w:r>
        <w:rPr>
          <w:i/>
          <w:iCs/>
        </w:rPr>
        <w:t>Myrrophis chinensis</w:t>
      </w:r>
      <w:r>
        <w:rPr>
          <w:rFonts w:hint="eastAsia"/>
        </w:rPr>
        <w:t>、乌华游蛇</w:t>
      </w:r>
      <w:r>
        <w:rPr>
          <w:i/>
          <w:iCs/>
        </w:rPr>
        <w:t>Trimerodytes percarinatus</w:t>
      </w:r>
      <w:r>
        <w:rPr>
          <w:rFonts w:hint="eastAsia"/>
        </w:rPr>
        <w:t>等</w:t>
      </w:r>
      <w:r>
        <w:t>2</w:t>
      </w:r>
      <w:r>
        <w:rPr>
          <w:rFonts w:hint="eastAsia"/>
        </w:rPr>
        <w:t>种。它们主要在评价区内的水域、稻田活动。</w:t>
      </w:r>
    </w:p>
    <w:p w14:paraId="298F02CB">
      <w:pPr>
        <w:pStyle w:val="3"/>
        <w:ind w:firstLine="480"/>
      </w:pPr>
      <w:r>
        <w:rPr>
          <w:rFonts w:hint="eastAsia"/>
        </w:rPr>
        <w:t>评价区内无国家重点保护爬行物种，有省级重点保护爬行物种</w:t>
      </w:r>
      <w:r>
        <w:t>4</w:t>
      </w:r>
      <w:r>
        <w:rPr>
          <w:rFonts w:hint="eastAsia"/>
        </w:rPr>
        <w:t>种，分别为中国石龙子</w:t>
      </w:r>
      <w:r>
        <w:rPr>
          <w:i/>
          <w:iCs/>
        </w:rPr>
        <w:t>Plestiodon chinensis</w:t>
      </w:r>
      <w:r>
        <w:rPr>
          <w:rFonts w:hint="eastAsia"/>
        </w:rPr>
        <w:t>、翠青蛇</w:t>
      </w:r>
      <w:r>
        <w:rPr>
          <w:i/>
          <w:iCs/>
        </w:rPr>
        <w:t>Cyclophiops major</w:t>
      </w:r>
      <w:r>
        <w:rPr>
          <w:rFonts w:hint="eastAsia"/>
        </w:rPr>
        <w:t>、黄链蛇</w:t>
      </w:r>
      <w:r>
        <w:rPr>
          <w:i/>
          <w:iCs/>
        </w:rPr>
        <w:t>Dinodon flavozonatum</w:t>
      </w:r>
      <w:r>
        <w:rPr>
          <w:rFonts w:hint="eastAsia"/>
        </w:rPr>
        <w:t>和乌华游蛇，均为常见种。</w:t>
      </w:r>
    </w:p>
    <w:p w14:paraId="6E6ADED7">
      <w:pPr>
        <w:pStyle w:val="3"/>
        <w:ind w:firstLine="480"/>
      </w:pPr>
      <w:r>
        <w:t>3</w:t>
      </w:r>
      <w:r>
        <w:rPr>
          <w:rFonts w:hint="eastAsia"/>
        </w:rPr>
        <w:t>）鸟类</w:t>
      </w:r>
      <w:r>
        <w:t xml:space="preserve"> </w:t>
      </w:r>
    </w:p>
    <w:p w14:paraId="17DED987">
      <w:pPr>
        <w:pStyle w:val="3"/>
        <w:ind w:firstLine="480"/>
        <w:rPr>
          <w:szCs w:val="24"/>
        </w:rPr>
      </w:pPr>
      <w:r>
        <w:rPr>
          <w:rFonts w:hint="eastAsia"/>
        </w:rPr>
        <w:t>根据调查和资料显示，评价区中鸟类有</w:t>
      </w:r>
      <w:r>
        <w:t>10</w:t>
      </w:r>
      <w:r>
        <w:rPr>
          <w:rFonts w:hint="eastAsia"/>
        </w:rPr>
        <w:t>目</w:t>
      </w:r>
      <w:r>
        <w:t>32</w:t>
      </w:r>
      <w:r>
        <w:rPr>
          <w:rFonts w:hint="eastAsia"/>
        </w:rPr>
        <w:t>科</w:t>
      </w:r>
      <w:r>
        <w:t>67</w:t>
      </w:r>
      <w:r>
        <w:rPr>
          <w:rFonts w:hint="eastAsia"/>
        </w:rPr>
        <w:t>种。在评价区内发现国家二级保护动物</w:t>
      </w:r>
      <w:r>
        <w:t>9</w:t>
      </w:r>
      <w:r>
        <w:rPr>
          <w:rFonts w:hint="eastAsia"/>
        </w:rPr>
        <w:t>种，均为鸟类，有褐翅鸦鹃</w:t>
      </w:r>
      <w:r>
        <w:t xml:space="preserve"> </w:t>
      </w:r>
      <w:r>
        <w:rPr>
          <w:i/>
          <w:iCs/>
        </w:rPr>
        <w:t>Centropus sinensis</w:t>
      </w:r>
      <w:r>
        <w:rPr>
          <w:rFonts w:hint="eastAsia"/>
        </w:rPr>
        <w:t>、斑头鸺鹠</w:t>
      </w:r>
      <w:r>
        <w:rPr>
          <w:i/>
          <w:iCs/>
        </w:rPr>
        <w:t>Glaucidium cuculoides</w:t>
      </w:r>
      <w:r>
        <w:rPr>
          <w:rFonts w:hint="eastAsia"/>
        </w:rPr>
        <w:t>、领角鸮</w:t>
      </w:r>
      <w:r>
        <w:rPr>
          <w:i/>
          <w:iCs/>
        </w:rPr>
        <w:t>Otus lettia</w:t>
      </w:r>
      <w:r>
        <w:rPr>
          <w:rFonts w:hint="eastAsia"/>
        </w:rPr>
        <w:t>、蛇雕</w:t>
      </w:r>
      <w:r>
        <w:rPr>
          <w:i/>
          <w:iCs/>
        </w:rPr>
        <w:t>Spilornis cheela</w:t>
      </w:r>
      <w:r>
        <w:rPr>
          <w:rFonts w:hint="eastAsia"/>
        </w:rPr>
        <w:t>、普通鵟</w:t>
      </w:r>
      <w:r>
        <w:rPr>
          <w:i/>
          <w:iCs/>
        </w:rPr>
        <w:t>Buteo japonicus</w:t>
      </w:r>
      <w:r>
        <w:rPr>
          <w:rFonts w:hint="eastAsia"/>
        </w:rPr>
        <w:t>、赤腹鹰</w:t>
      </w:r>
      <w:r>
        <w:rPr>
          <w:i/>
          <w:iCs/>
        </w:rPr>
        <w:t>Accipiter soloensis</w:t>
      </w:r>
      <w:r>
        <w:rPr>
          <w:rFonts w:hint="eastAsia"/>
        </w:rPr>
        <w:t>、红隼</w:t>
      </w:r>
      <w:r>
        <w:rPr>
          <w:i/>
          <w:iCs/>
        </w:rPr>
        <w:t>Falco tinnunculus</w:t>
      </w:r>
      <w:r>
        <w:rPr>
          <w:rFonts w:hint="eastAsia"/>
        </w:rPr>
        <w:t>、画眉</w:t>
      </w:r>
      <w:r>
        <w:rPr>
          <w:i/>
          <w:iCs/>
        </w:rPr>
        <w:t xml:space="preserve">Garrulax canorus </w:t>
      </w:r>
      <w:r>
        <w:rPr>
          <w:rFonts w:hint="eastAsia"/>
        </w:rPr>
        <w:t>、红嘴相思鸟</w:t>
      </w:r>
      <w:r>
        <w:t xml:space="preserve"> </w:t>
      </w:r>
      <w:r>
        <w:rPr>
          <w:i/>
          <w:iCs/>
        </w:rPr>
        <w:t>Leiothrix lutea</w:t>
      </w:r>
      <w:r>
        <w:rPr>
          <w:rFonts w:hint="eastAsia"/>
        </w:rPr>
        <w:t>。发现省级保护鸟类</w:t>
      </w:r>
      <w:r>
        <w:t>32</w:t>
      </w:r>
      <w:r>
        <w:rPr>
          <w:rFonts w:hint="eastAsia"/>
        </w:rPr>
        <w:t>种，分别为领雀嘴</w:t>
      </w:r>
      <w:r>
        <w:rPr>
          <w:szCs w:val="24"/>
        </w:rPr>
        <w:t>鹎</w:t>
      </w:r>
      <w:r>
        <w:rPr>
          <w:i/>
          <w:iCs/>
          <w:szCs w:val="24"/>
        </w:rPr>
        <w:t>Spizixos semitorques</w:t>
      </w:r>
      <w:r>
        <w:rPr>
          <w:szCs w:val="24"/>
        </w:rPr>
        <w:t>、池鹭</w:t>
      </w:r>
      <w:r>
        <w:rPr>
          <w:i/>
          <w:iCs/>
          <w:szCs w:val="24"/>
        </w:rPr>
        <w:t>Ardeola bacchus</w:t>
      </w:r>
      <w:r>
        <w:rPr>
          <w:szCs w:val="24"/>
        </w:rPr>
        <w:t>、牛背鹭</w:t>
      </w:r>
      <w:r>
        <w:rPr>
          <w:i/>
          <w:iCs/>
          <w:szCs w:val="24"/>
        </w:rPr>
        <w:t>Bubulcus coromandus</w:t>
      </w:r>
      <w:r>
        <w:rPr>
          <w:szCs w:val="24"/>
        </w:rPr>
        <w:t xml:space="preserve">、白鹭 </w:t>
      </w:r>
      <w:r>
        <w:rPr>
          <w:i/>
          <w:iCs/>
          <w:szCs w:val="24"/>
        </w:rPr>
        <w:t>Egretta garzetta</w:t>
      </w:r>
      <w:r>
        <w:rPr>
          <w:szCs w:val="24"/>
        </w:rPr>
        <w:t>等，均为常见种。</w:t>
      </w:r>
    </w:p>
    <w:p w14:paraId="5B4BE0E4">
      <w:pPr>
        <w:pStyle w:val="3"/>
        <w:ind w:firstLine="480"/>
      </w:pPr>
      <w:r>
        <w:t>根据评价区植被类型，将鸟类群落分成以下4种类型：</w:t>
      </w:r>
    </w:p>
    <w:p w14:paraId="08FF644C">
      <w:pPr>
        <w:pStyle w:val="3"/>
        <w:ind w:firstLine="480"/>
      </w:pPr>
      <w:r>
        <w:rPr>
          <w:rFonts w:hint="eastAsia"/>
        </w:rPr>
        <w:t>（</w:t>
      </w:r>
      <w:r>
        <w:t>1）山地森林型：主要分布在评价区的森林环境中，如雉类，颈雉</w:t>
      </w:r>
      <w:r>
        <w:rPr>
          <w:i/>
        </w:rPr>
        <w:t>Phasianus colchicus</w:t>
      </w:r>
      <w:r>
        <w:t>、灰胸竹鸡</w:t>
      </w:r>
      <w:r>
        <w:rPr>
          <w:i/>
        </w:rPr>
        <w:t>Bambusicola thoracicus</w:t>
      </w:r>
      <w:r>
        <w:t xml:space="preserve">等，栖息于竹林、森林、灌丛内。还有一些林鸟，如大山雀 </w:t>
      </w:r>
      <w:r>
        <w:rPr>
          <w:i/>
        </w:rPr>
        <w:t>Parus minor</w:t>
      </w:r>
      <w:r>
        <w:t>、黑短脚鹎</w:t>
      </w:r>
      <w:r>
        <w:rPr>
          <w:i/>
        </w:rPr>
        <w:t>Hypsipetes leucocephalus</w:t>
      </w:r>
      <w:r>
        <w:t xml:space="preserve"> 黄眉柳莺</w:t>
      </w:r>
      <w:r>
        <w:rPr>
          <w:i/>
        </w:rPr>
        <w:t>Phylloscopus inornatus</w:t>
      </w:r>
      <w:r>
        <w:t>、黄腰柳莺</w:t>
      </w:r>
      <w:r>
        <w:rPr>
          <w:i/>
        </w:rPr>
        <w:t>Phylloscopus proregulus</w:t>
      </w:r>
      <w:r>
        <w:t>、灰眶雀鹛</w:t>
      </w:r>
      <w:r>
        <w:rPr>
          <w:i/>
        </w:rPr>
        <w:t>Alcippe davidi</w:t>
      </w:r>
      <w:r>
        <w:t>、红嘴相思鸟</w:t>
      </w:r>
      <w:r>
        <w:rPr>
          <w:i/>
        </w:rPr>
        <w:t>Leiothrix lutea</w:t>
      </w:r>
      <w:r>
        <w:t xml:space="preserve">等中小型林鸟。 </w:t>
      </w:r>
    </w:p>
    <w:p w14:paraId="48B76670">
      <w:pPr>
        <w:pStyle w:val="3"/>
        <w:ind w:firstLine="480"/>
      </w:pPr>
      <w:r>
        <w:rPr>
          <w:rFonts w:hint="eastAsia"/>
        </w:rPr>
        <w:t>（</w:t>
      </w:r>
      <w:r>
        <w:t>2）农田民宅型：此类鸟类生活在人类活动较多的农田和村落，如麻雀Passer domesticus、白头鹎</w:t>
      </w:r>
      <w:r>
        <w:rPr>
          <w:i/>
          <w:iCs/>
        </w:rPr>
        <w:t>Pycnonotus sinensis</w:t>
      </w:r>
      <w:r>
        <w:t>、乌鸫</w:t>
      </w:r>
      <w:r>
        <w:rPr>
          <w:i/>
          <w:iCs/>
        </w:rPr>
        <w:t>Turdus mandarinus</w:t>
      </w:r>
      <w:r>
        <w:t>、小鹀</w:t>
      </w:r>
      <w:r>
        <w:rPr>
          <w:i/>
          <w:iCs/>
        </w:rPr>
        <w:t>Emberiza pusilla</w:t>
      </w:r>
      <w:r>
        <w:t xml:space="preserve">等。 </w:t>
      </w:r>
    </w:p>
    <w:p w14:paraId="3EE1C4AF">
      <w:pPr>
        <w:pStyle w:val="3"/>
        <w:ind w:firstLine="480"/>
      </w:pPr>
      <w:r>
        <w:rPr>
          <w:rFonts w:hint="eastAsia"/>
        </w:rPr>
        <w:t>（</w:t>
      </w:r>
      <w:r>
        <w:t xml:space="preserve">3）河湖溪沟型：此类鸟类常在草滩、潜水河流中及附近河谷活动，以鱼虾及昆虫为食，如池鹭、白鹭、普通翠鸟、灰背燕尾等。 </w:t>
      </w:r>
    </w:p>
    <w:p w14:paraId="764339EC">
      <w:pPr>
        <w:pStyle w:val="3"/>
        <w:ind w:firstLine="480"/>
      </w:pPr>
      <w:r>
        <w:rPr>
          <w:rFonts w:hint="eastAsia"/>
        </w:rPr>
        <w:t>（</w:t>
      </w:r>
      <w:r>
        <w:t>4）灌丛及草坡型：此群落鸟类大多为雀形目鸟类，如棕颈钩嘴鹛</w:t>
      </w:r>
      <w:r>
        <w:rPr>
          <w:i/>
        </w:rPr>
        <w:t>Pomatorhinus ruficollis</w:t>
      </w:r>
      <w:r>
        <w:t>、白颊噪鹛</w:t>
      </w:r>
      <w:r>
        <w:rPr>
          <w:i/>
        </w:rPr>
        <w:t>Garrulax sannio</w:t>
      </w:r>
      <w:r>
        <w:t>、棕头鸦雀</w:t>
      </w:r>
      <w:r>
        <w:rPr>
          <w:i/>
        </w:rPr>
        <w:t>Sinosuthora webbiana</w:t>
      </w:r>
      <w:r>
        <w:t>、红头穗鹛</w:t>
      </w:r>
      <w:r>
        <w:rPr>
          <w:i/>
        </w:rPr>
        <w:t>Cyanoderma ruficeps</w:t>
      </w:r>
      <w:r>
        <w:t xml:space="preserve">、纯色山鹪莺 </w:t>
      </w:r>
      <w:r>
        <w:rPr>
          <w:i/>
        </w:rPr>
        <w:t>Prinia inornata</w:t>
      </w:r>
      <w:r>
        <w:t xml:space="preserve">等。 </w:t>
      </w:r>
    </w:p>
    <w:p w14:paraId="0C121676">
      <w:pPr>
        <w:pStyle w:val="3"/>
        <w:ind w:firstLine="480"/>
      </w:pPr>
      <w:r>
        <w:rPr>
          <w:rFonts w:hint="eastAsia"/>
        </w:rPr>
        <w:t>5</w:t>
      </w:r>
      <w:r>
        <w:t xml:space="preserve">）哺乳动物 </w:t>
      </w:r>
    </w:p>
    <w:p w14:paraId="650F9FFA">
      <w:pPr>
        <w:pStyle w:val="3"/>
        <w:ind w:firstLine="480"/>
      </w:pPr>
      <w:r>
        <w:t>哺乳动物4目6科10种，其中有褐家鼠</w:t>
      </w:r>
      <w:r>
        <w:rPr>
          <w:i/>
        </w:rPr>
        <w:t xml:space="preserve"> Rattus norvegicus</w:t>
      </w:r>
      <w:r>
        <w:t xml:space="preserve">、小家鼠Mus musculus、赤腹松鼠 </w:t>
      </w:r>
      <w:r>
        <w:rPr>
          <w:i/>
        </w:rPr>
        <w:t>Calosciurus erythraeus</w:t>
      </w:r>
      <w:r>
        <w:t>、隐纹花松鼠</w:t>
      </w:r>
      <w:r>
        <w:rPr>
          <w:i/>
        </w:rPr>
        <w:t>Tamiops macclellandi</w:t>
      </w:r>
      <w:r>
        <w:t xml:space="preserve">和黄鼬 </w:t>
      </w:r>
      <w:r>
        <w:rPr>
          <w:i/>
        </w:rPr>
        <w:t>Mustela sibirica</w:t>
      </w:r>
      <w:r>
        <w:t>等。无国家重点保护哺乳动物，有省级重点保护哺乳动物6种，分别为东亚伏翼</w:t>
      </w:r>
      <w:r>
        <w:rPr>
          <w:i/>
        </w:rPr>
        <w:t>Pipistrellus abramus</w:t>
      </w:r>
      <w:r>
        <w:t>、中华菊头蝠</w:t>
      </w:r>
      <w:r>
        <w:rPr>
          <w:i/>
        </w:rPr>
        <w:t>Rhinolophus affinis</w:t>
      </w:r>
      <w:r>
        <w:t>、赤腹松鼠、隐纹花松鼠和黄鼬</w:t>
      </w:r>
      <w:r>
        <w:rPr>
          <w:i/>
        </w:rPr>
        <w:t xml:space="preserve"> Mustela sibirica</w:t>
      </w:r>
      <w:r>
        <w:t>和猪獾</w:t>
      </w:r>
      <w:r>
        <w:rPr>
          <w:i/>
        </w:rPr>
        <w:t xml:space="preserve"> Arctonyx collaris</w:t>
      </w:r>
      <w:r>
        <w:t>。</w:t>
      </w:r>
    </w:p>
    <w:p w14:paraId="7AAECBA5">
      <w:pPr>
        <w:pStyle w:val="6"/>
        <w:ind w:left="0" w:firstLine="0"/>
      </w:pPr>
      <w:r>
        <w:rPr>
          <w:rFonts w:hint="eastAsia"/>
        </w:rPr>
        <w:t>水生生态现状调查</w:t>
      </w:r>
    </w:p>
    <w:p w14:paraId="1B7FDDE6">
      <w:pPr>
        <w:pStyle w:val="3"/>
        <w:ind w:firstLine="480"/>
        <w:rPr>
          <w:rFonts w:ascii="CIDFont+F3" w:eastAsia="CIDFont+F3" w:cs="CIDFont+F3"/>
        </w:rPr>
      </w:pPr>
      <w:r>
        <w:rPr>
          <w:rFonts w:hint="eastAsia"/>
        </w:rPr>
        <w:t>本工程不占用水域面积，工程建设不涉水，仅空中跨越涔天河湿地公园、竹瓦河、枫木溪和木源溪。故对水生生态仅进行生态影响简单分析。区域内水生生物种类较少，且多为常见种，如浮游植物的绿藻门、硅藻门和蓝藻门种类，浮游动物的原生动物和轮虫类；底栖动物以腹足纲为主要优势类群，其次为昆虫纲和双壳纲。常见种类包括虾类、蟹类、田螺、河螺等。</w:t>
      </w:r>
    </w:p>
    <w:p w14:paraId="7E79DEF0">
      <w:pPr>
        <w:pStyle w:val="3"/>
        <w:ind w:firstLine="480"/>
      </w:pPr>
      <w:r>
        <w:rPr>
          <w:rFonts w:hint="eastAsia"/>
        </w:rPr>
        <w:t>鱼类</w:t>
      </w:r>
      <w:r>
        <w:t>2</w:t>
      </w:r>
      <w:r>
        <w:rPr>
          <w:rFonts w:hint="eastAsia"/>
        </w:rPr>
        <w:t>目</w:t>
      </w:r>
      <w:r>
        <w:t>2</w:t>
      </w:r>
      <w:r>
        <w:rPr>
          <w:rFonts w:hint="eastAsia"/>
        </w:rPr>
        <w:t>科</w:t>
      </w:r>
      <w:r>
        <w:t>7</w:t>
      </w:r>
      <w:r>
        <w:rPr>
          <w:rFonts w:hint="eastAsia"/>
        </w:rPr>
        <w:t>种，主要为青鱼、鲤鱼、鲫鱼等。这些鱼类经济价值较高且有一定产量，是库区内常见鱼类。评价区范围内没有发现国家级和湖南省重点保护鱼类。</w:t>
      </w:r>
    </w:p>
    <w:p w14:paraId="56FCE2A6">
      <w:pPr>
        <w:pStyle w:val="6"/>
        <w:ind w:left="0" w:firstLine="0"/>
      </w:pPr>
      <w:r>
        <w:rPr>
          <w:rFonts w:hint="eastAsia"/>
        </w:rPr>
        <w:t>生态敏感目标现状调查</w:t>
      </w:r>
    </w:p>
    <w:p w14:paraId="2A3BD2FE">
      <w:pPr>
        <w:pStyle w:val="3"/>
        <w:ind w:firstLine="480"/>
      </w:pPr>
      <w:r>
        <w:rPr>
          <w:rFonts w:hint="eastAsia"/>
        </w:rPr>
        <w:t>本项目在选址选线阶段对线路周边生态敏感区进行了尽量避让，无害化跨越生态保护红线</w:t>
      </w:r>
      <w:r>
        <w:t>3</w:t>
      </w:r>
      <w:r>
        <w:rPr>
          <w:rFonts w:hint="eastAsia"/>
        </w:rPr>
        <w:t>次、湖南江华岑华河国家湿地公园2次；穿越姑婆山风景名胜区一次，在其内设有塔杆7基。</w:t>
      </w:r>
    </w:p>
    <w:p w14:paraId="63333931">
      <w:pPr>
        <w:pStyle w:val="7"/>
      </w:pPr>
      <w:r>
        <w:rPr>
          <w:rFonts w:hint="eastAsia"/>
        </w:rPr>
        <w:t>湖南生态保护红线</w:t>
      </w:r>
    </w:p>
    <w:p w14:paraId="5278F56A">
      <w:pPr>
        <w:pStyle w:val="3"/>
        <w:ind w:firstLine="480"/>
      </w:pPr>
      <w:r>
        <w:rPr>
          <w:rFonts w:hint="eastAsia"/>
        </w:rPr>
        <w:t>a）生态保护红线概况</w:t>
      </w:r>
    </w:p>
    <w:p w14:paraId="3628CA2A">
      <w:pPr>
        <w:pStyle w:val="3"/>
        <w:ind w:firstLine="480"/>
      </w:pPr>
      <w:r>
        <w:t>2018</w:t>
      </w:r>
      <w:r>
        <w:rPr>
          <w:rFonts w:hint="eastAsia"/>
        </w:rPr>
        <w:t>年</w:t>
      </w:r>
      <w:r>
        <w:t>7</w:t>
      </w:r>
      <w:r>
        <w:rPr>
          <w:rFonts w:hint="eastAsia"/>
        </w:rPr>
        <w:t>月</w:t>
      </w:r>
      <w:r>
        <w:t>25</w:t>
      </w:r>
      <w:r>
        <w:rPr>
          <w:rFonts w:hint="eastAsia"/>
        </w:rPr>
        <w:t>日，湖南省人民政府通过《湖南省人民政府关于印发</w:t>
      </w:r>
      <w:r>
        <w:t>&lt;</w:t>
      </w:r>
      <w:r>
        <w:rPr>
          <w:rFonts w:hint="eastAsia"/>
        </w:rPr>
        <w:t>湖南省生态保护红线</w:t>
      </w:r>
      <w:r>
        <w:t>&gt;</w:t>
      </w:r>
      <w:r>
        <w:rPr>
          <w:rFonts w:hint="eastAsia"/>
        </w:rPr>
        <w:t>的通知》（湘政发〔</w:t>
      </w:r>
      <w:r>
        <w:t>2018</w:t>
      </w:r>
      <w:r>
        <w:rPr>
          <w:rFonts w:hint="eastAsia"/>
        </w:rPr>
        <w:t>〕</w:t>
      </w:r>
      <w:r>
        <w:t>20</w:t>
      </w:r>
      <w:r>
        <w:rPr>
          <w:rFonts w:hint="eastAsia"/>
        </w:rPr>
        <w:t>号）正式公布了《湖南省生态保护红线》。湖南省生态保护红线划定面积为</w:t>
      </w:r>
      <w:r>
        <w:t>4.1889</w:t>
      </w:r>
      <w:r>
        <w:rPr>
          <w:rFonts w:hint="eastAsia"/>
        </w:rPr>
        <w:t>万</w:t>
      </w:r>
      <w:r>
        <w:t>km</w:t>
      </w:r>
      <w:r>
        <w:rPr>
          <w:vertAlign w:val="superscript"/>
        </w:rPr>
        <w:t>2</w:t>
      </w:r>
      <w:r>
        <w:rPr>
          <w:rFonts w:hint="eastAsia"/>
        </w:rPr>
        <w:t>。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区及重要水域。</w:t>
      </w:r>
    </w:p>
    <w:p w14:paraId="54685628">
      <w:pPr>
        <w:pStyle w:val="3"/>
        <w:ind w:firstLine="480"/>
      </w:pPr>
      <w:r>
        <w:rPr>
          <w:rFonts w:hint="eastAsia"/>
        </w:rPr>
        <w:t>b）工程与生态保护红线位置关系</w:t>
      </w:r>
    </w:p>
    <w:p w14:paraId="4ACDA39E">
      <w:pPr>
        <w:pStyle w:val="3"/>
        <w:ind w:firstLine="480"/>
      </w:pPr>
      <w:r>
        <w:rPr>
          <w:rFonts w:hint="eastAsia"/>
        </w:rPr>
        <w:t>受城镇规划、自然条件等因素的限制，本工程输电线路无法完全避让生态保护红线。经查询，本工程无害化跨越生态保护红线3次，均为南岭水源涵养、生物多样性维护生态保护红线，</w:t>
      </w:r>
      <w:r>
        <w:rPr>
          <w:rFonts w:hint="eastAsia"/>
          <w:color w:val="000000" w:themeColor="text1"/>
          <w14:textFill>
            <w14:solidFill>
              <w14:schemeClr w14:val="tx1"/>
            </w14:solidFill>
          </w14:textFill>
        </w:rPr>
        <w:t>跨越长度为</w:t>
      </w:r>
      <w:r>
        <w:rPr>
          <w:color w:val="000000" w:themeColor="text1"/>
          <w14:textFill>
            <w14:solidFill>
              <w14:schemeClr w14:val="tx1"/>
            </w14:solidFill>
          </w14:textFill>
        </w:rPr>
        <w:t>1045m</w:t>
      </w:r>
      <w:r>
        <w:rPr>
          <w:rFonts w:hint="eastAsia"/>
          <w:color w:val="000000" w:themeColor="text1"/>
          <w14:textFill>
            <w14:solidFill>
              <w14:schemeClr w14:val="tx1"/>
            </w14:solidFill>
          </w14:textFill>
        </w:rPr>
        <w:t>，均为高空跨越，不在生态保护红线区域内立塔。</w:t>
      </w:r>
    </w:p>
    <w:p w14:paraId="6C772817">
      <w:pPr>
        <w:pStyle w:val="3"/>
        <w:ind w:firstLine="480"/>
      </w:pPr>
      <w:r>
        <w:rPr>
          <w:rFonts w:hint="eastAsia"/>
        </w:rPr>
        <w:t>项目与生态保护红线位置关系见附图5所示。</w:t>
      </w:r>
    </w:p>
    <w:p w14:paraId="3976BCC2">
      <w:pPr>
        <w:pStyle w:val="7"/>
      </w:pPr>
      <w:r>
        <w:rPr>
          <w:rFonts w:hint="eastAsia"/>
        </w:rPr>
        <w:t>湖南江华涔天河国家湿地公园</w:t>
      </w:r>
    </w:p>
    <w:p w14:paraId="6650C353">
      <w:pPr>
        <w:pStyle w:val="3"/>
        <w:ind w:firstLine="480"/>
      </w:pPr>
      <w:r>
        <w:rPr>
          <w:rFonts w:hint="eastAsia"/>
        </w:rPr>
        <w:t>a）湿地公园概况</w:t>
      </w:r>
    </w:p>
    <w:p w14:paraId="10B29C3C">
      <w:pPr>
        <w:pStyle w:val="3"/>
        <w:ind w:firstLine="480"/>
      </w:pPr>
      <w:r>
        <w:t>1</w:t>
      </w:r>
      <w:r>
        <w:rPr>
          <w:rFonts w:hint="eastAsia"/>
        </w:rPr>
        <w:t>）地理位置和范围</w:t>
      </w:r>
    </w:p>
    <w:p w14:paraId="2F205269">
      <w:pPr>
        <w:pStyle w:val="3"/>
        <w:ind w:firstLine="480"/>
      </w:pPr>
      <w:r>
        <w:rPr>
          <w:rFonts w:hint="eastAsia"/>
        </w:rPr>
        <w:t>湖南江华涔天河国家湿地公园主要包括涔天河水库及其下游的涔天河、西河和沱江及周边一定区域。地理坐标大致为：东经</w:t>
      </w:r>
      <w:r>
        <w:t>111</w:t>
      </w:r>
      <w:r>
        <w:rPr>
          <w:rFonts w:hint="eastAsia"/>
        </w:rPr>
        <w:t>°</w:t>
      </w:r>
      <w:r>
        <w:t>33</w:t>
      </w:r>
      <w:r>
        <w:rPr>
          <w:rFonts w:hint="eastAsia"/>
        </w:rPr>
        <w:t>′</w:t>
      </w:r>
      <w:r>
        <w:t>46"</w:t>
      </w:r>
      <w:r>
        <w:rPr>
          <w:rFonts w:hint="eastAsia"/>
        </w:rPr>
        <w:t>～</w:t>
      </w:r>
      <w:r>
        <w:t>111</w:t>
      </w:r>
      <w:r>
        <w:rPr>
          <w:rFonts w:hint="eastAsia"/>
        </w:rPr>
        <w:t>°</w:t>
      </w:r>
      <w:r>
        <w:t>50</w:t>
      </w:r>
      <w:r>
        <w:rPr>
          <w:rFonts w:hint="eastAsia"/>
        </w:rPr>
        <w:t>′</w:t>
      </w:r>
      <w:r>
        <w:t>30"</w:t>
      </w:r>
      <w:r>
        <w:rPr>
          <w:rFonts w:hint="eastAsia"/>
        </w:rPr>
        <w:t>，北纬</w:t>
      </w:r>
      <w:r>
        <w:t>24</w:t>
      </w:r>
      <w:r>
        <w:rPr>
          <w:rFonts w:hint="eastAsia"/>
        </w:rPr>
        <w:t>°</w:t>
      </w:r>
      <w:r>
        <w:t>56</w:t>
      </w:r>
      <w:r>
        <w:rPr>
          <w:rFonts w:hint="eastAsia"/>
        </w:rPr>
        <w:t>′</w:t>
      </w:r>
      <w:r>
        <w:t>58"</w:t>
      </w:r>
      <w:r>
        <w:rPr>
          <w:rFonts w:hint="eastAsia"/>
        </w:rPr>
        <w:t>～</w:t>
      </w:r>
      <w:r>
        <w:t>25</w:t>
      </w:r>
      <w:r>
        <w:rPr>
          <w:rFonts w:hint="eastAsia"/>
        </w:rPr>
        <w:t>°</w:t>
      </w:r>
      <w:r>
        <w:t>12</w:t>
      </w:r>
      <w:r>
        <w:rPr>
          <w:rFonts w:hint="eastAsia"/>
        </w:rPr>
        <w:t>′</w:t>
      </w:r>
      <w:r>
        <w:t>36"</w:t>
      </w:r>
      <w:r>
        <w:rPr>
          <w:rFonts w:hint="eastAsia"/>
        </w:rPr>
        <w:t>。规划总面积为</w:t>
      </w:r>
      <w:r>
        <w:t>2864.8hm</w:t>
      </w:r>
      <w:r>
        <w:rPr>
          <w:vertAlign w:val="superscript"/>
        </w:rPr>
        <w:t>2</w:t>
      </w:r>
      <w:r>
        <w:rPr>
          <w:rFonts w:hint="eastAsia"/>
        </w:rPr>
        <w:t>。2018年正式成为国家湿地公园，2</w:t>
      </w:r>
      <w:r>
        <w:t>021</w:t>
      </w:r>
      <w:r>
        <w:rPr>
          <w:rFonts w:hint="eastAsia"/>
        </w:rPr>
        <w:t>年8月列入湖南省第二批省级重要湿地名录。</w:t>
      </w:r>
    </w:p>
    <w:p w14:paraId="57F91CD4">
      <w:pPr>
        <w:pStyle w:val="3"/>
        <w:ind w:firstLine="480"/>
      </w:pPr>
      <w:r>
        <w:t>2</w:t>
      </w:r>
      <w:r>
        <w:rPr>
          <w:rFonts w:hint="eastAsia"/>
        </w:rPr>
        <w:t>）功能分区</w:t>
      </w:r>
    </w:p>
    <w:p w14:paraId="437FF68A">
      <w:pPr>
        <w:pStyle w:val="3"/>
        <w:ind w:firstLine="480"/>
      </w:pPr>
      <w:r>
        <w:rPr>
          <w:rFonts w:hint="eastAsia"/>
        </w:rPr>
        <w:t>湖南江华涔天河国家湿地公园被区划为以下三个功能区：保育区、恢复重建区、合理利用区。从下表可以看出，保育区面积为</w:t>
      </w:r>
      <w:r>
        <w:t>2722.3hm</w:t>
      </w:r>
      <w:r>
        <w:rPr>
          <w:vertAlign w:val="superscript"/>
        </w:rPr>
        <w:t>2</w:t>
      </w:r>
      <w:r>
        <w:rPr>
          <w:rFonts w:hint="eastAsia"/>
        </w:rPr>
        <w:t>，占湖南江华涔天河国家</w:t>
      </w:r>
    </w:p>
    <w:p w14:paraId="1F21E3E0">
      <w:pPr>
        <w:pStyle w:val="3"/>
        <w:ind w:firstLine="480"/>
      </w:pPr>
      <w:r>
        <w:rPr>
          <w:rFonts w:hint="eastAsia"/>
        </w:rPr>
        <w:t>湿地公园总面积的</w:t>
      </w:r>
      <w:r>
        <w:t>95.03%</w:t>
      </w:r>
      <w:r>
        <w:rPr>
          <w:rFonts w:hint="eastAsia"/>
        </w:rPr>
        <w:t>，是湿地公园的绝对主体。</w:t>
      </w:r>
    </w:p>
    <w:p w14:paraId="722FD6BF">
      <w:pPr>
        <w:pStyle w:val="148"/>
      </w:pPr>
      <w:r>
        <w:rPr>
          <w:rFonts w:hint="eastAsia"/>
        </w:rPr>
        <w:t>表</w:t>
      </w:r>
      <w:r>
        <w:t>2.3-2</w:t>
      </w:r>
      <w:r>
        <w:rPr>
          <w:rFonts w:hint="eastAsia"/>
        </w:rPr>
        <w:t>湖南江华涔天河国家湿地公园功能分区表</w:t>
      </w: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62"/>
        <w:gridCol w:w="1695"/>
        <w:gridCol w:w="1894"/>
        <w:gridCol w:w="1882"/>
        <w:gridCol w:w="1828"/>
      </w:tblGrid>
      <w:tr w14:paraId="00092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62" w:type="dxa"/>
            <w:vAlign w:val="center"/>
          </w:tcPr>
          <w:p w14:paraId="576639B0">
            <w:pPr>
              <w:pStyle w:val="159"/>
            </w:pPr>
            <w:r>
              <w:rPr>
                <w:rFonts w:hint="eastAsia"/>
              </w:rPr>
              <w:t>序号</w:t>
            </w:r>
          </w:p>
        </w:tc>
        <w:tc>
          <w:tcPr>
            <w:tcW w:w="1695" w:type="dxa"/>
            <w:vAlign w:val="center"/>
          </w:tcPr>
          <w:p w14:paraId="1DEFBA94">
            <w:pPr>
              <w:pStyle w:val="159"/>
            </w:pPr>
            <w:r>
              <w:rPr>
                <w:rFonts w:hint="eastAsia"/>
              </w:rPr>
              <w:t>分区</w:t>
            </w:r>
          </w:p>
        </w:tc>
        <w:tc>
          <w:tcPr>
            <w:tcW w:w="1894" w:type="dxa"/>
            <w:vAlign w:val="center"/>
          </w:tcPr>
          <w:p w14:paraId="07C0088E">
            <w:pPr>
              <w:pStyle w:val="159"/>
            </w:pPr>
            <w:r>
              <w:rPr>
                <w:rFonts w:hint="eastAsia"/>
              </w:rPr>
              <w:t>面积（公顷）</w:t>
            </w:r>
          </w:p>
        </w:tc>
        <w:tc>
          <w:tcPr>
            <w:tcW w:w="1882" w:type="dxa"/>
            <w:vAlign w:val="center"/>
          </w:tcPr>
          <w:p w14:paraId="6D14ED79">
            <w:pPr>
              <w:pStyle w:val="159"/>
            </w:pPr>
            <w:r>
              <w:rPr>
                <w:rFonts w:hint="eastAsia"/>
              </w:rPr>
              <w:t>比例（</w:t>
            </w:r>
            <w:r>
              <w:rPr>
                <w:rFonts w:ascii="TimesNewRomanPS-BoldMT" w:eastAsia="TimesNewRomanPS-BoldMT" w:cs="TimesNewRomanPS-BoldMT"/>
                <w:b/>
                <w:bCs/>
              </w:rPr>
              <w:t>%</w:t>
            </w:r>
            <w:r>
              <w:rPr>
                <w:rFonts w:hint="eastAsia"/>
              </w:rPr>
              <w:t>）</w:t>
            </w:r>
          </w:p>
        </w:tc>
        <w:tc>
          <w:tcPr>
            <w:tcW w:w="1828" w:type="dxa"/>
            <w:vAlign w:val="center"/>
          </w:tcPr>
          <w:p w14:paraId="56E73C82">
            <w:pPr>
              <w:pStyle w:val="159"/>
            </w:pPr>
            <w:r>
              <w:rPr>
                <w:rFonts w:hint="eastAsia"/>
              </w:rPr>
              <w:t>主导功能</w:t>
            </w:r>
          </w:p>
        </w:tc>
      </w:tr>
      <w:tr w14:paraId="34F79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62" w:type="dxa"/>
            <w:vAlign w:val="center"/>
          </w:tcPr>
          <w:p w14:paraId="799C96F7">
            <w:pPr>
              <w:pStyle w:val="159"/>
            </w:pPr>
            <w:r>
              <w:rPr>
                <w:rFonts w:hint="eastAsia"/>
              </w:rPr>
              <w:t>1</w:t>
            </w:r>
          </w:p>
        </w:tc>
        <w:tc>
          <w:tcPr>
            <w:tcW w:w="1695" w:type="dxa"/>
            <w:vAlign w:val="center"/>
          </w:tcPr>
          <w:p w14:paraId="6B255B7D">
            <w:pPr>
              <w:pStyle w:val="159"/>
            </w:pPr>
            <w:r>
              <w:rPr>
                <w:rFonts w:hint="eastAsia"/>
              </w:rPr>
              <w:t>保育区</w:t>
            </w:r>
          </w:p>
        </w:tc>
        <w:tc>
          <w:tcPr>
            <w:tcW w:w="1894" w:type="dxa"/>
            <w:vAlign w:val="center"/>
          </w:tcPr>
          <w:p w14:paraId="075878F2">
            <w:pPr>
              <w:pStyle w:val="159"/>
            </w:pPr>
            <w:r>
              <w:t>2722.3</w:t>
            </w:r>
          </w:p>
        </w:tc>
        <w:tc>
          <w:tcPr>
            <w:tcW w:w="1882" w:type="dxa"/>
            <w:vAlign w:val="center"/>
          </w:tcPr>
          <w:p w14:paraId="68249CBA">
            <w:pPr>
              <w:pStyle w:val="159"/>
            </w:pPr>
            <w:r>
              <w:t>95.03</w:t>
            </w:r>
          </w:p>
        </w:tc>
        <w:tc>
          <w:tcPr>
            <w:tcW w:w="1828" w:type="dxa"/>
            <w:vAlign w:val="center"/>
          </w:tcPr>
          <w:p w14:paraId="5F9D69FA">
            <w:pPr>
              <w:pStyle w:val="159"/>
            </w:pPr>
            <w:r>
              <w:rPr>
                <w:rFonts w:hint="eastAsia"/>
              </w:rPr>
              <w:t>保护、提高</w:t>
            </w:r>
          </w:p>
        </w:tc>
      </w:tr>
      <w:tr w14:paraId="14160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62" w:type="dxa"/>
            <w:vAlign w:val="center"/>
          </w:tcPr>
          <w:p w14:paraId="1965ECA6">
            <w:pPr>
              <w:pStyle w:val="159"/>
            </w:pPr>
            <w:r>
              <w:rPr>
                <w:rFonts w:hint="eastAsia"/>
              </w:rPr>
              <w:t>2</w:t>
            </w:r>
          </w:p>
        </w:tc>
        <w:tc>
          <w:tcPr>
            <w:tcW w:w="1695" w:type="dxa"/>
            <w:vAlign w:val="center"/>
          </w:tcPr>
          <w:p w14:paraId="44FF1A0F">
            <w:pPr>
              <w:pStyle w:val="159"/>
            </w:pPr>
            <w:r>
              <w:rPr>
                <w:rFonts w:hint="eastAsia"/>
              </w:rPr>
              <w:t>恢复重建区</w:t>
            </w:r>
          </w:p>
        </w:tc>
        <w:tc>
          <w:tcPr>
            <w:tcW w:w="1894" w:type="dxa"/>
            <w:vAlign w:val="center"/>
          </w:tcPr>
          <w:p w14:paraId="76345B04">
            <w:pPr>
              <w:pStyle w:val="159"/>
            </w:pPr>
            <w:r>
              <w:t>112.9</w:t>
            </w:r>
          </w:p>
        </w:tc>
        <w:tc>
          <w:tcPr>
            <w:tcW w:w="1882" w:type="dxa"/>
            <w:vAlign w:val="center"/>
          </w:tcPr>
          <w:p w14:paraId="5194A9EE">
            <w:pPr>
              <w:pStyle w:val="159"/>
            </w:pPr>
            <w:r>
              <w:t>3.94</w:t>
            </w:r>
          </w:p>
        </w:tc>
        <w:tc>
          <w:tcPr>
            <w:tcW w:w="1828" w:type="dxa"/>
            <w:vAlign w:val="center"/>
          </w:tcPr>
          <w:p w14:paraId="4F47E481">
            <w:pPr>
              <w:pStyle w:val="159"/>
            </w:pPr>
            <w:r>
              <w:rPr>
                <w:rFonts w:hint="eastAsia"/>
              </w:rPr>
              <w:t>保护、提高</w:t>
            </w:r>
          </w:p>
        </w:tc>
      </w:tr>
      <w:tr w14:paraId="23385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62" w:type="dxa"/>
            <w:vAlign w:val="center"/>
          </w:tcPr>
          <w:p w14:paraId="2C611A54">
            <w:pPr>
              <w:pStyle w:val="159"/>
            </w:pPr>
            <w:r>
              <w:rPr>
                <w:rFonts w:hint="eastAsia"/>
              </w:rPr>
              <w:t>3</w:t>
            </w:r>
          </w:p>
        </w:tc>
        <w:tc>
          <w:tcPr>
            <w:tcW w:w="1695" w:type="dxa"/>
            <w:vAlign w:val="center"/>
          </w:tcPr>
          <w:p w14:paraId="185F69AF">
            <w:pPr>
              <w:pStyle w:val="159"/>
            </w:pPr>
            <w:r>
              <w:rPr>
                <w:rFonts w:hint="eastAsia"/>
              </w:rPr>
              <w:t>合理利用区</w:t>
            </w:r>
          </w:p>
        </w:tc>
        <w:tc>
          <w:tcPr>
            <w:tcW w:w="1894" w:type="dxa"/>
            <w:vAlign w:val="center"/>
          </w:tcPr>
          <w:p w14:paraId="243BE521">
            <w:pPr>
              <w:pStyle w:val="159"/>
            </w:pPr>
            <w:r>
              <w:t>29.6</w:t>
            </w:r>
          </w:p>
        </w:tc>
        <w:tc>
          <w:tcPr>
            <w:tcW w:w="1882" w:type="dxa"/>
            <w:vAlign w:val="center"/>
          </w:tcPr>
          <w:p w14:paraId="28D1E9F2">
            <w:pPr>
              <w:pStyle w:val="159"/>
            </w:pPr>
            <w:r>
              <w:t>1.03</w:t>
            </w:r>
          </w:p>
        </w:tc>
        <w:tc>
          <w:tcPr>
            <w:tcW w:w="1828" w:type="dxa"/>
            <w:vAlign w:val="center"/>
          </w:tcPr>
          <w:p w14:paraId="1808C348">
            <w:pPr>
              <w:pStyle w:val="159"/>
            </w:pPr>
            <w:r>
              <w:rPr>
                <w:rFonts w:hint="eastAsia"/>
              </w:rPr>
              <w:t>提高、利用</w:t>
            </w:r>
          </w:p>
        </w:tc>
      </w:tr>
      <w:tr w14:paraId="7AC11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457" w:type="dxa"/>
            <w:gridSpan w:val="2"/>
            <w:vAlign w:val="center"/>
          </w:tcPr>
          <w:p w14:paraId="2ACF22E3">
            <w:pPr>
              <w:pStyle w:val="159"/>
              <w:rPr>
                <w:rFonts w:ascii="TimesNewRomanPSMT" w:eastAsia="TimesNewRomanPSMT" w:cs="TimesNewRomanPSMT"/>
              </w:rPr>
            </w:pPr>
            <w:r>
              <w:rPr>
                <w:rFonts w:hint="eastAsia"/>
              </w:rPr>
              <w:t>合计</w:t>
            </w:r>
          </w:p>
        </w:tc>
        <w:tc>
          <w:tcPr>
            <w:tcW w:w="1894" w:type="dxa"/>
            <w:vAlign w:val="center"/>
          </w:tcPr>
          <w:p w14:paraId="4EA902CA">
            <w:pPr>
              <w:pStyle w:val="159"/>
            </w:pPr>
            <w:r>
              <w:t>2864.8</w:t>
            </w:r>
          </w:p>
        </w:tc>
        <w:tc>
          <w:tcPr>
            <w:tcW w:w="1882" w:type="dxa"/>
            <w:vAlign w:val="center"/>
          </w:tcPr>
          <w:p w14:paraId="44DCD8D9">
            <w:pPr>
              <w:pStyle w:val="159"/>
            </w:pPr>
            <w:r>
              <w:t>100</w:t>
            </w:r>
          </w:p>
        </w:tc>
        <w:tc>
          <w:tcPr>
            <w:tcW w:w="1828" w:type="dxa"/>
            <w:vAlign w:val="center"/>
          </w:tcPr>
          <w:p w14:paraId="6777D206">
            <w:pPr>
              <w:pStyle w:val="148"/>
              <w:rPr>
                <w:rFonts w:ascii="TimesNewRomanPSMT" w:eastAsia="TimesNewRomanPSMT" w:cs="TimesNewRomanPSMT"/>
              </w:rPr>
            </w:pPr>
          </w:p>
        </w:tc>
      </w:tr>
    </w:tbl>
    <w:p w14:paraId="1DDBE651">
      <w:pPr>
        <w:pStyle w:val="3"/>
        <w:ind w:firstLine="480"/>
      </w:pPr>
      <w:r>
        <w:rPr>
          <w:rFonts w:hint="eastAsia"/>
          <w:szCs w:val="24"/>
        </w:rPr>
        <w:t>3）重点保护对象</w:t>
      </w:r>
    </w:p>
    <w:p w14:paraId="01AD538A">
      <w:pPr>
        <w:pStyle w:val="3"/>
        <w:ind w:firstLine="480"/>
      </w:pPr>
      <w:r>
        <w:rPr>
          <w:rFonts w:hint="eastAsia"/>
        </w:rPr>
        <w:t>涔天河国家湿地公园地处南岭山区，位于我国三大候鸟迁徙路线的中线主干上，其开阔的水域、良好的水质、多样的生境以及周边可以取食的农田，为迁徙候鸟在湘南段提供了重要的停歇和觅食场所。经科学考察，公园内植物种类繁多，特有、珍稀、保护植物均有分布，并拥有众多系统发育上古老和孤立的植物。园内有高等维管植物1039种，其中国家一、二级重点保护植物7种，省级重点保护植物17种，湖南新记录植物6种。园内有野生脊椎动物264种，二级重点保护动物有12种，25个物种被列入《中国濒危动物红色名录》，16个物种被列入《国际濒危动植物贸易公约》，湖南省重点保护野生动物107种。</w:t>
      </w:r>
    </w:p>
    <w:p w14:paraId="18B2ACA2">
      <w:pPr>
        <w:pStyle w:val="3"/>
        <w:ind w:firstLine="480"/>
      </w:pPr>
      <w:r>
        <w:rPr>
          <w:rFonts w:hint="eastAsia"/>
        </w:rPr>
        <w:t>b）工程与湿地公园位置关系</w:t>
      </w:r>
    </w:p>
    <w:p w14:paraId="13D988BE">
      <w:pPr>
        <w:pStyle w:val="3"/>
        <w:ind w:firstLine="480"/>
        <w:rPr>
          <w:color w:val="FF0000"/>
        </w:rPr>
      </w:pPr>
      <w:r>
        <w:rPr>
          <w:rFonts w:hint="eastAsia"/>
          <w:color w:val="000000" w:themeColor="text1"/>
          <w14:textFill>
            <w14:solidFill>
              <w14:schemeClr w14:val="tx1"/>
            </w14:solidFill>
          </w14:textFill>
        </w:rPr>
        <w:t>本工程输电线路以架空线路形式跨越湖南江华涔天河国家湿地公园保育区</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次，跨越长度</w:t>
      </w:r>
      <w:r>
        <w:rPr>
          <w:color w:val="000000" w:themeColor="text1"/>
          <w14:textFill>
            <w14:solidFill>
              <w14:schemeClr w14:val="tx1"/>
            </w14:solidFill>
          </w14:textFill>
        </w:rPr>
        <w:t>686m</w:t>
      </w:r>
      <w:r>
        <w:rPr>
          <w:rFonts w:hint="eastAsia"/>
          <w:color w:val="000000" w:themeColor="text1"/>
          <w14:textFill>
            <w14:solidFill>
              <w14:schemeClr w14:val="tx1"/>
            </w14:solidFill>
          </w14:textFill>
        </w:rPr>
        <w:t>，不在湿地公园内立塔，铁塔距河边最近距离为</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m。</w:t>
      </w:r>
    </w:p>
    <w:p w14:paraId="77FBEEA4">
      <w:pPr>
        <w:pStyle w:val="7"/>
      </w:pPr>
      <w:r>
        <w:rPr>
          <w:rFonts w:hint="eastAsia"/>
        </w:rPr>
        <w:t>姑婆山风景名胜区</w:t>
      </w:r>
    </w:p>
    <w:p w14:paraId="16FF0893">
      <w:pPr>
        <w:pStyle w:val="3"/>
        <w:ind w:firstLine="480"/>
      </w:pPr>
      <w:r>
        <w:rPr>
          <w:rFonts w:hint="eastAsia"/>
        </w:rPr>
        <w:t>a）风景名胜区概况</w:t>
      </w:r>
    </w:p>
    <w:p w14:paraId="735C3571">
      <w:pPr>
        <w:pStyle w:val="3"/>
        <w:ind w:firstLine="480"/>
      </w:pPr>
      <w:r>
        <w:rPr>
          <w:rFonts w:hint="eastAsia"/>
        </w:rPr>
        <w:t>姑婆山风景名胜区（简称“风景区”或“姑婆山风景区”）于</w:t>
      </w:r>
      <w:r>
        <w:t>2009</w:t>
      </w:r>
      <w:r>
        <w:rPr>
          <w:rFonts w:hint="eastAsia"/>
        </w:rPr>
        <w:t>年被批准为省级风景名胜区，湖南省人民政府批复姑婆山省级风景区的法定面积为</w:t>
      </w:r>
      <w:r>
        <w:t>80.82k</w:t>
      </w:r>
      <w:r>
        <w:rPr>
          <w:rFonts w:hint="eastAsia"/>
        </w:rPr>
        <w:t>m</w:t>
      </w:r>
      <w:r>
        <w:rPr>
          <w:vertAlign w:val="superscript"/>
        </w:rPr>
        <w:t>2</w:t>
      </w:r>
      <w:r>
        <w:rPr>
          <w:rFonts w:hint="eastAsia"/>
        </w:rPr>
        <w:t>。</w:t>
      </w:r>
      <w:r>
        <w:t>2023</w:t>
      </w:r>
      <w:r>
        <w:rPr>
          <w:rFonts w:hint="eastAsia"/>
        </w:rPr>
        <w:t>年，江华瑶族自治县上报国家林草局的自然保护地及风景区整合优化方案中的姑婆山风景区总面积约</w:t>
      </w:r>
      <w:r>
        <w:t>80.33k</w:t>
      </w:r>
      <w:r>
        <w:rPr>
          <w:rFonts w:hint="eastAsia"/>
        </w:rPr>
        <w:t>m</w:t>
      </w:r>
      <w:r>
        <w:rPr>
          <w:vertAlign w:val="superscript"/>
        </w:rPr>
        <w:t>2</w:t>
      </w:r>
      <w:r>
        <w:rPr>
          <w:rFonts w:hint="eastAsia"/>
        </w:rPr>
        <w:t>，其面积与湖南省人民政府批复的范围基本一致，只在局部进行了修正和完善。包括姑婆山、黄龙山及水口</w:t>
      </w:r>
      <w:r>
        <w:t xml:space="preserve">3 </w:t>
      </w:r>
      <w:r>
        <w:rPr>
          <w:rFonts w:hint="eastAsia"/>
        </w:rPr>
        <w:t>个景区。</w:t>
      </w:r>
    </w:p>
    <w:p w14:paraId="2ECE0C25">
      <w:pPr>
        <w:pStyle w:val="3"/>
        <w:ind w:firstLine="480"/>
      </w:pPr>
      <w:r>
        <w:rPr>
          <w:rStyle w:val="49"/>
        </w:rPr>
        <w:t>1</w:t>
      </w:r>
      <w:r>
        <w:rPr>
          <w:rStyle w:val="49"/>
          <w:rFonts w:hint="eastAsia"/>
        </w:rPr>
        <w:t>）黄</w:t>
      </w:r>
      <w:r>
        <w:rPr>
          <w:rFonts w:hint="eastAsia"/>
        </w:rPr>
        <w:t>龙山景区：北起宁远县县界，西南沿麻江源峡谷山脚至打板寮水电站，向西沿黄龙山山脊线至庙子源森林公园边界，转向南沿庙子源村山脊线至香草河口，后向东沿庙子源森林公园边界与湘江源森林公园边界至宁远县县界，地理坐标东经</w:t>
      </w:r>
      <w:r>
        <w:t>111</w:t>
      </w:r>
      <w:r>
        <w:rPr>
          <w:rFonts w:hint="eastAsia"/>
        </w:rPr>
        <w:t>°</w:t>
      </w:r>
      <w:r>
        <w:t>48'48"</w:t>
      </w:r>
      <w:r>
        <w:rPr>
          <w:rFonts w:hint="eastAsia"/>
        </w:rPr>
        <w:t>—</w:t>
      </w:r>
      <w:r>
        <w:t>111</w:t>
      </w:r>
      <w:r>
        <w:rPr>
          <w:rFonts w:hint="eastAsia"/>
        </w:rPr>
        <w:t>°</w:t>
      </w:r>
      <w:r>
        <w:t>52'17"</w:t>
      </w:r>
      <w:r>
        <w:rPr>
          <w:rFonts w:hint="eastAsia"/>
        </w:rPr>
        <w:t>、北纬</w:t>
      </w:r>
      <w:r>
        <w:t>24</w:t>
      </w:r>
      <w:r>
        <w:rPr>
          <w:rFonts w:hint="eastAsia"/>
        </w:rPr>
        <w:t>°</w:t>
      </w:r>
      <w:r>
        <w:t>57'53"</w:t>
      </w:r>
      <w:r>
        <w:rPr>
          <w:rFonts w:hint="eastAsia"/>
        </w:rPr>
        <w:t>—</w:t>
      </w:r>
      <w:r>
        <w:t>25</w:t>
      </w:r>
      <w:r>
        <w:rPr>
          <w:rFonts w:hint="eastAsia"/>
        </w:rPr>
        <w:t>°</w:t>
      </w:r>
      <w:r>
        <w:t>4'7"</w:t>
      </w:r>
      <w:r>
        <w:rPr>
          <w:rFonts w:hint="eastAsia"/>
        </w:rPr>
        <w:t>，总面积约</w:t>
      </w:r>
      <w:r>
        <w:t>41.73k</w:t>
      </w:r>
      <w:r>
        <w:rPr>
          <w:rFonts w:hint="eastAsia"/>
        </w:rPr>
        <w:t>m</w:t>
      </w:r>
      <w:r>
        <w:rPr>
          <w:vertAlign w:val="superscript"/>
        </w:rPr>
        <w:t>2</w:t>
      </w:r>
      <w:r>
        <w:rPr>
          <w:rFonts w:hint="eastAsia"/>
        </w:rPr>
        <w:t>。</w:t>
      </w:r>
    </w:p>
    <w:p w14:paraId="50F8B576">
      <w:pPr>
        <w:pStyle w:val="3"/>
        <w:ind w:firstLine="480"/>
      </w:pPr>
      <w:r>
        <w:t>2</w:t>
      </w:r>
      <w:r>
        <w:rPr>
          <w:rFonts w:hint="eastAsia"/>
        </w:rPr>
        <w:t>）水口景区：北起湘江乡大屋地水坝，向南沿麻江水岸线至桐冲瑶寨风雨桥，后向西南沿水口镇山脚线至涔天河国家自然湿地公园边界，向东北沿濠江河至十八湾，再向西北沿濠江村、山门村山脊线至湘江乡大屋地水坝，地理坐标东经</w:t>
      </w:r>
      <w:r>
        <w:t>111</w:t>
      </w:r>
      <w:r>
        <w:rPr>
          <w:rFonts w:hint="eastAsia"/>
        </w:rPr>
        <w:t>°</w:t>
      </w:r>
      <w:r>
        <w:t>52'50"</w:t>
      </w:r>
      <w:r>
        <w:rPr>
          <w:rFonts w:hint="eastAsia"/>
        </w:rPr>
        <w:t>—</w:t>
      </w:r>
      <w:r>
        <w:t>111</w:t>
      </w:r>
      <w:r>
        <w:rPr>
          <w:rFonts w:hint="eastAsia"/>
        </w:rPr>
        <w:t>°</w:t>
      </w:r>
      <w:r>
        <w:t>58'29"</w:t>
      </w:r>
      <w:r>
        <w:rPr>
          <w:rFonts w:hint="eastAsia"/>
        </w:rPr>
        <w:t>、北纬</w:t>
      </w:r>
      <w:r>
        <w:t>25</w:t>
      </w:r>
      <w:r>
        <w:rPr>
          <w:rFonts w:hint="eastAsia"/>
        </w:rPr>
        <w:t>°</w:t>
      </w:r>
      <w:r>
        <w:t>8'40"</w:t>
      </w:r>
      <w:r>
        <w:rPr>
          <w:rFonts w:hint="eastAsia"/>
        </w:rPr>
        <w:t>—</w:t>
      </w:r>
      <w:r>
        <w:t>25</w:t>
      </w:r>
      <w:r>
        <w:rPr>
          <w:rFonts w:hint="eastAsia"/>
        </w:rPr>
        <w:t>°</w:t>
      </w:r>
      <w:r>
        <w:t>13'30"</w:t>
      </w:r>
      <w:r>
        <w:rPr>
          <w:rFonts w:hint="eastAsia"/>
        </w:rPr>
        <w:t>，总面积约</w:t>
      </w:r>
      <w:r>
        <w:t>27.91k</w:t>
      </w:r>
      <w:r>
        <w:rPr>
          <w:rFonts w:hint="eastAsia"/>
        </w:rPr>
        <w:t>m</w:t>
      </w:r>
      <w:r>
        <w:rPr>
          <w:vertAlign w:val="superscript"/>
        </w:rPr>
        <w:t>2</w:t>
      </w:r>
      <w:r>
        <w:rPr>
          <w:rFonts w:hint="eastAsia"/>
        </w:rPr>
        <w:t>。</w:t>
      </w:r>
    </w:p>
    <w:p w14:paraId="70BB2BA1">
      <w:pPr>
        <w:pStyle w:val="3"/>
        <w:ind w:firstLine="480"/>
      </w:pPr>
      <w:r>
        <w:t>3</w:t>
      </w:r>
      <w:r>
        <w:rPr>
          <w:rFonts w:hint="eastAsia"/>
        </w:rPr>
        <w:t>）姑婆山景区：北起流车源电站，向西沿流车源峡谷西侧山体的山脚线至广西壮族自治区贺州市界，东南沿广西壮族自治区贺州市县界至大瓮山山脚，沿大瓮山山脚转东北沿粗石河至流车源电站，地理坐标东经</w:t>
      </w:r>
      <w:r>
        <w:t>111</w:t>
      </w:r>
      <w:r>
        <w:rPr>
          <w:rFonts w:hint="eastAsia"/>
        </w:rPr>
        <w:t>°</w:t>
      </w:r>
      <w:r>
        <w:t>35'6"</w:t>
      </w:r>
      <w:r>
        <w:rPr>
          <w:rFonts w:hint="eastAsia"/>
        </w:rPr>
        <w:t>—</w:t>
      </w:r>
      <w:r>
        <w:t>111</w:t>
      </w:r>
      <w:r>
        <w:rPr>
          <w:rFonts w:hint="eastAsia"/>
        </w:rPr>
        <w:t>°</w:t>
      </w:r>
      <w:r>
        <w:t>38'20"</w:t>
      </w:r>
      <w:r>
        <w:rPr>
          <w:rFonts w:hint="eastAsia"/>
        </w:rPr>
        <w:t>、北纬</w:t>
      </w:r>
      <w:r>
        <w:t>24</w:t>
      </w:r>
      <w:r>
        <w:rPr>
          <w:rFonts w:hint="eastAsia"/>
        </w:rPr>
        <w:t>°</w:t>
      </w:r>
      <w:r>
        <w:t>41'22"</w:t>
      </w:r>
      <w:r>
        <w:rPr>
          <w:rFonts w:hint="eastAsia"/>
        </w:rPr>
        <w:t>—</w:t>
      </w:r>
      <w:r>
        <w:t>24</w:t>
      </w:r>
      <w:r>
        <w:rPr>
          <w:rFonts w:hint="eastAsia"/>
        </w:rPr>
        <w:t>°</w:t>
      </w:r>
      <w:r>
        <w:t>44'39"</w:t>
      </w:r>
      <w:r>
        <w:rPr>
          <w:rFonts w:hint="eastAsia"/>
        </w:rPr>
        <w:t>，总面积约</w:t>
      </w:r>
      <w:r>
        <w:t>10.69k</w:t>
      </w:r>
      <w:r>
        <w:rPr>
          <w:rFonts w:hint="eastAsia"/>
        </w:rPr>
        <w:t>m</w:t>
      </w:r>
      <w:r>
        <w:rPr>
          <w:vertAlign w:val="superscript"/>
        </w:rPr>
        <w:t>2</w:t>
      </w:r>
      <w:r>
        <w:rPr>
          <w:rFonts w:hint="eastAsia"/>
        </w:rPr>
        <w:t>。</w:t>
      </w:r>
    </w:p>
    <w:p w14:paraId="70564356">
      <w:pPr>
        <w:pStyle w:val="3"/>
        <w:ind w:firstLine="480"/>
      </w:pPr>
      <w:r>
        <w:rPr>
          <w:rFonts w:hint="eastAsia"/>
        </w:rPr>
        <w:t>b）工程与风景名胜区位置关系</w:t>
      </w:r>
    </w:p>
    <w:p w14:paraId="6ECBDAC7">
      <w:pPr>
        <w:pStyle w:val="3"/>
        <w:ind w:firstLine="480"/>
      </w:pPr>
      <w:r>
        <w:rPr>
          <w:rFonts w:hint="eastAsia"/>
        </w:rPr>
        <w:t>湖南省江华湾水源抽水蓄能电站施工电源110千伏线路工程由南至北穿越姑婆山风景区水口景区，穿越段长度为2521.87m，其中穿越三级保护区8</w:t>
      </w:r>
      <w:r>
        <w:t>3.1</w:t>
      </w:r>
      <w:r>
        <w:rPr>
          <w:rFonts w:hint="eastAsia"/>
        </w:rPr>
        <w:t>m，在其内无塔杆；穿越二级保护区2</w:t>
      </w:r>
      <w:r>
        <w:t>438.77m</w:t>
      </w:r>
      <w:r>
        <w:rPr>
          <w:rFonts w:hint="eastAsia"/>
        </w:rPr>
        <w:t>，在其内设置杆塔8基，塔杆用地占地面积669.08m</w:t>
      </w:r>
      <w:r>
        <w:rPr>
          <w:rFonts w:hint="eastAsia"/>
          <w:vertAlign w:val="superscript"/>
        </w:rPr>
        <w:t>2</w:t>
      </w:r>
      <w:r>
        <w:rPr>
          <w:rFonts w:hint="eastAsia"/>
        </w:rPr>
        <w:t>，塔杆施工区域临时占地0</w:t>
      </w:r>
      <w:r>
        <w:t>.2h</w:t>
      </w:r>
      <w:r>
        <w:rPr>
          <w:rFonts w:hint="eastAsia"/>
        </w:rPr>
        <w:t>m</w:t>
      </w:r>
      <w:r>
        <w:rPr>
          <w:rFonts w:hint="eastAsia"/>
          <w:vertAlign w:val="superscript"/>
        </w:rPr>
        <w:t>2</w:t>
      </w:r>
      <w:r>
        <w:rPr>
          <w:rFonts w:hint="eastAsia"/>
        </w:rPr>
        <w:t>。</w:t>
      </w:r>
    </w:p>
    <w:p w14:paraId="4E0AAF07">
      <w:pPr>
        <w:widowControl/>
        <w:snapToGrid w:val="0"/>
        <w:ind w:firstLine="480"/>
        <w:rPr>
          <w:szCs w:val="24"/>
        </w:rPr>
        <w:sectPr>
          <w:pgSz w:w="11906" w:h="16838"/>
          <w:pgMar w:top="1588" w:right="1361" w:bottom="1474" w:left="1474" w:header="1021" w:footer="851" w:gutter="0"/>
          <w:cols w:space="425" w:num="1"/>
          <w:docGrid w:linePitch="312" w:charSpace="0"/>
        </w:sectPr>
      </w:pPr>
    </w:p>
    <w:p w14:paraId="0AE97617">
      <w:pPr>
        <w:pStyle w:val="2"/>
        <w:ind w:left="0" w:firstLine="0"/>
        <w:jc w:val="left"/>
      </w:pPr>
      <w:bookmarkStart w:id="281" w:name="_Toc174612150"/>
      <w:bookmarkStart w:id="282" w:name="_Toc186810124"/>
      <w:r>
        <w:rPr>
          <w:rFonts w:hint="eastAsia"/>
        </w:rPr>
        <w:t>生态环境影响预测与评价</w:t>
      </w:r>
      <w:bookmarkEnd w:id="281"/>
      <w:bookmarkEnd w:id="282"/>
    </w:p>
    <w:p w14:paraId="732E7989">
      <w:pPr>
        <w:pStyle w:val="5"/>
        <w:ind w:left="0" w:firstLine="0"/>
      </w:pPr>
      <w:r>
        <w:rPr>
          <w:rFonts w:hint="eastAsia"/>
        </w:rPr>
        <w:t>对生态系统的影响分析</w:t>
      </w:r>
    </w:p>
    <w:p w14:paraId="58F96D16">
      <w:pPr>
        <w:pStyle w:val="6"/>
        <w:ind w:left="0" w:firstLine="0"/>
      </w:pPr>
      <w:r>
        <w:rPr>
          <w:rFonts w:hint="eastAsia"/>
        </w:rPr>
        <w:t>对森林生态系统的影响分析</w:t>
      </w:r>
    </w:p>
    <w:p w14:paraId="2B75B06E">
      <w:pPr>
        <w:pStyle w:val="3"/>
        <w:ind w:firstLine="480"/>
        <w:rPr>
          <w:rFonts w:ascii="CIDFont+F3" w:eastAsia="CIDFont+F3" w:cs="CIDFont+F3"/>
        </w:rPr>
      </w:pPr>
      <w:r>
        <w:rPr>
          <w:rFonts w:hint="eastAsia"/>
        </w:rPr>
        <w:t>本工程建设对森林生态系统的影响主要体现在工程占地、施工扰动、人员活动和运行期的线路维护等方面。</w:t>
      </w:r>
    </w:p>
    <w:p w14:paraId="1F0B3AB4">
      <w:pPr>
        <w:pStyle w:val="3"/>
        <w:ind w:firstLine="480"/>
      </w:pPr>
      <w:r>
        <w:rPr>
          <w:rFonts w:hint="eastAsia"/>
        </w:rPr>
        <w:t>a）工程占地：工程塔基建设将直接占用部分林地，导致评价区森林生态系统面积减少。</w:t>
      </w:r>
    </w:p>
    <w:p w14:paraId="38AF9513">
      <w:pPr>
        <w:pStyle w:val="3"/>
        <w:ind w:firstLine="480"/>
        <w:rPr>
          <w:rFonts w:ascii="CIDFont+F3" w:eastAsia="CIDFont+F3" w:cs="CIDFont+F3"/>
          <w:szCs w:val="24"/>
        </w:rPr>
      </w:pPr>
      <w:r>
        <w:t>b</w:t>
      </w:r>
      <w:r>
        <w:rPr>
          <w:rFonts w:hint="eastAsia"/>
        </w:rPr>
        <w:t>）工程砍伐：架空线路尽可能采取避让和高跨措施，但仍不可避免会对无法采取避让、高跨措施的</w:t>
      </w:r>
      <w:r>
        <w:rPr>
          <w:rFonts w:hint="eastAsia"/>
          <w:szCs w:val="24"/>
        </w:rPr>
        <w:t>树木进行砍伐，该项工作将导致森林系统</w:t>
      </w:r>
      <w:r>
        <w:rPr>
          <w:rFonts w:hint="eastAsia"/>
        </w:rPr>
        <w:t>植被造成直接的损害。</w:t>
      </w:r>
    </w:p>
    <w:p w14:paraId="4CE74F21">
      <w:pPr>
        <w:pStyle w:val="3"/>
        <w:ind w:firstLine="480"/>
        <w:rPr>
          <w:rFonts w:ascii="CIDFont+F3" w:eastAsia="CIDFont+F3" w:cs="CIDFont+F3"/>
        </w:rPr>
      </w:pPr>
      <w:r>
        <w:rPr>
          <w:rFonts w:hint="eastAsia"/>
        </w:rPr>
        <w:t>c）施工扰动：施工产生的扬尘、废气、废渣、噪声等可能进入生态系统，损害系统生态质量，间接影响生态系统内生物群落的生长、发育和繁衍。</w:t>
      </w:r>
    </w:p>
    <w:p w14:paraId="2CE35A9F">
      <w:pPr>
        <w:pStyle w:val="3"/>
        <w:ind w:firstLine="480"/>
        <w:rPr>
          <w:rFonts w:ascii="CIDFont+F3" w:eastAsia="CIDFont+F3" w:cs="CIDFont+F3"/>
        </w:rPr>
      </w:pPr>
      <w:r>
        <w:rPr>
          <w:rFonts w:hint="eastAsia"/>
        </w:rPr>
        <w:t>d）施工人员活动：乱砍滥伐、随意践踏、胡乱堆放等不规范行为的发生可能会对森林植被造成直接的损害。</w:t>
      </w:r>
    </w:p>
    <w:p w14:paraId="22E558FD">
      <w:pPr>
        <w:pStyle w:val="3"/>
        <w:ind w:firstLine="480"/>
        <w:rPr>
          <w:rFonts w:ascii="CIDFont+F3" w:eastAsia="CIDFont+F3" w:cs="CIDFont+F3"/>
        </w:rPr>
      </w:pPr>
      <w:r>
        <w:rPr>
          <w:rFonts w:hint="eastAsia"/>
        </w:rPr>
        <w:t>e）线路维护：运行期为满足输电线路正常运行，需对导线下方与树木一定距离内树木的树冠进行定期修剪，使森林生态系统植被生物量减少。</w:t>
      </w:r>
    </w:p>
    <w:p w14:paraId="1E67CF92">
      <w:pPr>
        <w:pStyle w:val="3"/>
        <w:ind w:firstLine="480"/>
        <w:rPr>
          <w:rFonts w:ascii="CIDFont+F3" w:eastAsia="CIDFont+F3" w:cs="CIDFont+F3"/>
        </w:rPr>
      </w:pPr>
      <w:r>
        <w:rPr>
          <w:rFonts w:hint="eastAsia"/>
        </w:rPr>
        <w:t>森林生态系统一般具有较高的稳定性和较强的抵抗外界干扰能力，由于输电项目为点状占地，单塔基占用面积小且塔基分散，少量的林木砍伐和修剪、短暂的施工期环境质量影响等不会改变森林生态系统的结构和功能，不会使森林生态系统的群落发生演替，也不会对沿线森林生态系统环境造成系统性的破坏。</w:t>
      </w:r>
    </w:p>
    <w:p w14:paraId="3F59D8A4">
      <w:pPr>
        <w:pStyle w:val="6"/>
        <w:ind w:left="0" w:firstLine="0"/>
      </w:pPr>
      <w:r>
        <w:rPr>
          <w:rFonts w:hint="eastAsia"/>
        </w:rPr>
        <w:t>对灌丛、草地生态系统的影响分析</w:t>
      </w:r>
    </w:p>
    <w:p w14:paraId="749C52AA">
      <w:pPr>
        <w:pStyle w:val="3"/>
        <w:ind w:firstLine="480"/>
      </w:pPr>
      <w:r>
        <w:rPr>
          <w:rFonts w:hint="eastAsia"/>
        </w:rPr>
        <w:t>工程对灌丛、草地生态系统的影响主要集中在施工期，包括工程占地、施工扰动和施工人员活动；此外，由于灌丛、草地生态系统具有次生性，是生态演替的不稳定阶段，容易受外来物种的入侵。</w:t>
      </w:r>
    </w:p>
    <w:p w14:paraId="4F20D776">
      <w:pPr>
        <w:pStyle w:val="3"/>
        <w:ind w:firstLine="480"/>
      </w:pPr>
      <w:r>
        <w:rPr>
          <w:rFonts w:hint="eastAsia"/>
        </w:rPr>
        <w:t>a）工程占地：工程塔基建设将直接占用部分灌草地，导致评价区灌丛、草地生态系统面积的减少。</w:t>
      </w:r>
    </w:p>
    <w:p w14:paraId="478E35EF">
      <w:pPr>
        <w:pStyle w:val="3"/>
        <w:ind w:firstLine="480"/>
      </w:pPr>
      <w:r>
        <w:rPr>
          <w:rFonts w:hint="eastAsia"/>
        </w:rPr>
        <w:t>b）施工扰动：施工扬尘、废气、废渣等的随意排放可能会间接影响灌丛、草地中生物群落的生长发育。</w:t>
      </w:r>
    </w:p>
    <w:p w14:paraId="69B3A321">
      <w:pPr>
        <w:pStyle w:val="3"/>
        <w:ind w:firstLine="480"/>
      </w:pPr>
      <w:r>
        <w:rPr>
          <w:rFonts w:hint="eastAsia"/>
        </w:rPr>
        <w:t>c）施工人员活动：不文明施工行为会对周边灌草地环境造成破坏，直接或间接影响灌草丛中生物群落。</w:t>
      </w:r>
    </w:p>
    <w:p w14:paraId="438C6B02">
      <w:pPr>
        <w:pStyle w:val="3"/>
        <w:ind w:firstLine="480"/>
      </w:pPr>
      <w:r>
        <w:rPr>
          <w:rFonts w:hint="eastAsia"/>
        </w:rPr>
        <w:t>d）外来种入侵：在施工期间，施工人员、施工材料及其车辆的进入，可能将外来物种带入施工区域，外来物种能更好的适应和利用被干扰的环境，可能会导致灌丛、草地生态系统内原有物种的衰退。</w:t>
      </w:r>
    </w:p>
    <w:p w14:paraId="2244F3B0">
      <w:pPr>
        <w:pStyle w:val="3"/>
        <w:ind w:firstLine="480"/>
      </w:pPr>
      <w:r>
        <w:rPr>
          <w:rFonts w:hint="eastAsia"/>
        </w:rPr>
        <w:t>评价区内灌丛、草地生态系统植物群落主要由胡枝子、铁扫帚、悬钩子、芒、芒萁、狗牙根、苎麻等常见物种组成，生活于其中的动物有石龙子、中华蟾蜍等普遍种，这些物种大多分布广、适应性强、繁殖快，受外界干扰影响较小。由于输电项目架设塔基较分散，塔基占地以及施工占地面积较小，因此工程建设不会改变评价区灌丛、草地生态系统的结构和功能。灌草本植株矮小，工程线路在空间上与其相距较远，工程运行期对其基本无影响。</w:t>
      </w:r>
    </w:p>
    <w:p w14:paraId="4A457457">
      <w:pPr>
        <w:pStyle w:val="6"/>
        <w:ind w:left="0" w:firstLine="0"/>
      </w:pPr>
      <w:r>
        <w:rPr>
          <w:rFonts w:hint="eastAsia"/>
        </w:rPr>
        <w:t>对湿地生态系统的影响分析</w:t>
      </w:r>
    </w:p>
    <w:p w14:paraId="6C49EA44">
      <w:pPr>
        <w:pStyle w:val="3"/>
        <w:ind w:firstLine="480"/>
      </w:pPr>
      <w:r>
        <w:rPr>
          <w:rFonts w:hint="eastAsia"/>
        </w:rPr>
        <w:t>本工程线路水域范围内无施工活动，工程建设对湿地生态系统的影响主要为不文明施工行为产生的间接影响。</w:t>
      </w:r>
    </w:p>
    <w:p w14:paraId="463EAE82">
      <w:pPr>
        <w:pStyle w:val="3"/>
        <w:ind w:firstLine="480"/>
      </w:pPr>
      <w:r>
        <w:rPr>
          <w:rFonts w:hint="eastAsia"/>
        </w:rPr>
        <w:t>a）塔基基础的开挖、架线等施工过程中洒落的路基填土、边坡防护不及时导致的水土流失等都会对评价区的河流水质产生影响，同时间接影响湿地中动植物的正常栖息和繁殖。</w:t>
      </w:r>
    </w:p>
    <w:p w14:paraId="014FA5E8">
      <w:pPr>
        <w:pStyle w:val="3"/>
        <w:ind w:firstLine="480"/>
      </w:pPr>
      <w:r>
        <w:rPr>
          <w:rFonts w:hint="eastAsia"/>
        </w:rPr>
        <w:t>b）施工生产生活废水如不妥善处理，可能会影响周边湿地生态系统环境；施工期若产生过大噪声、灯光直射等也会影响周边湿地中野生动物的正常栖息和繁殖。</w:t>
      </w:r>
    </w:p>
    <w:p w14:paraId="29AF7D80">
      <w:pPr>
        <w:pStyle w:val="3"/>
        <w:ind w:firstLine="480"/>
      </w:pPr>
      <w:r>
        <w:rPr>
          <w:rFonts w:hint="eastAsia"/>
        </w:rPr>
        <w:t>本项目通过高空架设方式直接跨过河流、湖库等水体，不侵占岸线、河床和水面，工程建设对湿地生态系统影响较小。只要在施工前注意对施工人员进行环保意识的宣传教育，避免垃圾和污水的排放进入河道、湿地内，施工程建设对评价范围内的湿地生态系统影响可控。工程塔基不占用水域，线路与水体在空间上无交集，工程运行期对其基本无影响。</w:t>
      </w:r>
    </w:p>
    <w:p w14:paraId="0DE45E19">
      <w:pPr>
        <w:pStyle w:val="6"/>
        <w:ind w:left="0" w:firstLine="0"/>
      </w:pPr>
      <w:r>
        <w:rPr>
          <w:rFonts w:hint="eastAsia"/>
        </w:rPr>
        <w:t>对农田生态系统的影响分析</w:t>
      </w:r>
    </w:p>
    <w:p w14:paraId="2160CC46">
      <w:pPr>
        <w:pStyle w:val="3"/>
        <w:ind w:firstLine="480"/>
      </w:pPr>
      <w:r>
        <w:rPr>
          <w:rFonts w:hint="eastAsia"/>
        </w:rPr>
        <w:t>本项目永久占地和临时占地均不涉及耕地和园地，仅少部分路段架空线路跨越耕地和园地，与农作物和经济作物的最小高度均大于相关规定要求。根据已运行的同类型工程可知，运行期输电线路下方农作物的色泽、产量与其他区域并无区别。故工程建设对农田生态系统无明显影响。</w:t>
      </w:r>
    </w:p>
    <w:p w14:paraId="7BF61691">
      <w:pPr>
        <w:pStyle w:val="6"/>
        <w:ind w:left="0" w:firstLine="0"/>
      </w:pPr>
      <w:r>
        <w:rPr>
          <w:rFonts w:hint="eastAsia"/>
        </w:rPr>
        <w:t>对城镇/村落生态系统的影响分析</w:t>
      </w:r>
    </w:p>
    <w:p w14:paraId="75D77F36">
      <w:pPr>
        <w:pStyle w:val="3"/>
        <w:ind w:firstLine="480"/>
      </w:pPr>
      <w:r>
        <w:rPr>
          <w:rFonts w:hint="eastAsia"/>
        </w:rPr>
        <w:t>城镇/村落生态系统是一个高度复合的人工化生态系统，与自然生态系统在结构和功能上都存在明显差别，主要变现为当地百姓居住和社会经济活动生产的功能。工程建设可能会对当地居民生产、生活产生影响。</w:t>
      </w:r>
    </w:p>
    <w:p w14:paraId="6B7EE835">
      <w:pPr>
        <w:pStyle w:val="3"/>
        <w:ind w:firstLine="480"/>
      </w:pPr>
      <w:r>
        <w:rPr>
          <w:rFonts w:hint="eastAsia"/>
        </w:rPr>
        <w:t>施工期由于施工人员的进入，导致人口集中，生产生活垃圾排放，施工活动对动植物干扰，均可能会对评价区内城镇/村落生态系统原有的生态环境造成负面影响。施工前注意对施工人员进行环保意识的宣传教育，在施工期尽量减少垃圾和污水的排放，并利用系统内已有的污水、固废收集设施，项目建设对评价区内的城镇/村落生态系统影响较小。输电线路严格按照国家相关标准设计，运行期电磁和噪声能满足国家标准，工程运行期对城镇/村落生态系统基本无影响。</w:t>
      </w:r>
    </w:p>
    <w:p w14:paraId="7E9F23E0">
      <w:pPr>
        <w:pStyle w:val="5"/>
        <w:ind w:left="0" w:firstLine="0"/>
      </w:pPr>
      <w:r>
        <w:rPr>
          <w:rFonts w:hint="eastAsia"/>
        </w:rPr>
        <w:t>对生态完整性的影响分析</w:t>
      </w:r>
    </w:p>
    <w:p w14:paraId="3A30347F">
      <w:pPr>
        <w:pStyle w:val="6"/>
        <w:ind w:left="0" w:firstLine="0"/>
      </w:pPr>
      <w:r>
        <w:rPr>
          <w:rFonts w:hint="eastAsia"/>
        </w:rPr>
        <w:t>土地利用变化</w:t>
      </w:r>
    </w:p>
    <w:p w14:paraId="440AD240">
      <w:pPr>
        <w:pStyle w:val="3"/>
        <w:ind w:firstLine="480"/>
      </w:pPr>
      <w:r>
        <w:rPr>
          <w:rFonts w:hint="eastAsia"/>
        </w:rPr>
        <w:t>本工程占地总面</w:t>
      </w:r>
      <w:r>
        <w:rPr>
          <w:rFonts w:hint="eastAsia"/>
          <w:color w:val="000000" w:themeColor="text1"/>
          <w14:textFill>
            <w14:solidFill>
              <w14:schemeClr w14:val="tx1"/>
            </w14:solidFill>
          </w14:textFill>
        </w:rPr>
        <w:t>积为</w:t>
      </w:r>
      <w:r>
        <w:rPr>
          <w:color w:val="000000" w:themeColor="text1"/>
          <w14:textFill>
            <w14:solidFill>
              <w14:schemeClr w14:val="tx1"/>
            </w14:solidFill>
          </w14:textFill>
        </w:rPr>
        <w:t>2.81</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rPr>
        <w:t>包括永久占地和临时占地两种类型，这两类用地对评价区土地利用类型和功能的影响不同。</w:t>
      </w:r>
    </w:p>
    <w:p w14:paraId="6E30BA0A">
      <w:pPr>
        <w:pStyle w:val="3"/>
        <w:ind w:firstLine="480"/>
      </w:pPr>
      <w:r>
        <w:rPr>
          <w:rFonts w:hint="eastAsia"/>
        </w:rPr>
        <w:t>（1）永久占地对土地利用的影响分析</w:t>
      </w:r>
    </w:p>
    <w:p w14:paraId="5586A276">
      <w:pPr>
        <w:pStyle w:val="3"/>
        <w:ind w:firstLine="480"/>
      </w:pPr>
      <w:r>
        <w:rPr>
          <w:rFonts w:hint="eastAsia"/>
        </w:rPr>
        <w:t>本工程塔基永久占地面积为</w:t>
      </w:r>
      <w:r>
        <w:t>0.57</w:t>
      </w:r>
      <w:r>
        <w:rPr>
          <w:rFonts w:hint="eastAsia"/>
        </w:rPr>
        <w:t>hm</w:t>
      </w:r>
      <w:r>
        <w:rPr>
          <w:rFonts w:hint="eastAsia"/>
          <w:vertAlign w:val="superscript"/>
        </w:rPr>
        <w:t>2</w:t>
      </w:r>
      <w:r>
        <w:rPr>
          <w:rFonts w:hint="eastAsia"/>
        </w:rPr>
        <w:t>，</w:t>
      </w:r>
      <w:r>
        <w:rPr>
          <w:rFonts w:hint="eastAsia"/>
          <w:color w:val="000000" w:themeColor="text1"/>
          <w14:textFill>
            <w14:solidFill>
              <w14:schemeClr w14:val="tx1"/>
            </w14:solidFill>
          </w14:textFill>
        </w:rPr>
        <w:t>占地类型包括林地和草地。</w:t>
      </w:r>
      <w:r>
        <w:rPr>
          <w:rFonts w:hint="eastAsia"/>
        </w:rPr>
        <w:t>永久占地区的土地将永久变为建筑用地，其功能和结构均发生了改变。但由于塔基永久面积较小，评价区域土地利用变化不大。</w:t>
      </w:r>
    </w:p>
    <w:p w14:paraId="29137836">
      <w:pPr>
        <w:pStyle w:val="3"/>
        <w:ind w:firstLine="480"/>
      </w:pPr>
      <w:r>
        <w:rPr>
          <w:rFonts w:hint="eastAsia"/>
        </w:rPr>
        <w:t>（2）临时占地对土地利用的影响分析</w:t>
      </w:r>
    </w:p>
    <w:p w14:paraId="52687B54">
      <w:pPr>
        <w:pStyle w:val="3"/>
        <w:ind w:firstLine="480"/>
      </w:pPr>
      <w:r>
        <w:rPr>
          <w:rFonts w:hint="eastAsia"/>
        </w:rPr>
        <w:t>本工程</w:t>
      </w:r>
      <w:r>
        <w:rPr>
          <w:rFonts w:hint="eastAsia"/>
          <w:color w:val="000000" w:themeColor="text1"/>
          <w14:textFill>
            <w14:solidFill>
              <w14:schemeClr w14:val="tx1"/>
            </w14:solidFill>
          </w14:textFill>
        </w:rPr>
        <w:t>施工临时占地为</w:t>
      </w:r>
      <w:r>
        <w:rPr>
          <w:color w:val="000000" w:themeColor="text1"/>
          <w14:textFill>
            <w14:solidFill>
              <w14:schemeClr w14:val="tx1"/>
            </w14:solidFill>
          </w14:textFill>
        </w:rPr>
        <w:t>2.24</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，包括塔基施工场地、牵张场场地、跨越施工区和施工临时道路占地，占地类型包括林地和草地。</w:t>
      </w:r>
      <w:r>
        <w:rPr>
          <w:rFonts w:hint="eastAsia"/>
        </w:rPr>
        <w:t>临时占地会导致地面植被损失，但在工程结束后，可恢复原有功能，土地利用类型不会发生改变。</w:t>
      </w:r>
    </w:p>
    <w:p w14:paraId="02ED59E8">
      <w:pPr>
        <w:pStyle w:val="3"/>
        <w:ind w:firstLine="480"/>
      </w:pPr>
      <w:r>
        <w:rPr>
          <w:rFonts w:hint="eastAsia"/>
        </w:rPr>
        <w:t>综上分析，本工程建设对评价区的土地利用类型变化影响甚微。</w:t>
      </w:r>
    </w:p>
    <w:p w14:paraId="1EAC6002">
      <w:pPr>
        <w:pStyle w:val="6"/>
        <w:ind w:left="0" w:firstLine="0"/>
      </w:pPr>
      <w:r>
        <w:rPr>
          <w:rFonts w:hint="eastAsia"/>
        </w:rPr>
        <w:t>景观生态体系的影响</w:t>
      </w:r>
    </w:p>
    <w:p w14:paraId="1F40B525">
      <w:pPr>
        <w:pStyle w:val="3"/>
        <w:ind w:firstLine="480"/>
      </w:pPr>
      <w:r>
        <w:rPr>
          <w:rFonts w:hint="eastAsia"/>
        </w:rPr>
        <w:t>（1）对景观生态体系结构的影响</w:t>
      </w:r>
    </w:p>
    <w:p w14:paraId="0D18F6FA">
      <w:pPr>
        <w:pStyle w:val="3"/>
        <w:ind w:firstLine="480"/>
      </w:pPr>
      <w:r>
        <w:rPr>
          <w:rFonts w:hint="eastAsia"/>
        </w:rPr>
        <w:t>施工临时占地通过生态防护和生态恢复等措施，其景观面貌可以基本恢复或改善。永久占地区形成以人工建筑为主的异质化景观嵌入现有的自然景观体系中，对现有的自然景观体系将产生一定的影响。</w:t>
      </w:r>
    </w:p>
    <w:p w14:paraId="0B991113">
      <w:pPr>
        <w:pStyle w:val="3"/>
        <w:ind w:firstLine="480"/>
      </w:pPr>
      <w:r>
        <w:rPr>
          <w:rFonts w:hint="eastAsia"/>
        </w:rPr>
        <w:t>工程完工后，施工区域景观的生态结构将发生改变，但评价区内绝大部分面积上的景观没有发生变化，因而保证了生态系统功能的延续和对外界干扰的抵御。从景观要素的基本构成上看，评价区景观生态体系未出现本质的变化，工程的实施和运行对区域的自然景观体系中基质组分的异质化程度影响很小。</w:t>
      </w:r>
    </w:p>
    <w:p w14:paraId="162BD12F">
      <w:pPr>
        <w:pStyle w:val="3"/>
        <w:ind w:firstLine="480"/>
      </w:pPr>
      <w:r>
        <w:rPr>
          <w:rFonts w:hint="eastAsia"/>
        </w:rPr>
        <w:t>（2）对自然景观的影响</w:t>
      </w:r>
    </w:p>
    <w:p w14:paraId="3E1BAAA0">
      <w:pPr>
        <w:pStyle w:val="3"/>
        <w:ind w:firstLine="480"/>
      </w:pPr>
      <w:r>
        <w:rPr>
          <w:rFonts w:hint="eastAsia"/>
        </w:rPr>
        <w:t>输变电工程的景观影响有破坏植被的直接影响，也有铁塔和输电线形成的间接不良景观，还有因横亘于自然景观前而形成的阻隔、干扰等不良影响。施工期的景观影响主要来源于建设过程中的工程行为，不仅会在施工期对沿线生态景观造成影响，并可能在施工完毕后继续产生影响。输电线路穿越或者距离自然景观较近时，会破坏当地原有的植被，使其景观特征发生改变，对生态景观的自然性带来不利影响。</w:t>
      </w:r>
    </w:p>
    <w:p w14:paraId="183BF0F1">
      <w:pPr>
        <w:pStyle w:val="3"/>
        <w:ind w:firstLine="480"/>
      </w:pPr>
      <w:r>
        <w:rPr>
          <w:rFonts w:hint="eastAsia"/>
        </w:rPr>
        <w:t>输电建设项目建成后，铁塔将形成新的景观斑块，增加生态景观斑块的数量，提高了沿线生态景观的多样性程度，也加大了整体生态景观的破碎化程度，对原始景观斑块造成“疮疤”的感觉，对整体生态景观形成不和谐的视觉效果，造成较为明显的不利影响；变电站、铁塔和输电导线会切割原来连续的生态景观，使景观的空间连续性在一定程度上被破坏，在原有和谐背景上勾划出一条明显的人工印迹，与周围的天然生态景观之间形成鲜明的反差，造成不良的视觉冲击。</w:t>
      </w:r>
    </w:p>
    <w:p w14:paraId="32C81516">
      <w:pPr>
        <w:pStyle w:val="3"/>
        <w:ind w:firstLine="480"/>
      </w:pPr>
      <w:r>
        <w:rPr>
          <w:rFonts w:hint="eastAsia"/>
        </w:rPr>
        <w:t>本工程部分路段平行已建设的输电线路，选址已尽量避开自然景观良好区域，同时避让了自然保护区、森林公园等区域；线路部分路段穿越姑婆山风景名胜区二级和三级保护区，不涉及一级保护区。工程建设对沿线自然景观的视觉影响有限。</w:t>
      </w:r>
    </w:p>
    <w:p w14:paraId="31DE7F69">
      <w:pPr>
        <w:pStyle w:val="5"/>
        <w:ind w:left="0" w:firstLine="0"/>
      </w:pPr>
      <w:r>
        <w:rPr>
          <w:rFonts w:hint="eastAsia"/>
        </w:rPr>
        <w:t>对植被及植物多样性的影响分析</w:t>
      </w:r>
    </w:p>
    <w:p w14:paraId="3FCAA188">
      <w:pPr>
        <w:pStyle w:val="6"/>
        <w:ind w:left="0" w:firstLine="0"/>
      </w:pPr>
      <w:r>
        <w:rPr>
          <w:rFonts w:hint="eastAsia"/>
        </w:rPr>
        <w:t>施工期对植被及植物多样性的影响分析</w:t>
      </w:r>
    </w:p>
    <w:p w14:paraId="5BA3B5B2">
      <w:pPr>
        <w:pStyle w:val="3"/>
        <w:ind w:firstLine="480"/>
      </w:pPr>
      <w:r>
        <w:rPr>
          <w:rFonts w:hint="eastAsia"/>
        </w:rPr>
        <w:t>（1）施工占地的影响</w:t>
      </w:r>
    </w:p>
    <w:p w14:paraId="0EAF3647">
      <w:pPr>
        <w:pStyle w:val="3"/>
        <w:ind w:firstLine="480"/>
      </w:pPr>
      <w:r>
        <w:rPr>
          <w:rFonts w:hint="eastAsia"/>
        </w:rPr>
        <w:t>本工程永久占地为塔基占地，施工前需对塔基施工区域内植被进行清除。清除的植被均为评价区常见种类，因而不会改变沿线林木群落结构，也不会对沿线生态环境造成系统性的破坏。塔基施工结束后，除铁塔的4个支撑脚，其余占地均可种植灌草、灌木进行植被恢复，可减少植被损失面积，并一定程度上减缓塔基施工对植被的破坏影响。</w:t>
      </w:r>
    </w:p>
    <w:p w14:paraId="2D8F8E6E">
      <w:pPr>
        <w:pStyle w:val="3"/>
        <w:ind w:firstLine="480"/>
      </w:pPr>
      <w:r>
        <w:rPr>
          <w:rFonts w:hint="eastAsia"/>
        </w:rPr>
        <w:t>工程临时占地主要包括塔基施工区域、材料堆场和牵张场场地，临时占地一般选择占用空余地、荒地、灌草地或林分较差的林地，施工结束后可进行植被恢复，基本不影响其原有的土地用途。</w:t>
      </w:r>
    </w:p>
    <w:p w14:paraId="2561FA57">
      <w:pPr>
        <w:pStyle w:val="3"/>
        <w:ind w:firstLine="480"/>
      </w:pPr>
      <w:r>
        <w:rPr>
          <w:rFonts w:hint="eastAsia"/>
        </w:rPr>
        <w:t>工程设计时，已考虑了沿线树木的自然生长高度，尽可能采取了避让和高跨措施，以最大程度减少施工期通道清理对林木的砍伐。本项目应在开工前办理相关手续，禁止乱砍滥伐。通道清理会破坏部分自然植被和林木，但由于砍伐量不大且均为当地常见种，对植被和植物多样性影响甚微。</w:t>
      </w:r>
    </w:p>
    <w:p w14:paraId="00388B47">
      <w:pPr>
        <w:pStyle w:val="3"/>
        <w:ind w:firstLine="480"/>
      </w:pPr>
      <w:r>
        <w:rPr>
          <w:rFonts w:hint="eastAsia"/>
        </w:rPr>
        <w:t>（2）施工扰动的影响</w:t>
      </w:r>
    </w:p>
    <w:p w14:paraId="48B18565">
      <w:pPr>
        <w:pStyle w:val="3"/>
        <w:ind w:firstLine="480"/>
      </w:pPr>
      <w:r>
        <w:rPr>
          <w:rFonts w:hint="eastAsia"/>
        </w:rPr>
        <w:t>工程建设过程中，塔基等建筑材料运输将对道路沿线的植被产生扰动。运输路线主要利用已有的高速、国道及各省道、县道，道路两侧主要为人工绿化植被，对运输车辆早已适应，工程对其影响较小；在植被较为茂盛的道路狭窄区域，可考虑人工或畜力运输，尽量减少对周边植被的扰动。</w:t>
      </w:r>
    </w:p>
    <w:p w14:paraId="163AF2F0">
      <w:pPr>
        <w:pStyle w:val="3"/>
        <w:ind w:firstLine="480"/>
      </w:pPr>
      <w:r>
        <w:rPr>
          <w:rFonts w:hint="eastAsia"/>
        </w:rPr>
        <w:t>施工过程中产生的废水、废气、废渣、噪声等会对项目周边环境造成影响，最终直接或间接影响评价区内植被生长和发育，但这种影响通过一定的管理措施可以得到减弱。</w:t>
      </w:r>
    </w:p>
    <w:p w14:paraId="774874BE">
      <w:pPr>
        <w:pStyle w:val="3"/>
        <w:ind w:firstLine="480"/>
      </w:pPr>
      <w:r>
        <w:rPr>
          <w:rFonts w:hint="eastAsia"/>
        </w:rPr>
        <w:t>施工人员随意活动、乱砍滥伐、乱堆乱放等行为的发生会对区域内植被造成直接的损害，需加强施工人员环保意识，严格监管施工人员行为，可降低甚至避免这种影响的发生。</w:t>
      </w:r>
    </w:p>
    <w:p w14:paraId="31B39BF4">
      <w:pPr>
        <w:pStyle w:val="3"/>
        <w:ind w:firstLine="480"/>
      </w:pPr>
      <w:r>
        <w:rPr>
          <w:rFonts w:hint="eastAsia"/>
        </w:rPr>
        <w:t>（3）外来入侵植物的影响</w:t>
      </w:r>
    </w:p>
    <w:p w14:paraId="7B47A13F">
      <w:pPr>
        <w:pStyle w:val="3"/>
        <w:ind w:firstLine="480"/>
      </w:pPr>
      <w:r>
        <w:rPr>
          <w:rFonts w:hint="eastAsia"/>
        </w:rPr>
        <w:t>本工程为线性工程，跨度较大，施工期全线人流、车流量加大，人员出入及材料的运输等传播途径可能带来一些外来物种，外来物种在一定范围内若形成优势群落，将对土著物种产生一定的排斥，使区域内植被类型受到一定的影响。通过严格检查进入施工区车辆和材料、及时销毁外来种等行为，可有效控制这种影响的发生。</w:t>
      </w:r>
    </w:p>
    <w:p w14:paraId="3BDC46FE">
      <w:pPr>
        <w:pStyle w:val="6"/>
        <w:ind w:left="0" w:firstLine="0"/>
      </w:pPr>
      <w:r>
        <w:rPr>
          <w:rFonts w:hint="eastAsia"/>
        </w:rPr>
        <w:t>运行期对植被及植物多样性的影响分析</w:t>
      </w:r>
    </w:p>
    <w:p w14:paraId="4EC0F4E9">
      <w:pPr>
        <w:pStyle w:val="3"/>
        <w:ind w:firstLine="480"/>
      </w:pPr>
      <w:r>
        <w:rPr>
          <w:rFonts w:hint="eastAsia"/>
        </w:rPr>
        <w:t>输电工程在运行期内，对灌丛、草地植被及植物资源基本没有影响。根据相关规定，输电线路运行过程中，要对导线下方与树木垂直距离小于一定高度的树木的树冠进行定期修剪，保证输电导线与林区树木之间的垂直距离，以满足输电线路正常运行的需要。</w:t>
      </w:r>
    </w:p>
    <w:p w14:paraId="241C9E85">
      <w:pPr>
        <w:pStyle w:val="3"/>
        <w:ind w:firstLine="480"/>
      </w:pPr>
      <w:r>
        <w:rPr>
          <w:rFonts w:hint="eastAsia"/>
        </w:rPr>
        <w:t>工程设计时，已考虑了沿线树木的自然生长高度，采取了避让和高跨措施，以期最大程度减少运营期树木生长对输电线路安全的影响。本项目运行期维护仅对超过自然生长高度的树冠进行局部修剪，故对森林植物群落组成和结构影响微弱，对植物生态环境的影响程度较小。</w:t>
      </w:r>
    </w:p>
    <w:p w14:paraId="78FA1893">
      <w:pPr>
        <w:pStyle w:val="6"/>
        <w:ind w:left="0" w:firstLine="0"/>
      </w:pPr>
      <w:r>
        <w:rPr>
          <w:rFonts w:hint="eastAsia"/>
        </w:rPr>
        <w:t>对重点保护植物的影响</w:t>
      </w:r>
    </w:p>
    <w:p w14:paraId="0DC09EDE">
      <w:pPr>
        <w:pStyle w:val="3"/>
        <w:ind w:firstLine="480"/>
      </w:pPr>
      <w:r>
        <w:rPr>
          <w:rFonts w:hint="eastAsia"/>
        </w:rPr>
        <w:t>评价区内未见挂牌保护的名木古树和珍稀濒危等重点保护植物。</w:t>
      </w:r>
    </w:p>
    <w:p w14:paraId="15DE4AA6">
      <w:pPr>
        <w:pStyle w:val="3"/>
        <w:ind w:firstLine="480"/>
      </w:pPr>
      <w:r>
        <w:rPr>
          <w:rFonts w:hint="eastAsia"/>
        </w:rPr>
        <w:t>但在施工过程中仍然需要保持警惕，并采取各种方式，如宣传栏、挂牌等，让施工人员了解其重要性。如果在项目建设区内临时发现国家重点保护植物要尽快报告涔天河国家湿地园管理局及林业主管部门，立即组织保护抢救。</w:t>
      </w:r>
    </w:p>
    <w:p w14:paraId="32DA426B">
      <w:pPr>
        <w:pStyle w:val="5"/>
        <w:ind w:left="0" w:firstLine="0"/>
      </w:pPr>
      <w:r>
        <w:rPr>
          <w:rFonts w:hint="eastAsia"/>
        </w:rPr>
        <w:t>对陆生动物的影响分析</w:t>
      </w:r>
    </w:p>
    <w:p w14:paraId="66C0F2D8">
      <w:pPr>
        <w:pStyle w:val="6"/>
        <w:ind w:left="0" w:firstLine="0"/>
      </w:pPr>
      <w:r>
        <w:rPr>
          <w:rFonts w:hint="eastAsia"/>
        </w:rPr>
        <w:t>施工期对陆生动物的影响分析</w:t>
      </w:r>
    </w:p>
    <w:p w14:paraId="5AF20A01">
      <w:pPr>
        <w:pStyle w:val="3"/>
        <w:ind w:firstLine="480"/>
      </w:pPr>
      <w:r>
        <w:rPr>
          <w:rFonts w:hint="eastAsia"/>
        </w:rPr>
        <w:t>输电线工程建设对野生动物的影响主要发生在施工期。工程施工将破坏、占用动物的栖息环境，限制部分陆生动物的活动区域、觅食范围等，从而对陆生动物的生存产生一定的影响。</w:t>
      </w:r>
    </w:p>
    <w:p w14:paraId="1276BE01">
      <w:pPr>
        <w:pStyle w:val="3"/>
        <w:ind w:firstLine="480"/>
      </w:pPr>
      <w:r>
        <w:rPr>
          <w:rFonts w:hint="eastAsia"/>
        </w:rPr>
        <w:t>（1）对两栖爬行类的影响</w:t>
      </w:r>
    </w:p>
    <w:p w14:paraId="01CA26CE">
      <w:pPr>
        <w:pStyle w:val="3"/>
        <w:ind w:firstLine="480"/>
      </w:pPr>
      <w:r>
        <w:rPr>
          <w:rFonts w:hint="eastAsia"/>
        </w:rPr>
        <w:t>项目施工对爬行类和两栖类的影响主要发生在塔基土石方工程和布线施工区域，施工活动对爬行类、两栖类栖息地生境造成干扰、破坏，迫使爬行类、两栖类寻找其他合适生境。工程实施造成的影响将暂时使得施工区域爬行类和两栖类迁移，减少该区域此两类生物的种类和数量，进入周边适宜生境的爬行类和两栖类使得环境生存压力加剧，食物链结构改变。从大范围来看，输电项目建设基本属于点线型，仅在基塔附近造成极小范围的片状改变，因此没有显著改变两栖和爬行类生物在该区域的大生境条件。施工活动结束后，随着自然生态环境的恢复和重建，环境条件得以恢复，工程建设对爬行和两栖类物种的影响逐步消失。</w:t>
      </w:r>
    </w:p>
    <w:p w14:paraId="433F5E70">
      <w:pPr>
        <w:pStyle w:val="3"/>
        <w:ind w:firstLine="480"/>
      </w:pPr>
      <w:r>
        <w:rPr>
          <w:rFonts w:hint="eastAsia"/>
        </w:rPr>
        <w:t>（2）对鸟类的影响</w:t>
      </w:r>
    </w:p>
    <w:p w14:paraId="4623C851">
      <w:pPr>
        <w:pStyle w:val="3"/>
        <w:ind w:firstLine="480"/>
      </w:pPr>
      <w:r>
        <w:rPr>
          <w:rFonts w:hint="eastAsia"/>
        </w:rPr>
        <w:t>施工简易道路、塔基设立和施工人员活动对生境造成干扰和破坏，造成鸟类领地范围的改变、生态位的占有、栖息地功能减弱及丧失，一部分鸟类进行生存选择，比如：砍伐树木造成树栖鸟类栖息地减少、临时通道的丧失造成树栖鸟类各自领地的改变，可能导致领地竞争；施工机械噪声干扰鸟类栖息，鸟类被迫迁移；施工中，人类的活动留下的食物残渣和垃圾，为伴随人类居住的鸟类在施工区域提供了更大的生态位，加强了此类鸟的竞争优势；砍伐树木可能造成鸟卵破坏、幼鸟死亡，直接改变种群结构、影响种群增长和维持。</w:t>
      </w:r>
    </w:p>
    <w:p w14:paraId="69A579C2">
      <w:pPr>
        <w:pStyle w:val="3"/>
        <w:ind w:firstLine="480"/>
      </w:pPr>
      <w:r>
        <w:rPr>
          <w:rFonts w:hint="eastAsia"/>
        </w:rPr>
        <w:t>以上影响将使大部分鸟类远离施工区域；小部分地栖和灌木林栖鸟类由于栖息地的丧失而从项目区消失；一部分鸟类的种群数量由于巢穴被破坏而减少，特别是当施工期正在鸟类繁殖季节时。总的结果是输电项目建设时，导致工程评价区内鸟类的种类和数量减少。但由于大多数鸟类会通过飞翔和短距离的迁移来避免伤害，而且本项目的施工点比较分散，所以工程建设对鸟类的影响不大。施工结束后，植被恢复、重建使得栖息地功能逐步恢复，影响生存竞争的人为因素消失，在项目区活动的鸟类会重新分布，因此输电工程对鸟类的长期影响较小。</w:t>
      </w:r>
    </w:p>
    <w:p w14:paraId="0C3CF314">
      <w:pPr>
        <w:pStyle w:val="3"/>
        <w:ind w:firstLine="480"/>
      </w:pPr>
      <w:r>
        <w:rPr>
          <w:rFonts w:hint="eastAsia"/>
        </w:rPr>
        <w:t>（3）对哺乳动物的影响</w:t>
      </w:r>
    </w:p>
    <w:p w14:paraId="3457BDE6">
      <w:pPr>
        <w:pStyle w:val="3"/>
        <w:ind w:firstLine="480"/>
      </w:pPr>
      <w:r>
        <w:rPr>
          <w:rFonts w:hint="eastAsia"/>
        </w:rPr>
        <w:t>施工人员的施工活动，如施工便道、施工机械噪声等干扰哺乳动物栖息地生境，生境有破碎化趋势，迫使兽类迁移、减少遗传交流通道、降低遗传交流强度；施工中，施工人员的活动留下食物残渣和垃圾会吸引啮齿类在施工区域聚集，从而侵占其他兽类在该区域的生态位；迁移到它处的哺乳动物动物将争夺有限的生存空间，自然选择强度加大，降低了生存能力相对较差种群的可持续发展能力；施工人员可能捕杀哺乳动物。评价范围内哺乳动物主要为鼠类、黄鼬、蝙蝠等，均为体型较少、适应能力强的中小型哺乳动物，其迁移能力将使其避免施工造成的直接伤害；施工活动结束后对线路施工场地和附近生态环境进行恢复和重建后，原有栖息地生态条件得以重建、生境破碎化因素消除，迁移或迁徙至他处的哺乳动物可能会回归，因此工程建设对哺乳动物的短期影响不可避免，但长期影响很小。</w:t>
      </w:r>
    </w:p>
    <w:p w14:paraId="251CFE84">
      <w:pPr>
        <w:pStyle w:val="6"/>
        <w:ind w:left="0" w:firstLine="0"/>
      </w:pPr>
      <w:r>
        <w:rPr>
          <w:rFonts w:hint="eastAsia"/>
        </w:rPr>
        <w:t>运行期对陆生动物的影响分析</w:t>
      </w:r>
    </w:p>
    <w:p w14:paraId="645CDF40">
      <w:pPr>
        <w:pStyle w:val="3"/>
        <w:ind w:firstLine="480"/>
      </w:pPr>
      <w:r>
        <w:rPr>
          <w:rFonts w:hint="eastAsia"/>
        </w:rPr>
        <w:t>（1）对两栖爬行及哺乳动物的影响</w:t>
      </w:r>
    </w:p>
    <w:p w14:paraId="5B07D4AD">
      <w:pPr>
        <w:pStyle w:val="3"/>
        <w:ind w:firstLine="480"/>
      </w:pPr>
      <w:r>
        <w:rPr>
          <w:rFonts w:hint="eastAsia"/>
        </w:rPr>
        <w:t>输电线路对兽类和两栖爬行类等陆生动物的生境和活动起着一定的阻碍作用，陆生动物的时空活动范围受到限制。小型陆生动物特别是啮齿类因为本身的生物学特性其活动的时空范围有限，而受到的限制作用会更大。塔基占地会对一些小型哺乳动物的栖息地造成不可逆的破坏。正面效应为人类的活动也会为小型陆生动物如伴随人类居住生活的啮齿类动物带来更多的食物来源。</w:t>
      </w:r>
    </w:p>
    <w:p w14:paraId="452FBEAD">
      <w:pPr>
        <w:pStyle w:val="3"/>
        <w:ind w:firstLine="480"/>
      </w:pPr>
      <w:r>
        <w:rPr>
          <w:rFonts w:hint="eastAsia"/>
        </w:rPr>
        <w:t>输电线路工程的分离和阻隔作用不同于公路和铁路项目，由于其塔基为点状分布，两塔之间距离一般较远，杆塔之间的区域为架空线路，不会对迁移动物的生境和活动产生真正的阻隔。工程运行后，陆生动物仍可自由活动和穿梭于线路两侧。输电线路运行期人为活动很少，仅为线路安全运行考虑配置有巡线工人，由于巡线工人数量少，且巡线活动有一定的时间间隔，不会因为人类活动频繁而影响陆生动物的栖息和繁衍。</w:t>
      </w:r>
    </w:p>
    <w:p w14:paraId="53B2D29B">
      <w:pPr>
        <w:pStyle w:val="3"/>
        <w:ind w:firstLine="480"/>
      </w:pPr>
      <w:r>
        <w:rPr>
          <w:rFonts w:hint="eastAsia"/>
        </w:rPr>
        <w:t>（2）对鸟类的影响</w:t>
      </w:r>
    </w:p>
    <w:p w14:paraId="3E4856FB">
      <w:pPr>
        <w:pStyle w:val="3"/>
        <w:ind w:firstLine="480"/>
      </w:pPr>
      <w:r>
        <w:rPr>
          <w:rFonts w:hint="eastAsia"/>
        </w:rPr>
        <w:t>鸟类一般具有很好的视力，它们很容易发现并躲避障碍物，在飞行途中遇到障碍物都会在大约100-200m的距离下避开。因此，在天气晴好的情况下，鸟类误撞输电线路的几率很小。但是，在鸟类迁徙遇到逆风条件下，飞得很低，撞在障碍物上的几率会增加。另外，在夜间或在有雾、烟、密云和蒙蒙雨、透视度很低的白天，发生误撞而死亡的几率也会提高。但分析发现，这些调查和报导多限于35kV及以下电压等级的线路，对110kV及以上电压等级线路的报到则鲜有耳闻，可能与35kV及以下电压等级线路导线细、线间距小导致不容易被观察到等因素有关。因本工程为</w:t>
      </w:r>
      <w:r>
        <w:t>110</w:t>
      </w:r>
      <w:r>
        <w:rPr>
          <w:rFonts w:hint="eastAsia"/>
        </w:rPr>
        <w:t>kV输电线路，导线直径相对较大，提高了鸟类远距离识别障碍物的能力，可有效减小鸟类误撞的可能性。</w:t>
      </w:r>
    </w:p>
    <w:p w14:paraId="45F3D8B3">
      <w:pPr>
        <w:pStyle w:val="5"/>
        <w:ind w:left="0" w:firstLine="0"/>
      </w:pPr>
      <w:r>
        <w:rPr>
          <w:rFonts w:hint="eastAsia"/>
        </w:rPr>
        <w:t>水生生物的影响分析</w:t>
      </w:r>
    </w:p>
    <w:p w14:paraId="5BE72656">
      <w:pPr>
        <w:pStyle w:val="3"/>
        <w:ind w:firstLine="480"/>
      </w:pPr>
      <w:r>
        <w:rPr>
          <w:rFonts w:hint="eastAsia"/>
        </w:rPr>
        <w:t>本工程不占用水域，且属于非污染项目，不会建设污染水体的生产设施，在妥善处理好弃土弃渣、生活垃圾，并做好水土保持的基础上，工程对评价区水生生物的影响可忽略不计。</w:t>
      </w:r>
    </w:p>
    <w:p w14:paraId="4DB68948">
      <w:pPr>
        <w:pStyle w:val="5"/>
        <w:ind w:left="0" w:firstLine="0"/>
      </w:pPr>
      <w:r>
        <w:rPr>
          <w:rFonts w:hint="eastAsia"/>
        </w:rPr>
        <w:t>对生态保护红线影响分析</w:t>
      </w:r>
    </w:p>
    <w:p w14:paraId="4A5FFCEF">
      <w:pPr>
        <w:pStyle w:val="3"/>
        <w:ind w:firstLine="480"/>
      </w:pPr>
      <w:r>
        <w:rPr>
          <w:rFonts w:hint="eastAsia"/>
        </w:rPr>
        <w:t>本工程无害化跨越生态保护红线区域3次，跨越长度约</w:t>
      </w:r>
      <w:r>
        <w:t>1045</w:t>
      </w:r>
      <w:r>
        <w:rPr>
          <w:rFonts w:hint="eastAsia"/>
        </w:rPr>
        <w:t>m，均采用高跨设计，不在生态保护红线内立塔和设置临时用地，工程建设不会造成生态保护红线面积减少，不会影响生态保护红线的功能和性质。</w:t>
      </w:r>
    </w:p>
    <w:p w14:paraId="22317B0F">
      <w:pPr>
        <w:pStyle w:val="5"/>
        <w:ind w:left="0" w:firstLine="0"/>
      </w:pPr>
      <w:r>
        <w:rPr>
          <w:rFonts w:hint="eastAsia"/>
        </w:rPr>
        <w:t>对湖南江华涔天河国家湿地公园的影响评价</w:t>
      </w:r>
    </w:p>
    <w:p w14:paraId="14CF5C3A">
      <w:pPr>
        <w:pStyle w:val="3"/>
        <w:ind w:firstLine="480"/>
      </w:pPr>
      <w:r>
        <w:rPr>
          <w:rFonts w:hint="eastAsia"/>
        </w:rPr>
        <w:t>本评价引用《湖南省江华湾水源抽水蓄能电站施工电源110kV线路工程穿越湖南江华涔天河国家湿地公园生态影响评价报告》中的生态环境影响预测评价结论：本项目施工期新增污染源均为暂时性的，施工结束即消失，且通过一定措施可降低或避免各污染源对湿地公园的影响。本项目对区域动植物资源的影响是短暂的，可恢复的。项目在湿地公园范围内未开挖占地，仅项目的输电线路经过湿地公园水面上空，所以项目的建设对湿地资源的影响极小。工程的施工过程中不可避免的破坏了原有的自然景观，即输电线路和临时的施工小道路，但由于施工小道面积极小，输电线路长度短，且评价区没有珍稀的植物资源，也没有自然保护遗迹和特别的自然景观。因此，项目建设对湿地公园的自然景观的影响极，在项目营运后，还可采取一生态恢复措施将施工小道恢复，完全可降低项目建设对湿地公园的影响。</w:t>
      </w:r>
    </w:p>
    <w:p w14:paraId="5272AE17">
      <w:pPr>
        <w:pStyle w:val="5"/>
        <w:ind w:left="0" w:firstLine="0"/>
      </w:pPr>
      <w:r>
        <w:rPr>
          <w:rFonts w:hint="eastAsia"/>
        </w:rPr>
        <w:t>对姑婆山风景名胜区的影响评价</w:t>
      </w:r>
    </w:p>
    <w:p w14:paraId="65904BAE">
      <w:pPr>
        <w:pStyle w:val="3"/>
        <w:ind w:firstLine="480"/>
      </w:pPr>
      <w:r>
        <w:rPr>
          <w:rFonts w:hint="eastAsia"/>
        </w:rPr>
        <w:t>本评价引用《姑婆山风景名胜区湖南省江华湾水源抽水蓄能电站施工电源110 千伏线路工程选址方案论证报告》中的生态环境影响预测评价结论：</w:t>
      </w:r>
    </w:p>
    <w:p w14:paraId="4B490ACC">
      <w:pPr>
        <w:pStyle w:val="3"/>
        <w:ind w:firstLine="480"/>
        <w:rPr>
          <w:color w:val="FF0000"/>
        </w:rPr>
      </w:pPr>
      <w:r>
        <w:rPr>
          <w:rFonts w:hint="eastAsia"/>
        </w:rPr>
        <w:t>本项目施工期新增污染源均为暂时性的，施工结束即消失，且通过一定措施可降低或避免各污染源对姑婆山省级风景名胜区的影响。本项目对区域动植物资源的影响是短暂的，可恢复的。项目在风景名胜区范围内开挖占地的地点仅有</w:t>
      </w:r>
      <w:r>
        <w:t>8</w:t>
      </w:r>
      <w:r>
        <w:rPr>
          <w:rFonts w:hint="eastAsia"/>
        </w:rPr>
        <w:t>座塔基，永久占地面积</w:t>
      </w:r>
      <w:r>
        <w:t>669.08m</w:t>
      </w:r>
      <w:r>
        <w:rPr>
          <w:vertAlign w:val="superscript"/>
        </w:rPr>
        <w:t>2</w:t>
      </w:r>
      <w:r>
        <w:rPr>
          <w:rFonts w:hint="eastAsia"/>
        </w:rPr>
        <w:t>，输电线路经过风景名胜区的长度也仅有</w:t>
      </w:r>
      <w:r>
        <w:t>2.52km</w:t>
      </w:r>
      <w:r>
        <w:rPr>
          <w:rFonts w:hint="eastAsia"/>
        </w:rPr>
        <w:t>，项目的建设对风景名胜区影响极小。工程的施工过程中不可避免地破坏了原有的自然景观，即输电线路和临时的施工小道路，但由于施工小道面积极小，输电线路长度短，且评价区没有珍稀的植物资源，也没有自然保护遗迹和特别的自然景观。因此，项目建设对风景名胜区的自然景观的影响极小，在项目营运后，还可采取一些生态恢复措施将施工小道恢复，完全可降低项目建设对风景名胜区的影响。</w:t>
      </w:r>
    </w:p>
    <w:p w14:paraId="4BC601A1">
      <w:pPr>
        <w:pStyle w:val="5"/>
        <w:ind w:left="0" w:firstLine="0"/>
      </w:pPr>
      <w:r>
        <w:rPr>
          <w:rFonts w:hint="eastAsia"/>
        </w:rPr>
        <w:t>水土流失影响分析</w:t>
      </w:r>
    </w:p>
    <w:p w14:paraId="0D02E1AF">
      <w:pPr>
        <w:pStyle w:val="3"/>
        <w:ind w:firstLine="480"/>
      </w:pPr>
      <w:r>
        <w:rPr>
          <w:rFonts w:hint="eastAsia"/>
        </w:rPr>
        <w:t>根据《湖南省水利厅关于湖南省水土流失重点预防区和重点治理区划定报告》，项目所在地属于家级水土流失重点治理区湘资沅中游国家级水土流失重点治理区。</w:t>
      </w:r>
    </w:p>
    <w:p w14:paraId="06396199">
      <w:pPr>
        <w:pStyle w:val="3"/>
        <w:ind w:firstLine="480"/>
      </w:pPr>
      <w:r>
        <w:rPr>
          <w:rFonts w:hint="eastAsia"/>
        </w:rPr>
        <w:t>建设单位已委托第三方单位编制了《湖南省江华湾水源抽水蓄能电站施工电源</w:t>
      </w:r>
      <w:r>
        <w:t>110</w:t>
      </w:r>
      <w:r>
        <w:rPr>
          <w:rFonts w:hint="eastAsia"/>
        </w:rPr>
        <w:t>千伏线路工程水土保持方案报告表》（以下简称报告表）并取得湖南省水利厅出具的行政许可决定书（湘水许〔2025〕43号）。</w:t>
      </w:r>
    </w:p>
    <w:p w14:paraId="0FDA1187">
      <w:pPr>
        <w:pStyle w:val="3"/>
        <w:ind w:firstLine="480"/>
      </w:pPr>
      <w:r>
        <w:rPr>
          <w:rFonts w:hint="eastAsia"/>
        </w:rPr>
        <w:t>本评价中水土保持相关内容引自工程水土保持方案，最终以其内容及批复为准，具体结论如下：</w:t>
      </w:r>
    </w:p>
    <w:p w14:paraId="28FC1158">
      <w:pPr>
        <w:pStyle w:val="3"/>
        <w:ind w:firstLine="480"/>
      </w:pPr>
      <w:r>
        <w:rPr>
          <w:rFonts w:hint="eastAsia"/>
        </w:rPr>
        <w:t>本工程如不采取有效的水土保持措施可能水土流失总量为</w:t>
      </w:r>
      <w:r>
        <w:t>218.63</w:t>
      </w:r>
      <w:r>
        <w:rPr>
          <w:rFonts w:hint="eastAsia"/>
        </w:rPr>
        <w:t>t，新增水土流失量为</w:t>
      </w:r>
      <w:r>
        <w:t>169.51</w:t>
      </w:r>
      <w:r>
        <w:rPr>
          <w:rFonts w:hint="eastAsia"/>
        </w:rPr>
        <w:t>t。工程产生水土流失的重点部位为输电线路区，重点时段为施工期。工程建设造成水土流失若不进行治理不仅影响到工程的正常运行，同时对周边环境也会造成影响。</w:t>
      </w:r>
    </w:p>
    <w:p w14:paraId="5DADCCD9">
      <w:pPr>
        <w:pStyle w:val="3"/>
        <w:ind w:firstLine="480"/>
      </w:pPr>
      <w:r>
        <w:rPr>
          <w:rFonts w:hint="eastAsia"/>
        </w:rPr>
        <w:t>落实水土保持防治措施后，工程区内水土流失治理度可达98.43％，土壤流失控制比1.0，渣土防护率98.27％，表土保护率可达94.83％，林草植被恢复率可达98.18％，林草覆盖率可达85.00％。能有效控制新增水土流失数量，维护项目区生态环境。</w:t>
      </w:r>
    </w:p>
    <w:p w14:paraId="7DD95AA5">
      <w:pPr>
        <w:pStyle w:val="161"/>
        <w:ind w:firstLine="480"/>
      </w:pPr>
    </w:p>
    <w:p w14:paraId="16777955">
      <w:pPr>
        <w:pStyle w:val="2"/>
        <w:pageBreakBefore/>
        <w:ind w:left="431" w:hanging="431"/>
      </w:pPr>
      <w:bookmarkStart w:id="283" w:name="_Toc174612153"/>
      <w:bookmarkStart w:id="284" w:name="_Toc186810125"/>
      <w:r>
        <w:rPr>
          <w:rFonts w:hint="eastAsia"/>
        </w:rPr>
        <w:t>生态环境保护措施</w:t>
      </w:r>
      <w:bookmarkEnd w:id="283"/>
      <w:bookmarkEnd w:id="284"/>
    </w:p>
    <w:p w14:paraId="1D3B9B0E">
      <w:pPr>
        <w:pStyle w:val="5"/>
        <w:ind w:left="0" w:firstLine="0"/>
      </w:pPr>
      <w:r>
        <w:rPr>
          <w:rFonts w:hint="eastAsia"/>
        </w:rPr>
        <w:t>对土地占用的保护措施</w:t>
      </w:r>
    </w:p>
    <w:p w14:paraId="12B82CF3">
      <w:pPr>
        <w:pStyle w:val="3"/>
        <w:ind w:firstLine="480"/>
      </w:pPr>
      <w:r>
        <w:t>a）线路在施工过程中应按图施工，严格控制开挖范围和开挖量，施工活动范围限值在划定的施工区内。</w:t>
      </w:r>
    </w:p>
    <w:p w14:paraId="3EA116FB">
      <w:pPr>
        <w:pStyle w:val="3"/>
        <w:ind w:firstLine="480"/>
      </w:pPr>
      <w:r>
        <w:rPr>
          <w:rFonts w:hint="eastAsia"/>
        </w:rPr>
        <w:t>b</w:t>
      </w:r>
      <w:r>
        <w:t>）在施工前应合理规划好施工路线，</w:t>
      </w:r>
      <w:r>
        <w:rPr>
          <w:rFonts w:hint="eastAsia"/>
        </w:rPr>
        <w:t>尽可能利用</w:t>
      </w:r>
      <w:r>
        <w:t>已有乡村道路、机耕道路</w:t>
      </w:r>
      <w:r>
        <w:rPr>
          <w:rFonts w:hint="eastAsia"/>
        </w:rPr>
        <w:t>、森林防火通道、过木通道等将施工机械和材料运至施工区域附近，再采用人力或畜力将施工材料运至塔基施工区</w:t>
      </w:r>
      <w:r>
        <w:t>。</w:t>
      </w:r>
    </w:p>
    <w:p w14:paraId="0145CC44">
      <w:pPr>
        <w:pStyle w:val="3"/>
        <w:ind w:firstLine="480"/>
      </w:pPr>
      <w:r>
        <w:rPr>
          <w:rFonts w:hint="eastAsia"/>
        </w:rPr>
        <w:t>c</w:t>
      </w:r>
      <w:r>
        <w:t>）根据地质条件尽量使用原状土基础，以减少基坑开挖量。</w:t>
      </w:r>
      <w:r>
        <w:rPr>
          <w:rFonts w:hint="eastAsia"/>
        </w:rPr>
        <w:t>本项目位于山区，</w:t>
      </w:r>
      <w:r>
        <w:t>采用全方位高低腿铁塔，并配合使用高低基础，减少平降基土石方</w:t>
      </w:r>
      <w:r>
        <w:rPr>
          <w:rFonts w:hint="eastAsia"/>
        </w:rPr>
        <w:t>，</w:t>
      </w:r>
      <w:r>
        <w:rPr>
          <w:szCs w:val="24"/>
          <w:lang w:val="zh-CN"/>
        </w:rPr>
        <w:t>使塔基避免了大开挖，维持山坡原有的地形、地貌。</w:t>
      </w:r>
    </w:p>
    <w:p w14:paraId="679B04EA">
      <w:pPr>
        <w:pStyle w:val="3"/>
        <w:ind w:firstLine="480"/>
      </w:pPr>
      <w:r>
        <w:t>d）</w:t>
      </w:r>
      <w:r>
        <w:rPr>
          <w:rFonts w:hint="eastAsia"/>
        </w:rPr>
        <w:t>做好塔基施工区域表土保存工作，表土和余土分类收集暂存于角落，做好拦挡和遮盖措施，施工结束后余土就地平整，再覆盖表土后进行就行植被恢复。</w:t>
      </w:r>
    </w:p>
    <w:p w14:paraId="62B4C6C2">
      <w:pPr>
        <w:pStyle w:val="3"/>
        <w:ind w:firstLine="480"/>
      </w:pPr>
      <w:r>
        <w:t>e</w:t>
      </w:r>
      <w:r>
        <w:rPr>
          <w:rFonts w:hint="eastAsia"/>
        </w:rPr>
        <w:t>）做好材料堆场和牵张场地表土剥离和保存工作，</w:t>
      </w:r>
      <w:r>
        <w:t>施工结束后及时清理、恢复地表状态及土地使用功能。</w:t>
      </w:r>
    </w:p>
    <w:p w14:paraId="377CECDE">
      <w:pPr>
        <w:pStyle w:val="5"/>
        <w:ind w:left="0" w:firstLine="0"/>
      </w:pPr>
      <w:r>
        <w:rPr>
          <w:rFonts w:hint="eastAsia"/>
        </w:rPr>
        <w:t>对植物的保护措施</w:t>
      </w:r>
    </w:p>
    <w:p w14:paraId="6A92CF94">
      <w:pPr>
        <w:pStyle w:val="3"/>
        <w:ind w:firstLine="480"/>
      </w:pPr>
      <w:r>
        <w:t>a</w:t>
      </w:r>
      <w:r>
        <w:rPr>
          <w:rFonts w:hint="eastAsia"/>
        </w:rPr>
        <w:t>）工程设计时，已考虑了沿线树木的自然生长高度，尽可能采取了避让和高跨措施，以最大程度减少施工期通道清理对林木的砍伐。本项目应在开工前办理林地占用和林木砍伐手续，禁止乱砍滥伐。</w:t>
      </w:r>
    </w:p>
    <w:p w14:paraId="4E97DBB0">
      <w:pPr>
        <w:pStyle w:val="3"/>
        <w:ind w:firstLine="480"/>
      </w:pPr>
      <w:r>
        <w:t>b</w:t>
      </w:r>
      <w:r>
        <w:rPr>
          <w:rFonts w:hint="eastAsia"/>
        </w:rPr>
        <w:t>）</w:t>
      </w:r>
      <w:r>
        <w:t>工程施工过程中应划定施工活动范围，加强监管，严禁踩踏施工区域外地表植被，避免对附近区域植被造成不必要的破坏。</w:t>
      </w:r>
      <w:r>
        <w:rPr>
          <w:rFonts w:hint="eastAsia"/>
        </w:rPr>
        <w:t>输电线路采用先进的施工工艺，减少对线路走廊下方植被的破坏。</w:t>
      </w:r>
    </w:p>
    <w:p w14:paraId="32D3BD04">
      <w:pPr>
        <w:pStyle w:val="3"/>
        <w:ind w:firstLine="480"/>
      </w:pPr>
      <w:r>
        <w:t>c</w:t>
      </w:r>
      <w:r>
        <w:rPr>
          <w:rFonts w:hint="eastAsia"/>
        </w:rPr>
        <w:t>）</w:t>
      </w:r>
      <w:r>
        <w:t>施工过程中应加强施工管理和对植被的保护，禁止乱挖、乱铲、乱占、滥用和其他破坏植被的行为。施工人员应禁止以下行为：剥损树皮、攀树折枝；借用树干做支撑物或者倚树搭棚在树上刻划、敲钉、悬挂或者缠绕物品；损坏树木的支撑、围护设施等。</w:t>
      </w:r>
    </w:p>
    <w:p w14:paraId="00070046">
      <w:pPr>
        <w:pStyle w:val="3"/>
        <w:ind w:firstLine="480"/>
      </w:pPr>
      <w:r>
        <w:t>d</w:t>
      </w:r>
      <w:r>
        <w:rPr>
          <w:rFonts w:hint="eastAsia"/>
        </w:rPr>
        <w:t>）材料堆场和牵张场地等临时用地</w:t>
      </w:r>
      <w:r>
        <w:t>尽量选择植被稀疏的路边荒草地</w:t>
      </w:r>
      <w:r>
        <w:rPr>
          <w:rFonts w:hint="eastAsia"/>
        </w:rPr>
        <w:t>，施工结束后立即清理施工迹地，恢复地表状态及土地使用功能</w:t>
      </w:r>
      <w:r>
        <w:t>。</w:t>
      </w:r>
    </w:p>
    <w:p w14:paraId="27A22B4A">
      <w:pPr>
        <w:pStyle w:val="3"/>
        <w:ind w:firstLine="480"/>
      </w:pPr>
      <w:r>
        <w:t>e</w:t>
      </w:r>
      <w:r>
        <w:rPr>
          <w:rFonts w:hint="eastAsia"/>
        </w:rPr>
        <w:t>）</w:t>
      </w:r>
      <w:r>
        <w:t>对于永久占地造成的植被破坏，业主应严格按照有关规定向政府和主管部门缴纳相关青苗补偿费，并由相关部门统一安排。</w:t>
      </w:r>
    </w:p>
    <w:p w14:paraId="13636FA8">
      <w:pPr>
        <w:pStyle w:val="3"/>
        <w:ind w:firstLine="480"/>
      </w:pPr>
      <w:r>
        <w:t>f</w:t>
      </w:r>
      <w:r>
        <w:rPr>
          <w:rFonts w:hint="eastAsia"/>
        </w:rPr>
        <w:t>）</w:t>
      </w:r>
      <w:r>
        <w:t>施工开挖时应分层开挖，分层堆放，注意表土防护，施工结束后按原土层顺序分层回填，以利于后期植被恢复；施工结束后，尽快清理施工场地，并对施工扰动区域进行复耕或进行植被恢复。</w:t>
      </w:r>
    </w:p>
    <w:p w14:paraId="68BF42DD">
      <w:pPr>
        <w:pStyle w:val="3"/>
        <w:ind w:firstLine="480"/>
      </w:pPr>
      <w:r>
        <w:t>g</w:t>
      </w:r>
      <w:r>
        <w:rPr>
          <w:rFonts w:hint="eastAsia"/>
        </w:rPr>
        <w:t>）</w:t>
      </w:r>
      <w:r>
        <w:t>采用全方位高低腿铁塔，并配合使用高低基础，避免</w:t>
      </w:r>
      <w:r>
        <w:rPr>
          <w:rFonts w:hint="eastAsia"/>
        </w:rPr>
        <w:t>了塔基</w:t>
      </w:r>
      <w:r>
        <w:t>大开挖，保持原有地形、地貌，尽量减少占地和土石方量。对临时占地，施工完成后，应尽快实施植被生态恢复，并加强管理。</w:t>
      </w:r>
    </w:p>
    <w:p w14:paraId="0C751964">
      <w:pPr>
        <w:pStyle w:val="3"/>
        <w:ind w:firstLine="480"/>
      </w:pPr>
      <w:r>
        <w:t>h</w:t>
      </w:r>
      <w:r>
        <w:rPr>
          <w:rFonts w:hint="eastAsia"/>
        </w:rPr>
        <w:t>）</w:t>
      </w:r>
      <w:r>
        <w:t>如在施工过程中发现有受保护的植物，应对线路调整避让或移栽受保护的植物，同时上报林业主管部门。移栽时遵循就近移栽，并安排相关专业人员负责养护，保证成活。</w:t>
      </w:r>
    </w:p>
    <w:p w14:paraId="4602BCDD">
      <w:pPr>
        <w:pStyle w:val="3"/>
        <w:ind w:firstLine="480"/>
      </w:pPr>
      <w:r>
        <w:t>i</w:t>
      </w:r>
      <w:r>
        <w:rPr>
          <w:rFonts w:hint="eastAsia"/>
        </w:rPr>
        <w:t>）施工期注意防火，加强施工人员森林防火教育，避免人为活动导致森林火灾；运行期加强线路管理维护，对照相关规定对导线下方一定距离内的树冠进行定期修剪，防止导线因为热胀冷缩下垂后造成森林火灾，同时保障输电线路的安全。</w:t>
      </w:r>
    </w:p>
    <w:p w14:paraId="035BC389">
      <w:pPr>
        <w:pStyle w:val="5"/>
        <w:ind w:left="0" w:firstLine="0"/>
      </w:pPr>
      <w:r>
        <w:rPr>
          <w:rFonts w:hint="eastAsia"/>
        </w:rPr>
        <w:t>对动物的保护措施</w:t>
      </w:r>
    </w:p>
    <w:p w14:paraId="726906B4">
      <w:pPr>
        <w:pStyle w:val="3"/>
        <w:ind w:firstLine="480"/>
      </w:pPr>
      <w:r>
        <w:rPr>
          <w:rFonts w:hint="eastAsia"/>
        </w:rPr>
        <w:t>a）严格控制施工范围，避免扩大施工行为影响到野生动物的适栖地。</w:t>
      </w:r>
    </w:p>
    <w:p w14:paraId="4233207A">
      <w:pPr>
        <w:pStyle w:val="3"/>
        <w:ind w:firstLine="480"/>
      </w:pPr>
      <w:r>
        <w:t>b</w:t>
      </w:r>
      <w:r>
        <w:rPr>
          <w:rFonts w:hint="eastAsia"/>
        </w:rPr>
        <w:t>）提高施工人员的保护意识，严禁捕猎野生动物。施工人员必须遵守《中华人民共和国野生动物保护法》，严禁在施工区及其周围捕猎野生动物。</w:t>
      </w:r>
      <w:r>
        <w:t>加强施工人员对野生动物和生态环境的保护意识，并在施工过程中加强管理，禁止人为破坏洞穴、巢穴、捡拾鸟卵</w:t>
      </w:r>
      <w:r>
        <w:rPr>
          <w:rFonts w:hint="eastAsia"/>
        </w:rPr>
        <w:t>（</w:t>
      </w:r>
      <w:r>
        <w:t>蛋</w:t>
      </w:r>
      <w:r>
        <w:rPr>
          <w:rFonts w:hint="eastAsia"/>
        </w:rPr>
        <w:t>）</w:t>
      </w:r>
      <w:r>
        <w:t>等活动，在施工中遇到的幼兽、幼鸟和鸟蛋须交给林业局的专业人员妥善处置，不得擅自处理。加强对项目区的生态保护，严禁猎杀任何兽类，严禁打鸟、捕鸟和破坏鸟类的生存环境，严禁捕蛇、抓蛙和破坏两栖爬行动物的生存环境。</w:t>
      </w:r>
    </w:p>
    <w:p w14:paraId="3E71B02D">
      <w:pPr>
        <w:pStyle w:val="3"/>
        <w:ind w:firstLine="480"/>
      </w:pPr>
      <w:r>
        <w:t>c</w:t>
      </w:r>
      <w:r>
        <w:rPr>
          <w:rFonts w:hint="eastAsia"/>
        </w:rPr>
        <w:t>）合理安排施工期和作息时间，尽可能避免在晨、昏及夜间进行高噪声作业，减少工程施工噪声对野生动物的惊扰。</w:t>
      </w:r>
    </w:p>
    <w:p w14:paraId="2A808F9B">
      <w:pPr>
        <w:pStyle w:val="3"/>
        <w:ind w:firstLine="480"/>
      </w:pPr>
      <w:r>
        <w:t>d</w:t>
      </w:r>
      <w:r>
        <w:rPr>
          <w:rFonts w:hint="eastAsia"/>
        </w:rPr>
        <w:t>）</w:t>
      </w:r>
      <w:r>
        <w:t>施工中要杜绝对附近水体的污染，保证两栖动物的栖息地不受或少受影响。</w:t>
      </w:r>
    </w:p>
    <w:p w14:paraId="2111FE4F">
      <w:pPr>
        <w:pStyle w:val="3"/>
        <w:ind w:firstLine="480"/>
      </w:pPr>
      <w:r>
        <w:t>e</w:t>
      </w:r>
      <w:r>
        <w:rPr>
          <w:rFonts w:hint="eastAsia"/>
        </w:rPr>
        <w:t>）</w:t>
      </w:r>
      <w:r>
        <w:t>施工结束后，对施工扰动区域及临时占地区域进行原生态恢复，减少对于野生动物生境的改变。</w:t>
      </w:r>
    </w:p>
    <w:p w14:paraId="4F9208BB">
      <w:pPr>
        <w:pStyle w:val="5"/>
        <w:ind w:left="0" w:firstLine="0"/>
      </w:pPr>
      <w:r>
        <w:t>水土流失保护措施</w:t>
      </w:r>
    </w:p>
    <w:p w14:paraId="3065C899">
      <w:pPr>
        <w:pStyle w:val="3"/>
        <w:ind w:firstLine="480"/>
      </w:pPr>
      <w:r>
        <w:rPr>
          <w:rFonts w:hint="eastAsia"/>
        </w:rPr>
        <w:t>a）</w:t>
      </w:r>
      <w:r>
        <w:t xml:space="preserve">施工单位在土石方工程开工前应做到先防护，后开挖。土石方开挖尽量避免在雨天施工，土建施工期间注意收听天气预报，如遇大风、雨天，应及时作好施工区的临时防护。 </w:t>
      </w:r>
    </w:p>
    <w:p w14:paraId="4BCD672E">
      <w:pPr>
        <w:pStyle w:val="3"/>
        <w:ind w:firstLine="480"/>
      </w:pPr>
      <w:r>
        <w:t xml:space="preserve">b）对开挖后的裸露开挖面用苫布覆盖，避免降雨时水流直接冲刷，施工时开挖的临时堆土应在土体表面覆上苫布防治水土流失。 </w:t>
      </w:r>
    </w:p>
    <w:p w14:paraId="21FC2222">
      <w:pPr>
        <w:pStyle w:val="3"/>
        <w:ind w:firstLine="480"/>
      </w:pPr>
      <w:r>
        <w:t>c）加强施工期的施工管理，合理安排施工时序，做好临时堆土的围护拦挡。</w:t>
      </w:r>
    </w:p>
    <w:p w14:paraId="60B644B2">
      <w:pPr>
        <w:pStyle w:val="3"/>
        <w:ind w:firstLine="480"/>
      </w:pPr>
      <w:r>
        <w:t>d）本工程施工完成后，应及时清理建筑垃圾、恢复地表状态及土地使用功能。</w:t>
      </w:r>
    </w:p>
    <w:p w14:paraId="09FFDFD1">
      <w:pPr>
        <w:pStyle w:val="3"/>
        <w:ind w:firstLine="480"/>
      </w:pPr>
      <w:r>
        <w:t>e）对施工扰动区域按项目水土保持方案要求做好生态恢复工作。</w:t>
      </w:r>
    </w:p>
    <w:p w14:paraId="005F3E10">
      <w:pPr>
        <w:pStyle w:val="5"/>
        <w:ind w:left="0" w:firstLine="0"/>
      </w:pPr>
      <w:r>
        <w:rPr>
          <w:rFonts w:hint="eastAsia"/>
        </w:rPr>
        <w:t>生态保护红线保护措施</w:t>
      </w:r>
    </w:p>
    <w:p w14:paraId="5E19DC92">
      <w:pPr>
        <w:pStyle w:val="161"/>
        <w:ind w:firstLine="480"/>
      </w:pPr>
      <w:r>
        <w:rPr>
          <w:rFonts w:hint="eastAsia"/>
        </w:rPr>
        <w:t>本工程在选址选线和设计阶段进行了多次优化，已最大限度地避让了沿途各种生态环境敏感区，但由于路径长、跨度大，受城镇规划、自然条件等因素的限制无法完全避让生态保护红线。在后期工程实施时，应持续跟踪和落实国家和地方关于生态保护红线的相关保护和管理要求，同时采取如下保护措施：</w:t>
      </w:r>
    </w:p>
    <w:p w14:paraId="3DBCE4EB">
      <w:pPr>
        <w:pStyle w:val="161"/>
        <w:ind w:firstLine="480"/>
      </w:pPr>
      <w:r>
        <w:rPr>
          <w:rFonts w:hint="eastAsia"/>
        </w:rPr>
        <w:t>a）跨越生态保护红线均采取无害化跨越，不在生态保护红线区域内立塔，也不在期内设置材料堆放场地、牵张场地、施工道路等各类临时占地。塔基定位时应严格按照设计进行，防止实际施工时侵占生态保护红线。</w:t>
      </w:r>
    </w:p>
    <w:p w14:paraId="73E75F37">
      <w:pPr>
        <w:pStyle w:val="161"/>
        <w:ind w:firstLine="480"/>
      </w:pPr>
      <w:r>
        <w:rPr>
          <w:rFonts w:hint="eastAsia"/>
        </w:rPr>
        <w:t>b）跨越生态保护红线采用高跨设计，尽可能避免对生态保护红线区域内树木的砍伐；跨生态保护红线段线路架设时尽可能采用无人机牵引等对生态影响较小的牵张方式</w:t>
      </w:r>
    </w:p>
    <w:p w14:paraId="2E5EC8EA">
      <w:pPr>
        <w:pStyle w:val="161"/>
        <w:ind w:firstLine="480"/>
      </w:pPr>
      <w:r>
        <w:rPr>
          <w:rFonts w:hint="eastAsia"/>
        </w:rPr>
        <w:t>c）临近生态保护红线的塔基（1#、4~</w:t>
      </w:r>
      <w:r>
        <w:t>8</w:t>
      </w:r>
      <w:r>
        <w:rPr>
          <w:rFonts w:hint="eastAsia"/>
        </w:rPr>
        <w:t>#、1</w:t>
      </w:r>
      <w:r>
        <w:t>3</w:t>
      </w:r>
      <w:r>
        <w:rPr>
          <w:rFonts w:hint="eastAsia"/>
        </w:rPr>
        <w:t>#）施工时应严格控制施工作业带宽度，避免施工活动进入生态保护红线区域对其造成生态破坏。</w:t>
      </w:r>
    </w:p>
    <w:p w14:paraId="5C7EE7F7">
      <w:pPr>
        <w:pStyle w:val="161"/>
        <w:ind w:firstLine="480"/>
      </w:pPr>
      <w:r>
        <w:rPr>
          <w:rFonts w:hint="eastAsia"/>
        </w:rPr>
        <w:t>d）严格遵守科学文明施工要求，禁止野蛮作业；加强对施工人员生态环境保护宣传教育，非必要不进入生态保护红线区域，进入生态保护红线内时严格控制人员活动范围，尽可能避免坏生态保护红线内植被和动物，禁止在生态保护红线范围内堆放生活垃圾和建筑垃圾。</w:t>
      </w:r>
    </w:p>
    <w:p w14:paraId="430BDE8D">
      <w:pPr>
        <w:pStyle w:val="5"/>
        <w:ind w:left="0" w:firstLine="0"/>
      </w:pPr>
      <w:r>
        <w:rPr>
          <w:rFonts w:hint="eastAsia"/>
        </w:rPr>
        <w:t>国家湿地公园的保护措施</w:t>
      </w:r>
    </w:p>
    <w:p w14:paraId="380F5504">
      <w:pPr>
        <w:pStyle w:val="161"/>
        <w:ind w:firstLine="480"/>
      </w:pPr>
      <w:r>
        <w:rPr>
          <w:rFonts w:hint="eastAsia"/>
        </w:rPr>
        <w:t>本工程线路跨越湖南江华涔天河国家湿地公园，为做好对线路附近国家湿地公园的生态防护工作，本环评要求：</w:t>
      </w:r>
    </w:p>
    <w:p w14:paraId="61899F2A">
      <w:pPr>
        <w:pStyle w:val="161"/>
        <w:ind w:firstLine="480"/>
      </w:pPr>
      <w:r>
        <w:t>a</w:t>
      </w:r>
      <w:r>
        <w:rPr>
          <w:rFonts w:hint="eastAsia"/>
        </w:rPr>
        <w:t>）项目开工前施工单位应对邻近湿地公园的线路路径方案进行复核，确保塔基不得落入国家湿地公园范围内。</w:t>
      </w:r>
    </w:p>
    <w:p w14:paraId="241A047C">
      <w:pPr>
        <w:pStyle w:val="161"/>
        <w:ind w:firstLine="480"/>
      </w:pPr>
      <w:r>
        <w:rPr>
          <w:rFonts w:hint="eastAsia"/>
        </w:rPr>
        <w:t>b）工程开工前，施工单位应向施工单位进行环境保护工作交底，明确保护区边界范围，检查保护区段的施工方案和施工组织方案，确保材料堆场、牵张场等各类施工临时占地不得落入保护区内。</w:t>
      </w:r>
    </w:p>
    <w:p w14:paraId="4B786552">
      <w:pPr>
        <w:pStyle w:val="161"/>
        <w:ind w:firstLine="480"/>
      </w:pPr>
      <w:r>
        <w:rPr>
          <w:rFonts w:hint="eastAsia"/>
        </w:rPr>
        <w:t>c）加强施工期间的环境保护管理工作，湿地公园附近的塔基严格控制施工范围，避免施工区域侵占湿地公园范围；禁止向国家湿地公园内排放施工废水、倾倒弃土弃渣以及其他破坏保护区内生态环境的活动。</w:t>
      </w:r>
    </w:p>
    <w:p w14:paraId="0A593140">
      <w:pPr>
        <w:pStyle w:val="161"/>
        <w:ind w:firstLine="480"/>
      </w:pPr>
      <w:r>
        <w:rPr>
          <w:rFonts w:hint="eastAsia"/>
        </w:rPr>
        <w:t>d）合理组织施工，临近湿地公园的塔基基础和架线施工应集中力量在尽量短的施工时间内完工，以减少生物多样性保护优先区域受干扰的时间。</w:t>
      </w:r>
    </w:p>
    <w:p w14:paraId="1DCBC1D9">
      <w:pPr>
        <w:pStyle w:val="5"/>
        <w:ind w:left="0" w:firstLine="0"/>
      </w:pPr>
      <w:r>
        <w:rPr>
          <w:rFonts w:hint="eastAsia"/>
        </w:rPr>
        <w:t>风景名胜区的保护措施</w:t>
      </w:r>
    </w:p>
    <w:p w14:paraId="7154F249">
      <w:pPr>
        <w:pStyle w:val="161"/>
        <w:ind w:firstLine="480"/>
      </w:pPr>
      <w:r>
        <w:rPr>
          <w:rFonts w:hint="eastAsia"/>
        </w:rPr>
        <w:t>本工程线路跨越姑婆山风景名胜区，为做好对线路附近风景名胜区的生态防护工作，本环评要求：</w:t>
      </w:r>
    </w:p>
    <w:p w14:paraId="25356385">
      <w:pPr>
        <w:pStyle w:val="161"/>
        <w:ind w:firstLine="480"/>
      </w:pPr>
      <w:r>
        <w:t>a</w:t>
      </w:r>
      <w:r>
        <w:rPr>
          <w:rFonts w:hint="eastAsia"/>
        </w:rPr>
        <w:t>）项目开工前施工单位应对穿越姑婆山风景名胜区段线路路径方案和临时用地方案进行复核，确保不得增加姑婆山风景名胜区内塔基永久占地面积。</w:t>
      </w:r>
    </w:p>
    <w:p w14:paraId="3A9B5059">
      <w:pPr>
        <w:pStyle w:val="161"/>
        <w:ind w:firstLine="480"/>
      </w:pPr>
      <w:r>
        <w:rPr>
          <w:rFonts w:hint="eastAsia"/>
        </w:rPr>
        <w:t>b）工程开工前，施工单位应向施工单位进行环境保护工作交底，明确风景名胜区边界范围，严格划定施工范围，严格限定施工人员活动范围；除塔基周边的施工区外，不在姑婆山风景名胜区范围设置其它类型临时占地，并尽可能减少塔基施工临时用地。</w:t>
      </w:r>
    </w:p>
    <w:p w14:paraId="78F4EF31">
      <w:pPr>
        <w:pStyle w:val="161"/>
        <w:ind w:firstLine="480"/>
      </w:pPr>
      <w:r>
        <w:t>c</w:t>
      </w:r>
      <w:r>
        <w:rPr>
          <w:rFonts w:hint="eastAsia"/>
        </w:rPr>
        <w:t>）穿越风景名胜区段尽可能采用高跨设计以减少对风景名胜区内树木的砍伐，线路架设时尽可能采用无人机牵引等对生态影响较小的牵张方式。</w:t>
      </w:r>
    </w:p>
    <w:p w14:paraId="0C37BD96">
      <w:pPr>
        <w:pStyle w:val="161"/>
        <w:ind w:firstLine="480"/>
      </w:pPr>
      <w:r>
        <w:t>d</w:t>
      </w:r>
      <w:r>
        <w:rPr>
          <w:rFonts w:hint="eastAsia"/>
        </w:rPr>
        <w:t>）加强施工人员森林防火宣传教育，防范森林火灾；加强施工人员动植物保护教育。</w:t>
      </w:r>
    </w:p>
    <w:p w14:paraId="715FC8BE">
      <w:pPr>
        <w:pStyle w:val="161"/>
        <w:ind w:firstLine="480"/>
      </w:pPr>
      <w:r>
        <w:t>e</w:t>
      </w:r>
      <w:r>
        <w:rPr>
          <w:rFonts w:hint="eastAsia"/>
        </w:rPr>
        <w:t>）穿越风景名胜区的塔基基础和架线施工应集中力量在尽量短的施工时间内完工，以减少生物多样性保护优先区域受干扰的时间。</w:t>
      </w:r>
    </w:p>
    <w:p w14:paraId="28E6CC75">
      <w:pPr>
        <w:pStyle w:val="5"/>
        <w:ind w:left="0" w:firstLine="0"/>
      </w:pPr>
      <w:r>
        <w:rPr>
          <w:rFonts w:hint="eastAsia"/>
        </w:rPr>
        <w:t>国家生态公益林的保护措施</w:t>
      </w:r>
    </w:p>
    <w:p w14:paraId="2D878762">
      <w:pPr>
        <w:pStyle w:val="161"/>
        <w:ind w:firstLine="480"/>
      </w:pPr>
      <w:r>
        <w:t>a</w:t>
      </w:r>
      <w:r>
        <w:rPr>
          <w:rFonts w:hint="eastAsia"/>
        </w:rPr>
        <w:t>）项目开工前施工单位应对邻近国家生态公益林的线路路径方案进行复核，确保塔基不得落入国家一级生态公益林范围内。</w:t>
      </w:r>
    </w:p>
    <w:p w14:paraId="43618BC0">
      <w:pPr>
        <w:pStyle w:val="161"/>
        <w:ind w:firstLine="480"/>
      </w:pPr>
      <w:r>
        <w:rPr>
          <w:rFonts w:hint="eastAsia"/>
        </w:rPr>
        <w:t>b）工程开工前，施工单位应向施工单位进行环境保护工作交底，明确生态公益林边界范围，严格划定施工范围，严格限定施工人员活动范围；除塔基周边的施工区外，不在国家生态公益林范围内设置其它类型临时占地，并尽可能减少塔基施工临时用地。</w:t>
      </w:r>
    </w:p>
    <w:p w14:paraId="70F252FC">
      <w:pPr>
        <w:pStyle w:val="161"/>
        <w:ind w:firstLine="480"/>
      </w:pPr>
      <w:r>
        <w:t>c</w:t>
      </w:r>
      <w:r>
        <w:rPr>
          <w:rFonts w:hint="eastAsia"/>
        </w:rPr>
        <w:t>）穿越国家生态公益林尽可能采用高跨设计以减少对树木的砍伐，线路架设时尽可能采用无人机牵引等对生态影响较小的牵张方式。</w:t>
      </w:r>
    </w:p>
    <w:p w14:paraId="48298D7E">
      <w:pPr>
        <w:pStyle w:val="161"/>
        <w:ind w:firstLine="480"/>
      </w:pPr>
      <w:r>
        <w:t>d</w:t>
      </w:r>
      <w:r>
        <w:rPr>
          <w:rFonts w:hint="eastAsia"/>
        </w:rPr>
        <w:t>）加强施工人员森林防火宣传教育，防范森林火灾；加强施工人员动植物保护教育。</w:t>
      </w:r>
    </w:p>
    <w:p w14:paraId="163F7F31">
      <w:pPr>
        <w:pStyle w:val="2"/>
        <w:pageBreakBefore/>
        <w:ind w:left="431" w:hanging="431"/>
      </w:pPr>
      <w:bookmarkStart w:id="285" w:name="_Toc186810126"/>
      <w:r>
        <w:rPr>
          <w:rFonts w:hint="eastAsia"/>
        </w:rPr>
        <w:t>生态管理、监理与监测</w:t>
      </w:r>
      <w:bookmarkEnd w:id="285"/>
    </w:p>
    <w:p w14:paraId="0D108FFA">
      <w:pPr>
        <w:pStyle w:val="3"/>
        <w:ind w:firstLine="480"/>
      </w:pPr>
      <w:r>
        <w:rPr>
          <w:rFonts w:hint="eastAsia"/>
        </w:rPr>
        <w:t>根据国家环境保护管理规定，工程施工期间在工程管理机构中应设置环保管理机构，安排专业环保人员负责施工中的环境管理工作。</w:t>
      </w:r>
    </w:p>
    <w:p w14:paraId="4F70332D">
      <w:pPr>
        <w:pStyle w:val="5"/>
        <w:ind w:left="0" w:firstLine="0"/>
      </w:pPr>
      <w:r>
        <w:rPr>
          <w:rFonts w:hint="eastAsia"/>
        </w:rPr>
        <w:t>生态管理</w:t>
      </w:r>
    </w:p>
    <w:p w14:paraId="1E6826E6">
      <w:pPr>
        <w:pStyle w:val="6"/>
        <w:ind w:left="0" w:firstLine="0"/>
      </w:pPr>
      <w:r>
        <w:rPr>
          <w:rFonts w:hint="eastAsia"/>
        </w:rPr>
        <w:t>施工期生态管理</w:t>
      </w:r>
    </w:p>
    <w:p w14:paraId="19F6331D">
      <w:pPr>
        <w:pStyle w:val="161"/>
        <w:ind w:firstLine="480"/>
      </w:pPr>
      <w:r>
        <w:rPr>
          <w:rFonts w:hint="eastAsia"/>
        </w:rPr>
        <w:t>本工程施工招标应选择具有较强的生态保护意识和掌握先进架线工艺等有利于生态环境保护新技术的施工单位。</w:t>
      </w:r>
    </w:p>
    <w:p w14:paraId="6C1572BB">
      <w:pPr>
        <w:pStyle w:val="161"/>
        <w:ind w:firstLine="480"/>
      </w:pPr>
      <w:r>
        <w:rPr>
          <w:rFonts w:hint="eastAsia"/>
        </w:rPr>
        <w:t>施工前对施工人员和监理人员进行生态保护教育，施工过程中做好施工现场管理工作，并请保护区管理机构负责保护区范围内的生态保护措施的全程跟踪、检查和监督，配合建设单位开展环境保护的技术指导，协调处理工程建设过程中涉及的环境保护管理、林地恢复等相关问题。</w:t>
      </w:r>
    </w:p>
    <w:p w14:paraId="4267B9A1">
      <w:pPr>
        <w:pStyle w:val="161"/>
        <w:ind w:firstLine="480"/>
      </w:pPr>
      <w:r>
        <w:rPr>
          <w:rFonts w:hint="eastAsia"/>
        </w:rPr>
        <w:t>在施工设计文件中详细说明施工期应注意的环保问题，如对沿线树木砍伐，野生动植物保护、森林植被恢复等情况均应按设计文件执行，同时做好记录，并按标段将记录整理成册。严格要求施工单位按设计文件施工，特别是按环保设计要求施工。建设方在施工期间应有专人负责环境管理工作，对施工中的每一道工序都应检查是否满足环保要求，并不定期地对各施工点位进行监督检查。</w:t>
      </w:r>
    </w:p>
    <w:p w14:paraId="30C690EA">
      <w:pPr>
        <w:pStyle w:val="161"/>
        <w:ind w:firstLine="480"/>
      </w:pPr>
      <w:r>
        <w:rPr>
          <w:rFonts w:hint="eastAsia"/>
        </w:rPr>
        <w:t>在敏感区进行施工时，施工前期应加强对施工人员的野生动物保护等内容进行培训，规范施工队伍行为和施工现场管理。</w:t>
      </w:r>
    </w:p>
    <w:p w14:paraId="4CB23C32">
      <w:pPr>
        <w:pStyle w:val="6"/>
        <w:ind w:left="0" w:firstLine="0"/>
      </w:pPr>
      <w:r>
        <w:rPr>
          <w:rFonts w:hint="eastAsia"/>
        </w:rPr>
        <w:t>运行期生态管理</w:t>
      </w:r>
    </w:p>
    <w:p w14:paraId="0911684A">
      <w:pPr>
        <w:pStyle w:val="161"/>
        <w:ind w:firstLine="480"/>
      </w:pPr>
      <w:r>
        <w:rPr>
          <w:rFonts w:hint="eastAsia"/>
        </w:rPr>
        <w:t>根据项目所在区域的环境特点，在运行主管单位分设生态管理部门。生态环境管理科室的职能为：</w:t>
      </w:r>
    </w:p>
    <w:p w14:paraId="0A75AD60">
      <w:pPr>
        <w:pStyle w:val="161"/>
        <w:ind w:firstLine="480"/>
      </w:pPr>
      <w:r>
        <w:rPr>
          <w:rFonts w:hint="eastAsia"/>
        </w:rPr>
        <w:t>a）建立生态环境现状数据档案及生态信息网络，并定期向当地生态环境行政主管部门汇报；</w:t>
      </w:r>
    </w:p>
    <w:p w14:paraId="228FAA2A">
      <w:pPr>
        <w:pStyle w:val="161"/>
        <w:ind w:firstLine="480"/>
      </w:pPr>
      <w:r>
        <w:rPr>
          <w:rFonts w:hint="eastAsia"/>
        </w:rPr>
        <w:t>b）不定期地巡查线路各段，制定合理的巡护路线，保护生态环境不被破坏，保证保护生态与工程运行相协调；</w:t>
      </w:r>
    </w:p>
    <w:p w14:paraId="7C7FCBF8">
      <w:pPr>
        <w:pStyle w:val="161"/>
        <w:ind w:firstLine="480"/>
      </w:pPr>
      <w:r>
        <w:rPr>
          <w:rFonts w:hint="eastAsia"/>
        </w:rPr>
        <w:t>c）协调配合上级生态环境部门所进行的环境调查，生态调查等活动；</w:t>
      </w:r>
    </w:p>
    <w:p w14:paraId="22EA7DAF">
      <w:pPr>
        <w:pStyle w:val="161"/>
        <w:ind w:firstLine="480"/>
      </w:pPr>
      <w:r>
        <w:rPr>
          <w:rFonts w:hint="eastAsia"/>
        </w:rPr>
        <w:t>d）加强巡护人员生态保护意识，制定适当的奖惩制度，杜绝肆意破坏区域内生态环境的现象发生；</w:t>
      </w:r>
    </w:p>
    <w:p w14:paraId="0D47058F">
      <w:pPr>
        <w:pStyle w:val="3"/>
        <w:ind w:firstLine="480"/>
      </w:pPr>
      <w:r>
        <w:rPr>
          <w:rFonts w:hint="eastAsia"/>
        </w:rPr>
        <w:t>e）加强线路巡护，及时进行维修，杜绝安全隐患，以防电力事故的发生导致当地生态环境遭到严重破坏；</w:t>
      </w:r>
    </w:p>
    <w:p w14:paraId="78ACF3B2">
      <w:pPr>
        <w:pStyle w:val="161"/>
        <w:ind w:firstLine="480"/>
      </w:pPr>
      <w:r>
        <w:rPr>
          <w:rFonts w:hint="eastAsia"/>
        </w:rPr>
        <w:t>f）运行期线路维护产生的废弃物，应及时处理，避免生态环境的破坏。</w:t>
      </w:r>
    </w:p>
    <w:p w14:paraId="1E0DEF13">
      <w:pPr>
        <w:pStyle w:val="5"/>
        <w:ind w:left="0" w:firstLine="0"/>
      </w:pPr>
      <w:r>
        <w:rPr>
          <w:rFonts w:hint="eastAsia"/>
        </w:rPr>
        <w:t>环境监理</w:t>
      </w:r>
    </w:p>
    <w:p w14:paraId="5624CBD9">
      <w:pPr>
        <w:pStyle w:val="161"/>
        <w:ind w:firstLine="480"/>
      </w:pPr>
      <w:r>
        <w:rPr>
          <w:rFonts w:hint="eastAsia"/>
        </w:rPr>
        <w:t>环境监理是环境管理的重要内容，是指环境监理机构依据法律、法规、规章授权或受环境保护行政主管部门的委托，依法对辖区内的污染源及其污染物排放情况进行监督，对生态破坏事件进行现场调查取证，并参与处理执法。</w:t>
      </w:r>
    </w:p>
    <w:p w14:paraId="5CAD319A">
      <w:pPr>
        <w:pStyle w:val="161"/>
        <w:ind w:firstLine="480"/>
      </w:pPr>
      <w:r>
        <w:rPr>
          <w:rFonts w:hint="eastAsia"/>
        </w:rPr>
        <w:t>a）人员设置</w:t>
      </w:r>
    </w:p>
    <w:p w14:paraId="7B54BEC1">
      <w:pPr>
        <w:pStyle w:val="161"/>
        <w:ind w:firstLine="480"/>
      </w:pPr>
      <w:r>
        <w:rPr>
          <w:rFonts w:hint="eastAsia"/>
        </w:rPr>
        <w:t>环境监理由环境监理总工程师负责制。</w:t>
      </w:r>
    </w:p>
    <w:p w14:paraId="7D26DBD5">
      <w:pPr>
        <w:pStyle w:val="161"/>
        <w:ind w:firstLine="480"/>
      </w:pPr>
      <w:r>
        <w:rPr>
          <w:rFonts w:hint="eastAsia"/>
        </w:rPr>
        <w:t>b）监理职责</w:t>
      </w:r>
    </w:p>
    <w:p w14:paraId="56CC85F8">
      <w:pPr>
        <w:pStyle w:val="161"/>
        <w:ind w:firstLine="480"/>
      </w:pPr>
      <w:r>
        <w:rPr>
          <w:rFonts w:hint="eastAsia"/>
        </w:rPr>
        <w:t>监理工程师合同条款对工程活动中的环境保护工作进行监督管理，其职责如下：</w:t>
      </w:r>
    </w:p>
    <w:p w14:paraId="4ADD8C1D">
      <w:pPr>
        <w:pStyle w:val="161"/>
        <w:ind w:firstLine="480"/>
      </w:pPr>
      <w:r>
        <w:rPr>
          <w:rFonts w:hint="eastAsia"/>
        </w:rPr>
        <w:t>1）监督承包商环保合同条款的执行情况，并负责解释环保条款，对重大环境问题提出处理意见和报告。</w:t>
      </w:r>
    </w:p>
    <w:p w14:paraId="4A884560">
      <w:pPr>
        <w:pStyle w:val="161"/>
        <w:ind w:firstLine="480"/>
      </w:pPr>
      <w:r>
        <w:rPr>
          <w:rFonts w:hint="eastAsia"/>
        </w:rPr>
        <w:t>2）发现并掌握工程施工中的环境问题，下达监测指令。对监测结果进行分析研究，并提出环境保护改善方案。</w:t>
      </w:r>
    </w:p>
    <w:p w14:paraId="181E0B97">
      <w:pPr>
        <w:pStyle w:val="161"/>
        <w:ind w:firstLine="480"/>
      </w:pPr>
      <w:r>
        <w:rPr>
          <w:rFonts w:hint="eastAsia"/>
        </w:rPr>
        <w:t>3）参加承包商提出的技术方案和施工进度计划的审查会议，就环保问题提出改建意见。审查承包商提出的可能造成的施工材料、设备清单及其所列环保指标。</w:t>
      </w:r>
    </w:p>
    <w:p w14:paraId="07E33824">
      <w:pPr>
        <w:pStyle w:val="161"/>
        <w:ind w:firstLine="480"/>
      </w:pPr>
      <w:r>
        <w:rPr>
          <w:rFonts w:hint="eastAsia"/>
        </w:rPr>
        <w:t>4）协调业和和承包商之间的关系，处理合同中有关环保部分的违约事件。根据合同规定，按索赔程序公正的处理好环保方面的双方索赔。</w:t>
      </w:r>
    </w:p>
    <w:p w14:paraId="5ACD0034">
      <w:pPr>
        <w:pStyle w:val="161"/>
        <w:ind w:firstLine="480"/>
      </w:pPr>
      <w:r>
        <w:rPr>
          <w:rFonts w:hint="eastAsia"/>
        </w:rPr>
        <w:t>5）对现场出现的环境问题及处理结果作出记录，每月向环境管理机构提交月报表，根据积累的有关资料整理环境监理档案，每半年提交一份环境监理评估报告。</w:t>
      </w:r>
    </w:p>
    <w:p w14:paraId="058DB6B7">
      <w:pPr>
        <w:pStyle w:val="161"/>
        <w:ind w:firstLine="480"/>
      </w:pPr>
      <w:r>
        <w:rPr>
          <w:rFonts w:hint="eastAsia"/>
        </w:rPr>
        <w:t>6）参加工程的竣工验收工作，对已完成的工程责令清理和恢复现场。</w:t>
      </w:r>
    </w:p>
    <w:p w14:paraId="28A74C92">
      <w:pPr>
        <w:pStyle w:val="161"/>
        <w:ind w:firstLine="480"/>
      </w:pPr>
      <w:r>
        <w:rPr>
          <w:rFonts w:hint="eastAsia"/>
        </w:rPr>
        <w:t>c）监理范围及工作内容</w:t>
      </w:r>
    </w:p>
    <w:p w14:paraId="586F83AC">
      <w:pPr>
        <w:pStyle w:val="161"/>
        <w:ind w:firstLine="480"/>
      </w:pPr>
      <w:r>
        <w:rPr>
          <w:rFonts w:hint="eastAsia"/>
        </w:rPr>
        <w:t>环境监理的工作范围包括所有承包商的施工现场、工作场地、生活营地、施工道路等可能造成环境污染的区域。环境监理的具体内容主要包括监督保护区内施工占地恢复情况及占用农田的复耕情况，加强生态敏感区知识和法律宣传工作，监督生态敏感区周围的生态保护措施落实情况。</w:t>
      </w:r>
    </w:p>
    <w:p w14:paraId="491B3394">
      <w:pPr>
        <w:pStyle w:val="161"/>
        <w:ind w:firstLine="480"/>
      </w:pPr>
      <w:r>
        <w:rPr>
          <w:rFonts w:hint="eastAsia"/>
        </w:rPr>
        <w:t>本工程在监控跨越生态红线区域施工时，施工人员应注意对野生动植物的保护。</w:t>
      </w:r>
    </w:p>
    <w:p w14:paraId="730009FA">
      <w:pPr>
        <w:pStyle w:val="161"/>
        <w:ind w:firstLine="480"/>
      </w:pPr>
      <w:r>
        <w:rPr>
          <w:rFonts w:hint="eastAsia"/>
        </w:rPr>
        <w:t>施工前应邀请上述敏感区专业人员对施工区及施工可能涉及的国家重点保护植物进行调查，结果应予以记录。如发现散生的古树名木应进行挂牌和标记，并进行避让。如无法避让，工程施工过程中应进行迁地保护，迁地保护由当地林业部门负责实施和管理，迁地要遵守就近保护原则，并保护迁地保护植物的成活率。施工时禁止猎杀兽类、鸟类和捕蛇捉蛙，施工过程中遇到鸟、蛇等动物的卵（蛋）应妥善移置到附近类似的环境中。</w:t>
      </w:r>
    </w:p>
    <w:p w14:paraId="612A33C4">
      <w:pPr>
        <w:pStyle w:val="161"/>
        <w:ind w:firstLine="480"/>
      </w:pPr>
      <w:r>
        <w:rPr>
          <w:rFonts w:hint="eastAsia"/>
        </w:rPr>
        <w:t>监理内容主要是生态保护措施的落实情况，包括对生态系统的保护措施落实情况、对植被、动物生态保护措施落实情况；临时占地的防护及恢复情况；施工产生的噪声、废水、扬尘、固体废物等污染控制措施落实情况以及各类生态保护措施实施效果等。</w:t>
      </w:r>
    </w:p>
    <w:p w14:paraId="2B10C2E5">
      <w:pPr>
        <w:pStyle w:val="5"/>
        <w:ind w:left="0" w:firstLine="0"/>
      </w:pPr>
      <w:r>
        <w:rPr>
          <w:rFonts w:hint="eastAsia"/>
        </w:rPr>
        <w:t>生态监测</w:t>
      </w:r>
    </w:p>
    <w:p w14:paraId="64DEA4A7">
      <w:pPr>
        <w:pStyle w:val="161"/>
        <w:ind w:firstLine="480"/>
      </w:pPr>
      <w:r>
        <w:rPr>
          <w:rFonts w:hint="eastAsia"/>
        </w:rPr>
        <w:t>根据《环境影响评价技术导则 生态影响》（HJ</w:t>
      </w:r>
      <w:r>
        <w:t>19-2022</w:t>
      </w:r>
      <w:r>
        <w:rPr>
          <w:rFonts w:hint="eastAsia"/>
        </w:rPr>
        <w:t>），占用或穿（跨）越生态敏感区的项目应开展长期跟踪生态监测。本项目无害化跨越生态保护红线和湖南江华涔天河国家湿地公园，不在其内立塔；穿越姑婆山风景名胜区，在其内设有塔杆</w:t>
      </w:r>
      <w:r>
        <w:t>8</w:t>
      </w:r>
      <w:r>
        <w:rPr>
          <w:rFonts w:hint="eastAsia"/>
        </w:rPr>
        <w:t>基。本项目生态监测重点区域为穿越姑婆山风景名胜区段，生态监测要求引用《姑婆山风景名胜区湖南省江华湾水源抽水蓄能电站施工电源110千伏线路工程选址方案论证报告》《湖南省江华湾水源抽水蓄能电站施工电源110kV线路工程穿越湖南江华涔天河国家湿地公园生态影响评价报告》中相关内容，具体如下：</w:t>
      </w:r>
    </w:p>
    <w:p w14:paraId="4F85BEC7">
      <w:pPr>
        <w:pStyle w:val="161"/>
        <w:ind w:firstLine="480"/>
      </w:pPr>
      <w:r>
        <w:rPr>
          <w:rFonts w:hint="eastAsia"/>
        </w:rPr>
        <w:t>a）施工期进行实时监测，聘请动植物专家指导变化情况，对由于施工造成对森林、湿地资源的破坏提供具体救护措施。同时，在建设过程中如发现其他保护动植物及时上报风景名胜区、湿地公园管理单位和林业主管部门。</w:t>
      </w:r>
    </w:p>
    <w:p w14:paraId="21CD7CCA">
      <w:pPr>
        <w:pStyle w:val="161"/>
        <w:ind w:firstLine="480"/>
      </w:pPr>
      <w:r>
        <w:rPr>
          <w:rFonts w:hint="eastAsia"/>
        </w:rPr>
        <w:t>b）项目建成后，组织专门人员对姑婆山省级风景名胜区、湖南江华涔天河国家湿地公园森林、湿地生态系统进行长期监测，监测内容包括：</w:t>
      </w:r>
    </w:p>
    <w:p w14:paraId="63390A8D">
      <w:pPr>
        <w:pStyle w:val="161"/>
        <w:ind w:firstLine="480"/>
      </w:pPr>
      <w:r>
        <w:rPr>
          <w:rFonts w:hint="eastAsia"/>
        </w:rPr>
        <w:t>1）物种监测：监测物种尤其是鸟类种群数量的动态变化，为保护管理提供决策依据。</w:t>
      </w:r>
    </w:p>
    <w:p w14:paraId="0BE699B1">
      <w:pPr>
        <w:pStyle w:val="161"/>
        <w:ind w:firstLine="480"/>
      </w:pPr>
      <w:r>
        <w:rPr>
          <w:rFonts w:hint="eastAsia"/>
        </w:rPr>
        <w:t>2）生态环境因子监测：对姑婆山省级风景名胜区的生态资源进行综合监测，为分析生态环境的主导影响因子提供基础数据。</w:t>
      </w:r>
    </w:p>
    <w:p w14:paraId="1AC31B2D">
      <w:pPr>
        <w:pStyle w:val="2"/>
        <w:pageBreakBefore/>
        <w:ind w:left="431" w:hanging="431"/>
      </w:pPr>
      <w:bookmarkStart w:id="286" w:name="_Toc174612155"/>
      <w:bookmarkStart w:id="287" w:name="_Toc186810127"/>
      <w:r>
        <w:rPr>
          <w:rFonts w:hint="eastAsia"/>
        </w:rPr>
        <w:t>生态环境影响评价综合结论</w:t>
      </w:r>
      <w:bookmarkEnd w:id="286"/>
      <w:bookmarkEnd w:id="287"/>
    </w:p>
    <w:p w14:paraId="67C2CE8A">
      <w:pPr>
        <w:pStyle w:val="3"/>
        <w:ind w:firstLine="480"/>
      </w:pPr>
      <w:r>
        <w:rPr>
          <w:rFonts w:hint="eastAsia"/>
        </w:rPr>
        <w:t>根据输变电工程自身特点，本工程建设对生态环境的影响主要在施工期，主要影响因素包括：工程占地、施工扰动和施工人员活动等。运行期主要在于输电线路运行对鸟类的影响。</w:t>
      </w:r>
    </w:p>
    <w:p w14:paraId="42B625D3">
      <w:pPr>
        <w:pStyle w:val="3"/>
        <w:ind w:firstLine="480"/>
      </w:pPr>
      <w:r>
        <w:rPr>
          <w:rFonts w:hint="eastAsia"/>
        </w:rPr>
        <w:t>施工期阶段，塔基基础永久占地会直接占用部分生态系统面积，造成区域内植物损伤，导致生物量减少，破坏区域内生态环境质量，影响区域内动物的栖息活动；噪声、扬尘、废气、废渣、振动等施工扰动会短暂影响区域内植物的生长发育和动物的栖息觅食，会驱使动物远离短暂原来的生活区域；施工人员践踏、施工机械碾压等对会临时占地区域内植物的生长发育产生不利影响。但由于本工程占地面积较小，且为点状分散占地，永久占地评价区占各生态系统面积比例极小，基本不会对评价区生态系统结构和功能产生显著影响，对生态系统内动植物的影响范围有限。同时，由于本工程各塔基施工时间短，施工范围小，施工活动对施工区生态环境的影响是短暂的，在采取本环评提出的生态保护措施后，该建设项目对区域自然生态系统的影响能够控制在可以接受的水平。</w:t>
      </w:r>
    </w:p>
    <w:p w14:paraId="368371DC">
      <w:pPr>
        <w:pStyle w:val="3"/>
        <w:ind w:firstLine="480"/>
      </w:pPr>
      <w:r>
        <w:rPr>
          <w:rFonts w:hint="eastAsia"/>
        </w:rPr>
        <w:t>运行期阶段，工程建设完成后不会新增占地、破坏动植物生境，输电线路运行期无环境大气污染物、水环境污染物和固体废物产生，相反随着临时占地区植被的恢复，工程对线路区域植物及植被的影响将逐渐降低至消失；运行期输电线路横亘在空中，而两栖类、爬行类、兽类、水生动物均生活在地面或水域，空间环境上并无交集，且电磁和噪声能满足《电磁环境控制限值》（GB8702-2014）和《声环境质量标准》（GB3096-2008）限值要求，基本不会产生影响。输电线路运行时的电磁环境对鸟类繁殖的影响，目前科学界尚无统一认识，当前也未发现输电线路产生的电磁环境影响对鸟类繁殖造成较大生存风险事故的报导；而却多见鸟在高压输电线路铁塔上筑巢的报道和实例，可见输变电工程对鸟类繁殖影响较小。</w:t>
      </w:r>
    </w:p>
    <w:p w14:paraId="3F4C6BDC">
      <w:pPr>
        <w:pStyle w:val="3"/>
        <w:ind w:firstLine="480"/>
      </w:pPr>
      <w:r>
        <w:rPr>
          <w:rFonts w:hint="eastAsia"/>
        </w:rPr>
        <w:t>由以上分析可知，在落实提出的环保措施的基础上，工程建设对生态环境的影响是局部的、短期的、可恢复的、可控的。因此，从保护生态环境角度来看，工程建设是可行。</w:t>
      </w:r>
    </w:p>
    <w:p w14:paraId="39659733"/>
    <w:p w14:paraId="248A6B90">
      <w:pPr>
        <w:widowControl/>
        <w:jc w:val="left"/>
        <w:rPr>
          <w:szCs w:val="24"/>
        </w:rPr>
      </w:pPr>
      <w:r>
        <w:br w:type="page"/>
      </w:r>
    </w:p>
    <w:p w14:paraId="6D4D3685">
      <w:pPr>
        <w:pStyle w:val="92"/>
        <w:ind w:firstLine="482"/>
        <w:outlineLvl w:val="0"/>
      </w:pPr>
      <w:bookmarkStart w:id="288" w:name="_Toc174612156"/>
      <w:bookmarkStart w:id="289" w:name="_Toc186810128"/>
      <w:r>
        <w:rPr>
          <w:rFonts w:hint="eastAsia"/>
        </w:rPr>
        <w:t>附表</w:t>
      </w:r>
      <w:r>
        <w:t xml:space="preserve">  </w:t>
      </w:r>
      <w:r>
        <w:rPr>
          <w:rFonts w:hint="eastAsia"/>
        </w:rPr>
        <w:t xml:space="preserve"> 生态影响评价自查表</w:t>
      </w:r>
      <w:bookmarkEnd w:id="288"/>
      <w:bookmarkEnd w:id="289"/>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678"/>
        <w:gridCol w:w="6310"/>
      </w:tblGrid>
      <w:tr w14:paraId="6414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60" w:type="dxa"/>
            <w:gridSpan w:val="2"/>
            <w:shd w:val="clear" w:color="auto" w:fill="FFFFFF"/>
            <w:vAlign w:val="center"/>
          </w:tcPr>
          <w:p w14:paraId="463189E5">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工作内容</w:t>
            </w:r>
          </w:p>
        </w:tc>
        <w:tc>
          <w:tcPr>
            <w:tcW w:w="5862" w:type="dxa"/>
            <w:shd w:val="clear" w:color="auto" w:fill="FFFFFF"/>
            <w:vAlign w:val="center"/>
          </w:tcPr>
          <w:p w14:paraId="75840083">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自查项目</w:t>
            </w:r>
          </w:p>
        </w:tc>
      </w:tr>
      <w:tr w14:paraId="78B1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restart"/>
            <w:shd w:val="clear" w:color="auto" w:fill="FFFFFF"/>
            <w:vAlign w:val="center"/>
          </w:tcPr>
          <w:p w14:paraId="051CEB41">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生态影响识别</w:t>
            </w:r>
          </w:p>
        </w:tc>
        <w:tc>
          <w:tcPr>
            <w:tcW w:w="1559" w:type="dxa"/>
            <w:shd w:val="clear" w:color="auto" w:fill="FFFFFF"/>
            <w:vAlign w:val="center"/>
          </w:tcPr>
          <w:p w14:paraId="4179D81B">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生态保护目标</w:t>
            </w:r>
          </w:p>
        </w:tc>
        <w:tc>
          <w:tcPr>
            <w:tcW w:w="5862" w:type="dxa"/>
            <w:shd w:val="clear" w:color="auto" w:fill="FFFFFF"/>
            <w:vAlign w:val="center"/>
          </w:tcPr>
          <w:p w14:paraId="7A646630">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重要物种□；国家公园□；自然保护区□；自然公园</w:t>
            </w:r>
            <w:r>
              <w:rPr>
                <w:rFonts w:hint="eastAsia" w:ascii="宋体" w:hAnsi="宋体" w:cs="宋体"/>
                <w:color w:val="000000"/>
                <w:kern w:val="0"/>
                <w:sz w:val="21"/>
                <w:szCs w:val="21"/>
                <w:lang w:bidi="ar"/>
              </w:rPr>
              <w:sym w:font="Wingdings 2" w:char="F052"/>
            </w:r>
            <w:r>
              <w:rPr>
                <w:rFonts w:hint="eastAsia" w:ascii="宋体" w:hAnsi="宋体" w:cs="宋体"/>
                <w:color w:val="000000"/>
                <w:kern w:val="0"/>
                <w:sz w:val="21"/>
                <w:szCs w:val="21"/>
                <w:lang w:bidi="ar"/>
              </w:rPr>
              <w:t>；世界自然遗产□；生态保护红线</w:t>
            </w:r>
            <w:r>
              <w:rPr>
                <w:rFonts w:hint="eastAsia" w:ascii="宋体" w:hAnsi="宋体" w:cs="宋体"/>
                <w:color w:val="000000"/>
                <w:kern w:val="0"/>
                <w:sz w:val="21"/>
                <w:szCs w:val="21"/>
                <w:lang w:bidi="ar"/>
              </w:rPr>
              <w:sym w:font="Wingdings 2" w:char="F052"/>
            </w:r>
            <w:r>
              <w:rPr>
                <w:rFonts w:hint="eastAsia" w:ascii="宋体" w:hAnsi="宋体" w:cs="宋体"/>
                <w:color w:val="000000"/>
                <w:kern w:val="0"/>
                <w:sz w:val="21"/>
                <w:szCs w:val="21"/>
                <w:lang w:bidi="ar"/>
              </w:rPr>
              <w:t>；重要生境□；其他具有重要生态功能、对保护生物多样性具有重要意义的区域□；其他</w:t>
            </w:r>
            <w:r>
              <w:rPr>
                <w:rFonts w:hint="eastAsia" w:ascii="宋体" w:hAnsi="宋体" w:cs="宋体"/>
                <w:color w:val="000000"/>
                <w:kern w:val="0"/>
                <w:sz w:val="21"/>
                <w:szCs w:val="21"/>
                <w:lang w:bidi="ar"/>
              </w:rPr>
              <w:sym w:font="Wingdings 2" w:char="F052"/>
            </w:r>
          </w:p>
        </w:tc>
      </w:tr>
      <w:tr w14:paraId="59B0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3FFAC9BF">
            <w:pPr>
              <w:jc w:val="center"/>
              <w:rPr>
                <w:rFonts w:ascii="宋体" w:hAnsi="宋体" w:cs="宋体"/>
                <w:color w:val="000000"/>
                <w:sz w:val="21"/>
                <w:szCs w:val="21"/>
              </w:rPr>
            </w:pPr>
          </w:p>
        </w:tc>
        <w:tc>
          <w:tcPr>
            <w:tcW w:w="1559" w:type="dxa"/>
            <w:shd w:val="clear" w:color="auto" w:fill="FFFFFF"/>
            <w:vAlign w:val="center"/>
          </w:tcPr>
          <w:p w14:paraId="131A7709">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影响方式</w:t>
            </w:r>
          </w:p>
        </w:tc>
        <w:tc>
          <w:tcPr>
            <w:tcW w:w="5862" w:type="dxa"/>
            <w:shd w:val="clear" w:color="auto" w:fill="FFFFFF"/>
            <w:vAlign w:val="center"/>
          </w:tcPr>
          <w:p w14:paraId="79555527">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工程占用</w:t>
            </w:r>
            <w:r>
              <w:rPr>
                <w:rFonts w:hint="eastAsia" w:ascii="宋体" w:hAnsi="宋体" w:cs="宋体"/>
                <w:color w:val="000000"/>
                <w:kern w:val="0"/>
                <w:sz w:val="21"/>
                <w:szCs w:val="21"/>
                <w:lang w:bidi="ar"/>
              </w:rPr>
              <w:sym w:font="Wingdings 2" w:char="0052"/>
            </w:r>
            <w:r>
              <w:rPr>
                <w:rFonts w:hint="eastAsia" w:ascii="宋体" w:hAnsi="宋体" w:cs="宋体"/>
                <w:color w:val="000000"/>
                <w:kern w:val="0"/>
                <w:sz w:val="21"/>
                <w:szCs w:val="21"/>
                <w:lang w:bidi="ar"/>
              </w:rPr>
              <w:t>；施工活动干扰</w:t>
            </w:r>
            <w:r>
              <w:rPr>
                <w:rFonts w:hint="eastAsia" w:ascii="宋体" w:hAnsi="宋体" w:cs="宋体"/>
                <w:color w:val="000000"/>
                <w:kern w:val="0"/>
                <w:sz w:val="21"/>
                <w:szCs w:val="21"/>
                <w:lang w:bidi="ar"/>
              </w:rPr>
              <w:sym w:font="Wingdings 2" w:char="0052"/>
            </w:r>
            <w:r>
              <w:rPr>
                <w:rFonts w:hint="eastAsia" w:ascii="宋体" w:hAnsi="宋体" w:cs="宋体"/>
                <w:color w:val="000000"/>
                <w:kern w:val="0"/>
                <w:sz w:val="21"/>
                <w:szCs w:val="21"/>
                <w:lang w:bidi="ar"/>
              </w:rPr>
              <w:t>；改变环境条件□；其他□</w:t>
            </w:r>
          </w:p>
        </w:tc>
      </w:tr>
      <w:tr w14:paraId="379E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6D7EEF57">
            <w:pPr>
              <w:jc w:val="center"/>
              <w:rPr>
                <w:rFonts w:ascii="宋体" w:hAnsi="宋体" w:cs="宋体"/>
                <w:color w:val="000000"/>
                <w:sz w:val="21"/>
                <w:szCs w:val="21"/>
              </w:rPr>
            </w:pPr>
          </w:p>
        </w:tc>
        <w:tc>
          <w:tcPr>
            <w:tcW w:w="1559" w:type="dxa"/>
            <w:vMerge w:val="restart"/>
            <w:shd w:val="clear" w:color="auto" w:fill="FFFFFF"/>
            <w:vAlign w:val="center"/>
          </w:tcPr>
          <w:p w14:paraId="39B0CE7F">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评价因子</w:t>
            </w:r>
          </w:p>
        </w:tc>
        <w:tc>
          <w:tcPr>
            <w:tcW w:w="5862" w:type="dxa"/>
            <w:shd w:val="clear" w:color="auto" w:fill="FFFFFF"/>
            <w:vAlign w:val="center"/>
          </w:tcPr>
          <w:p w14:paraId="4EEEBB92">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物种</w:t>
            </w:r>
            <w:r>
              <w:rPr>
                <w:rFonts w:hint="eastAsia" w:ascii="宋体" w:hAnsi="宋体" w:cs="宋体"/>
                <w:color w:val="000000"/>
                <w:kern w:val="0"/>
                <w:sz w:val="21"/>
                <w:szCs w:val="21"/>
                <w:lang w:bidi="ar"/>
              </w:rPr>
              <w:sym w:font="Wingdings 2" w:char="0052"/>
            </w:r>
            <w:r>
              <w:rPr>
                <w:rFonts w:hint="eastAsia" w:ascii="宋体" w:hAnsi="宋体" w:cs="宋体"/>
                <w:color w:val="000000"/>
                <w:kern w:val="0"/>
                <w:sz w:val="21"/>
                <w:szCs w:val="21"/>
                <w:lang w:bidi="ar"/>
              </w:rPr>
              <w:t>（</w:t>
            </w:r>
            <w:r>
              <w:rPr>
                <w:sz w:val="21"/>
              </w:rPr>
              <w:t>分布范围、种群数量、种群结构、</w:t>
            </w:r>
            <w:r>
              <w:rPr>
                <w:rFonts w:hint="eastAsia"/>
                <w:sz w:val="21"/>
              </w:rPr>
              <w:t>行为</w:t>
            </w:r>
            <w:r>
              <w:rPr>
                <w:sz w:val="21"/>
              </w:rPr>
              <w:t>等</w:t>
            </w:r>
            <w:r>
              <w:rPr>
                <w:rFonts w:hint="eastAsia" w:ascii="宋体" w:hAnsi="宋体" w:cs="宋体"/>
                <w:color w:val="000000"/>
                <w:kern w:val="0"/>
                <w:sz w:val="21"/>
                <w:szCs w:val="21"/>
                <w:lang w:bidi="ar"/>
              </w:rPr>
              <w:t>）</w:t>
            </w:r>
          </w:p>
        </w:tc>
      </w:tr>
      <w:tr w14:paraId="5890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5FD06CEA">
            <w:pPr>
              <w:jc w:val="center"/>
              <w:rPr>
                <w:rFonts w:ascii="宋体" w:hAnsi="宋体" w:cs="宋体"/>
                <w:color w:val="000000"/>
                <w:sz w:val="21"/>
                <w:szCs w:val="21"/>
              </w:rPr>
            </w:pPr>
          </w:p>
        </w:tc>
        <w:tc>
          <w:tcPr>
            <w:tcW w:w="1559" w:type="dxa"/>
            <w:vMerge w:val="continue"/>
            <w:shd w:val="clear" w:color="auto" w:fill="FFFFFF"/>
            <w:vAlign w:val="center"/>
          </w:tcPr>
          <w:p w14:paraId="59EF2D37">
            <w:pPr>
              <w:jc w:val="center"/>
              <w:rPr>
                <w:rFonts w:ascii="宋体" w:hAnsi="宋体" w:cs="宋体"/>
                <w:color w:val="000000"/>
                <w:sz w:val="21"/>
                <w:szCs w:val="21"/>
              </w:rPr>
            </w:pPr>
          </w:p>
        </w:tc>
        <w:tc>
          <w:tcPr>
            <w:tcW w:w="5862" w:type="dxa"/>
            <w:shd w:val="clear" w:color="auto" w:fill="FFFFFF"/>
            <w:vAlign w:val="center"/>
          </w:tcPr>
          <w:p w14:paraId="47A67983">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生境</w:t>
            </w:r>
            <w:r>
              <w:rPr>
                <w:rFonts w:hint="eastAsia" w:ascii="宋体" w:hAnsi="宋体" w:cs="宋体"/>
                <w:color w:val="000000"/>
                <w:kern w:val="0"/>
                <w:sz w:val="21"/>
                <w:szCs w:val="21"/>
                <w:lang w:bidi="ar"/>
              </w:rPr>
              <w:sym w:font="Wingdings 2" w:char="0052"/>
            </w:r>
            <w:r>
              <w:rPr>
                <w:rFonts w:hint="eastAsia" w:ascii="宋体" w:hAnsi="宋体" w:cs="宋体"/>
                <w:color w:val="000000"/>
                <w:kern w:val="0"/>
                <w:sz w:val="21"/>
                <w:szCs w:val="21"/>
                <w:lang w:bidi="ar"/>
              </w:rPr>
              <w:t>（</w:t>
            </w:r>
            <w:r>
              <w:rPr>
                <w:sz w:val="21"/>
              </w:rPr>
              <w:t>生境面积、质量、连贯性</w:t>
            </w:r>
            <w:r>
              <w:rPr>
                <w:rFonts w:hint="eastAsia" w:ascii="宋体" w:hAnsi="宋体" w:cs="宋体"/>
                <w:color w:val="000000"/>
                <w:kern w:val="0"/>
                <w:sz w:val="21"/>
                <w:szCs w:val="21"/>
                <w:lang w:bidi="ar"/>
              </w:rPr>
              <w:t>）</w:t>
            </w:r>
          </w:p>
        </w:tc>
      </w:tr>
      <w:tr w14:paraId="3C5E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37642713">
            <w:pPr>
              <w:jc w:val="center"/>
              <w:rPr>
                <w:rFonts w:ascii="宋体" w:hAnsi="宋体" w:cs="宋体"/>
                <w:color w:val="000000"/>
                <w:sz w:val="21"/>
                <w:szCs w:val="21"/>
              </w:rPr>
            </w:pPr>
          </w:p>
        </w:tc>
        <w:tc>
          <w:tcPr>
            <w:tcW w:w="1559" w:type="dxa"/>
            <w:vMerge w:val="continue"/>
            <w:shd w:val="clear" w:color="auto" w:fill="FFFFFF"/>
            <w:vAlign w:val="center"/>
          </w:tcPr>
          <w:p w14:paraId="183BD73A">
            <w:pPr>
              <w:jc w:val="center"/>
              <w:rPr>
                <w:rFonts w:ascii="宋体" w:hAnsi="宋体" w:cs="宋体"/>
                <w:color w:val="000000"/>
                <w:sz w:val="21"/>
                <w:szCs w:val="21"/>
              </w:rPr>
            </w:pPr>
          </w:p>
        </w:tc>
        <w:tc>
          <w:tcPr>
            <w:tcW w:w="5862" w:type="dxa"/>
            <w:shd w:val="clear" w:color="auto" w:fill="FFFFFF"/>
            <w:vAlign w:val="center"/>
          </w:tcPr>
          <w:p w14:paraId="4ABC7EF2">
            <w:pPr>
              <w:widowControl/>
              <w:jc w:val="center"/>
              <w:textAlignment w:val="center"/>
              <w:rPr>
                <w:sz w:val="21"/>
              </w:rPr>
            </w:pPr>
            <w:r>
              <w:rPr>
                <w:rFonts w:hint="eastAsia"/>
                <w:sz w:val="21"/>
              </w:rPr>
              <w:t>生物群落</w:t>
            </w:r>
            <w:r>
              <w:rPr>
                <w:rFonts w:hint="eastAsia"/>
                <w:sz w:val="21"/>
              </w:rPr>
              <w:sym w:font="Wingdings 2" w:char="0052"/>
            </w:r>
            <w:r>
              <w:rPr>
                <w:rFonts w:hint="eastAsia"/>
                <w:sz w:val="21"/>
              </w:rPr>
              <w:t>（</w:t>
            </w:r>
            <w:r>
              <w:rPr>
                <w:sz w:val="21"/>
              </w:rPr>
              <w:t>物种组成、群落结构</w:t>
            </w:r>
            <w:r>
              <w:rPr>
                <w:rFonts w:hint="eastAsia"/>
                <w:sz w:val="21"/>
              </w:rPr>
              <w:t>）</w:t>
            </w:r>
          </w:p>
        </w:tc>
      </w:tr>
      <w:tr w14:paraId="757E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213FBEAC">
            <w:pPr>
              <w:jc w:val="center"/>
              <w:rPr>
                <w:rFonts w:ascii="宋体" w:hAnsi="宋体" w:cs="宋体"/>
                <w:color w:val="000000"/>
                <w:sz w:val="21"/>
                <w:szCs w:val="21"/>
              </w:rPr>
            </w:pPr>
          </w:p>
        </w:tc>
        <w:tc>
          <w:tcPr>
            <w:tcW w:w="1559" w:type="dxa"/>
            <w:vMerge w:val="continue"/>
            <w:shd w:val="clear" w:color="auto" w:fill="FFFFFF"/>
            <w:vAlign w:val="center"/>
          </w:tcPr>
          <w:p w14:paraId="258297B7">
            <w:pPr>
              <w:jc w:val="center"/>
              <w:rPr>
                <w:rFonts w:ascii="宋体" w:hAnsi="宋体" w:cs="宋体"/>
                <w:color w:val="000000"/>
                <w:sz w:val="21"/>
                <w:szCs w:val="21"/>
              </w:rPr>
            </w:pPr>
          </w:p>
        </w:tc>
        <w:tc>
          <w:tcPr>
            <w:tcW w:w="5862" w:type="dxa"/>
            <w:shd w:val="clear" w:color="auto" w:fill="FFFFFF"/>
            <w:vAlign w:val="center"/>
          </w:tcPr>
          <w:p w14:paraId="1E03090C">
            <w:pPr>
              <w:widowControl/>
              <w:jc w:val="center"/>
              <w:textAlignment w:val="center"/>
              <w:rPr>
                <w:sz w:val="21"/>
              </w:rPr>
            </w:pPr>
            <w:r>
              <w:rPr>
                <w:rFonts w:hint="eastAsia"/>
                <w:sz w:val="21"/>
              </w:rPr>
              <w:t>生态系统</w:t>
            </w:r>
            <w:r>
              <w:rPr>
                <w:rFonts w:hint="eastAsia"/>
                <w:sz w:val="21"/>
              </w:rPr>
              <w:sym w:font="Wingdings 2" w:char="0052"/>
            </w:r>
            <w:r>
              <w:rPr>
                <w:rFonts w:hint="eastAsia"/>
                <w:sz w:val="21"/>
              </w:rPr>
              <w:t>（</w:t>
            </w:r>
            <w:r>
              <w:rPr>
                <w:sz w:val="21"/>
              </w:rPr>
              <w:t>植被覆盖度、生产力、生物量、生态系统功能等</w:t>
            </w:r>
            <w:r>
              <w:rPr>
                <w:rFonts w:hint="eastAsia"/>
                <w:sz w:val="21"/>
              </w:rPr>
              <w:t>）</w:t>
            </w:r>
          </w:p>
        </w:tc>
      </w:tr>
      <w:tr w14:paraId="374F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1AF33BAF">
            <w:pPr>
              <w:jc w:val="center"/>
              <w:rPr>
                <w:rFonts w:ascii="宋体" w:hAnsi="宋体" w:cs="宋体"/>
                <w:color w:val="000000"/>
                <w:sz w:val="21"/>
                <w:szCs w:val="21"/>
              </w:rPr>
            </w:pPr>
          </w:p>
        </w:tc>
        <w:tc>
          <w:tcPr>
            <w:tcW w:w="1559" w:type="dxa"/>
            <w:vMerge w:val="continue"/>
            <w:shd w:val="clear" w:color="auto" w:fill="FFFFFF"/>
            <w:vAlign w:val="center"/>
          </w:tcPr>
          <w:p w14:paraId="00457096">
            <w:pPr>
              <w:jc w:val="center"/>
              <w:rPr>
                <w:rFonts w:ascii="宋体" w:hAnsi="宋体" w:cs="宋体"/>
                <w:color w:val="000000"/>
                <w:sz w:val="21"/>
                <w:szCs w:val="21"/>
              </w:rPr>
            </w:pPr>
          </w:p>
        </w:tc>
        <w:tc>
          <w:tcPr>
            <w:tcW w:w="5862" w:type="dxa"/>
            <w:shd w:val="clear" w:color="auto" w:fill="FFFFFF"/>
            <w:vAlign w:val="center"/>
          </w:tcPr>
          <w:p w14:paraId="02FCCCF7">
            <w:pPr>
              <w:widowControl/>
              <w:jc w:val="center"/>
              <w:textAlignment w:val="center"/>
              <w:rPr>
                <w:sz w:val="21"/>
              </w:rPr>
            </w:pPr>
            <w:r>
              <w:rPr>
                <w:rFonts w:hint="eastAsia"/>
                <w:sz w:val="21"/>
              </w:rPr>
              <w:t>生物多样性</w:t>
            </w:r>
            <w:r>
              <w:rPr>
                <w:rFonts w:hint="eastAsia"/>
                <w:sz w:val="21"/>
              </w:rPr>
              <w:sym w:font="Wingdings 2" w:char="0052"/>
            </w:r>
            <w:r>
              <w:rPr>
                <w:rFonts w:hint="eastAsia"/>
                <w:sz w:val="21"/>
              </w:rPr>
              <w:t>（</w:t>
            </w:r>
            <w:r>
              <w:rPr>
                <w:sz w:val="21"/>
              </w:rPr>
              <w:t>物种丰富度、均匀度、优势度等</w:t>
            </w:r>
            <w:r>
              <w:rPr>
                <w:rFonts w:hint="eastAsia"/>
                <w:sz w:val="21"/>
              </w:rPr>
              <w:t>）</w:t>
            </w:r>
          </w:p>
        </w:tc>
      </w:tr>
      <w:tr w14:paraId="3961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09D715CA">
            <w:pPr>
              <w:jc w:val="center"/>
              <w:rPr>
                <w:rFonts w:ascii="宋体" w:hAnsi="宋体" w:cs="宋体"/>
                <w:color w:val="000000"/>
                <w:sz w:val="21"/>
                <w:szCs w:val="21"/>
              </w:rPr>
            </w:pPr>
          </w:p>
        </w:tc>
        <w:tc>
          <w:tcPr>
            <w:tcW w:w="1559" w:type="dxa"/>
            <w:vMerge w:val="continue"/>
            <w:shd w:val="clear" w:color="auto" w:fill="FFFFFF"/>
            <w:vAlign w:val="center"/>
          </w:tcPr>
          <w:p w14:paraId="1B6BA793">
            <w:pPr>
              <w:jc w:val="center"/>
              <w:rPr>
                <w:rFonts w:ascii="宋体" w:hAnsi="宋体" w:cs="宋体"/>
                <w:color w:val="000000"/>
                <w:sz w:val="21"/>
                <w:szCs w:val="21"/>
              </w:rPr>
            </w:pPr>
          </w:p>
        </w:tc>
        <w:tc>
          <w:tcPr>
            <w:tcW w:w="5862" w:type="dxa"/>
            <w:shd w:val="clear" w:color="auto" w:fill="FFFFFF"/>
            <w:vAlign w:val="center"/>
          </w:tcPr>
          <w:p w14:paraId="0C0866EE">
            <w:pPr>
              <w:widowControl/>
              <w:jc w:val="center"/>
              <w:textAlignment w:val="center"/>
              <w:rPr>
                <w:sz w:val="21"/>
              </w:rPr>
            </w:pPr>
            <w:r>
              <w:rPr>
                <w:rFonts w:hint="eastAsia"/>
                <w:sz w:val="21"/>
              </w:rPr>
              <w:t>生态敏感区</w:t>
            </w:r>
            <w:r>
              <w:rPr>
                <w:rFonts w:hint="eastAsia"/>
                <w:sz w:val="21"/>
              </w:rPr>
              <w:sym w:font="Wingdings 2" w:char="0052"/>
            </w:r>
            <w:r>
              <w:rPr>
                <w:rFonts w:hint="eastAsia"/>
                <w:sz w:val="21"/>
              </w:rPr>
              <w:t>（生态保护红线、湿地公园、风景名胜区）</w:t>
            </w:r>
          </w:p>
        </w:tc>
      </w:tr>
      <w:tr w14:paraId="017E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6B5C7200">
            <w:pPr>
              <w:jc w:val="center"/>
              <w:rPr>
                <w:rFonts w:ascii="宋体" w:hAnsi="宋体" w:cs="宋体"/>
                <w:color w:val="000000"/>
                <w:sz w:val="21"/>
                <w:szCs w:val="21"/>
              </w:rPr>
            </w:pPr>
          </w:p>
        </w:tc>
        <w:tc>
          <w:tcPr>
            <w:tcW w:w="1559" w:type="dxa"/>
            <w:vMerge w:val="continue"/>
            <w:shd w:val="clear" w:color="auto" w:fill="FFFFFF"/>
            <w:vAlign w:val="center"/>
          </w:tcPr>
          <w:p w14:paraId="548E63D5">
            <w:pPr>
              <w:jc w:val="center"/>
              <w:rPr>
                <w:rFonts w:ascii="宋体" w:hAnsi="宋体" w:cs="宋体"/>
                <w:color w:val="000000"/>
                <w:sz w:val="21"/>
                <w:szCs w:val="21"/>
              </w:rPr>
            </w:pPr>
          </w:p>
        </w:tc>
        <w:tc>
          <w:tcPr>
            <w:tcW w:w="5862" w:type="dxa"/>
            <w:shd w:val="clear" w:color="auto" w:fill="FFFFFF"/>
            <w:vAlign w:val="center"/>
          </w:tcPr>
          <w:p w14:paraId="7598C9B4">
            <w:pPr>
              <w:widowControl/>
              <w:jc w:val="center"/>
              <w:textAlignment w:val="center"/>
              <w:rPr>
                <w:sz w:val="21"/>
              </w:rPr>
            </w:pPr>
            <w:r>
              <w:rPr>
                <w:rFonts w:hint="eastAsia"/>
                <w:sz w:val="21"/>
              </w:rPr>
              <w:t>自然景观</w:t>
            </w:r>
            <w:r>
              <w:rPr>
                <w:rFonts w:hint="eastAsia"/>
                <w:sz w:val="21"/>
              </w:rPr>
              <w:sym w:font="Wingdings 2" w:char="0052"/>
            </w:r>
            <w:r>
              <w:rPr>
                <w:rFonts w:hint="eastAsia"/>
                <w:sz w:val="21"/>
              </w:rPr>
              <w:t>（</w:t>
            </w:r>
            <w:r>
              <w:rPr>
                <w:sz w:val="21"/>
              </w:rPr>
              <w:t>景观的多样性、完整</w:t>
            </w:r>
            <w:r>
              <w:rPr>
                <w:rFonts w:hint="eastAsia"/>
                <w:sz w:val="21"/>
              </w:rPr>
              <w:t xml:space="preserve"> ）</w:t>
            </w:r>
          </w:p>
        </w:tc>
      </w:tr>
      <w:tr w14:paraId="7C45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7D00214F">
            <w:pPr>
              <w:jc w:val="center"/>
              <w:rPr>
                <w:rFonts w:ascii="宋体" w:hAnsi="宋体" w:cs="宋体"/>
                <w:color w:val="000000"/>
                <w:sz w:val="21"/>
                <w:szCs w:val="21"/>
              </w:rPr>
            </w:pPr>
          </w:p>
        </w:tc>
        <w:tc>
          <w:tcPr>
            <w:tcW w:w="1559" w:type="dxa"/>
            <w:vMerge w:val="continue"/>
            <w:shd w:val="clear" w:color="auto" w:fill="FFFFFF"/>
            <w:vAlign w:val="center"/>
          </w:tcPr>
          <w:p w14:paraId="090ACCF0">
            <w:pPr>
              <w:jc w:val="center"/>
              <w:rPr>
                <w:rFonts w:ascii="宋体" w:hAnsi="宋体" w:cs="宋体"/>
                <w:color w:val="000000"/>
                <w:sz w:val="21"/>
                <w:szCs w:val="21"/>
              </w:rPr>
            </w:pPr>
          </w:p>
        </w:tc>
        <w:tc>
          <w:tcPr>
            <w:tcW w:w="5862" w:type="dxa"/>
            <w:shd w:val="clear" w:color="auto" w:fill="FFFFFF"/>
            <w:vAlign w:val="center"/>
          </w:tcPr>
          <w:p w14:paraId="7E64CE27">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自然遗迹□（                ）</w:t>
            </w:r>
          </w:p>
        </w:tc>
      </w:tr>
      <w:tr w14:paraId="50E9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17F76792">
            <w:pPr>
              <w:jc w:val="center"/>
              <w:rPr>
                <w:rFonts w:ascii="宋体" w:hAnsi="宋体" w:cs="宋体"/>
                <w:color w:val="000000"/>
                <w:sz w:val="21"/>
                <w:szCs w:val="21"/>
              </w:rPr>
            </w:pPr>
          </w:p>
        </w:tc>
        <w:tc>
          <w:tcPr>
            <w:tcW w:w="1559" w:type="dxa"/>
            <w:vMerge w:val="continue"/>
            <w:shd w:val="clear" w:color="auto" w:fill="FFFFFF"/>
            <w:vAlign w:val="center"/>
          </w:tcPr>
          <w:p w14:paraId="094D0104">
            <w:pPr>
              <w:jc w:val="center"/>
              <w:rPr>
                <w:rFonts w:ascii="宋体" w:hAnsi="宋体" w:cs="宋体"/>
                <w:color w:val="000000"/>
                <w:sz w:val="21"/>
                <w:szCs w:val="21"/>
              </w:rPr>
            </w:pPr>
          </w:p>
        </w:tc>
        <w:tc>
          <w:tcPr>
            <w:tcW w:w="5862" w:type="dxa"/>
            <w:shd w:val="clear" w:color="auto" w:fill="FFFFFF"/>
            <w:vAlign w:val="center"/>
          </w:tcPr>
          <w:p w14:paraId="6A2CBA09">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 xml:space="preserve">其他□（         </w:t>
            </w:r>
            <w:r>
              <w:rPr>
                <w:rFonts w:ascii="宋体" w:hAnsi="宋体" w:cs="宋体"/>
                <w:color w:val="000000"/>
                <w:kern w:val="0"/>
                <w:sz w:val="21"/>
                <w:szCs w:val="21"/>
                <w:lang w:bidi="ar"/>
              </w:rPr>
              <w:t xml:space="preserve">    </w:t>
            </w:r>
            <w:r>
              <w:rPr>
                <w:rFonts w:hint="eastAsia" w:ascii="宋体" w:hAnsi="宋体" w:cs="宋体"/>
                <w:color w:val="000000"/>
                <w:kern w:val="0"/>
                <w:sz w:val="21"/>
                <w:szCs w:val="21"/>
                <w:lang w:bidi="ar"/>
              </w:rPr>
              <w:t xml:space="preserve">       ）</w:t>
            </w:r>
          </w:p>
        </w:tc>
      </w:tr>
      <w:tr w14:paraId="5CFE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60" w:type="dxa"/>
            <w:gridSpan w:val="2"/>
            <w:shd w:val="clear" w:color="auto" w:fill="FFFFFF"/>
            <w:vAlign w:val="center"/>
          </w:tcPr>
          <w:p w14:paraId="380F9D3C">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评价等级</w:t>
            </w:r>
          </w:p>
        </w:tc>
        <w:tc>
          <w:tcPr>
            <w:tcW w:w="5862" w:type="dxa"/>
            <w:shd w:val="clear" w:color="auto" w:fill="FFFFFF"/>
            <w:vAlign w:val="center"/>
          </w:tcPr>
          <w:p w14:paraId="4A0FD8D8">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 xml:space="preserve">一级□ </w:t>
            </w:r>
            <w:r>
              <w:rPr>
                <w:rFonts w:ascii="宋体" w:hAnsi="宋体" w:cs="宋体"/>
                <w:color w:val="000000"/>
                <w:kern w:val="0"/>
                <w:sz w:val="21"/>
                <w:szCs w:val="21"/>
                <w:lang w:bidi="ar"/>
              </w:rPr>
              <w:t xml:space="preserve"> </w:t>
            </w:r>
            <w:r>
              <w:rPr>
                <w:rFonts w:hint="eastAsia" w:ascii="宋体" w:hAnsi="宋体" w:cs="宋体"/>
                <w:color w:val="000000"/>
                <w:kern w:val="0"/>
                <w:sz w:val="21"/>
                <w:szCs w:val="21"/>
                <w:lang w:bidi="ar"/>
              </w:rPr>
              <w:t xml:space="preserve"> </w:t>
            </w:r>
            <w:r>
              <w:rPr>
                <w:rFonts w:ascii="宋体" w:hAnsi="宋体" w:cs="宋体"/>
                <w:color w:val="000000"/>
                <w:kern w:val="0"/>
                <w:sz w:val="21"/>
                <w:szCs w:val="21"/>
                <w:lang w:bidi="ar"/>
              </w:rPr>
              <w:t xml:space="preserve">   </w:t>
            </w:r>
            <w:r>
              <w:rPr>
                <w:rFonts w:hint="eastAsia" w:ascii="宋体" w:hAnsi="宋体" w:cs="宋体"/>
                <w:color w:val="000000"/>
                <w:kern w:val="0"/>
                <w:sz w:val="21"/>
                <w:szCs w:val="21"/>
                <w:lang w:bidi="ar"/>
              </w:rPr>
              <w:t>二级</w:t>
            </w:r>
            <w:r>
              <w:rPr>
                <w:rFonts w:hint="eastAsia" w:ascii="宋体" w:hAnsi="宋体" w:cs="宋体"/>
                <w:color w:val="000000"/>
                <w:kern w:val="0"/>
                <w:sz w:val="21"/>
                <w:szCs w:val="21"/>
                <w:lang w:bidi="ar"/>
              </w:rPr>
              <w:sym w:font="Wingdings 2" w:char="F052"/>
            </w:r>
            <w:r>
              <w:rPr>
                <w:rFonts w:hint="eastAsia" w:ascii="宋体" w:hAnsi="宋体" w:cs="宋体"/>
                <w:color w:val="000000"/>
                <w:kern w:val="0"/>
                <w:sz w:val="21"/>
                <w:szCs w:val="21"/>
                <w:lang w:bidi="ar"/>
              </w:rPr>
              <w:t xml:space="preserve"> </w:t>
            </w:r>
            <w:r>
              <w:rPr>
                <w:rFonts w:ascii="宋体" w:hAnsi="宋体" w:cs="宋体"/>
                <w:color w:val="000000"/>
                <w:kern w:val="0"/>
                <w:sz w:val="21"/>
                <w:szCs w:val="21"/>
                <w:lang w:bidi="ar"/>
              </w:rPr>
              <w:t xml:space="preserve">   </w:t>
            </w:r>
            <w:r>
              <w:rPr>
                <w:rFonts w:hint="eastAsia" w:ascii="宋体" w:hAnsi="宋体" w:cs="宋体"/>
                <w:color w:val="000000"/>
                <w:kern w:val="0"/>
                <w:sz w:val="21"/>
                <w:szCs w:val="21"/>
                <w:lang w:bidi="ar"/>
              </w:rPr>
              <w:t xml:space="preserve"> 三级</w:t>
            </w:r>
            <w:r>
              <w:rPr>
                <w:rFonts w:hint="eastAsia" w:ascii="宋体" w:hAnsi="宋体" w:cs="宋体"/>
                <w:color w:val="000000"/>
                <w:kern w:val="0"/>
                <w:sz w:val="21"/>
                <w:szCs w:val="21"/>
                <w:lang w:bidi="ar"/>
              </w:rPr>
              <w:sym w:font="Wingdings 2" w:char="F052"/>
            </w:r>
            <w:r>
              <w:rPr>
                <w:rFonts w:hint="eastAsia" w:ascii="宋体" w:hAnsi="宋体" w:cs="宋体"/>
                <w:color w:val="000000"/>
                <w:kern w:val="0"/>
                <w:sz w:val="21"/>
                <w:szCs w:val="21"/>
                <w:lang w:bidi="ar"/>
              </w:rPr>
              <w:t xml:space="preserve"> </w:t>
            </w:r>
            <w:r>
              <w:rPr>
                <w:rFonts w:ascii="宋体" w:hAnsi="宋体" w:cs="宋体"/>
                <w:color w:val="000000"/>
                <w:kern w:val="0"/>
                <w:sz w:val="21"/>
                <w:szCs w:val="21"/>
                <w:lang w:bidi="ar"/>
              </w:rPr>
              <w:t xml:space="preserve">    </w:t>
            </w:r>
            <w:r>
              <w:rPr>
                <w:rFonts w:hint="eastAsia" w:ascii="宋体" w:hAnsi="宋体" w:cs="宋体"/>
                <w:color w:val="000000"/>
                <w:kern w:val="0"/>
                <w:sz w:val="21"/>
                <w:szCs w:val="21"/>
                <w:lang w:bidi="ar"/>
              </w:rPr>
              <w:t xml:space="preserve"> 生态影响简单分析□</w:t>
            </w:r>
          </w:p>
        </w:tc>
      </w:tr>
      <w:tr w14:paraId="7734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60" w:type="dxa"/>
            <w:gridSpan w:val="2"/>
            <w:shd w:val="clear" w:color="auto" w:fill="FFFFFF"/>
            <w:vAlign w:val="center"/>
          </w:tcPr>
          <w:p w14:paraId="31263F3A">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评价范围</w:t>
            </w:r>
          </w:p>
        </w:tc>
        <w:tc>
          <w:tcPr>
            <w:tcW w:w="5862" w:type="dxa"/>
            <w:shd w:val="clear" w:color="auto" w:fill="FFFFFF"/>
            <w:vAlign w:val="center"/>
          </w:tcPr>
          <w:p w14:paraId="235461B3">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陆域面积：（</w:t>
            </w:r>
            <w:r>
              <w:rPr>
                <w:color w:val="000000"/>
                <w:kern w:val="0"/>
                <w:sz w:val="21"/>
                <w:szCs w:val="21"/>
                <w:lang w:bidi="ar"/>
              </w:rPr>
              <w:t>1724.44</w:t>
            </w:r>
            <w:r>
              <w:rPr>
                <w:rFonts w:hint="eastAsia" w:ascii="宋体" w:hAnsi="宋体" w:cs="宋体"/>
                <w:color w:val="000000"/>
                <w:kern w:val="0"/>
                <w:sz w:val="21"/>
                <w:szCs w:val="21"/>
                <w:lang w:bidi="ar"/>
              </w:rPr>
              <w:t>）</w:t>
            </w:r>
            <w:r>
              <w:rPr>
                <w:color w:val="000000"/>
                <w:kern w:val="0"/>
                <w:sz w:val="21"/>
                <w:szCs w:val="21"/>
                <w:lang w:bidi="ar"/>
              </w:rPr>
              <w:t>km</w:t>
            </w:r>
            <w:r>
              <w:rPr>
                <w:color w:val="000000"/>
                <w:kern w:val="0"/>
                <w:sz w:val="21"/>
                <w:szCs w:val="21"/>
                <w:vertAlign w:val="superscript"/>
                <w:lang w:bidi="ar"/>
              </w:rPr>
              <w:t>2</w:t>
            </w:r>
            <w:r>
              <w:rPr>
                <w:rFonts w:hint="eastAsia" w:ascii="宋体" w:hAnsi="宋体" w:cs="宋体"/>
                <w:color w:val="000000"/>
                <w:kern w:val="0"/>
                <w:sz w:val="21"/>
                <w:szCs w:val="21"/>
                <w:lang w:bidi="ar"/>
              </w:rPr>
              <w:t>；水域面积：（</w:t>
            </w:r>
            <w:r>
              <w:rPr>
                <w:color w:val="000000"/>
                <w:kern w:val="0"/>
                <w:sz w:val="21"/>
                <w:szCs w:val="21"/>
                <w:lang w:bidi="ar"/>
              </w:rPr>
              <w:t>301.93</w:t>
            </w:r>
            <w:r>
              <w:rPr>
                <w:rFonts w:hint="eastAsia" w:ascii="宋体" w:hAnsi="宋体" w:cs="宋体"/>
                <w:color w:val="000000"/>
                <w:kern w:val="0"/>
                <w:sz w:val="21"/>
                <w:szCs w:val="21"/>
                <w:lang w:bidi="ar"/>
              </w:rPr>
              <w:t>）</w:t>
            </w:r>
            <w:r>
              <w:rPr>
                <w:color w:val="000000"/>
                <w:kern w:val="0"/>
                <w:sz w:val="21"/>
                <w:szCs w:val="21"/>
                <w:lang w:bidi="ar"/>
              </w:rPr>
              <w:t>km</w:t>
            </w:r>
            <w:r>
              <w:rPr>
                <w:color w:val="000000"/>
                <w:kern w:val="0"/>
                <w:sz w:val="21"/>
                <w:szCs w:val="21"/>
                <w:vertAlign w:val="superscript"/>
                <w:lang w:bidi="ar"/>
              </w:rPr>
              <w:t>2</w:t>
            </w:r>
          </w:p>
        </w:tc>
      </w:tr>
      <w:tr w14:paraId="340B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restart"/>
            <w:shd w:val="clear" w:color="auto" w:fill="FFFFFF"/>
            <w:vAlign w:val="center"/>
          </w:tcPr>
          <w:p w14:paraId="3F4571A3">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生态现状调查与评价</w:t>
            </w:r>
          </w:p>
        </w:tc>
        <w:tc>
          <w:tcPr>
            <w:tcW w:w="1559" w:type="dxa"/>
            <w:shd w:val="clear" w:color="auto" w:fill="FFFFFF"/>
            <w:vAlign w:val="center"/>
          </w:tcPr>
          <w:p w14:paraId="6625583F">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调查方法</w:t>
            </w:r>
          </w:p>
        </w:tc>
        <w:tc>
          <w:tcPr>
            <w:tcW w:w="5862" w:type="dxa"/>
            <w:shd w:val="clear" w:color="auto" w:fill="FFFFFF"/>
            <w:vAlign w:val="center"/>
          </w:tcPr>
          <w:p w14:paraId="41B76784">
            <w:pPr>
              <w:widowControl/>
              <w:jc w:val="center"/>
              <w:textAlignment w:val="center"/>
              <w:rPr>
                <w:rFonts w:ascii="宋体" w:hAnsi="宋体" w:cs="宋体"/>
                <w:sz w:val="21"/>
                <w:szCs w:val="21"/>
              </w:rPr>
            </w:pPr>
            <w:r>
              <w:rPr>
                <w:rFonts w:hint="eastAsia" w:ascii="宋体" w:hAnsi="宋体" w:cs="宋体"/>
                <w:kern w:val="0"/>
                <w:sz w:val="21"/>
                <w:szCs w:val="21"/>
                <w:lang w:bidi="ar"/>
              </w:rPr>
              <w:t>资料收集</w:t>
            </w:r>
            <w:r>
              <w:rPr>
                <w:rFonts w:hint="eastAsia" w:ascii="宋体" w:hAnsi="宋体" w:cs="宋体"/>
                <w:kern w:val="0"/>
                <w:sz w:val="21"/>
                <w:szCs w:val="21"/>
                <w:lang w:bidi="ar"/>
              </w:rPr>
              <w:sym w:font="Wingdings 2" w:char="F052"/>
            </w:r>
            <w:r>
              <w:rPr>
                <w:rFonts w:hint="eastAsia" w:ascii="宋体" w:hAnsi="宋体" w:cs="宋体"/>
                <w:kern w:val="0"/>
                <w:sz w:val="21"/>
                <w:szCs w:val="21"/>
                <w:lang w:bidi="ar"/>
              </w:rPr>
              <w:t>；遥感调查</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；调查样方、样线</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；调查点位、断面□；专家和公众咨询法</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；其他□</w:t>
            </w:r>
          </w:p>
        </w:tc>
      </w:tr>
      <w:tr w14:paraId="3993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FFFFFF"/>
            <w:vAlign w:val="center"/>
          </w:tcPr>
          <w:p w14:paraId="26CE5B3B">
            <w:pPr>
              <w:widowControl/>
              <w:jc w:val="center"/>
              <w:textAlignment w:val="center"/>
              <w:rPr>
                <w:rFonts w:ascii="宋体" w:hAnsi="宋体" w:cs="宋体"/>
                <w:color w:val="000000"/>
                <w:sz w:val="21"/>
                <w:szCs w:val="21"/>
              </w:rPr>
            </w:pPr>
          </w:p>
        </w:tc>
        <w:tc>
          <w:tcPr>
            <w:tcW w:w="1559" w:type="dxa"/>
            <w:vMerge w:val="restart"/>
            <w:shd w:val="clear" w:color="auto" w:fill="FFFFFF"/>
            <w:vAlign w:val="center"/>
          </w:tcPr>
          <w:p w14:paraId="558EACCA">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调查时间</w:t>
            </w:r>
          </w:p>
        </w:tc>
        <w:tc>
          <w:tcPr>
            <w:tcW w:w="5862" w:type="dxa"/>
            <w:shd w:val="clear" w:color="auto" w:fill="FFFFFF"/>
            <w:vAlign w:val="center"/>
          </w:tcPr>
          <w:p w14:paraId="5D87B0BA">
            <w:pPr>
              <w:widowControl/>
              <w:jc w:val="center"/>
              <w:textAlignment w:val="center"/>
              <w:rPr>
                <w:rFonts w:ascii="宋体" w:hAnsi="宋体" w:cs="宋体"/>
                <w:sz w:val="21"/>
                <w:szCs w:val="21"/>
              </w:rPr>
            </w:pPr>
            <w:r>
              <w:rPr>
                <w:rFonts w:hint="eastAsia" w:ascii="宋体" w:hAnsi="宋体" w:cs="宋体"/>
                <w:kern w:val="0"/>
                <w:sz w:val="21"/>
                <w:szCs w:val="21"/>
                <w:lang w:bidi="ar"/>
              </w:rPr>
              <w:t>春季</w:t>
            </w:r>
            <w:r>
              <w:rPr>
                <w:rFonts w:hint="eastAsia" w:ascii="宋体" w:hAnsi="宋体" w:cs="宋体"/>
                <w:kern w:val="0"/>
                <w:sz w:val="21"/>
                <w:szCs w:val="21"/>
                <w:lang w:bidi="ar"/>
              </w:rPr>
              <w:sym w:font="Wingdings 2" w:char="00A3"/>
            </w:r>
            <w:r>
              <w:rPr>
                <w:rFonts w:hint="eastAsia" w:ascii="宋体" w:hAnsi="宋体" w:cs="宋体"/>
                <w:kern w:val="0"/>
                <w:sz w:val="21"/>
                <w:szCs w:val="21"/>
                <w:lang w:bidi="ar"/>
              </w:rPr>
              <w:t>；夏季</w:t>
            </w:r>
            <w:r>
              <w:rPr>
                <w:rFonts w:hint="eastAsia" w:ascii="宋体" w:hAnsi="宋体" w:cs="宋体"/>
                <w:kern w:val="0"/>
                <w:sz w:val="21"/>
                <w:szCs w:val="21"/>
                <w:lang w:bidi="ar"/>
              </w:rPr>
              <w:sym w:font="Wingdings 2" w:char="F052"/>
            </w:r>
            <w:r>
              <w:rPr>
                <w:rFonts w:hint="eastAsia" w:ascii="宋体" w:hAnsi="宋体" w:cs="宋体"/>
                <w:kern w:val="0"/>
                <w:sz w:val="21"/>
                <w:szCs w:val="21"/>
                <w:lang w:bidi="ar"/>
              </w:rPr>
              <w:t>；秋季</w:t>
            </w:r>
            <w:r>
              <w:rPr>
                <w:rFonts w:hint="eastAsia" w:ascii="宋体" w:hAnsi="宋体" w:cs="宋体"/>
                <w:kern w:val="0"/>
                <w:sz w:val="21"/>
                <w:szCs w:val="21"/>
                <w:lang w:bidi="ar"/>
              </w:rPr>
              <w:sym w:font="Wingdings 2" w:char="F052"/>
            </w:r>
            <w:r>
              <w:rPr>
                <w:rFonts w:hint="eastAsia" w:ascii="宋体" w:hAnsi="宋体" w:cs="宋体"/>
                <w:kern w:val="0"/>
                <w:sz w:val="21"/>
                <w:szCs w:val="21"/>
                <w:lang w:bidi="ar"/>
              </w:rPr>
              <w:t>；冬季□</w:t>
            </w:r>
          </w:p>
        </w:tc>
      </w:tr>
      <w:tr w14:paraId="2E4A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705E383F">
            <w:pPr>
              <w:jc w:val="center"/>
              <w:rPr>
                <w:rFonts w:ascii="宋体" w:hAnsi="宋体" w:cs="宋体"/>
                <w:color w:val="000000"/>
                <w:sz w:val="21"/>
                <w:szCs w:val="21"/>
              </w:rPr>
            </w:pPr>
          </w:p>
        </w:tc>
        <w:tc>
          <w:tcPr>
            <w:tcW w:w="1559" w:type="dxa"/>
            <w:vMerge w:val="continue"/>
            <w:shd w:val="clear" w:color="auto" w:fill="FFFFFF"/>
            <w:vAlign w:val="center"/>
          </w:tcPr>
          <w:p w14:paraId="69A0B5E8">
            <w:pPr>
              <w:jc w:val="center"/>
              <w:rPr>
                <w:rFonts w:ascii="宋体" w:hAnsi="宋体" w:cs="宋体"/>
                <w:color w:val="000000"/>
                <w:sz w:val="21"/>
                <w:szCs w:val="21"/>
              </w:rPr>
            </w:pPr>
          </w:p>
        </w:tc>
        <w:tc>
          <w:tcPr>
            <w:tcW w:w="5862" w:type="dxa"/>
            <w:shd w:val="clear" w:color="auto" w:fill="FFFFFF"/>
            <w:vAlign w:val="center"/>
          </w:tcPr>
          <w:p w14:paraId="556F6A35">
            <w:pPr>
              <w:widowControl/>
              <w:jc w:val="center"/>
              <w:textAlignment w:val="center"/>
              <w:rPr>
                <w:rFonts w:ascii="宋体" w:hAnsi="宋体" w:cs="宋体"/>
                <w:sz w:val="21"/>
                <w:szCs w:val="21"/>
              </w:rPr>
            </w:pPr>
            <w:r>
              <w:rPr>
                <w:rFonts w:hint="eastAsia" w:ascii="宋体" w:hAnsi="宋体" w:cs="宋体"/>
                <w:kern w:val="0"/>
                <w:sz w:val="21"/>
                <w:szCs w:val="21"/>
                <w:lang w:bidi="ar"/>
              </w:rPr>
              <w:t>丰水期</w:t>
            </w:r>
            <w:r>
              <w:rPr>
                <w:rFonts w:hint="eastAsia" w:ascii="宋体" w:hAnsi="宋体" w:cs="宋体"/>
                <w:kern w:val="0"/>
                <w:sz w:val="21"/>
                <w:szCs w:val="21"/>
                <w:lang w:bidi="ar"/>
              </w:rPr>
              <w:sym w:font="Wingdings 2" w:char="F052"/>
            </w:r>
            <w:r>
              <w:rPr>
                <w:rFonts w:hint="eastAsia" w:ascii="宋体" w:hAnsi="宋体" w:cs="宋体"/>
                <w:kern w:val="0"/>
                <w:sz w:val="21"/>
                <w:szCs w:val="21"/>
                <w:lang w:bidi="ar"/>
              </w:rPr>
              <w:t>；枯水期</w:t>
            </w:r>
            <w:r>
              <w:rPr>
                <w:rFonts w:hint="eastAsia" w:ascii="宋体" w:hAnsi="宋体" w:cs="宋体"/>
                <w:kern w:val="0"/>
                <w:sz w:val="21"/>
                <w:szCs w:val="21"/>
                <w:lang w:bidi="ar"/>
              </w:rPr>
              <w:sym w:font="Wingdings 2" w:char="00A3"/>
            </w:r>
            <w:r>
              <w:rPr>
                <w:rFonts w:hint="eastAsia" w:ascii="宋体" w:hAnsi="宋体" w:cs="宋体"/>
                <w:kern w:val="0"/>
                <w:sz w:val="21"/>
                <w:szCs w:val="21"/>
                <w:lang w:bidi="ar"/>
              </w:rPr>
              <w:t>；平水期</w:t>
            </w:r>
            <w:r>
              <w:rPr>
                <w:rFonts w:hint="eastAsia" w:ascii="宋体" w:hAnsi="宋体" w:cs="宋体"/>
                <w:kern w:val="0"/>
                <w:sz w:val="21"/>
                <w:szCs w:val="21"/>
                <w:lang w:bidi="ar"/>
              </w:rPr>
              <w:sym w:font="Wingdings 2" w:char="F052"/>
            </w:r>
          </w:p>
        </w:tc>
      </w:tr>
      <w:tr w14:paraId="4816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77565707">
            <w:pPr>
              <w:jc w:val="center"/>
              <w:rPr>
                <w:rFonts w:ascii="宋体" w:hAnsi="宋体" w:cs="宋体"/>
                <w:color w:val="000000"/>
                <w:sz w:val="21"/>
                <w:szCs w:val="21"/>
              </w:rPr>
            </w:pPr>
          </w:p>
        </w:tc>
        <w:tc>
          <w:tcPr>
            <w:tcW w:w="1559" w:type="dxa"/>
            <w:shd w:val="clear" w:color="auto" w:fill="FFFFFF"/>
            <w:vAlign w:val="center"/>
          </w:tcPr>
          <w:p w14:paraId="4655AD37">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所在区域的</w:t>
            </w:r>
          </w:p>
          <w:p w14:paraId="5FE2F29E">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生态问题</w:t>
            </w:r>
          </w:p>
        </w:tc>
        <w:tc>
          <w:tcPr>
            <w:tcW w:w="5862" w:type="dxa"/>
            <w:shd w:val="clear" w:color="auto" w:fill="FFFFFF"/>
            <w:vAlign w:val="center"/>
          </w:tcPr>
          <w:p w14:paraId="208276DC">
            <w:pPr>
              <w:widowControl/>
              <w:jc w:val="center"/>
              <w:textAlignment w:val="center"/>
              <w:rPr>
                <w:rFonts w:ascii="宋体" w:hAnsi="宋体" w:cs="宋体"/>
                <w:sz w:val="21"/>
                <w:szCs w:val="21"/>
              </w:rPr>
            </w:pPr>
            <w:r>
              <w:rPr>
                <w:rFonts w:hint="eastAsia" w:ascii="宋体" w:hAnsi="宋体" w:cs="宋体"/>
                <w:kern w:val="0"/>
                <w:sz w:val="21"/>
                <w:szCs w:val="21"/>
                <w:lang w:bidi="ar"/>
              </w:rPr>
              <w:t>水土流失</w:t>
            </w:r>
            <w:r>
              <w:rPr>
                <w:rFonts w:hint="eastAsia" w:ascii="宋体" w:hAnsi="宋体" w:cs="宋体"/>
                <w:kern w:val="0"/>
                <w:sz w:val="21"/>
                <w:szCs w:val="21"/>
                <w:lang w:bidi="ar"/>
              </w:rPr>
              <w:sym w:font="Wingdings 2" w:char="F052"/>
            </w:r>
            <w:r>
              <w:rPr>
                <w:rFonts w:hint="eastAsia" w:ascii="宋体" w:hAnsi="宋体" w:cs="宋体"/>
                <w:kern w:val="0"/>
                <w:sz w:val="21"/>
                <w:szCs w:val="21"/>
                <w:lang w:bidi="ar"/>
              </w:rPr>
              <w:t>；沙漠化□；石漠化□；盐渍化□；生物入侵□；污染危害□；其他□</w:t>
            </w:r>
          </w:p>
        </w:tc>
      </w:tr>
      <w:tr w14:paraId="6BB3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25FD8492">
            <w:pPr>
              <w:jc w:val="center"/>
              <w:rPr>
                <w:rFonts w:ascii="宋体" w:hAnsi="宋体" w:cs="宋体"/>
                <w:color w:val="000000"/>
                <w:sz w:val="21"/>
                <w:szCs w:val="21"/>
              </w:rPr>
            </w:pPr>
          </w:p>
        </w:tc>
        <w:tc>
          <w:tcPr>
            <w:tcW w:w="1559" w:type="dxa"/>
            <w:shd w:val="clear" w:color="auto" w:fill="FFFFFF"/>
            <w:vAlign w:val="center"/>
          </w:tcPr>
          <w:p w14:paraId="09D39901">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评价内容</w:t>
            </w:r>
          </w:p>
        </w:tc>
        <w:tc>
          <w:tcPr>
            <w:tcW w:w="5862" w:type="dxa"/>
            <w:shd w:val="clear" w:color="auto" w:fill="FFFFFF"/>
            <w:vAlign w:val="center"/>
          </w:tcPr>
          <w:p w14:paraId="15A1652D">
            <w:pPr>
              <w:widowControl/>
              <w:jc w:val="center"/>
              <w:textAlignment w:val="center"/>
              <w:rPr>
                <w:rFonts w:ascii="宋体" w:hAnsi="宋体" w:cs="宋体"/>
                <w:sz w:val="21"/>
                <w:szCs w:val="21"/>
              </w:rPr>
            </w:pPr>
            <w:r>
              <w:rPr>
                <w:rFonts w:hint="eastAsia" w:ascii="宋体" w:hAnsi="宋体" w:cs="宋体"/>
                <w:kern w:val="0"/>
                <w:sz w:val="21"/>
                <w:szCs w:val="21"/>
                <w:lang w:bidi="ar"/>
              </w:rPr>
              <w:t>植被/植物群落</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；土地利用</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；生态系统</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；生物多样性</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；重要物种</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；生态敏感区</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；其他□</w:t>
            </w:r>
          </w:p>
        </w:tc>
      </w:tr>
      <w:tr w14:paraId="62CF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restart"/>
            <w:shd w:val="clear" w:color="auto" w:fill="FFFFFF"/>
            <w:vAlign w:val="center"/>
          </w:tcPr>
          <w:p w14:paraId="5456F2C9">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生态影响预测与评价</w:t>
            </w:r>
          </w:p>
        </w:tc>
        <w:tc>
          <w:tcPr>
            <w:tcW w:w="1559" w:type="dxa"/>
            <w:shd w:val="clear" w:color="auto" w:fill="FFFFFF"/>
            <w:vAlign w:val="center"/>
          </w:tcPr>
          <w:p w14:paraId="26ACF3A5">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评价方法</w:t>
            </w:r>
          </w:p>
        </w:tc>
        <w:tc>
          <w:tcPr>
            <w:tcW w:w="5862" w:type="dxa"/>
            <w:shd w:val="clear" w:color="auto" w:fill="FFFFFF"/>
            <w:vAlign w:val="center"/>
          </w:tcPr>
          <w:p w14:paraId="540BC6A0">
            <w:pPr>
              <w:widowControl/>
              <w:jc w:val="center"/>
              <w:textAlignment w:val="center"/>
              <w:rPr>
                <w:rFonts w:ascii="宋体" w:hAnsi="宋体" w:cs="宋体"/>
                <w:sz w:val="21"/>
                <w:szCs w:val="21"/>
              </w:rPr>
            </w:pPr>
            <w:r>
              <w:rPr>
                <w:rFonts w:hint="eastAsia" w:ascii="宋体" w:hAnsi="宋体" w:cs="宋体"/>
                <w:kern w:val="0"/>
                <w:sz w:val="21"/>
                <w:szCs w:val="21"/>
                <w:lang w:bidi="ar"/>
              </w:rPr>
              <w:t>定性</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；定性和定量</w:t>
            </w:r>
            <w:r>
              <w:rPr>
                <w:rFonts w:hint="eastAsia" w:ascii="宋体" w:hAnsi="宋体" w:cs="宋体"/>
                <w:kern w:val="0"/>
                <w:sz w:val="21"/>
                <w:szCs w:val="21"/>
                <w:lang w:bidi="ar"/>
              </w:rPr>
              <w:sym w:font="Wingdings 2" w:char="00A3"/>
            </w:r>
          </w:p>
        </w:tc>
      </w:tr>
      <w:tr w14:paraId="497C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FFFFFF"/>
            <w:vAlign w:val="center"/>
          </w:tcPr>
          <w:p w14:paraId="56E3B751">
            <w:pPr>
              <w:widowControl/>
              <w:jc w:val="center"/>
              <w:textAlignment w:val="center"/>
              <w:rPr>
                <w:rFonts w:ascii="宋体" w:hAnsi="宋体" w:cs="宋体"/>
                <w:color w:val="000000"/>
                <w:sz w:val="21"/>
                <w:szCs w:val="21"/>
              </w:rPr>
            </w:pPr>
          </w:p>
        </w:tc>
        <w:tc>
          <w:tcPr>
            <w:tcW w:w="1559" w:type="dxa"/>
            <w:shd w:val="clear" w:color="auto" w:fill="FFFFFF"/>
            <w:vAlign w:val="center"/>
          </w:tcPr>
          <w:p w14:paraId="78FC7AF6">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评价内容</w:t>
            </w:r>
          </w:p>
        </w:tc>
        <w:tc>
          <w:tcPr>
            <w:tcW w:w="5862" w:type="dxa"/>
            <w:shd w:val="clear" w:color="auto" w:fill="FFFFFF"/>
            <w:vAlign w:val="center"/>
          </w:tcPr>
          <w:p w14:paraId="090615B9">
            <w:pPr>
              <w:widowControl/>
              <w:jc w:val="center"/>
              <w:textAlignment w:val="center"/>
              <w:rPr>
                <w:rFonts w:ascii="宋体" w:hAnsi="宋体" w:cs="宋体"/>
                <w:sz w:val="21"/>
                <w:szCs w:val="21"/>
              </w:rPr>
            </w:pPr>
            <w:r>
              <w:rPr>
                <w:rFonts w:hint="eastAsia" w:ascii="宋体" w:hAnsi="宋体" w:cs="宋体"/>
                <w:kern w:val="0"/>
                <w:sz w:val="21"/>
                <w:szCs w:val="21"/>
                <w:lang w:bidi="ar"/>
              </w:rPr>
              <w:t>植被/植物群落</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；土地利用</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；生态系统</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；生物多样性</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；重要物种</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；生态敏感区</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；生物入侵风险□；其他□</w:t>
            </w:r>
          </w:p>
        </w:tc>
      </w:tr>
      <w:tr w14:paraId="54C3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restart"/>
            <w:shd w:val="clear" w:color="auto" w:fill="FFFFFF"/>
            <w:vAlign w:val="center"/>
          </w:tcPr>
          <w:p w14:paraId="37DDBBF8">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生态保护</w:t>
            </w:r>
          </w:p>
          <w:p w14:paraId="5080F747">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对策措施</w:t>
            </w:r>
          </w:p>
        </w:tc>
        <w:tc>
          <w:tcPr>
            <w:tcW w:w="1559" w:type="dxa"/>
            <w:shd w:val="clear" w:color="auto" w:fill="FFFFFF"/>
            <w:vAlign w:val="center"/>
          </w:tcPr>
          <w:p w14:paraId="7E9B44FE">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对策措施</w:t>
            </w:r>
          </w:p>
        </w:tc>
        <w:tc>
          <w:tcPr>
            <w:tcW w:w="5862" w:type="dxa"/>
            <w:shd w:val="clear" w:color="auto" w:fill="FFFFFF"/>
            <w:vAlign w:val="center"/>
          </w:tcPr>
          <w:p w14:paraId="25B2BB30">
            <w:pPr>
              <w:widowControl/>
              <w:jc w:val="center"/>
              <w:textAlignment w:val="center"/>
              <w:rPr>
                <w:rFonts w:ascii="宋体" w:hAnsi="宋体" w:cs="宋体"/>
                <w:sz w:val="21"/>
                <w:szCs w:val="21"/>
              </w:rPr>
            </w:pPr>
            <w:r>
              <w:rPr>
                <w:rFonts w:hint="eastAsia" w:ascii="宋体" w:hAnsi="宋体" w:cs="宋体"/>
                <w:kern w:val="0"/>
                <w:sz w:val="21"/>
                <w:szCs w:val="21"/>
                <w:lang w:bidi="ar"/>
              </w:rPr>
              <w:t>避让</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；减缓</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；生态修复</w:t>
            </w:r>
            <w:r>
              <w:rPr>
                <w:rFonts w:hint="eastAsia" w:ascii="宋体" w:hAnsi="宋体" w:cs="宋体"/>
                <w:kern w:val="0"/>
                <w:sz w:val="21"/>
                <w:szCs w:val="21"/>
                <w:lang w:bidi="ar"/>
              </w:rPr>
              <w:sym w:font="Wingdings 2" w:char="00A3"/>
            </w:r>
            <w:r>
              <w:rPr>
                <w:rFonts w:hint="eastAsia" w:ascii="宋体" w:hAnsi="宋体" w:cs="宋体"/>
                <w:kern w:val="0"/>
                <w:sz w:val="21"/>
                <w:szCs w:val="21"/>
                <w:lang w:bidi="ar"/>
              </w:rPr>
              <w:t>；生态补偿</w:t>
            </w:r>
            <w:r>
              <w:rPr>
                <w:rFonts w:hint="eastAsia" w:ascii="宋体" w:hAnsi="宋体" w:cs="宋体"/>
                <w:kern w:val="0"/>
                <w:sz w:val="21"/>
                <w:szCs w:val="21"/>
                <w:lang w:bidi="ar"/>
              </w:rPr>
              <w:sym w:font="Wingdings 2" w:char="0052"/>
            </w:r>
            <w:r>
              <w:rPr>
                <w:rFonts w:hint="eastAsia" w:ascii="宋体" w:hAnsi="宋体" w:cs="宋体"/>
                <w:kern w:val="0"/>
                <w:sz w:val="21"/>
                <w:szCs w:val="21"/>
                <w:lang w:bidi="ar"/>
              </w:rPr>
              <w:t>；科研□；其他□</w:t>
            </w:r>
          </w:p>
        </w:tc>
      </w:tr>
      <w:tr w14:paraId="062C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FFFFFF"/>
            <w:vAlign w:val="center"/>
          </w:tcPr>
          <w:p w14:paraId="792C7817">
            <w:pPr>
              <w:widowControl/>
              <w:jc w:val="center"/>
              <w:textAlignment w:val="center"/>
              <w:rPr>
                <w:rFonts w:ascii="宋体" w:hAnsi="宋体" w:cs="宋体"/>
                <w:color w:val="000000"/>
                <w:sz w:val="21"/>
                <w:szCs w:val="21"/>
              </w:rPr>
            </w:pPr>
          </w:p>
        </w:tc>
        <w:tc>
          <w:tcPr>
            <w:tcW w:w="1559" w:type="dxa"/>
            <w:shd w:val="clear" w:color="auto" w:fill="FFFFFF"/>
            <w:vAlign w:val="center"/>
          </w:tcPr>
          <w:p w14:paraId="3A07F2BB">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生态监测计划</w:t>
            </w:r>
          </w:p>
        </w:tc>
        <w:tc>
          <w:tcPr>
            <w:tcW w:w="5862" w:type="dxa"/>
            <w:shd w:val="clear" w:color="auto" w:fill="FFFFFF"/>
            <w:vAlign w:val="center"/>
          </w:tcPr>
          <w:p w14:paraId="5DF7CAD2">
            <w:pPr>
              <w:widowControl/>
              <w:jc w:val="center"/>
              <w:textAlignment w:val="center"/>
              <w:rPr>
                <w:rFonts w:ascii="宋体" w:hAnsi="宋体" w:cs="宋体"/>
                <w:sz w:val="21"/>
                <w:szCs w:val="21"/>
              </w:rPr>
            </w:pPr>
            <w:r>
              <w:rPr>
                <w:rFonts w:hint="eastAsia" w:ascii="宋体" w:hAnsi="宋体" w:cs="宋体"/>
                <w:kern w:val="0"/>
                <w:sz w:val="21"/>
                <w:szCs w:val="21"/>
                <w:lang w:bidi="ar"/>
              </w:rPr>
              <w:t>全生命周期□；长期跟踪</w:t>
            </w:r>
            <w:r>
              <w:rPr>
                <w:rFonts w:hint="eastAsia" w:ascii="宋体" w:hAnsi="宋体" w:cs="宋体"/>
                <w:kern w:val="0"/>
                <w:sz w:val="21"/>
                <w:szCs w:val="21"/>
                <w:lang w:bidi="ar"/>
              </w:rPr>
              <w:sym w:font="Wingdings 2" w:char="F052"/>
            </w:r>
            <w:r>
              <w:rPr>
                <w:rFonts w:hint="eastAsia" w:ascii="宋体" w:hAnsi="宋体" w:cs="宋体"/>
                <w:kern w:val="0"/>
                <w:sz w:val="21"/>
                <w:szCs w:val="21"/>
                <w:lang w:bidi="ar"/>
              </w:rPr>
              <w:t>；常规</w:t>
            </w:r>
            <w:r>
              <w:rPr>
                <w:rFonts w:hint="eastAsia" w:ascii="宋体" w:hAnsi="宋体" w:cs="宋体"/>
                <w:kern w:val="0"/>
                <w:sz w:val="21"/>
                <w:szCs w:val="21"/>
                <w:lang w:bidi="ar"/>
              </w:rPr>
              <w:sym w:font="Wingdings 2" w:char="00A3"/>
            </w:r>
            <w:r>
              <w:rPr>
                <w:rFonts w:hint="eastAsia" w:ascii="宋体" w:hAnsi="宋体" w:cs="宋体"/>
                <w:kern w:val="0"/>
                <w:sz w:val="21"/>
                <w:szCs w:val="21"/>
                <w:lang w:bidi="ar"/>
              </w:rPr>
              <w:t>；无□</w:t>
            </w:r>
          </w:p>
        </w:tc>
      </w:tr>
      <w:tr w14:paraId="3420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noWrap/>
            <w:vAlign w:val="center"/>
          </w:tcPr>
          <w:p w14:paraId="7DECF1CD">
            <w:pPr>
              <w:jc w:val="center"/>
              <w:rPr>
                <w:rFonts w:ascii="宋体" w:hAnsi="宋体" w:cs="宋体"/>
                <w:color w:val="000000"/>
                <w:sz w:val="21"/>
                <w:szCs w:val="21"/>
              </w:rPr>
            </w:pPr>
          </w:p>
        </w:tc>
        <w:tc>
          <w:tcPr>
            <w:tcW w:w="1559" w:type="dxa"/>
            <w:shd w:val="clear" w:color="auto" w:fill="FFFFFF"/>
            <w:vAlign w:val="center"/>
          </w:tcPr>
          <w:p w14:paraId="06053F4F">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环境管理</w:t>
            </w:r>
          </w:p>
        </w:tc>
        <w:tc>
          <w:tcPr>
            <w:tcW w:w="5862" w:type="dxa"/>
            <w:shd w:val="clear" w:color="auto" w:fill="FFFFFF"/>
            <w:vAlign w:val="center"/>
          </w:tcPr>
          <w:p w14:paraId="125A7AAA">
            <w:pPr>
              <w:widowControl/>
              <w:jc w:val="center"/>
              <w:textAlignment w:val="center"/>
              <w:rPr>
                <w:rFonts w:ascii="宋体" w:hAnsi="宋体" w:cs="宋体"/>
                <w:sz w:val="21"/>
                <w:szCs w:val="21"/>
              </w:rPr>
            </w:pPr>
            <w:r>
              <w:rPr>
                <w:rFonts w:hint="eastAsia" w:ascii="宋体" w:hAnsi="宋体" w:cs="宋体"/>
                <w:kern w:val="0"/>
                <w:sz w:val="21"/>
                <w:szCs w:val="21"/>
                <w:lang w:bidi="ar"/>
              </w:rPr>
              <w:t>环境监理</w:t>
            </w:r>
            <w:r>
              <w:rPr>
                <w:rFonts w:hint="eastAsia" w:ascii="宋体" w:hAnsi="宋体" w:cs="宋体"/>
                <w:kern w:val="0"/>
                <w:sz w:val="21"/>
                <w:szCs w:val="21"/>
                <w:lang w:bidi="ar"/>
              </w:rPr>
              <w:sym w:font="Wingdings 2" w:char="F052"/>
            </w:r>
            <w:r>
              <w:rPr>
                <w:rFonts w:hint="eastAsia" w:ascii="宋体" w:hAnsi="宋体" w:cs="宋体"/>
                <w:kern w:val="0"/>
                <w:sz w:val="21"/>
                <w:szCs w:val="21"/>
                <w:lang w:bidi="ar"/>
              </w:rPr>
              <w:t>；环境影响后评价</w:t>
            </w:r>
            <w:r>
              <w:rPr>
                <w:rFonts w:hint="eastAsia" w:ascii="宋体" w:hAnsi="宋体" w:cs="宋体"/>
                <w:kern w:val="0"/>
                <w:sz w:val="21"/>
                <w:szCs w:val="21"/>
                <w:lang w:bidi="ar"/>
              </w:rPr>
              <w:sym w:font="Wingdings 2" w:char="00A3"/>
            </w:r>
            <w:r>
              <w:rPr>
                <w:rFonts w:hint="eastAsia" w:ascii="宋体" w:hAnsi="宋体" w:cs="宋体"/>
                <w:kern w:val="0"/>
                <w:sz w:val="21"/>
                <w:szCs w:val="21"/>
                <w:lang w:bidi="ar"/>
              </w:rPr>
              <w:t>；其他□</w:t>
            </w:r>
          </w:p>
        </w:tc>
      </w:tr>
      <w:tr w14:paraId="4CBD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shd w:val="clear" w:color="auto" w:fill="FFFFFF"/>
            <w:vAlign w:val="center"/>
          </w:tcPr>
          <w:p w14:paraId="6083F286">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评价结论</w:t>
            </w:r>
          </w:p>
        </w:tc>
        <w:tc>
          <w:tcPr>
            <w:tcW w:w="1559" w:type="dxa"/>
            <w:shd w:val="clear" w:color="auto" w:fill="FFFFFF"/>
            <w:vAlign w:val="center"/>
          </w:tcPr>
          <w:p w14:paraId="40FBE9FA">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生态影响</w:t>
            </w:r>
          </w:p>
        </w:tc>
        <w:tc>
          <w:tcPr>
            <w:tcW w:w="5862" w:type="dxa"/>
            <w:shd w:val="clear" w:color="auto" w:fill="FFFFFF"/>
            <w:vAlign w:val="center"/>
          </w:tcPr>
          <w:p w14:paraId="1B4BF9DC">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可行</w:t>
            </w:r>
            <w:r>
              <w:rPr>
                <w:rFonts w:hint="eastAsia" w:ascii="宋体" w:hAnsi="宋体" w:cs="宋体"/>
                <w:color w:val="000000"/>
                <w:kern w:val="0"/>
                <w:sz w:val="21"/>
                <w:szCs w:val="21"/>
                <w:lang w:bidi="ar"/>
              </w:rPr>
              <w:sym w:font="Wingdings 2" w:char="0052"/>
            </w:r>
            <w:r>
              <w:rPr>
                <w:rFonts w:hint="eastAsia" w:ascii="宋体" w:hAnsi="宋体" w:cs="宋体"/>
                <w:color w:val="000000"/>
                <w:kern w:val="0"/>
                <w:sz w:val="21"/>
                <w:szCs w:val="21"/>
                <w:lang w:bidi="ar"/>
              </w:rPr>
              <w:t>；不可行□</w:t>
            </w:r>
          </w:p>
        </w:tc>
      </w:tr>
      <w:tr w14:paraId="5591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3"/>
            <w:shd w:val="clear" w:color="auto" w:fill="FFFFFF"/>
            <w:vAlign w:val="center"/>
          </w:tcPr>
          <w:p w14:paraId="0E545D72">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注：“□”为勾选项，可√；“（）”为内容填写项。</w:t>
            </w:r>
          </w:p>
        </w:tc>
      </w:tr>
    </w:tbl>
    <w:p w14:paraId="4DFDF955">
      <w:pPr>
        <w:widowControl/>
        <w:spacing w:line="360" w:lineRule="auto"/>
        <w:ind w:firstLine="480" w:firstLineChars="200"/>
        <w:rPr>
          <w:sz w:val="24"/>
          <w:shd w:val="clear" w:color="auto" w:fill="FFFFFF"/>
        </w:rPr>
        <w:sectPr>
          <w:pgSz w:w="11906" w:h="16838"/>
          <w:pgMar w:top="1474" w:right="1361" w:bottom="1474" w:left="1588" w:header="851" w:footer="851" w:gutter="0"/>
          <w:cols w:space="425" w:num="1"/>
          <w:docGrid w:linePitch="312" w:charSpace="0"/>
        </w:sectPr>
      </w:pPr>
    </w:p>
    <w:p w14:paraId="23532139">
      <w:pPr>
        <w:ind w:firstLine="480"/>
      </w:pPr>
      <w:bookmarkStart w:id="290" w:name="_Toc25774976"/>
      <w:bookmarkStart w:id="291" w:name="_Toc25834135"/>
    </w:p>
    <w:p w14:paraId="472E5E66">
      <w:pPr>
        <w:ind w:firstLine="480"/>
      </w:pPr>
    </w:p>
    <w:p w14:paraId="58E84EF6">
      <w:pPr>
        <w:ind w:firstLine="480"/>
      </w:pPr>
    </w:p>
    <w:p w14:paraId="632A2063">
      <w:pPr>
        <w:ind w:firstLine="480"/>
      </w:pPr>
    </w:p>
    <w:p w14:paraId="62295AD1">
      <w:pPr>
        <w:ind w:firstLine="480"/>
      </w:pPr>
    </w:p>
    <w:p w14:paraId="678DF07F">
      <w:pPr>
        <w:ind w:firstLine="880"/>
        <w:rPr>
          <w:rFonts w:ascii="黑体" w:hAnsi="黑体" w:eastAsia="黑体"/>
          <w:sz w:val="44"/>
          <w:szCs w:val="44"/>
        </w:rPr>
      </w:pPr>
    </w:p>
    <w:p w14:paraId="4B50198B">
      <w:pPr>
        <w:ind w:firstLine="880"/>
        <w:rPr>
          <w:rFonts w:ascii="黑体" w:hAnsi="黑体" w:eastAsia="黑体"/>
          <w:sz w:val="44"/>
          <w:szCs w:val="44"/>
        </w:rPr>
      </w:pPr>
    </w:p>
    <w:p w14:paraId="5AF0C86E">
      <w:pPr>
        <w:ind w:firstLine="880"/>
        <w:rPr>
          <w:rFonts w:ascii="黑体" w:hAnsi="黑体" w:eastAsia="黑体"/>
          <w:sz w:val="44"/>
          <w:szCs w:val="44"/>
        </w:rPr>
      </w:pPr>
    </w:p>
    <w:p w14:paraId="369BCE94">
      <w:pPr>
        <w:jc w:val="center"/>
        <w:rPr>
          <w:rFonts w:ascii="黑体" w:hAnsi="黑体" w:eastAsia="黑体"/>
          <w:sz w:val="44"/>
          <w:szCs w:val="44"/>
        </w:rPr>
      </w:pPr>
      <w:r>
        <w:rPr>
          <w:rFonts w:hint="eastAsia" w:ascii="黑体" w:hAnsi="黑体" w:eastAsia="黑体"/>
          <w:sz w:val="44"/>
          <w:szCs w:val="44"/>
        </w:rPr>
        <w:t>湖南省江华湾水源抽水蓄能电站</w:t>
      </w:r>
    </w:p>
    <w:p w14:paraId="6246031E">
      <w:pPr>
        <w:jc w:val="center"/>
        <w:rPr>
          <w:rFonts w:ascii="黑体" w:hAnsi="黑体" w:eastAsia="黑体"/>
          <w:sz w:val="44"/>
          <w:szCs w:val="44"/>
        </w:rPr>
      </w:pPr>
      <w:r>
        <w:rPr>
          <w:rFonts w:hint="eastAsia" w:ascii="黑体" w:hAnsi="黑体" w:eastAsia="黑体"/>
          <w:sz w:val="44"/>
          <w:szCs w:val="44"/>
        </w:rPr>
        <w:t>施工电源110千伏线路工程电网项目</w:t>
      </w:r>
    </w:p>
    <w:p w14:paraId="32F289F7">
      <w:pPr>
        <w:ind w:firstLine="880"/>
        <w:rPr>
          <w:rFonts w:ascii="黑体" w:hAnsi="黑体" w:eastAsia="黑体"/>
          <w:sz w:val="44"/>
          <w:szCs w:val="44"/>
        </w:rPr>
      </w:pPr>
    </w:p>
    <w:p w14:paraId="1DA38A12">
      <w:pPr>
        <w:ind w:firstLine="234" w:firstLineChars="45"/>
        <w:jc w:val="center"/>
        <w:outlineLvl w:val="0"/>
        <w:rPr>
          <w:rFonts w:ascii="黑体" w:hAnsi="黑体" w:eastAsia="黑体"/>
          <w:sz w:val="52"/>
          <w:szCs w:val="52"/>
        </w:rPr>
      </w:pPr>
      <w:bookmarkStart w:id="292" w:name="_Toc186810129"/>
      <w:r>
        <w:rPr>
          <w:rFonts w:hint="eastAsia" w:ascii="黑体" w:hAnsi="黑体" w:eastAsia="黑体"/>
          <w:sz w:val="52"/>
          <w:szCs w:val="52"/>
        </w:rPr>
        <w:t>电磁环境影响评价专题</w:t>
      </w:r>
      <w:bookmarkEnd w:id="292"/>
    </w:p>
    <w:p w14:paraId="25F49701">
      <w:pPr>
        <w:ind w:firstLine="480"/>
      </w:pPr>
    </w:p>
    <w:p w14:paraId="3351B943">
      <w:pPr>
        <w:ind w:firstLine="480"/>
      </w:pPr>
    </w:p>
    <w:p w14:paraId="613D0625">
      <w:pPr>
        <w:ind w:firstLine="480"/>
      </w:pPr>
    </w:p>
    <w:p w14:paraId="7D21AC3A">
      <w:pPr>
        <w:ind w:firstLine="480"/>
      </w:pPr>
    </w:p>
    <w:p w14:paraId="0FD937C4">
      <w:pPr>
        <w:ind w:firstLine="480"/>
      </w:pPr>
    </w:p>
    <w:p w14:paraId="1B3D1613">
      <w:pPr>
        <w:ind w:firstLine="480"/>
      </w:pPr>
    </w:p>
    <w:p w14:paraId="11848F67">
      <w:pPr>
        <w:ind w:firstLine="480"/>
      </w:pPr>
    </w:p>
    <w:p w14:paraId="257E143F">
      <w:pPr>
        <w:ind w:firstLine="480"/>
      </w:pPr>
    </w:p>
    <w:p w14:paraId="70DB86B5">
      <w:pPr>
        <w:ind w:firstLine="480"/>
      </w:pPr>
    </w:p>
    <w:p w14:paraId="30CBB515">
      <w:pPr>
        <w:ind w:firstLine="602"/>
        <w:rPr>
          <w:b/>
          <w:bCs/>
          <w:sz w:val="30"/>
          <w:szCs w:val="30"/>
        </w:rPr>
      </w:pPr>
    </w:p>
    <w:p w14:paraId="11EEACB1">
      <w:pPr>
        <w:ind w:firstLine="166" w:firstLineChars="83"/>
      </w:pPr>
    </w:p>
    <w:p w14:paraId="50C98E2F">
      <w:pPr>
        <w:ind w:firstLine="166" w:firstLineChars="83"/>
      </w:pPr>
    </w:p>
    <w:p w14:paraId="61EACE4C">
      <w:pPr>
        <w:ind w:firstLine="166" w:firstLineChars="83"/>
      </w:pPr>
    </w:p>
    <w:p w14:paraId="0F4CA5EF">
      <w:pPr>
        <w:ind w:firstLine="166" w:firstLineChars="83"/>
      </w:pPr>
    </w:p>
    <w:p w14:paraId="58B88337">
      <w:pPr>
        <w:ind w:firstLine="166" w:firstLineChars="83"/>
      </w:pPr>
    </w:p>
    <w:p w14:paraId="342AE0E1">
      <w:pPr>
        <w:ind w:firstLine="166" w:firstLineChars="83"/>
      </w:pPr>
    </w:p>
    <w:p w14:paraId="45114152">
      <w:pPr>
        <w:ind w:firstLine="166" w:firstLineChars="83"/>
      </w:pPr>
    </w:p>
    <w:p w14:paraId="47876ED7">
      <w:pPr>
        <w:ind w:firstLine="166" w:firstLineChars="83"/>
      </w:pPr>
    </w:p>
    <w:p w14:paraId="7734B3EF">
      <w:pPr>
        <w:ind w:firstLine="166" w:firstLineChars="83"/>
      </w:pPr>
    </w:p>
    <w:p w14:paraId="398242DC">
      <w:pPr>
        <w:ind w:firstLine="166" w:firstLineChars="83"/>
      </w:pPr>
    </w:p>
    <w:p w14:paraId="3B99413C">
      <w:pPr>
        <w:ind w:firstLine="166" w:firstLineChars="83"/>
      </w:pPr>
    </w:p>
    <w:p w14:paraId="686408DB">
      <w:pPr>
        <w:ind w:firstLine="166" w:firstLineChars="83"/>
      </w:pPr>
    </w:p>
    <w:p w14:paraId="22A92A91">
      <w:pPr>
        <w:ind w:firstLine="166" w:firstLineChars="83"/>
      </w:pPr>
    </w:p>
    <w:p w14:paraId="2B6FA74B">
      <w:pPr>
        <w:ind w:firstLine="166" w:firstLineChars="83"/>
      </w:pPr>
    </w:p>
    <w:p w14:paraId="33857106">
      <w:pPr>
        <w:ind w:firstLine="166" w:firstLineChars="83"/>
      </w:pPr>
    </w:p>
    <w:p w14:paraId="59B9235D">
      <w:pPr>
        <w:ind w:firstLine="166" w:firstLineChars="83"/>
      </w:pPr>
    </w:p>
    <w:p w14:paraId="2DA74A8E">
      <w:pPr>
        <w:ind w:firstLine="166" w:firstLineChars="83"/>
      </w:pPr>
    </w:p>
    <w:p w14:paraId="0C63AF69">
      <w:pPr>
        <w:pStyle w:val="3"/>
        <w:ind w:firstLine="480"/>
      </w:pPr>
    </w:p>
    <w:p w14:paraId="230E7D7A">
      <w:pPr>
        <w:ind w:firstLine="602"/>
        <w:jc w:val="center"/>
        <w:rPr>
          <w:b/>
          <w:bCs/>
          <w:sz w:val="30"/>
          <w:szCs w:val="30"/>
        </w:rPr>
      </w:pPr>
      <w:r>
        <w:rPr>
          <w:rFonts w:hint="eastAsia"/>
          <w:b/>
          <w:bCs/>
          <w:sz w:val="30"/>
          <w:szCs w:val="30"/>
        </w:rPr>
        <w:t>2</w:t>
      </w:r>
      <w:r>
        <w:rPr>
          <w:b/>
          <w:bCs/>
          <w:sz w:val="30"/>
          <w:szCs w:val="30"/>
        </w:rPr>
        <w:t>025</w:t>
      </w:r>
      <w:r>
        <w:rPr>
          <w:rFonts w:hint="eastAsia"/>
          <w:b/>
          <w:bCs/>
          <w:sz w:val="30"/>
          <w:szCs w:val="30"/>
        </w:rPr>
        <w:t>年</w:t>
      </w:r>
      <w:r>
        <w:rPr>
          <w:b/>
          <w:bCs/>
          <w:sz w:val="30"/>
          <w:szCs w:val="30"/>
        </w:rPr>
        <w:t>4</w:t>
      </w:r>
      <w:r>
        <w:rPr>
          <w:rFonts w:hint="eastAsia"/>
          <w:b/>
          <w:bCs/>
          <w:sz w:val="30"/>
          <w:szCs w:val="30"/>
        </w:rPr>
        <w:t>月</w:t>
      </w:r>
    </w:p>
    <w:p w14:paraId="674D0FF5">
      <w:pPr>
        <w:rPr>
          <w:snapToGrid w:val="0"/>
        </w:rPr>
      </w:pPr>
    </w:p>
    <w:p w14:paraId="126A086B">
      <w:pPr>
        <w:pStyle w:val="155"/>
        <w:rPr>
          <w:rFonts w:eastAsia="黑体" w:cs="Times New Roman"/>
          <w:b w:val="0"/>
          <w:szCs w:val="24"/>
          <w:lang w:eastAsia="zh-CN"/>
        </w:rPr>
      </w:pPr>
      <w:r>
        <w:rPr>
          <w:rFonts w:eastAsia="黑体" w:cs="Times New Roman"/>
          <w:b w:val="0"/>
          <w:szCs w:val="24"/>
          <w:lang w:eastAsia="zh-CN"/>
        </w:rPr>
        <w:br w:type="page"/>
      </w:r>
    </w:p>
    <w:p w14:paraId="66573DDC">
      <w:pPr>
        <w:pStyle w:val="2"/>
        <w:pageBreakBefore/>
        <w:numPr>
          <w:ilvl w:val="0"/>
          <w:numId w:val="6"/>
        </w:numPr>
        <w:rPr>
          <w:szCs w:val="24"/>
        </w:rPr>
      </w:pPr>
      <w:bookmarkStart w:id="293" w:name="_Toc186810130"/>
      <w:r>
        <w:rPr>
          <w:rFonts w:hint="eastAsia"/>
        </w:rPr>
        <w:t>总则</w:t>
      </w:r>
      <w:bookmarkEnd w:id="293"/>
    </w:p>
    <w:bookmarkEnd w:id="290"/>
    <w:bookmarkEnd w:id="291"/>
    <w:p w14:paraId="08D19F41">
      <w:pPr>
        <w:pStyle w:val="5"/>
        <w:ind w:left="0" w:firstLine="0"/>
      </w:pPr>
      <w:r>
        <w:rPr>
          <w:rFonts w:hint="eastAsia"/>
        </w:rPr>
        <w:t>项目由来</w:t>
      </w:r>
    </w:p>
    <w:p w14:paraId="718BD382">
      <w:pPr>
        <w:pStyle w:val="3"/>
        <w:ind w:firstLine="480"/>
      </w:pPr>
      <w:r>
        <w:rPr>
          <w:rFonts w:hint="eastAsia"/>
        </w:rPr>
        <w:t>湖南省江华湾水源抽水蓄能电站施工电源110kV线路工程电网项目位于永州市江华县，建设内容包括1</w:t>
      </w:r>
      <w:r>
        <w:t>10kV</w:t>
      </w:r>
      <w:r>
        <w:rPr>
          <w:rFonts w:hint="eastAsia"/>
        </w:rPr>
        <w:t>线路工程、贝江1</w:t>
      </w:r>
      <w:r>
        <w:t>10kV</w:t>
      </w:r>
      <w:r>
        <w:rPr>
          <w:rFonts w:hint="eastAsia"/>
        </w:rPr>
        <w:t>变电站间隔扩建等，线路工程起于已建贝江1</w:t>
      </w:r>
      <w:r>
        <w:t>10</w:t>
      </w:r>
      <w:r>
        <w:rPr>
          <w:rFonts w:hint="eastAsia"/>
        </w:rPr>
        <w:t>kV变电站，终于待建的抽水蓄能工程1</w:t>
      </w:r>
      <w:r>
        <w:t>10</w:t>
      </w:r>
      <w:r>
        <w:rPr>
          <w:rFonts w:hint="eastAsia"/>
        </w:rPr>
        <w:t>kV基地源变电站。根据《环境影响评价技术导则 输变电》（</w:t>
      </w:r>
      <w:r>
        <w:t>HJ24-2020</w:t>
      </w:r>
      <w:r>
        <w:rPr>
          <w:rFonts w:hint="eastAsia"/>
        </w:rPr>
        <w:t>）附录</w:t>
      </w:r>
      <w:r>
        <w:t>B</w:t>
      </w:r>
      <w:r>
        <w:rPr>
          <w:rFonts w:hint="eastAsia"/>
        </w:rPr>
        <w:t>要求，</w:t>
      </w:r>
      <w:r>
        <w:t>“</w:t>
      </w:r>
      <w:r>
        <w:rPr>
          <w:rFonts w:hint="eastAsia"/>
        </w:rPr>
        <w:t>应设电磁环境影响专题评价，其评价等级、评价内容与格式按照本标准有关电磁环境影响评价要求进行。</w:t>
      </w:r>
      <w:r>
        <w:t>”</w:t>
      </w:r>
      <w:r>
        <w:rPr>
          <w:rFonts w:hint="eastAsia"/>
        </w:rPr>
        <w:t xml:space="preserve"> </w:t>
      </w:r>
    </w:p>
    <w:p w14:paraId="17DDEC50">
      <w:pPr>
        <w:pStyle w:val="3"/>
        <w:ind w:firstLine="480"/>
      </w:pPr>
      <w:r>
        <w:rPr>
          <w:rFonts w:hint="eastAsia"/>
        </w:rPr>
        <w:t>1</w:t>
      </w:r>
      <w:r>
        <w:t>10</w:t>
      </w:r>
      <w:r>
        <w:rPr>
          <w:rFonts w:hint="eastAsia"/>
        </w:rPr>
        <w:t>kV基地源变电站为湖南省江华湾水源抽水蓄能电站项目的一部分，已审批的《湖南省江华湾水源抽水蓄能电站项目环境影响报告书》已中对其施工期、营运期（非辐射部分）进行了环境影响评价，应建设单位要求，将其电磁辐射环境影响纳入本专题一起评价。</w:t>
      </w:r>
    </w:p>
    <w:p w14:paraId="72E44EE2">
      <w:pPr>
        <w:pStyle w:val="3"/>
        <w:ind w:firstLine="480"/>
      </w:pPr>
      <w:r>
        <w:rPr>
          <w:rFonts w:hint="eastAsia"/>
        </w:rPr>
        <w:t>根据《环境影响评价技术导则 输变电》（</w:t>
      </w:r>
      <w:r>
        <w:t>HJ24-2020</w:t>
      </w:r>
      <w:r>
        <w:rPr>
          <w:rFonts w:hint="eastAsia"/>
        </w:rPr>
        <w:t>）相关要求，</w:t>
      </w:r>
      <w:r>
        <w:t>“</w:t>
      </w:r>
      <w:r>
        <w:rPr>
          <w:rFonts w:hint="eastAsia"/>
        </w:rPr>
        <w:t>编制环境影响报告表的输变电建设项目环境影响评价各阶段工作内容较编制报告书工作内容可适当简化。</w:t>
      </w:r>
      <w:r>
        <w:t>”</w:t>
      </w:r>
      <w:r>
        <w:rPr>
          <w:rFonts w:hint="eastAsia"/>
        </w:rPr>
        <w:t>本次根据附录</w:t>
      </w:r>
      <w:r>
        <w:t>A</w:t>
      </w:r>
      <w:r>
        <w:rPr>
          <w:rFonts w:hint="eastAsia"/>
        </w:rPr>
        <w:t>（规范性附录）输变电建设项目环境影响报告书专项设置和编制要求并适当简化进行编制。</w:t>
      </w:r>
    </w:p>
    <w:p w14:paraId="0972A6DA">
      <w:pPr>
        <w:pStyle w:val="3"/>
        <w:ind w:firstLine="480"/>
      </w:pPr>
      <w:r>
        <w:rPr>
          <w:rFonts w:hint="eastAsia"/>
        </w:rPr>
        <w:t>接受委托后，我公司组织专业人员对项目区域进行了实地踏勘，对电磁环境质量现状监测，并根据委托方提供的工程相关基础资料编制了《湖南省江华湾水源抽水蓄能电站施工电源110kV线路工程电磁环境影响评价专题报告》。</w:t>
      </w:r>
    </w:p>
    <w:p w14:paraId="7FE0DA47">
      <w:pPr>
        <w:pStyle w:val="5"/>
        <w:ind w:left="0" w:firstLine="0"/>
      </w:pPr>
      <w:r>
        <w:rPr>
          <w:rFonts w:hint="eastAsia"/>
        </w:rPr>
        <w:t>项目概况</w:t>
      </w:r>
    </w:p>
    <w:p w14:paraId="5EC72447">
      <w:pPr>
        <w:pStyle w:val="3"/>
        <w:ind w:firstLine="480"/>
      </w:pPr>
      <w:r>
        <w:rPr>
          <w:rFonts w:hint="eastAsia"/>
        </w:rPr>
        <w:t>本项目110kV线路工程起自贝江1</w:t>
      </w:r>
      <w:r>
        <w:t>10</w:t>
      </w:r>
      <w:r>
        <w:rPr>
          <w:rFonts w:hint="eastAsia"/>
        </w:rPr>
        <w:t>kV变电站扩建间隔，终至</w:t>
      </w:r>
      <w:r>
        <w:t>110kV</w:t>
      </w:r>
      <w:r>
        <w:rPr>
          <w:rFonts w:hint="eastAsia"/>
        </w:rPr>
        <w:t>基地源变电站，线路全长约</w:t>
      </w:r>
      <w:r>
        <w:t>20.045km</w:t>
      </w:r>
      <w:r>
        <w:rPr>
          <w:rFonts w:hint="eastAsia"/>
        </w:rPr>
        <w:t>，单回路架设。新建线路共使用杆塔</w:t>
      </w:r>
      <w:r>
        <w:t>70</w:t>
      </w:r>
      <w:r>
        <w:rPr>
          <w:rFonts w:hint="eastAsia"/>
        </w:rPr>
        <w:t>基。</w:t>
      </w:r>
      <w:r>
        <w:t xml:space="preserve"> </w:t>
      </w:r>
    </w:p>
    <w:p w14:paraId="6CFEC31C">
      <w:pPr>
        <w:pStyle w:val="148"/>
      </w:pPr>
      <w:r>
        <w:rPr>
          <w:rStyle w:val="49"/>
          <w:rFonts w:hint="eastAsia"/>
        </w:rPr>
        <w:t>表</w:t>
      </w:r>
      <w:r>
        <w:rPr>
          <w:rStyle w:val="49"/>
        </w:rPr>
        <w:t>1.2-1</w:t>
      </w:r>
      <w:r>
        <w:rPr>
          <w:b/>
        </w:rPr>
        <w:t xml:space="preserve">  </w:t>
      </w:r>
      <w:r>
        <w:rPr>
          <w:rFonts w:hint="eastAsia"/>
        </w:rPr>
        <w:t>工程概况一览表</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134"/>
        <w:gridCol w:w="6804"/>
      </w:tblGrid>
      <w:tr w14:paraId="15B1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6" w:type="dxa"/>
            <w:vAlign w:val="center"/>
          </w:tcPr>
          <w:p w14:paraId="18C798C1">
            <w:pPr>
              <w:pStyle w:val="159"/>
            </w:pPr>
            <w:r>
              <w:rPr>
                <w:rFonts w:hint="eastAsia"/>
              </w:rPr>
              <w:t>类型</w:t>
            </w:r>
            <w:r>
              <w:t xml:space="preserve"> </w:t>
            </w:r>
          </w:p>
        </w:tc>
        <w:tc>
          <w:tcPr>
            <w:tcW w:w="1134" w:type="dxa"/>
            <w:vAlign w:val="center"/>
          </w:tcPr>
          <w:p w14:paraId="3C3BD93D">
            <w:pPr>
              <w:pStyle w:val="159"/>
            </w:pPr>
            <w:r>
              <w:rPr>
                <w:rFonts w:hint="eastAsia"/>
              </w:rPr>
              <w:t>工程内容</w:t>
            </w:r>
            <w:r>
              <w:t xml:space="preserve"> </w:t>
            </w:r>
          </w:p>
        </w:tc>
        <w:tc>
          <w:tcPr>
            <w:tcW w:w="6804" w:type="dxa"/>
            <w:vAlign w:val="center"/>
          </w:tcPr>
          <w:p w14:paraId="5F09CAAE">
            <w:pPr>
              <w:pStyle w:val="159"/>
            </w:pPr>
            <w:r>
              <w:rPr>
                <w:rFonts w:hint="eastAsia"/>
              </w:rPr>
              <w:t>规模</w:t>
            </w:r>
            <w:r>
              <w:t xml:space="preserve"> </w:t>
            </w:r>
          </w:p>
        </w:tc>
      </w:tr>
      <w:tr w14:paraId="1611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6" w:type="dxa"/>
            <w:vMerge w:val="restart"/>
            <w:vAlign w:val="center"/>
          </w:tcPr>
          <w:p w14:paraId="51CA4E02">
            <w:pPr>
              <w:pStyle w:val="159"/>
            </w:pPr>
            <w:r>
              <w:rPr>
                <w:rFonts w:hint="eastAsia"/>
              </w:rPr>
              <w:t>主体工程</w:t>
            </w:r>
            <w:r>
              <w:t xml:space="preserve"> </w:t>
            </w:r>
          </w:p>
        </w:tc>
        <w:tc>
          <w:tcPr>
            <w:tcW w:w="1134" w:type="dxa"/>
            <w:vMerge w:val="restart"/>
            <w:vAlign w:val="center"/>
          </w:tcPr>
          <w:p w14:paraId="591F9418">
            <w:pPr>
              <w:pStyle w:val="159"/>
            </w:pPr>
            <w:r>
              <w:rPr>
                <w:rFonts w:hint="eastAsia"/>
              </w:rPr>
              <w:t>线路工程</w:t>
            </w:r>
            <w:r>
              <w:t xml:space="preserve"> </w:t>
            </w:r>
          </w:p>
        </w:tc>
        <w:tc>
          <w:tcPr>
            <w:tcW w:w="6804" w:type="dxa"/>
            <w:vAlign w:val="center"/>
          </w:tcPr>
          <w:p w14:paraId="2B812FBE">
            <w:pPr>
              <w:pStyle w:val="159"/>
            </w:pPr>
            <w:r>
              <w:rPr>
                <w:rFonts w:hint="eastAsia"/>
              </w:rPr>
              <w:t>线路长度：20.</w:t>
            </w:r>
            <w:r>
              <w:t>0</w:t>
            </w:r>
            <w:r>
              <w:rPr>
                <w:rFonts w:hint="eastAsia"/>
              </w:rPr>
              <w:t>45km，其中架空段路径长20km，电缆段路径长0.045km；单回路</w:t>
            </w:r>
          </w:p>
        </w:tc>
      </w:tr>
      <w:tr w14:paraId="781E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6" w:type="dxa"/>
            <w:vMerge w:val="continue"/>
            <w:vAlign w:val="center"/>
          </w:tcPr>
          <w:p w14:paraId="7364F10A">
            <w:pPr>
              <w:pStyle w:val="159"/>
            </w:pPr>
          </w:p>
        </w:tc>
        <w:tc>
          <w:tcPr>
            <w:tcW w:w="1134" w:type="dxa"/>
            <w:vMerge w:val="continue"/>
            <w:vAlign w:val="center"/>
          </w:tcPr>
          <w:p w14:paraId="028008A5">
            <w:pPr>
              <w:pStyle w:val="159"/>
            </w:pPr>
          </w:p>
        </w:tc>
        <w:tc>
          <w:tcPr>
            <w:tcW w:w="6804" w:type="dxa"/>
            <w:vAlign w:val="center"/>
          </w:tcPr>
          <w:p w14:paraId="04D846BC">
            <w:pPr>
              <w:pStyle w:val="159"/>
            </w:pPr>
            <w:r>
              <w:rPr>
                <w:rFonts w:hint="eastAsia"/>
              </w:rPr>
              <w:t>塔基数量：杆塔</w:t>
            </w:r>
            <w:r>
              <w:t>70</w:t>
            </w:r>
            <w:r>
              <w:rPr>
                <w:rFonts w:hint="eastAsia"/>
              </w:rPr>
              <w:t>基，塔基占地约为：0</w:t>
            </w:r>
            <w:r>
              <w:t>.57</w:t>
            </w:r>
            <w:r>
              <w:rPr>
                <w:rFonts w:hint="eastAsia"/>
              </w:rPr>
              <w:t>h</w:t>
            </w:r>
            <w:r>
              <w:t>m</w:t>
            </w:r>
            <w:r>
              <w:rPr>
                <w:vertAlign w:val="superscript"/>
              </w:rPr>
              <w:t>2</w:t>
            </w:r>
          </w:p>
        </w:tc>
      </w:tr>
      <w:tr w14:paraId="2368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6" w:type="dxa"/>
            <w:vMerge w:val="continue"/>
            <w:vAlign w:val="center"/>
          </w:tcPr>
          <w:p w14:paraId="484E87F0">
            <w:pPr>
              <w:pStyle w:val="159"/>
            </w:pPr>
          </w:p>
        </w:tc>
        <w:tc>
          <w:tcPr>
            <w:tcW w:w="1134" w:type="dxa"/>
            <w:vMerge w:val="continue"/>
            <w:vAlign w:val="center"/>
          </w:tcPr>
          <w:p w14:paraId="07C1E120">
            <w:pPr>
              <w:pStyle w:val="159"/>
            </w:pPr>
          </w:p>
        </w:tc>
        <w:tc>
          <w:tcPr>
            <w:tcW w:w="6804" w:type="dxa"/>
            <w:vAlign w:val="center"/>
          </w:tcPr>
          <w:p w14:paraId="2B5D7162">
            <w:pPr>
              <w:pStyle w:val="159"/>
            </w:pPr>
            <w:r>
              <w:t>15mm</w:t>
            </w:r>
            <w:r>
              <w:rPr>
                <w:rFonts w:hint="eastAsia"/>
              </w:rPr>
              <w:t>冰区段采用</w:t>
            </w:r>
            <w:r>
              <w:t xml:space="preserve">JL3/G1A-300/40 </w:t>
            </w:r>
            <w:r>
              <w:rPr>
                <w:rFonts w:hint="eastAsia"/>
              </w:rPr>
              <w:t>型</w:t>
            </w:r>
            <w:r>
              <w:rPr>
                <w:rFonts w:hint="eastAsia"/>
                <w:color w:val="000000"/>
              </w:rPr>
              <w:t>钢芯高导电率铝绞线</w:t>
            </w:r>
          </w:p>
          <w:p w14:paraId="33E6416C">
            <w:pPr>
              <w:pStyle w:val="159"/>
              <w:rPr>
                <w:color w:val="000000"/>
              </w:rPr>
            </w:pPr>
            <w:r>
              <w:rPr>
                <w:rFonts w:hint="eastAsia"/>
              </w:rPr>
              <w:t>20mm 冰区段采用JLHA1/G1A-300/50 型</w:t>
            </w:r>
            <w:r>
              <w:rPr>
                <w:rFonts w:hint="eastAsia"/>
                <w:color w:val="000000"/>
              </w:rPr>
              <w:t>钢芯高导电率铝绞线</w:t>
            </w:r>
          </w:p>
        </w:tc>
      </w:tr>
      <w:tr w14:paraId="0656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6" w:type="dxa"/>
            <w:vMerge w:val="continue"/>
            <w:vAlign w:val="center"/>
          </w:tcPr>
          <w:p w14:paraId="0D4F8B48">
            <w:pPr>
              <w:pStyle w:val="159"/>
            </w:pPr>
          </w:p>
        </w:tc>
        <w:tc>
          <w:tcPr>
            <w:tcW w:w="1134" w:type="dxa"/>
            <w:vMerge w:val="restart"/>
            <w:vAlign w:val="center"/>
          </w:tcPr>
          <w:p w14:paraId="3F9EF78A">
            <w:pPr>
              <w:pStyle w:val="159"/>
            </w:pPr>
            <w:r>
              <w:rPr>
                <w:rFonts w:hint="eastAsia"/>
              </w:rPr>
              <w:t>变电工程</w:t>
            </w:r>
          </w:p>
        </w:tc>
        <w:tc>
          <w:tcPr>
            <w:tcW w:w="6804" w:type="dxa"/>
            <w:vAlign w:val="center"/>
          </w:tcPr>
          <w:p w14:paraId="508B2D51">
            <w:pPr>
              <w:pStyle w:val="159"/>
              <w:rPr>
                <w:color w:val="000000"/>
              </w:rPr>
            </w:pPr>
            <w:r>
              <w:rPr>
                <w:rFonts w:hint="eastAsia"/>
                <w:color w:val="000000"/>
              </w:rPr>
              <w:t>间隔扩建：贝江</w:t>
            </w:r>
            <w:r>
              <w:rPr>
                <w:color w:val="000000"/>
              </w:rPr>
              <w:t>110kV</w:t>
            </w:r>
            <w:r>
              <w:rPr>
                <w:rFonts w:hint="eastAsia"/>
                <w:color w:val="000000"/>
              </w:rPr>
              <w:t>变站扩建</w:t>
            </w:r>
            <w:r>
              <w:rPr>
                <w:color w:val="000000"/>
              </w:rPr>
              <w:t>1</w:t>
            </w:r>
            <w:r>
              <w:rPr>
                <w:rFonts w:hint="eastAsia"/>
                <w:color w:val="000000"/>
              </w:rPr>
              <w:t>个</w:t>
            </w:r>
            <w:r>
              <w:rPr>
                <w:color w:val="000000"/>
              </w:rPr>
              <w:t>110kV</w:t>
            </w:r>
            <w:r>
              <w:rPr>
                <w:rFonts w:hint="eastAsia"/>
                <w:color w:val="000000"/>
              </w:rPr>
              <w:t>出线间隔，扩建间隔布置于</w:t>
            </w:r>
            <w:r>
              <w:rPr>
                <w:rFonts w:hint="eastAsia"/>
              </w:rPr>
              <w:t>前期</w:t>
            </w:r>
            <w:r>
              <w:t>512</w:t>
            </w:r>
            <w:r>
              <w:rPr>
                <w:rFonts w:hint="eastAsia"/>
              </w:rPr>
              <w:t>（</w:t>
            </w:r>
            <w:r>
              <w:t>5U</w:t>
            </w:r>
            <w:r>
              <w:rPr>
                <w:rFonts w:hint="eastAsia"/>
              </w:rPr>
              <w:t>）出线间隔的空余场地。配电装置参数与原有</w:t>
            </w:r>
            <w:r>
              <w:t xml:space="preserve">110kV </w:t>
            </w:r>
            <w:r>
              <w:rPr>
                <w:rFonts w:hint="eastAsia"/>
              </w:rPr>
              <w:t>出线间隔一致，采用户外</w:t>
            </w:r>
            <w:r>
              <w:t xml:space="preserve">AIS </w:t>
            </w:r>
            <w:r>
              <w:rPr>
                <w:rFonts w:hint="eastAsia"/>
              </w:rPr>
              <w:t>设备，电缆转架空出线。</w:t>
            </w:r>
          </w:p>
        </w:tc>
      </w:tr>
      <w:tr w14:paraId="6192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6" w:type="dxa"/>
            <w:vMerge w:val="continue"/>
            <w:vAlign w:val="center"/>
          </w:tcPr>
          <w:p w14:paraId="472CB770">
            <w:pPr>
              <w:pStyle w:val="159"/>
            </w:pPr>
          </w:p>
        </w:tc>
        <w:tc>
          <w:tcPr>
            <w:tcW w:w="1134" w:type="dxa"/>
            <w:vMerge w:val="continue"/>
            <w:vAlign w:val="center"/>
          </w:tcPr>
          <w:p w14:paraId="19861510">
            <w:pPr>
              <w:pStyle w:val="159"/>
            </w:pPr>
          </w:p>
        </w:tc>
        <w:tc>
          <w:tcPr>
            <w:tcW w:w="6804" w:type="dxa"/>
            <w:vAlign w:val="center"/>
          </w:tcPr>
          <w:p w14:paraId="47E2C454">
            <w:pPr>
              <w:pStyle w:val="159"/>
              <w:rPr>
                <w:color w:val="000000"/>
              </w:rPr>
            </w:pPr>
            <w:r>
              <w:rPr>
                <w:rFonts w:hint="eastAsia"/>
                <w:color w:val="000000"/>
              </w:rPr>
              <w:t>1</w:t>
            </w:r>
            <w:r>
              <w:rPr>
                <w:color w:val="000000"/>
              </w:rPr>
              <w:t>10</w:t>
            </w:r>
            <w:r>
              <w:rPr>
                <w:rFonts w:hint="eastAsia"/>
                <w:color w:val="000000"/>
              </w:rPr>
              <w:t>kV基地源变电站：</w:t>
            </w:r>
            <w:r>
              <w:rPr>
                <w:rFonts w:hint="eastAsia"/>
              </w:rPr>
              <w:t>设1台主变压器，额定容量12.5MVA，采用1×</w:t>
            </w:r>
            <w:r>
              <w:t>12.5</w:t>
            </w:r>
            <w:r>
              <w:rPr>
                <w:rFonts w:hint="eastAsia"/>
              </w:rPr>
              <w:t>MVA三相双绕组有载调压自冷电力变压器。110kV配电装置采用户外GIS布置</w:t>
            </w:r>
          </w:p>
        </w:tc>
      </w:tr>
    </w:tbl>
    <w:p w14:paraId="0BC0ABA1">
      <w:pPr>
        <w:pStyle w:val="5"/>
        <w:ind w:left="0" w:firstLine="0"/>
      </w:pPr>
      <w:r>
        <w:rPr>
          <w:rFonts w:hint="eastAsia"/>
        </w:rPr>
        <w:t>编制依据</w:t>
      </w:r>
    </w:p>
    <w:p w14:paraId="594BA12D">
      <w:pPr>
        <w:pStyle w:val="6"/>
        <w:ind w:left="0" w:firstLine="0"/>
      </w:pPr>
      <w:r>
        <w:rPr>
          <w:rFonts w:hint="eastAsia"/>
        </w:rPr>
        <w:t>国家法律、法规及相关规范</w:t>
      </w:r>
    </w:p>
    <w:p w14:paraId="45732752">
      <w:pPr>
        <w:pStyle w:val="3"/>
        <w:ind w:firstLine="480"/>
      </w:pPr>
      <w:r>
        <w:rPr>
          <w:rFonts w:hint="eastAsia"/>
        </w:rPr>
        <w:t>《中华人民共和国环境保护法》，主席令第</w:t>
      </w:r>
      <w:r>
        <w:t>22</w:t>
      </w:r>
      <w:r>
        <w:rPr>
          <w:rFonts w:hint="eastAsia"/>
        </w:rPr>
        <w:t>号，</w:t>
      </w:r>
      <w:r>
        <w:t>2014</w:t>
      </w:r>
      <w:r>
        <w:rPr>
          <w:rFonts w:hint="eastAsia"/>
        </w:rPr>
        <w:t>年</w:t>
      </w:r>
      <w:r>
        <w:t>4</w:t>
      </w:r>
      <w:r>
        <w:rPr>
          <w:rFonts w:hint="eastAsia"/>
        </w:rPr>
        <w:t>月</w:t>
      </w:r>
      <w:r>
        <w:t>24</w:t>
      </w:r>
      <w:r>
        <w:rPr>
          <w:rFonts w:hint="eastAsia"/>
        </w:rPr>
        <w:t>日修订，</w:t>
      </w:r>
      <w:r>
        <w:t>2015</w:t>
      </w:r>
      <w:r>
        <w:rPr>
          <w:rFonts w:hint="eastAsia"/>
        </w:rPr>
        <w:t>年</w:t>
      </w:r>
      <w:r>
        <w:t>1</w:t>
      </w:r>
      <w:r>
        <w:rPr>
          <w:rFonts w:hint="eastAsia"/>
        </w:rPr>
        <w:t>月</w:t>
      </w:r>
      <w:r>
        <w:t>1</w:t>
      </w:r>
      <w:r>
        <w:rPr>
          <w:rFonts w:hint="eastAsia"/>
        </w:rPr>
        <w:t>日起施行；</w:t>
      </w:r>
      <w:r>
        <w:t xml:space="preserve"> </w:t>
      </w:r>
    </w:p>
    <w:p w14:paraId="6DB844CF">
      <w:pPr>
        <w:pStyle w:val="3"/>
        <w:ind w:firstLine="480"/>
      </w:pPr>
      <w:r>
        <w:rPr>
          <w:rFonts w:hint="eastAsia"/>
        </w:rPr>
        <w:t>《中华人民共和国环境影响评价法》，</w:t>
      </w:r>
      <w:r>
        <w:t>2016</w:t>
      </w:r>
      <w:r>
        <w:rPr>
          <w:rFonts w:hint="eastAsia"/>
        </w:rPr>
        <w:t>年</w:t>
      </w:r>
      <w:r>
        <w:t>9</w:t>
      </w:r>
      <w:r>
        <w:rPr>
          <w:rFonts w:hint="eastAsia"/>
        </w:rPr>
        <w:t>月</w:t>
      </w:r>
      <w:r>
        <w:t>1</w:t>
      </w:r>
      <w:r>
        <w:rPr>
          <w:rFonts w:hint="eastAsia"/>
        </w:rPr>
        <w:t>日执行；</w:t>
      </w:r>
      <w:r>
        <w:t xml:space="preserve"> </w:t>
      </w:r>
    </w:p>
    <w:p w14:paraId="5134B91A">
      <w:pPr>
        <w:pStyle w:val="3"/>
        <w:ind w:firstLine="480"/>
      </w:pPr>
      <w:r>
        <w:rPr>
          <w:rFonts w:hint="eastAsia"/>
        </w:rPr>
        <w:t>《中华人民共和国电力法》（</w:t>
      </w:r>
      <w:r>
        <w:t>2015</w:t>
      </w:r>
      <w:r>
        <w:rPr>
          <w:rFonts w:hint="eastAsia"/>
        </w:rPr>
        <w:t>年</w:t>
      </w:r>
      <w:r>
        <w:t>4</w:t>
      </w:r>
      <w:r>
        <w:rPr>
          <w:rFonts w:hint="eastAsia"/>
        </w:rPr>
        <w:t>月</w:t>
      </w:r>
      <w:r>
        <w:t>24</w:t>
      </w:r>
      <w:r>
        <w:rPr>
          <w:rFonts w:hint="eastAsia"/>
        </w:rPr>
        <w:t>日起修订施行）；</w:t>
      </w:r>
      <w:r>
        <w:t xml:space="preserve"> </w:t>
      </w:r>
    </w:p>
    <w:p w14:paraId="6EADF6AE">
      <w:pPr>
        <w:pStyle w:val="3"/>
        <w:ind w:firstLine="480"/>
      </w:pPr>
      <w:r>
        <w:rPr>
          <w:rFonts w:hint="eastAsia"/>
        </w:rPr>
        <w:t>《电力设施保护条例》（国务院令第</w:t>
      </w:r>
      <w:r>
        <w:t>239</w:t>
      </w:r>
      <w:r>
        <w:rPr>
          <w:rFonts w:hint="eastAsia"/>
        </w:rPr>
        <w:t>号，</w:t>
      </w:r>
      <w:r>
        <w:t>2011</w:t>
      </w:r>
      <w:r>
        <w:rPr>
          <w:rFonts w:hint="eastAsia"/>
        </w:rPr>
        <w:t>年</w:t>
      </w:r>
      <w:r>
        <w:t>1</w:t>
      </w:r>
      <w:r>
        <w:rPr>
          <w:rFonts w:hint="eastAsia"/>
        </w:rPr>
        <w:t>月</w:t>
      </w:r>
      <w:r>
        <w:t>8</w:t>
      </w:r>
      <w:r>
        <w:rPr>
          <w:rFonts w:hint="eastAsia"/>
        </w:rPr>
        <w:t>日起施行）；</w:t>
      </w:r>
      <w:r>
        <w:t xml:space="preserve"> </w:t>
      </w:r>
    </w:p>
    <w:p w14:paraId="22DD620E">
      <w:pPr>
        <w:pStyle w:val="3"/>
        <w:ind w:firstLine="480"/>
      </w:pPr>
      <w:r>
        <w:rPr>
          <w:rFonts w:hint="eastAsia"/>
        </w:rPr>
        <w:t>《电力设施保护条例实施细则》（</w:t>
      </w:r>
      <w:r>
        <w:t>2011</w:t>
      </w:r>
      <w:r>
        <w:rPr>
          <w:rFonts w:hint="eastAsia"/>
        </w:rPr>
        <w:t>年</w:t>
      </w:r>
      <w:r>
        <w:t>6</w:t>
      </w:r>
      <w:r>
        <w:rPr>
          <w:rFonts w:hint="eastAsia"/>
        </w:rPr>
        <w:t>月</w:t>
      </w:r>
      <w:r>
        <w:t>30</w:t>
      </w:r>
      <w:r>
        <w:rPr>
          <w:rFonts w:hint="eastAsia"/>
        </w:rPr>
        <w:t>日起施行）；</w:t>
      </w:r>
      <w:r>
        <w:t xml:space="preserve"> </w:t>
      </w:r>
    </w:p>
    <w:p w14:paraId="22077BD8">
      <w:pPr>
        <w:pStyle w:val="3"/>
        <w:ind w:firstLine="480"/>
      </w:pPr>
      <w:r>
        <w:rPr>
          <w:rFonts w:hint="eastAsia"/>
        </w:rPr>
        <w:t>《建设项目环境保护管理条例》</w:t>
      </w:r>
      <w:r>
        <w:t>2017</w:t>
      </w:r>
      <w:r>
        <w:rPr>
          <w:rFonts w:hint="eastAsia"/>
        </w:rPr>
        <w:t>年修订；</w:t>
      </w:r>
      <w:r>
        <w:t xml:space="preserve"> </w:t>
      </w:r>
    </w:p>
    <w:p w14:paraId="1426CF42">
      <w:pPr>
        <w:pStyle w:val="3"/>
        <w:ind w:firstLine="480"/>
      </w:pPr>
      <w:r>
        <w:rPr>
          <w:rFonts w:hint="eastAsia"/>
        </w:rPr>
        <w:t>《建设项目环境影响评价分类管理名录》</w:t>
      </w:r>
      <w:r>
        <w:t>2021</w:t>
      </w:r>
      <w:r>
        <w:rPr>
          <w:rFonts w:hint="eastAsia"/>
        </w:rPr>
        <w:t>年版；</w:t>
      </w:r>
      <w:r>
        <w:t xml:space="preserve"> </w:t>
      </w:r>
    </w:p>
    <w:p w14:paraId="2FE9DCE3">
      <w:pPr>
        <w:pStyle w:val="3"/>
        <w:ind w:firstLine="480"/>
      </w:pPr>
      <w:r>
        <w:rPr>
          <w:rFonts w:hint="eastAsia"/>
        </w:rPr>
        <w:t>《电磁辐射环境保护管理办法》，国家环境保护局第</w:t>
      </w:r>
      <w:r>
        <w:t>18</w:t>
      </w:r>
      <w:r>
        <w:rPr>
          <w:rFonts w:hint="eastAsia"/>
        </w:rPr>
        <w:t>号令，</w:t>
      </w:r>
      <w:r>
        <w:t>1997</w:t>
      </w:r>
      <w:r>
        <w:rPr>
          <w:rFonts w:hint="eastAsia"/>
        </w:rPr>
        <w:t>年</w:t>
      </w:r>
      <w:r>
        <w:t>3</w:t>
      </w:r>
      <w:r>
        <w:rPr>
          <w:rFonts w:hint="eastAsia"/>
        </w:rPr>
        <w:t>月起施行；</w:t>
      </w:r>
      <w:r>
        <w:t xml:space="preserve"> </w:t>
      </w:r>
    </w:p>
    <w:p w14:paraId="0C7F0836">
      <w:pPr>
        <w:pStyle w:val="3"/>
        <w:ind w:firstLine="480"/>
      </w:pPr>
      <w:r>
        <w:rPr>
          <w:rFonts w:hint="eastAsia"/>
        </w:rPr>
        <w:t>《关于进一步加强输变电类建设项目环境保护监管工作的通知》，环办﹝</w:t>
      </w:r>
      <w:r>
        <w:t>2012</w:t>
      </w:r>
      <w:r>
        <w:rPr>
          <w:rFonts w:hint="eastAsia"/>
        </w:rPr>
        <w:t>﹞</w:t>
      </w:r>
      <w:r>
        <w:t>131</w:t>
      </w:r>
      <w:r>
        <w:rPr>
          <w:rFonts w:hint="eastAsia"/>
        </w:rPr>
        <w:t>号，</w:t>
      </w:r>
      <w:r>
        <w:t>2012</w:t>
      </w:r>
      <w:r>
        <w:rPr>
          <w:rFonts w:hint="eastAsia"/>
        </w:rPr>
        <w:t>年</w:t>
      </w:r>
      <w:r>
        <w:t>10</w:t>
      </w:r>
      <w:r>
        <w:rPr>
          <w:rFonts w:hint="eastAsia"/>
        </w:rPr>
        <w:t>月。</w:t>
      </w:r>
    </w:p>
    <w:p w14:paraId="6691E036">
      <w:pPr>
        <w:pStyle w:val="6"/>
        <w:ind w:left="0" w:firstLine="0"/>
      </w:pPr>
      <w:r>
        <w:rPr>
          <w:rFonts w:hint="eastAsia"/>
        </w:rPr>
        <w:t>相关技术规范、导则</w:t>
      </w:r>
      <w:r>
        <w:t xml:space="preserve"> </w:t>
      </w:r>
    </w:p>
    <w:p w14:paraId="05536B03">
      <w:pPr>
        <w:pStyle w:val="3"/>
        <w:ind w:firstLine="480"/>
      </w:pPr>
      <w:r>
        <w:rPr>
          <w:rFonts w:hint="eastAsia"/>
        </w:rPr>
        <w:t>《环境影响评价技术导则  总纲》（</w:t>
      </w:r>
      <w:r>
        <w:t>HJ2.1-2016</w:t>
      </w:r>
      <w:r>
        <w:rPr>
          <w:rFonts w:hint="eastAsia"/>
        </w:rPr>
        <w:t>）；</w:t>
      </w:r>
      <w:r>
        <w:t xml:space="preserve"> </w:t>
      </w:r>
    </w:p>
    <w:p w14:paraId="6C3CFB13">
      <w:pPr>
        <w:pStyle w:val="3"/>
        <w:ind w:firstLine="480"/>
      </w:pPr>
      <w:r>
        <w:rPr>
          <w:rFonts w:hint="eastAsia"/>
        </w:rPr>
        <w:t xml:space="preserve">《辐射环境保护管理导则 </w:t>
      </w:r>
      <w:r>
        <w:t xml:space="preserve"> </w:t>
      </w:r>
      <w:r>
        <w:rPr>
          <w:rFonts w:hint="eastAsia"/>
        </w:rPr>
        <w:t>电磁辐射监测仪器和方法》（</w:t>
      </w:r>
      <w:r>
        <w:t>HJ/T10.2-1996</w:t>
      </w:r>
      <w:r>
        <w:rPr>
          <w:rFonts w:hint="eastAsia"/>
        </w:rPr>
        <w:t>）；</w:t>
      </w:r>
      <w:r>
        <w:t xml:space="preserve"> </w:t>
      </w:r>
    </w:p>
    <w:p w14:paraId="7A78EF73">
      <w:pPr>
        <w:pStyle w:val="3"/>
        <w:ind w:firstLine="480"/>
      </w:pPr>
      <w:r>
        <w:rPr>
          <w:rFonts w:hint="eastAsia"/>
        </w:rPr>
        <w:t xml:space="preserve">《辐射环境保护管理导则 </w:t>
      </w:r>
      <w:r>
        <w:t xml:space="preserve"> </w:t>
      </w:r>
      <w:r>
        <w:rPr>
          <w:rFonts w:hint="eastAsia"/>
        </w:rPr>
        <w:t>电磁辐射环境影响评价方法与标准》（</w:t>
      </w:r>
      <w:r>
        <w:t>HJ/T10.3-1996</w:t>
      </w:r>
      <w:r>
        <w:rPr>
          <w:rFonts w:hint="eastAsia"/>
        </w:rPr>
        <w:t>）；</w:t>
      </w:r>
      <w:r>
        <w:t xml:space="preserve"> </w:t>
      </w:r>
    </w:p>
    <w:p w14:paraId="0C87102F">
      <w:pPr>
        <w:pStyle w:val="3"/>
        <w:ind w:firstLine="480"/>
      </w:pPr>
      <w:r>
        <w:rPr>
          <w:rFonts w:hint="eastAsia"/>
        </w:rPr>
        <w:t>《环境影响评价技术导则  输变电》（</w:t>
      </w:r>
      <w:r>
        <w:t>HJ24-2020</w:t>
      </w:r>
      <w:r>
        <w:rPr>
          <w:rFonts w:hint="eastAsia"/>
        </w:rPr>
        <w:t>）；</w:t>
      </w:r>
    </w:p>
    <w:p w14:paraId="348482DD">
      <w:pPr>
        <w:pStyle w:val="3"/>
        <w:ind w:firstLine="480"/>
      </w:pPr>
      <w:r>
        <w:rPr>
          <w:rFonts w:hint="eastAsia"/>
        </w:rPr>
        <w:t>《交流输变电工程电磁环境监测方法》（试行）（</w:t>
      </w:r>
      <w:r>
        <w:t>HJ681-2013</w:t>
      </w:r>
      <w:r>
        <w:rPr>
          <w:rFonts w:hint="eastAsia"/>
        </w:rPr>
        <w:t>）；</w:t>
      </w:r>
    </w:p>
    <w:p w14:paraId="5A9D1D11">
      <w:pPr>
        <w:pStyle w:val="3"/>
        <w:ind w:firstLine="480"/>
      </w:pPr>
      <w:r>
        <w:rPr>
          <w:rFonts w:hint="eastAsia"/>
        </w:rPr>
        <w:t>《高压交流架空送电线路变电站工频电场和磁场测量方法》（</w:t>
      </w:r>
      <w:r>
        <w:t>DLT988-2005</w:t>
      </w:r>
      <w:r>
        <w:rPr>
          <w:rFonts w:hint="eastAsia"/>
        </w:rPr>
        <w:t>）；</w:t>
      </w:r>
      <w:r>
        <w:t xml:space="preserve"> </w:t>
      </w:r>
    </w:p>
    <w:p w14:paraId="58710BA3">
      <w:pPr>
        <w:pStyle w:val="3"/>
        <w:ind w:firstLine="480"/>
      </w:pPr>
      <w:r>
        <w:rPr>
          <w:rFonts w:hint="eastAsia"/>
        </w:rPr>
        <w:t>《电磁环境控制限值》（</w:t>
      </w:r>
      <w:r>
        <w:t>GB8702-2014</w:t>
      </w:r>
      <w:r>
        <w:rPr>
          <w:rFonts w:hint="eastAsia"/>
        </w:rPr>
        <w:t>）；</w:t>
      </w:r>
    </w:p>
    <w:p w14:paraId="5E8B2427">
      <w:pPr>
        <w:pStyle w:val="3"/>
        <w:ind w:firstLine="480"/>
      </w:pPr>
      <w:r>
        <w:rPr>
          <w:rFonts w:hint="eastAsia"/>
        </w:rPr>
        <w:t>《</w:t>
      </w:r>
      <w:r>
        <w:t>110kV-750kV</w:t>
      </w:r>
      <w:r>
        <w:rPr>
          <w:rFonts w:hint="eastAsia"/>
        </w:rPr>
        <w:t>架空输电线路设计规范》（</w:t>
      </w:r>
      <w:r>
        <w:t>GB50545-2010</w:t>
      </w:r>
      <w:r>
        <w:rPr>
          <w:rFonts w:hint="eastAsia"/>
        </w:rPr>
        <w:t>）。</w:t>
      </w:r>
    </w:p>
    <w:p w14:paraId="55C46F97">
      <w:pPr>
        <w:pStyle w:val="6"/>
        <w:ind w:left="0" w:firstLine="0"/>
      </w:pPr>
      <w:r>
        <w:rPr>
          <w:rFonts w:hint="eastAsia"/>
        </w:rPr>
        <w:t>与建设项目相关的文件</w:t>
      </w:r>
    </w:p>
    <w:p w14:paraId="3331332A">
      <w:pPr>
        <w:pStyle w:val="3"/>
        <w:ind w:firstLine="480"/>
      </w:pPr>
      <w:r>
        <w:rPr>
          <w:rFonts w:hint="eastAsia"/>
        </w:rPr>
        <w:t>工程初步设计资料。</w:t>
      </w:r>
    </w:p>
    <w:p w14:paraId="0B4E62B1">
      <w:pPr>
        <w:pStyle w:val="5"/>
        <w:ind w:left="0" w:firstLine="0"/>
      </w:pPr>
      <w:r>
        <w:rPr>
          <w:rFonts w:hint="eastAsia"/>
        </w:rPr>
        <w:t>评价因子</w:t>
      </w:r>
      <w:r>
        <w:t>、</w:t>
      </w:r>
      <w:r>
        <w:rPr>
          <w:rFonts w:hint="eastAsia"/>
        </w:rPr>
        <w:t>等级与</w:t>
      </w:r>
      <w:r>
        <w:t>评价范围</w:t>
      </w:r>
    </w:p>
    <w:p w14:paraId="592CCBD5">
      <w:pPr>
        <w:pStyle w:val="6"/>
        <w:ind w:left="0" w:firstLine="0"/>
      </w:pPr>
      <w:bookmarkStart w:id="294" w:name="_Toc25834136"/>
      <w:bookmarkStart w:id="295" w:name="_Toc498526517"/>
      <w:bookmarkStart w:id="296" w:name="_Toc25774977"/>
      <w:r>
        <w:t>评价因子</w:t>
      </w:r>
      <w:bookmarkEnd w:id="294"/>
      <w:bookmarkEnd w:id="295"/>
      <w:bookmarkEnd w:id="296"/>
    </w:p>
    <w:p w14:paraId="269498AD">
      <w:pPr>
        <w:pStyle w:val="3"/>
        <w:ind w:firstLine="480"/>
      </w:pPr>
      <w:r>
        <w:rPr>
          <w:rFonts w:hint="eastAsia"/>
        </w:rPr>
        <w:t>本工程电磁环境评价因子见表1</w:t>
      </w:r>
      <w:r>
        <w:t>.4-1</w:t>
      </w:r>
      <w:r>
        <w:rPr>
          <w:rFonts w:hint="eastAsia"/>
        </w:rPr>
        <w:t>所示。</w:t>
      </w:r>
    </w:p>
    <w:p w14:paraId="2DB1E6B6">
      <w:pPr>
        <w:pStyle w:val="148"/>
      </w:pPr>
      <w:r>
        <w:rPr>
          <w:rFonts w:hint="eastAsia"/>
        </w:rPr>
        <w:t>表1</w:t>
      </w:r>
      <w:r>
        <w:t>.4-1</w:t>
      </w:r>
      <w:r>
        <w:rPr>
          <w:rFonts w:hint="eastAsia"/>
        </w:rPr>
        <w:t xml:space="preserve">  本项目的电磁环境影响评价因子</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304"/>
        <w:gridCol w:w="1791"/>
        <w:gridCol w:w="1549"/>
        <w:gridCol w:w="1739"/>
        <w:gridCol w:w="1358"/>
      </w:tblGrid>
      <w:tr w14:paraId="3B8F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Align w:val="center"/>
          </w:tcPr>
          <w:p w14:paraId="1CECA0FF">
            <w:pPr>
              <w:pStyle w:val="159"/>
            </w:pPr>
            <w:r>
              <w:rPr>
                <w:rFonts w:hint="eastAsia"/>
              </w:rPr>
              <w:t>评价阶段</w:t>
            </w:r>
          </w:p>
        </w:tc>
        <w:tc>
          <w:tcPr>
            <w:tcW w:w="702" w:type="pct"/>
            <w:vAlign w:val="center"/>
          </w:tcPr>
          <w:p w14:paraId="3CE9180D">
            <w:pPr>
              <w:pStyle w:val="159"/>
            </w:pPr>
            <w:r>
              <w:rPr>
                <w:rFonts w:hint="eastAsia"/>
              </w:rPr>
              <w:t>环境要素</w:t>
            </w:r>
          </w:p>
        </w:tc>
        <w:tc>
          <w:tcPr>
            <w:tcW w:w="964" w:type="pct"/>
            <w:vAlign w:val="center"/>
          </w:tcPr>
          <w:p w14:paraId="554C7427">
            <w:pPr>
              <w:pStyle w:val="159"/>
            </w:pPr>
            <w:r>
              <w:rPr>
                <w:rFonts w:hint="eastAsia"/>
              </w:rPr>
              <w:t>现状评价因子</w:t>
            </w:r>
          </w:p>
        </w:tc>
        <w:tc>
          <w:tcPr>
            <w:tcW w:w="834" w:type="pct"/>
            <w:vAlign w:val="center"/>
          </w:tcPr>
          <w:p w14:paraId="7110D64E">
            <w:pPr>
              <w:pStyle w:val="159"/>
            </w:pPr>
            <w:r>
              <w:rPr>
                <w:rFonts w:hint="eastAsia"/>
              </w:rPr>
              <w:t>单位</w:t>
            </w:r>
          </w:p>
        </w:tc>
        <w:tc>
          <w:tcPr>
            <w:tcW w:w="936" w:type="pct"/>
            <w:vAlign w:val="center"/>
          </w:tcPr>
          <w:p w14:paraId="2DFA5BE2">
            <w:pPr>
              <w:pStyle w:val="159"/>
            </w:pPr>
            <w:r>
              <w:rPr>
                <w:rFonts w:hint="eastAsia"/>
              </w:rPr>
              <w:t>预测评价因子</w:t>
            </w:r>
          </w:p>
        </w:tc>
        <w:tc>
          <w:tcPr>
            <w:tcW w:w="731" w:type="pct"/>
            <w:vAlign w:val="center"/>
          </w:tcPr>
          <w:p w14:paraId="78A3B627">
            <w:pPr>
              <w:pStyle w:val="159"/>
            </w:pPr>
            <w:r>
              <w:rPr>
                <w:rFonts w:hint="eastAsia"/>
              </w:rPr>
              <w:t>单位</w:t>
            </w:r>
          </w:p>
        </w:tc>
      </w:tr>
      <w:tr w14:paraId="7C47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restart"/>
            <w:vAlign w:val="center"/>
          </w:tcPr>
          <w:p w14:paraId="1D7E05BD">
            <w:pPr>
              <w:pStyle w:val="159"/>
            </w:pPr>
            <w:r>
              <w:rPr>
                <w:rFonts w:hint="eastAsia"/>
              </w:rPr>
              <w:t>运行期</w:t>
            </w:r>
          </w:p>
        </w:tc>
        <w:tc>
          <w:tcPr>
            <w:tcW w:w="702" w:type="pct"/>
            <w:vMerge w:val="restart"/>
            <w:vAlign w:val="center"/>
          </w:tcPr>
          <w:p w14:paraId="06AEF8A2">
            <w:pPr>
              <w:pStyle w:val="159"/>
            </w:pPr>
            <w:r>
              <w:rPr>
                <w:rFonts w:hint="eastAsia"/>
              </w:rPr>
              <w:t>电磁环境</w:t>
            </w:r>
          </w:p>
        </w:tc>
        <w:tc>
          <w:tcPr>
            <w:tcW w:w="964" w:type="pct"/>
            <w:vAlign w:val="center"/>
          </w:tcPr>
          <w:p w14:paraId="01851195">
            <w:pPr>
              <w:pStyle w:val="159"/>
            </w:pPr>
            <w:r>
              <w:t>工频电场</w:t>
            </w:r>
          </w:p>
        </w:tc>
        <w:tc>
          <w:tcPr>
            <w:tcW w:w="834" w:type="pct"/>
            <w:vAlign w:val="center"/>
          </w:tcPr>
          <w:p w14:paraId="6900337B">
            <w:pPr>
              <w:pStyle w:val="159"/>
            </w:pPr>
            <w:r>
              <w:t>V/m</w:t>
            </w:r>
          </w:p>
        </w:tc>
        <w:tc>
          <w:tcPr>
            <w:tcW w:w="936" w:type="pct"/>
            <w:vAlign w:val="center"/>
          </w:tcPr>
          <w:p w14:paraId="47C3D1EC">
            <w:pPr>
              <w:pStyle w:val="159"/>
            </w:pPr>
            <w:r>
              <w:t>工频电场</w:t>
            </w:r>
          </w:p>
        </w:tc>
        <w:tc>
          <w:tcPr>
            <w:tcW w:w="731" w:type="pct"/>
            <w:vAlign w:val="center"/>
          </w:tcPr>
          <w:p w14:paraId="3E5920AD">
            <w:pPr>
              <w:pStyle w:val="159"/>
            </w:pPr>
            <w:r>
              <w:t>V/m</w:t>
            </w:r>
          </w:p>
        </w:tc>
      </w:tr>
      <w:tr w14:paraId="349F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vAlign w:val="center"/>
          </w:tcPr>
          <w:p w14:paraId="5C3248FA">
            <w:pPr>
              <w:pStyle w:val="159"/>
            </w:pPr>
          </w:p>
        </w:tc>
        <w:tc>
          <w:tcPr>
            <w:tcW w:w="702" w:type="pct"/>
            <w:vMerge w:val="continue"/>
            <w:vAlign w:val="center"/>
          </w:tcPr>
          <w:p w14:paraId="10268001">
            <w:pPr>
              <w:pStyle w:val="159"/>
            </w:pPr>
          </w:p>
        </w:tc>
        <w:tc>
          <w:tcPr>
            <w:tcW w:w="964" w:type="pct"/>
            <w:vAlign w:val="center"/>
          </w:tcPr>
          <w:p w14:paraId="30097065">
            <w:pPr>
              <w:pStyle w:val="159"/>
            </w:pPr>
            <w:r>
              <w:t>工频磁场</w:t>
            </w:r>
          </w:p>
        </w:tc>
        <w:tc>
          <w:tcPr>
            <w:tcW w:w="834" w:type="pct"/>
            <w:vAlign w:val="center"/>
          </w:tcPr>
          <w:p w14:paraId="752997D9">
            <w:pPr>
              <w:pStyle w:val="159"/>
              <w:rPr>
                <w:szCs w:val="21"/>
              </w:rPr>
            </w:pPr>
            <w:r>
              <w:t>μT</w:t>
            </w:r>
          </w:p>
        </w:tc>
        <w:tc>
          <w:tcPr>
            <w:tcW w:w="936" w:type="pct"/>
            <w:vAlign w:val="center"/>
          </w:tcPr>
          <w:p w14:paraId="57B352C5">
            <w:pPr>
              <w:pStyle w:val="159"/>
            </w:pPr>
            <w:r>
              <w:t>工频磁场</w:t>
            </w:r>
          </w:p>
        </w:tc>
        <w:tc>
          <w:tcPr>
            <w:tcW w:w="731" w:type="pct"/>
            <w:vAlign w:val="center"/>
          </w:tcPr>
          <w:p w14:paraId="157B41FC">
            <w:pPr>
              <w:pStyle w:val="159"/>
              <w:rPr>
                <w:szCs w:val="21"/>
              </w:rPr>
            </w:pPr>
            <w:r>
              <w:t>μT</w:t>
            </w:r>
          </w:p>
        </w:tc>
      </w:tr>
    </w:tbl>
    <w:p w14:paraId="57E983AB">
      <w:pPr>
        <w:pStyle w:val="159"/>
        <w:rPr>
          <w:sz w:val="16"/>
          <w:szCs w:val="16"/>
        </w:rPr>
      </w:pPr>
    </w:p>
    <w:p w14:paraId="2E636AF7">
      <w:bookmarkStart w:id="297" w:name="_Toc25774978"/>
      <w:bookmarkStart w:id="298" w:name="_Toc25834137"/>
      <w:bookmarkStart w:id="299" w:name="_Toc413055175"/>
      <w:bookmarkStart w:id="300" w:name="_Toc498526518"/>
    </w:p>
    <w:p w14:paraId="027F639A">
      <w:pPr>
        <w:pStyle w:val="6"/>
        <w:ind w:left="0" w:firstLine="0"/>
      </w:pPr>
      <w:r>
        <w:t>评价等级</w:t>
      </w:r>
      <w:bookmarkEnd w:id="297"/>
      <w:bookmarkEnd w:id="298"/>
      <w:bookmarkEnd w:id="299"/>
      <w:bookmarkEnd w:id="300"/>
    </w:p>
    <w:p w14:paraId="6C1CC610">
      <w:pPr>
        <w:pStyle w:val="3"/>
        <w:ind w:firstLine="480"/>
      </w:pPr>
      <w:bookmarkStart w:id="301" w:name="_Toc498526519"/>
      <w:bookmarkStart w:id="302" w:name="_Toc25774979"/>
      <w:bookmarkStart w:id="303" w:name="_Toc25834138"/>
      <w:r>
        <w:t>根据《环境影响评价技术导则 输变电》（HJ24-20</w:t>
      </w:r>
      <w:r>
        <w:rPr>
          <w:rFonts w:hint="eastAsia"/>
        </w:rPr>
        <w:t>20</w:t>
      </w:r>
      <w:r>
        <w:t>）表2，本</w:t>
      </w:r>
      <w:r>
        <w:rPr>
          <w:rFonts w:hint="eastAsia"/>
        </w:rPr>
        <w:t>工程各子项目的电磁</w:t>
      </w:r>
      <w:r>
        <w:t>环境影响评价</w:t>
      </w:r>
      <w:r>
        <w:rPr>
          <w:rFonts w:hint="eastAsia"/>
        </w:rPr>
        <w:t>工作</w:t>
      </w:r>
      <w:r>
        <w:rPr>
          <w:rFonts w:ascii="宋体" w:hAnsi="宋体"/>
        </w:rPr>
        <w:t>等级见</w:t>
      </w:r>
      <w:r>
        <w:rPr>
          <w:rFonts w:hint="eastAsia"/>
        </w:rPr>
        <w:t>表1</w:t>
      </w:r>
      <w:r>
        <w:t>.4-2</w:t>
      </w:r>
      <w:r>
        <w:rPr>
          <w:rFonts w:hint="eastAsia" w:ascii="宋体" w:hAnsi="宋体"/>
        </w:rPr>
        <w:t>所示。</w:t>
      </w:r>
    </w:p>
    <w:p w14:paraId="26E739B8">
      <w:pPr>
        <w:pStyle w:val="148"/>
      </w:pPr>
      <w:bookmarkStart w:id="304" w:name="_Ref176357024"/>
      <w:r>
        <w:rPr>
          <w:rFonts w:hint="eastAsia"/>
        </w:rPr>
        <w:t>表1</w:t>
      </w:r>
      <w:r>
        <w:t>.4-2</w:t>
      </w:r>
      <w:r>
        <w:rPr>
          <w:rFonts w:hint="eastAsia"/>
        </w:rPr>
        <w:t xml:space="preserve">   本项目的电磁环境影响评价等级</w:t>
      </w:r>
      <w:bookmarkEnd w:id="304"/>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263"/>
        <w:gridCol w:w="1265"/>
        <w:gridCol w:w="4266"/>
        <w:gridCol w:w="1707"/>
      </w:tblGrid>
      <w:tr w14:paraId="1C56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vAlign w:val="center"/>
          </w:tcPr>
          <w:p w14:paraId="0F9E1399">
            <w:pPr>
              <w:pStyle w:val="159"/>
            </w:pPr>
            <w:r>
              <w:rPr>
                <w:rFonts w:hint="eastAsia"/>
              </w:rPr>
              <w:t>分类</w:t>
            </w:r>
          </w:p>
        </w:tc>
        <w:tc>
          <w:tcPr>
            <w:tcW w:w="680" w:type="pct"/>
            <w:vAlign w:val="center"/>
          </w:tcPr>
          <w:p w14:paraId="3E62A08F">
            <w:pPr>
              <w:pStyle w:val="159"/>
            </w:pPr>
            <w:r>
              <w:rPr>
                <w:rFonts w:hint="eastAsia"/>
              </w:rPr>
              <w:t>电压等级</w:t>
            </w:r>
          </w:p>
        </w:tc>
        <w:tc>
          <w:tcPr>
            <w:tcW w:w="681" w:type="pct"/>
            <w:vAlign w:val="center"/>
          </w:tcPr>
          <w:p w14:paraId="68B66ED4">
            <w:pPr>
              <w:pStyle w:val="159"/>
            </w:pPr>
            <w:r>
              <w:rPr>
                <w:rFonts w:hint="eastAsia"/>
              </w:rPr>
              <w:t>类型</w:t>
            </w:r>
          </w:p>
        </w:tc>
        <w:tc>
          <w:tcPr>
            <w:tcW w:w="2297" w:type="pct"/>
            <w:vAlign w:val="center"/>
          </w:tcPr>
          <w:p w14:paraId="39C6B5E6">
            <w:pPr>
              <w:pStyle w:val="159"/>
            </w:pPr>
            <w:r>
              <w:rPr>
                <w:rFonts w:hint="eastAsia"/>
              </w:rPr>
              <w:t>条件</w:t>
            </w:r>
          </w:p>
        </w:tc>
        <w:tc>
          <w:tcPr>
            <w:tcW w:w="919" w:type="pct"/>
            <w:vAlign w:val="center"/>
          </w:tcPr>
          <w:p w14:paraId="173D0E33">
            <w:pPr>
              <w:pStyle w:val="159"/>
            </w:pPr>
            <w:r>
              <w:rPr>
                <w:rFonts w:hint="eastAsia"/>
              </w:rPr>
              <w:t>评价工作等级</w:t>
            </w:r>
          </w:p>
        </w:tc>
      </w:tr>
      <w:tr w14:paraId="0EB2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vMerge w:val="restart"/>
            <w:vAlign w:val="center"/>
          </w:tcPr>
          <w:p w14:paraId="3E50654C">
            <w:pPr>
              <w:pStyle w:val="159"/>
            </w:pPr>
            <w:r>
              <w:rPr>
                <w:rFonts w:hint="eastAsia"/>
              </w:rPr>
              <w:t>交流</w:t>
            </w:r>
          </w:p>
        </w:tc>
        <w:tc>
          <w:tcPr>
            <w:tcW w:w="680" w:type="pct"/>
            <w:vMerge w:val="restart"/>
            <w:vAlign w:val="center"/>
          </w:tcPr>
          <w:p w14:paraId="2D4AF438">
            <w:pPr>
              <w:pStyle w:val="159"/>
            </w:pPr>
            <w:r>
              <w:t>110kV</w:t>
            </w:r>
          </w:p>
        </w:tc>
        <w:tc>
          <w:tcPr>
            <w:tcW w:w="681" w:type="pct"/>
            <w:vAlign w:val="center"/>
          </w:tcPr>
          <w:p w14:paraId="2F87D97E">
            <w:pPr>
              <w:pStyle w:val="159"/>
            </w:pPr>
            <w:r>
              <w:rPr>
                <w:rFonts w:hint="eastAsia"/>
              </w:rPr>
              <w:t>变电站</w:t>
            </w:r>
          </w:p>
        </w:tc>
        <w:tc>
          <w:tcPr>
            <w:tcW w:w="2297" w:type="pct"/>
            <w:vAlign w:val="center"/>
          </w:tcPr>
          <w:p w14:paraId="09AF85C0">
            <w:pPr>
              <w:pStyle w:val="159"/>
            </w:pPr>
            <w:r>
              <w:rPr>
                <w:rFonts w:hint="eastAsia"/>
              </w:rPr>
              <w:t>户外</w:t>
            </w:r>
          </w:p>
        </w:tc>
        <w:tc>
          <w:tcPr>
            <w:tcW w:w="919" w:type="pct"/>
            <w:vAlign w:val="center"/>
          </w:tcPr>
          <w:p w14:paraId="2DAADB76">
            <w:pPr>
              <w:pStyle w:val="159"/>
            </w:pPr>
            <w:r>
              <w:rPr>
                <w:rFonts w:hint="eastAsia"/>
              </w:rPr>
              <w:t>二级</w:t>
            </w:r>
          </w:p>
        </w:tc>
      </w:tr>
      <w:tr w14:paraId="3CEB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vMerge w:val="continue"/>
            <w:vAlign w:val="center"/>
          </w:tcPr>
          <w:p w14:paraId="3C39D787">
            <w:pPr>
              <w:pStyle w:val="159"/>
            </w:pPr>
          </w:p>
        </w:tc>
        <w:tc>
          <w:tcPr>
            <w:tcW w:w="680" w:type="pct"/>
            <w:vMerge w:val="continue"/>
            <w:vAlign w:val="center"/>
          </w:tcPr>
          <w:p w14:paraId="120E301C">
            <w:pPr>
              <w:pStyle w:val="159"/>
            </w:pPr>
          </w:p>
        </w:tc>
        <w:tc>
          <w:tcPr>
            <w:tcW w:w="681" w:type="pct"/>
            <w:vMerge w:val="restart"/>
            <w:vAlign w:val="center"/>
          </w:tcPr>
          <w:p w14:paraId="45586DD9">
            <w:pPr>
              <w:pStyle w:val="159"/>
            </w:pPr>
            <w:r>
              <w:rPr>
                <w:rFonts w:hint="eastAsia"/>
              </w:rPr>
              <w:t>输电线路</w:t>
            </w:r>
          </w:p>
        </w:tc>
        <w:tc>
          <w:tcPr>
            <w:tcW w:w="2297" w:type="pct"/>
            <w:vAlign w:val="center"/>
          </w:tcPr>
          <w:p w14:paraId="6C7B0934">
            <w:pPr>
              <w:pStyle w:val="159"/>
            </w:pPr>
            <w:r>
              <w:rPr>
                <w:rFonts w:hint="eastAsia"/>
              </w:rPr>
              <w:t>地下电缆</w:t>
            </w:r>
          </w:p>
        </w:tc>
        <w:tc>
          <w:tcPr>
            <w:tcW w:w="919" w:type="pct"/>
            <w:vAlign w:val="center"/>
          </w:tcPr>
          <w:p w14:paraId="471CF4E5">
            <w:pPr>
              <w:pStyle w:val="159"/>
            </w:pPr>
            <w:r>
              <w:rPr>
                <w:rFonts w:hint="eastAsia"/>
              </w:rPr>
              <w:t>三级</w:t>
            </w:r>
          </w:p>
        </w:tc>
      </w:tr>
      <w:tr w14:paraId="435D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vMerge w:val="continue"/>
            <w:vAlign w:val="center"/>
          </w:tcPr>
          <w:p w14:paraId="0E5F1632">
            <w:pPr>
              <w:pStyle w:val="159"/>
            </w:pPr>
          </w:p>
        </w:tc>
        <w:tc>
          <w:tcPr>
            <w:tcW w:w="680" w:type="pct"/>
            <w:vMerge w:val="continue"/>
            <w:vAlign w:val="center"/>
          </w:tcPr>
          <w:p w14:paraId="70E32406">
            <w:pPr>
              <w:pStyle w:val="159"/>
            </w:pPr>
          </w:p>
        </w:tc>
        <w:tc>
          <w:tcPr>
            <w:tcW w:w="681" w:type="pct"/>
            <w:vMerge w:val="continue"/>
            <w:vAlign w:val="center"/>
          </w:tcPr>
          <w:p w14:paraId="54E9EC4B">
            <w:pPr>
              <w:pStyle w:val="159"/>
            </w:pPr>
          </w:p>
        </w:tc>
        <w:tc>
          <w:tcPr>
            <w:tcW w:w="2297" w:type="pct"/>
            <w:vAlign w:val="center"/>
          </w:tcPr>
          <w:p w14:paraId="2D1AEBAA">
            <w:pPr>
              <w:pStyle w:val="159"/>
            </w:pPr>
            <w:r>
              <w:rPr>
                <w:rFonts w:hint="eastAsia"/>
              </w:rPr>
              <w:t>边导线地面投影外两侧各</w:t>
            </w:r>
            <w:r>
              <w:t>10m</w:t>
            </w:r>
            <w:r>
              <w:rPr>
                <w:rFonts w:hint="eastAsia"/>
              </w:rPr>
              <w:t>范围内有电磁环境敏感目标的架空线</w:t>
            </w:r>
            <w:r>
              <w:t xml:space="preserve"> </w:t>
            </w:r>
          </w:p>
        </w:tc>
        <w:tc>
          <w:tcPr>
            <w:tcW w:w="919" w:type="pct"/>
            <w:vAlign w:val="center"/>
          </w:tcPr>
          <w:p w14:paraId="7CCF9A3E">
            <w:pPr>
              <w:pStyle w:val="159"/>
            </w:pPr>
            <w:r>
              <w:rPr>
                <w:rFonts w:hint="eastAsia"/>
              </w:rPr>
              <w:t>二级</w:t>
            </w:r>
          </w:p>
        </w:tc>
      </w:tr>
    </w:tbl>
    <w:p w14:paraId="5EC34944">
      <w:pPr>
        <w:pStyle w:val="3"/>
        <w:rPr>
          <w:sz w:val="10"/>
          <w:szCs w:val="10"/>
        </w:rPr>
      </w:pPr>
    </w:p>
    <w:p w14:paraId="64C288A1"/>
    <w:p w14:paraId="04DE8D60">
      <w:pPr>
        <w:pStyle w:val="6"/>
        <w:ind w:left="0" w:firstLine="0"/>
      </w:pPr>
      <w:r>
        <w:t>评价范围</w:t>
      </w:r>
      <w:bookmarkEnd w:id="301"/>
      <w:bookmarkEnd w:id="302"/>
      <w:bookmarkEnd w:id="303"/>
    </w:p>
    <w:p w14:paraId="68E23CEB">
      <w:pPr>
        <w:pStyle w:val="3"/>
        <w:ind w:firstLine="480"/>
      </w:pPr>
      <w:r>
        <w:t>根据《环境影响评价技术导则 输变电》（HJ24</w:t>
      </w:r>
      <w:r>
        <w:rPr>
          <w:rFonts w:hint="eastAsia"/>
        </w:rPr>
        <w:t>-</w:t>
      </w:r>
      <w:r>
        <w:t>20</w:t>
      </w:r>
      <w:r>
        <w:rPr>
          <w:rFonts w:hint="eastAsia"/>
        </w:rPr>
        <w:t>20</w:t>
      </w:r>
      <w:r>
        <w:t>）表3，本</w:t>
      </w:r>
      <w:r>
        <w:rPr>
          <w:rFonts w:hint="eastAsia"/>
        </w:rPr>
        <w:t>工程的电磁</w:t>
      </w:r>
      <w:r>
        <w:t>环境影响评价</w:t>
      </w:r>
      <w:r>
        <w:rPr>
          <w:rFonts w:hint="eastAsia"/>
        </w:rPr>
        <w:t>范围</w:t>
      </w:r>
      <w:r>
        <w:t>见</w:t>
      </w:r>
      <w:r>
        <w:rPr>
          <w:rFonts w:hint="eastAsia"/>
        </w:rPr>
        <w:t>表1</w:t>
      </w:r>
      <w:r>
        <w:t>.4-3</w:t>
      </w:r>
      <w:r>
        <w:rPr>
          <w:rFonts w:hint="eastAsia"/>
        </w:rPr>
        <w:t>。</w:t>
      </w:r>
    </w:p>
    <w:p w14:paraId="4A47E12E">
      <w:pPr>
        <w:pStyle w:val="148"/>
      </w:pPr>
      <w:r>
        <w:rPr>
          <w:rFonts w:hint="eastAsia"/>
        </w:rPr>
        <w:t>表1</w:t>
      </w:r>
      <w:r>
        <w:t>.4-3</w:t>
      </w:r>
      <w:r>
        <w:rPr>
          <w:rFonts w:hint="eastAsia"/>
        </w:rPr>
        <w:t xml:space="preserve">  本项目的电磁环境影响评价等级</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525"/>
        <w:gridCol w:w="1525"/>
        <w:gridCol w:w="5320"/>
      </w:tblGrid>
      <w:tr w14:paraId="7637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vAlign w:val="center"/>
          </w:tcPr>
          <w:p w14:paraId="42968B6F">
            <w:pPr>
              <w:pStyle w:val="159"/>
            </w:pPr>
            <w:r>
              <w:rPr>
                <w:rFonts w:hint="eastAsia"/>
              </w:rPr>
              <w:t>分类</w:t>
            </w:r>
          </w:p>
        </w:tc>
        <w:tc>
          <w:tcPr>
            <w:tcW w:w="821" w:type="pct"/>
            <w:vAlign w:val="center"/>
          </w:tcPr>
          <w:p w14:paraId="2470067B">
            <w:pPr>
              <w:pStyle w:val="159"/>
            </w:pPr>
            <w:r>
              <w:rPr>
                <w:rFonts w:hint="eastAsia"/>
              </w:rPr>
              <w:t>电压等级</w:t>
            </w:r>
          </w:p>
        </w:tc>
        <w:tc>
          <w:tcPr>
            <w:tcW w:w="821" w:type="pct"/>
            <w:vAlign w:val="center"/>
          </w:tcPr>
          <w:p w14:paraId="78B55866">
            <w:pPr>
              <w:pStyle w:val="159"/>
            </w:pPr>
            <w:r>
              <w:rPr>
                <w:rFonts w:hint="eastAsia"/>
              </w:rPr>
              <w:t>类型</w:t>
            </w:r>
          </w:p>
        </w:tc>
        <w:tc>
          <w:tcPr>
            <w:tcW w:w="2865" w:type="pct"/>
            <w:vAlign w:val="center"/>
          </w:tcPr>
          <w:p w14:paraId="600D3857">
            <w:pPr>
              <w:pStyle w:val="159"/>
            </w:pPr>
            <w:r>
              <w:rPr>
                <w:rFonts w:hint="eastAsia"/>
              </w:rPr>
              <w:t>评价范围</w:t>
            </w:r>
          </w:p>
        </w:tc>
      </w:tr>
      <w:tr w14:paraId="2161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vMerge w:val="restart"/>
            <w:vAlign w:val="center"/>
          </w:tcPr>
          <w:p w14:paraId="40ED4AB5">
            <w:pPr>
              <w:pStyle w:val="159"/>
            </w:pPr>
            <w:r>
              <w:rPr>
                <w:rFonts w:hint="eastAsia"/>
              </w:rPr>
              <w:t>交流</w:t>
            </w:r>
          </w:p>
        </w:tc>
        <w:tc>
          <w:tcPr>
            <w:tcW w:w="821" w:type="pct"/>
            <w:vMerge w:val="restart"/>
            <w:vAlign w:val="center"/>
          </w:tcPr>
          <w:p w14:paraId="6A57C9E8">
            <w:pPr>
              <w:pStyle w:val="159"/>
            </w:pPr>
            <w:r>
              <w:t>110kV</w:t>
            </w:r>
          </w:p>
        </w:tc>
        <w:tc>
          <w:tcPr>
            <w:tcW w:w="821" w:type="pct"/>
            <w:vAlign w:val="center"/>
          </w:tcPr>
          <w:p w14:paraId="44E9C669">
            <w:pPr>
              <w:pStyle w:val="159"/>
            </w:pPr>
            <w:r>
              <w:rPr>
                <w:rFonts w:hint="eastAsia"/>
              </w:rPr>
              <w:t>升压站</w:t>
            </w:r>
          </w:p>
        </w:tc>
        <w:tc>
          <w:tcPr>
            <w:tcW w:w="2865" w:type="pct"/>
            <w:vAlign w:val="center"/>
          </w:tcPr>
          <w:p w14:paraId="576D9105">
            <w:pPr>
              <w:pStyle w:val="159"/>
            </w:pPr>
            <w:r>
              <w:rPr>
                <w:rFonts w:hint="eastAsia"/>
              </w:rPr>
              <w:t>站界外30m</w:t>
            </w:r>
          </w:p>
        </w:tc>
      </w:tr>
      <w:tr w14:paraId="1D2A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vMerge w:val="continue"/>
            <w:vAlign w:val="center"/>
          </w:tcPr>
          <w:p w14:paraId="625506AE">
            <w:pPr>
              <w:pStyle w:val="159"/>
            </w:pPr>
          </w:p>
        </w:tc>
        <w:tc>
          <w:tcPr>
            <w:tcW w:w="821" w:type="pct"/>
            <w:vMerge w:val="continue"/>
            <w:vAlign w:val="center"/>
          </w:tcPr>
          <w:p w14:paraId="72EE3007">
            <w:pPr>
              <w:pStyle w:val="159"/>
            </w:pPr>
          </w:p>
        </w:tc>
        <w:tc>
          <w:tcPr>
            <w:tcW w:w="821" w:type="pct"/>
            <w:vAlign w:val="center"/>
          </w:tcPr>
          <w:p w14:paraId="36B56F2F">
            <w:pPr>
              <w:pStyle w:val="159"/>
            </w:pPr>
            <w:r>
              <w:rPr>
                <w:rFonts w:hint="eastAsia"/>
              </w:rPr>
              <w:t>架空线路</w:t>
            </w:r>
          </w:p>
        </w:tc>
        <w:tc>
          <w:tcPr>
            <w:tcW w:w="2865" w:type="pct"/>
            <w:vAlign w:val="center"/>
          </w:tcPr>
          <w:p w14:paraId="6977349D">
            <w:pPr>
              <w:pStyle w:val="159"/>
            </w:pPr>
            <w:r>
              <w:rPr>
                <w:rFonts w:hint="eastAsia"/>
              </w:rPr>
              <w:t>边导线地面投影外两侧各30m</w:t>
            </w:r>
          </w:p>
        </w:tc>
      </w:tr>
      <w:tr w14:paraId="1357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vMerge w:val="continue"/>
            <w:vAlign w:val="center"/>
          </w:tcPr>
          <w:p w14:paraId="6AF02755">
            <w:pPr>
              <w:pStyle w:val="159"/>
            </w:pPr>
          </w:p>
        </w:tc>
        <w:tc>
          <w:tcPr>
            <w:tcW w:w="821" w:type="pct"/>
            <w:vMerge w:val="continue"/>
            <w:vAlign w:val="center"/>
          </w:tcPr>
          <w:p w14:paraId="1A21C850">
            <w:pPr>
              <w:pStyle w:val="159"/>
            </w:pPr>
          </w:p>
        </w:tc>
        <w:tc>
          <w:tcPr>
            <w:tcW w:w="821" w:type="pct"/>
            <w:vAlign w:val="center"/>
          </w:tcPr>
          <w:p w14:paraId="1D0E7636">
            <w:pPr>
              <w:pStyle w:val="159"/>
            </w:pPr>
            <w:r>
              <w:rPr>
                <w:rFonts w:hint="eastAsia"/>
              </w:rPr>
              <w:t>地下电缆</w:t>
            </w:r>
            <w:r>
              <w:t xml:space="preserve"> </w:t>
            </w:r>
          </w:p>
        </w:tc>
        <w:tc>
          <w:tcPr>
            <w:tcW w:w="2865" w:type="pct"/>
            <w:vAlign w:val="center"/>
          </w:tcPr>
          <w:p w14:paraId="4ED9C497">
            <w:pPr>
              <w:pStyle w:val="159"/>
            </w:pPr>
            <w:r>
              <w:rPr>
                <w:rFonts w:hint="eastAsia"/>
              </w:rPr>
              <w:t>管廊两侧边缘各外延</w:t>
            </w:r>
            <w:r>
              <w:t>5m</w:t>
            </w:r>
            <w:r>
              <w:rPr>
                <w:rFonts w:hint="eastAsia"/>
              </w:rPr>
              <w:t>（水平距离）</w:t>
            </w:r>
            <w:r>
              <w:t xml:space="preserve"> </w:t>
            </w:r>
          </w:p>
        </w:tc>
      </w:tr>
    </w:tbl>
    <w:p w14:paraId="2E2232B6">
      <w:pPr>
        <w:pStyle w:val="4"/>
        <w:spacing w:line="360" w:lineRule="auto"/>
        <w:ind w:firstLine="480"/>
        <w:rPr>
          <w:sz w:val="10"/>
          <w:szCs w:val="10"/>
        </w:rPr>
      </w:pPr>
    </w:p>
    <w:p w14:paraId="44BFA432">
      <w:bookmarkStart w:id="305" w:name="_Toc25834140"/>
      <w:bookmarkStart w:id="306" w:name="_Toc25774981"/>
      <w:bookmarkStart w:id="307" w:name="_Toc498526521"/>
    </w:p>
    <w:p w14:paraId="710032CD">
      <w:pPr>
        <w:pStyle w:val="5"/>
        <w:ind w:left="0" w:firstLine="0"/>
      </w:pPr>
      <w:r>
        <w:t>环境</w:t>
      </w:r>
      <w:r>
        <w:rPr>
          <w:rFonts w:hint="eastAsia"/>
        </w:rPr>
        <w:t>保护目标</w:t>
      </w:r>
      <w:bookmarkEnd w:id="305"/>
      <w:bookmarkEnd w:id="306"/>
      <w:bookmarkEnd w:id="307"/>
    </w:p>
    <w:p w14:paraId="2651180A">
      <w:pPr>
        <w:pStyle w:val="3"/>
        <w:ind w:firstLine="480"/>
        <w:sectPr>
          <w:headerReference r:id="rId13" w:type="default"/>
          <w:pgSz w:w="11906" w:h="16838"/>
          <w:pgMar w:top="1588" w:right="1361" w:bottom="1474" w:left="1474" w:header="1021" w:footer="851" w:gutter="0"/>
          <w:cols w:space="425" w:num="1"/>
          <w:docGrid w:linePitch="312" w:charSpace="0"/>
        </w:sectPr>
      </w:pPr>
      <w:r>
        <w:rPr>
          <w:rFonts w:hint="eastAsia"/>
        </w:rPr>
        <w:t>电磁环境保护目标主要是评价范围内的住宅、学校、医院、办公楼、工厂等有公众居住、工作或学习的建筑物。根据调查可知，本项目基地源变电站和贝江变电站站界外3</w:t>
      </w:r>
      <w:r>
        <w:t>0m</w:t>
      </w:r>
      <w:r>
        <w:rPr>
          <w:rFonts w:hint="eastAsia"/>
        </w:rPr>
        <w:t>内均无电磁环境保护目标，输电线路沿线共</w:t>
      </w:r>
      <w:r>
        <w:t>3</w:t>
      </w:r>
      <w:r>
        <w:rPr>
          <w:rFonts w:hint="eastAsia"/>
        </w:rPr>
        <w:t>处保护目标，详见表1</w:t>
      </w:r>
      <w:r>
        <w:t>.5-1</w:t>
      </w:r>
      <w:r>
        <w:rPr>
          <w:rFonts w:hint="eastAsia"/>
        </w:rPr>
        <w:t>所示。</w:t>
      </w:r>
      <w:r>
        <w:t xml:space="preserve"> </w:t>
      </w:r>
    </w:p>
    <w:p w14:paraId="58E1B2C5">
      <w:pPr>
        <w:pStyle w:val="148"/>
      </w:pPr>
      <w:r>
        <w:rPr>
          <w:rFonts w:hint="eastAsia"/>
        </w:rPr>
        <w:t>表1</w:t>
      </w:r>
      <w:r>
        <w:t xml:space="preserve">.5-1  </w:t>
      </w:r>
      <w:r>
        <w:rPr>
          <w:rFonts w:hint="eastAsia"/>
        </w:rPr>
        <w:t>电磁环境保护目标一览表</w:t>
      </w:r>
      <w: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238"/>
        <w:gridCol w:w="382"/>
        <w:gridCol w:w="636"/>
        <w:gridCol w:w="547"/>
        <w:gridCol w:w="1052"/>
        <w:gridCol w:w="695"/>
        <w:gridCol w:w="390"/>
        <w:gridCol w:w="5143"/>
      </w:tblGrid>
      <w:tr w14:paraId="36A0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0" w:type="auto"/>
            <w:shd w:val="clear" w:color="auto" w:fill="auto"/>
            <w:vAlign w:val="center"/>
          </w:tcPr>
          <w:p w14:paraId="0DEB2D68">
            <w:pPr>
              <w:pStyle w:val="159"/>
            </w:pPr>
            <w:r>
              <w:rPr>
                <w:rFonts w:hint="eastAsia"/>
              </w:rPr>
              <w:t>编号</w:t>
            </w:r>
          </w:p>
        </w:tc>
        <w:tc>
          <w:tcPr>
            <w:tcW w:w="0" w:type="auto"/>
            <w:shd w:val="clear" w:color="auto" w:fill="auto"/>
            <w:vAlign w:val="center"/>
          </w:tcPr>
          <w:p w14:paraId="1239AA5A">
            <w:pPr>
              <w:pStyle w:val="159"/>
            </w:pPr>
            <w:r>
              <w:t>环境敏感目标名称</w:t>
            </w:r>
          </w:p>
        </w:tc>
        <w:tc>
          <w:tcPr>
            <w:tcW w:w="0" w:type="auto"/>
            <w:shd w:val="clear" w:color="auto" w:fill="auto"/>
            <w:vAlign w:val="center"/>
          </w:tcPr>
          <w:p w14:paraId="494901AE">
            <w:pPr>
              <w:pStyle w:val="159"/>
            </w:pPr>
            <w:r>
              <w:t>分布及与边导线地面投影最近水平距离</w:t>
            </w:r>
          </w:p>
        </w:tc>
        <w:tc>
          <w:tcPr>
            <w:tcW w:w="0" w:type="auto"/>
            <w:shd w:val="clear" w:color="auto" w:fill="auto"/>
            <w:vAlign w:val="center"/>
          </w:tcPr>
          <w:p w14:paraId="10D258E4">
            <w:pPr>
              <w:pStyle w:val="159"/>
            </w:pPr>
            <w:r>
              <w:t>敏感目标功能及数量</w:t>
            </w:r>
          </w:p>
        </w:tc>
        <w:tc>
          <w:tcPr>
            <w:tcW w:w="0" w:type="auto"/>
            <w:shd w:val="clear" w:color="auto" w:fill="auto"/>
            <w:vAlign w:val="center"/>
          </w:tcPr>
          <w:p w14:paraId="70A8CCC9">
            <w:pPr>
              <w:pStyle w:val="159"/>
            </w:pPr>
            <w:r>
              <w:t>最近建筑物楼层及高度</w:t>
            </w:r>
          </w:p>
        </w:tc>
        <w:tc>
          <w:tcPr>
            <w:tcW w:w="0" w:type="auto"/>
            <w:shd w:val="clear" w:color="auto" w:fill="auto"/>
            <w:vAlign w:val="center"/>
          </w:tcPr>
          <w:p w14:paraId="16C5306F">
            <w:pPr>
              <w:pStyle w:val="159"/>
            </w:pPr>
            <w:r>
              <w:t>导线对地高度（m）</w:t>
            </w:r>
          </w:p>
        </w:tc>
        <w:tc>
          <w:tcPr>
            <w:tcW w:w="0" w:type="auto"/>
            <w:shd w:val="clear" w:color="auto" w:fill="auto"/>
            <w:vAlign w:val="center"/>
          </w:tcPr>
          <w:p w14:paraId="25DFDE14">
            <w:pPr>
              <w:pStyle w:val="159"/>
            </w:pPr>
            <w:r>
              <w:t>保护类别</w:t>
            </w:r>
          </w:p>
        </w:tc>
        <w:tc>
          <w:tcPr>
            <w:tcW w:w="0" w:type="auto"/>
            <w:shd w:val="clear" w:color="auto" w:fill="auto"/>
            <w:vAlign w:val="center"/>
          </w:tcPr>
          <w:p w14:paraId="1857713F">
            <w:pPr>
              <w:pStyle w:val="159"/>
            </w:pPr>
            <w:r>
              <w:t>现状照片</w:t>
            </w:r>
          </w:p>
        </w:tc>
      </w:tr>
      <w:tr w14:paraId="6DD2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0" w:type="auto"/>
            <w:shd w:val="clear" w:color="auto" w:fill="auto"/>
            <w:vAlign w:val="center"/>
          </w:tcPr>
          <w:p w14:paraId="504AD99D">
            <w:pPr>
              <w:pStyle w:val="159"/>
            </w:pPr>
            <w:r>
              <w:t>1</w:t>
            </w:r>
          </w:p>
        </w:tc>
        <w:tc>
          <w:tcPr>
            <w:tcW w:w="0" w:type="auto"/>
            <w:shd w:val="clear" w:color="auto" w:fill="auto"/>
            <w:vAlign w:val="center"/>
          </w:tcPr>
          <w:p w14:paraId="628B4D7A">
            <w:pPr>
              <w:pStyle w:val="159"/>
            </w:pPr>
            <w:r>
              <w:rPr>
                <w:rFonts w:hint="eastAsia"/>
              </w:rPr>
              <w:t>湘江村木源岔组居民房1</w:t>
            </w:r>
          </w:p>
        </w:tc>
        <w:tc>
          <w:tcPr>
            <w:tcW w:w="0" w:type="auto"/>
            <w:shd w:val="clear" w:color="auto" w:fill="auto"/>
            <w:vAlign w:val="center"/>
          </w:tcPr>
          <w:p w14:paraId="15281B50">
            <w:pPr>
              <w:pStyle w:val="159"/>
            </w:pPr>
            <w:r>
              <w:t>西向约26m</w:t>
            </w:r>
          </w:p>
        </w:tc>
        <w:tc>
          <w:tcPr>
            <w:tcW w:w="0" w:type="auto"/>
            <w:shd w:val="clear" w:color="auto" w:fill="auto"/>
            <w:vAlign w:val="center"/>
          </w:tcPr>
          <w:p w14:paraId="3EAC854F">
            <w:pPr>
              <w:pStyle w:val="159"/>
            </w:pPr>
            <w:r>
              <w:rPr>
                <w:rFonts w:hint="eastAsia"/>
              </w:rPr>
              <w:t>1栋，居住用房</w:t>
            </w:r>
          </w:p>
        </w:tc>
        <w:tc>
          <w:tcPr>
            <w:tcW w:w="0" w:type="auto"/>
            <w:shd w:val="clear" w:color="auto" w:fill="auto"/>
            <w:vAlign w:val="center"/>
          </w:tcPr>
          <w:p w14:paraId="7B82F8D8">
            <w:pPr>
              <w:pStyle w:val="159"/>
            </w:pPr>
            <w:r>
              <w:t>2F尖顶、层高约3m</w:t>
            </w:r>
          </w:p>
        </w:tc>
        <w:tc>
          <w:tcPr>
            <w:tcW w:w="0" w:type="auto"/>
            <w:shd w:val="clear" w:color="auto" w:fill="auto"/>
            <w:vAlign w:val="center"/>
          </w:tcPr>
          <w:p w14:paraId="6A916BCE">
            <w:pPr>
              <w:pStyle w:val="159"/>
            </w:pPr>
            <w:r>
              <w:t>23</w:t>
            </w:r>
          </w:p>
        </w:tc>
        <w:tc>
          <w:tcPr>
            <w:tcW w:w="0" w:type="auto"/>
            <w:shd w:val="clear" w:color="auto" w:fill="auto"/>
            <w:vAlign w:val="center"/>
          </w:tcPr>
          <w:p w14:paraId="67E1A90E">
            <w:pPr>
              <w:pStyle w:val="159"/>
            </w:pPr>
            <w:r>
              <w:t>E、B</w:t>
            </w:r>
          </w:p>
        </w:tc>
        <w:tc>
          <w:tcPr>
            <w:tcW w:w="0" w:type="auto"/>
            <w:shd w:val="clear" w:color="auto" w:fill="auto"/>
            <w:vAlign w:val="center"/>
          </w:tcPr>
          <w:p w14:paraId="571F7B84">
            <w:pPr>
              <w:pStyle w:val="159"/>
            </w:pPr>
            <w:r>
              <w:drawing>
                <wp:inline distT="0" distB="0" distL="0" distR="0">
                  <wp:extent cx="3190875" cy="2096135"/>
                  <wp:effectExtent l="0" t="0" r="9525" b="0"/>
                  <wp:docPr id="8" name="图片 8" descr="d:\Documents\WeChat Files\lxc328791165\FileStorage\Temp\2d033e1280432c022672bed270c8d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Documents\WeChat Files\lxc328791165\FileStorage\Temp\2d033e1280432c022672bed270c8dcb.jpg"/>
                          <pic:cNvPicPr>
                            <a:picLocks noChangeAspect="1" noChangeArrowheads="1"/>
                          </pic:cNvPicPr>
                        </pic:nvPicPr>
                        <pic:blipFill>
                          <a:blip r:embed="rId26" cstate="print">
                            <a:extLst>
                              <a:ext uri="{28A0092B-C50C-407E-A947-70E740481C1C}">
                                <a14:useLocalDpi xmlns:a14="http://schemas.microsoft.com/office/drawing/2010/main" val="0"/>
                              </a:ext>
                            </a:extLst>
                          </a:blip>
                          <a:srcRect b="12413"/>
                          <a:stretch>
                            <a:fillRect/>
                          </a:stretch>
                        </pic:blipFill>
                        <pic:spPr>
                          <a:xfrm>
                            <a:off x="0" y="0"/>
                            <a:ext cx="3209672" cy="2108463"/>
                          </a:xfrm>
                          <a:prstGeom prst="rect">
                            <a:avLst/>
                          </a:prstGeom>
                          <a:noFill/>
                          <a:ln>
                            <a:noFill/>
                          </a:ln>
                        </pic:spPr>
                      </pic:pic>
                    </a:graphicData>
                  </a:graphic>
                </wp:inline>
              </w:drawing>
            </w:r>
          </w:p>
        </w:tc>
      </w:tr>
      <w:tr w14:paraId="3A8D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0" w:type="auto"/>
            <w:shd w:val="clear" w:color="auto" w:fill="auto"/>
            <w:vAlign w:val="center"/>
          </w:tcPr>
          <w:p w14:paraId="2C4C78A9">
            <w:pPr>
              <w:pStyle w:val="159"/>
            </w:pPr>
            <w:r>
              <w:rPr>
                <w:rFonts w:hint="eastAsia"/>
              </w:rPr>
              <w:t>2</w:t>
            </w:r>
          </w:p>
        </w:tc>
        <w:tc>
          <w:tcPr>
            <w:tcW w:w="0" w:type="auto"/>
            <w:shd w:val="clear" w:color="auto" w:fill="auto"/>
            <w:vAlign w:val="center"/>
          </w:tcPr>
          <w:p w14:paraId="0CBDB31B">
            <w:pPr>
              <w:pStyle w:val="159"/>
            </w:pPr>
            <w:r>
              <w:rPr>
                <w:rFonts w:hint="eastAsia"/>
              </w:rPr>
              <w:t>湘江村木源岔组居民房</w:t>
            </w:r>
            <w:r>
              <w:t>2</w:t>
            </w:r>
          </w:p>
        </w:tc>
        <w:tc>
          <w:tcPr>
            <w:tcW w:w="0" w:type="auto"/>
            <w:shd w:val="clear" w:color="auto" w:fill="auto"/>
            <w:vAlign w:val="center"/>
          </w:tcPr>
          <w:p w14:paraId="648CBFC3">
            <w:pPr>
              <w:pStyle w:val="159"/>
            </w:pPr>
            <w:r>
              <w:t>西向约22m</w:t>
            </w:r>
          </w:p>
        </w:tc>
        <w:tc>
          <w:tcPr>
            <w:tcW w:w="0" w:type="auto"/>
            <w:shd w:val="clear" w:color="auto" w:fill="auto"/>
            <w:vAlign w:val="center"/>
          </w:tcPr>
          <w:p w14:paraId="06A59B72">
            <w:pPr>
              <w:pStyle w:val="159"/>
            </w:pPr>
            <w:r>
              <w:rPr>
                <w:rFonts w:hint="eastAsia"/>
              </w:rPr>
              <w:t>1栋，居住用房</w:t>
            </w:r>
          </w:p>
        </w:tc>
        <w:tc>
          <w:tcPr>
            <w:tcW w:w="0" w:type="auto"/>
            <w:shd w:val="clear" w:color="auto" w:fill="auto"/>
            <w:vAlign w:val="center"/>
          </w:tcPr>
          <w:p w14:paraId="1A4924B5">
            <w:pPr>
              <w:pStyle w:val="159"/>
            </w:pPr>
            <w:r>
              <w:t>2F尖顶、层高约3m</w:t>
            </w:r>
          </w:p>
        </w:tc>
        <w:tc>
          <w:tcPr>
            <w:tcW w:w="0" w:type="auto"/>
            <w:shd w:val="clear" w:color="auto" w:fill="auto"/>
            <w:vAlign w:val="center"/>
          </w:tcPr>
          <w:p w14:paraId="0311E164">
            <w:pPr>
              <w:pStyle w:val="159"/>
            </w:pPr>
            <w:r>
              <w:rPr>
                <w:rFonts w:hint="eastAsia"/>
              </w:rPr>
              <w:t>2</w:t>
            </w:r>
            <w:r>
              <w:t>3</w:t>
            </w:r>
          </w:p>
        </w:tc>
        <w:tc>
          <w:tcPr>
            <w:tcW w:w="0" w:type="auto"/>
            <w:shd w:val="clear" w:color="auto" w:fill="auto"/>
            <w:vAlign w:val="center"/>
          </w:tcPr>
          <w:p w14:paraId="60005E31">
            <w:pPr>
              <w:pStyle w:val="159"/>
            </w:pPr>
            <w:r>
              <w:t>E、B</w:t>
            </w:r>
          </w:p>
        </w:tc>
        <w:tc>
          <w:tcPr>
            <w:tcW w:w="0" w:type="auto"/>
            <w:shd w:val="clear" w:color="auto" w:fill="auto"/>
            <w:vAlign w:val="center"/>
          </w:tcPr>
          <w:p w14:paraId="092A65BB">
            <w:pPr>
              <w:pStyle w:val="159"/>
            </w:pPr>
            <w:r>
              <w:drawing>
                <wp:inline distT="0" distB="0" distL="0" distR="0">
                  <wp:extent cx="3216275" cy="2412365"/>
                  <wp:effectExtent l="0" t="0" r="3175" b="6985"/>
                  <wp:docPr id="12" name="图片 12" descr="d:\Documents\WeChat Files\lxc328791165\FileStorage\Temp\a28b65d6d1a1b70d0ee1827dade9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Documents\WeChat Files\lxc328791165\FileStorage\Temp\a28b65d6d1a1b70d0ee1827dade918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238505" cy="2428920"/>
                          </a:xfrm>
                          <a:prstGeom prst="rect">
                            <a:avLst/>
                          </a:prstGeom>
                          <a:noFill/>
                          <a:ln>
                            <a:noFill/>
                          </a:ln>
                        </pic:spPr>
                      </pic:pic>
                    </a:graphicData>
                  </a:graphic>
                </wp:inline>
              </w:drawing>
            </w:r>
          </w:p>
        </w:tc>
      </w:tr>
      <w:tr w14:paraId="34F2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0" w:type="auto"/>
            <w:shd w:val="clear" w:color="auto" w:fill="auto"/>
            <w:vAlign w:val="center"/>
          </w:tcPr>
          <w:p w14:paraId="38D40906">
            <w:pPr>
              <w:pStyle w:val="159"/>
            </w:pPr>
            <w:r>
              <w:t>3</w:t>
            </w:r>
          </w:p>
        </w:tc>
        <w:tc>
          <w:tcPr>
            <w:tcW w:w="0" w:type="auto"/>
            <w:shd w:val="clear" w:color="auto" w:fill="auto"/>
            <w:vAlign w:val="center"/>
          </w:tcPr>
          <w:p w14:paraId="396AEB8B">
            <w:pPr>
              <w:pStyle w:val="159"/>
            </w:pPr>
            <w:r>
              <w:rPr>
                <w:rFonts w:hint="eastAsia"/>
              </w:rPr>
              <w:t>湘江村大湾井组居民房1</w:t>
            </w:r>
          </w:p>
        </w:tc>
        <w:tc>
          <w:tcPr>
            <w:tcW w:w="0" w:type="auto"/>
            <w:shd w:val="clear" w:color="auto" w:fill="auto"/>
            <w:vAlign w:val="center"/>
          </w:tcPr>
          <w:p w14:paraId="55DB0E75">
            <w:pPr>
              <w:pStyle w:val="159"/>
            </w:pPr>
            <w:r>
              <w:t>西向约7m</w:t>
            </w:r>
          </w:p>
        </w:tc>
        <w:tc>
          <w:tcPr>
            <w:tcW w:w="0" w:type="auto"/>
            <w:shd w:val="clear" w:color="auto" w:fill="auto"/>
            <w:vAlign w:val="center"/>
          </w:tcPr>
          <w:p w14:paraId="4FC68BF9">
            <w:pPr>
              <w:pStyle w:val="159"/>
            </w:pPr>
            <w:r>
              <w:t>2栋，居住用房</w:t>
            </w:r>
          </w:p>
        </w:tc>
        <w:tc>
          <w:tcPr>
            <w:tcW w:w="0" w:type="auto"/>
            <w:shd w:val="clear" w:color="auto" w:fill="auto"/>
            <w:vAlign w:val="center"/>
          </w:tcPr>
          <w:p w14:paraId="0EF4B7C3">
            <w:pPr>
              <w:pStyle w:val="159"/>
            </w:pPr>
            <w:r>
              <w:rPr>
                <w:rFonts w:hint="eastAsia"/>
              </w:rPr>
              <w:t>2栋房屋为1户所有，老屋</w:t>
            </w:r>
            <w:r>
              <w:t>为1</w:t>
            </w:r>
            <w:r>
              <w:rPr>
                <w:rFonts w:hint="eastAsia"/>
              </w:rPr>
              <w:t>层尖顶</w:t>
            </w:r>
            <w:r>
              <w:t>，层高约3m；</w:t>
            </w:r>
            <w:r>
              <w:rPr>
                <w:rFonts w:hint="eastAsia"/>
              </w:rPr>
              <w:t>主屋为</w:t>
            </w:r>
            <w:r>
              <w:t>2</w:t>
            </w:r>
            <w:r>
              <w:rPr>
                <w:rFonts w:hint="eastAsia"/>
              </w:rPr>
              <w:t>层半</w:t>
            </w:r>
            <w:r>
              <w:t>平顶，高约7.5m</w:t>
            </w:r>
          </w:p>
        </w:tc>
        <w:tc>
          <w:tcPr>
            <w:tcW w:w="0" w:type="auto"/>
            <w:shd w:val="clear" w:color="auto" w:fill="auto"/>
            <w:vAlign w:val="center"/>
          </w:tcPr>
          <w:p w14:paraId="5D3A6152">
            <w:pPr>
              <w:pStyle w:val="159"/>
            </w:pPr>
            <w:r>
              <w:t>28</w:t>
            </w:r>
          </w:p>
        </w:tc>
        <w:tc>
          <w:tcPr>
            <w:tcW w:w="0" w:type="auto"/>
            <w:shd w:val="clear" w:color="auto" w:fill="auto"/>
            <w:vAlign w:val="center"/>
          </w:tcPr>
          <w:p w14:paraId="23B46A72">
            <w:pPr>
              <w:pStyle w:val="159"/>
            </w:pPr>
            <w:r>
              <w:t>E、B</w:t>
            </w:r>
          </w:p>
        </w:tc>
        <w:tc>
          <w:tcPr>
            <w:tcW w:w="0" w:type="auto"/>
            <w:shd w:val="clear" w:color="auto" w:fill="auto"/>
            <w:vAlign w:val="center"/>
          </w:tcPr>
          <w:p w14:paraId="5B646138">
            <w:pPr>
              <w:pStyle w:val="159"/>
            </w:pPr>
            <w:r>
              <w:drawing>
                <wp:inline distT="0" distB="0" distL="0" distR="0">
                  <wp:extent cx="3255010" cy="2440940"/>
                  <wp:effectExtent l="0" t="0" r="2540" b="0"/>
                  <wp:docPr id="13" name="图片 13" descr="d:\Documents\WeChat Files\lxc328791165\FileStorage\Temp\bf6a7b5b04d6abdf0cbeae64ffde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Documents\WeChat Files\lxc328791165\FileStorage\Temp\bf6a7b5b04d6abdf0cbeae64ffde8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255010" cy="2441298"/>
                          </a:xfrm>
                          <a:prstGeom prst="rect">
                            <a:avLst/>
                          </a:prstGeom>
                          <a:noFill/>
                          <a:ln>
                            <a:noFill/>
                          </a:ln>
                        </pic:spPr>
                      </pic:pic>
                    </a:graphicData>
                  </a:graphic>
                </wp:inline>
              </w:drawing>
            </w:r>
          </w:p>
        </w:tc>
      </w:tr>
      <w:tr w14:paraId="7D8E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0" w:type="auto"/>
            <w:shd w:val="clear" w:color="auto" w:fill="auto"/>
            <w:vAlign w:val="center"/>
          </w:tcPr>
          <w:p w14:paraId="54F0F14E">
            <w:pPr>
              <w:pStyle w:val="159"/>
            </w:pPr>
            <w:r>
              <w:t>3</w:t>
            </w:r>
          </w:p>
        </w:tc>
        <w:tc>
          <w:tcPr>
            <w:tcW w:w="0" w:type="auto"/>
            <w:shd w:val="clear" w:color="auto" w:fill="auto"/>
            <w:vAlign w:val="center"/>
          </w:tcPr>
          <w:p w14:paraId="3A662E7A">
            <w:pPr>
              <w:pStyle w:val="159"/>
            </w:pPr>
            <w:r>
              <w:rPr>
                <w:rFonts w:hint="eastAsia"/>
              </w:rPr>
              <w:t>湘江村大湾井组居民房</w:t>
            </w:r>
            <w:r>
              <w:t>2</w:t>
            </w:r>
          </w:p>
        </w:tc>
        <w:tc>
          <w:tcPr>
            <w:tcW w:w="0" w:type="auto"/>
            <w:shd w:val="clear" w:color="auto" w:fill="auto"/>
            <w:vAlign w:val="center"/>
          </w:tcPr>
          <w:p w14:paraId="7D11E2CC">
            <w:pPr>
              <w:pStyle w:val="159"/>
            </w:pPr>
            <w:r>
              <w:t>西向约8m</w:t>
            </w:r>
          </w:p>
        </w:tc>
        <w:tc>
          <w:tcPr>
            <w:tcW w:w="0" w:type="auto"/>
            <w:shd w:val="clear" w:color="auto" w:fill="auto"/>
            <w:vAlign w:val="center"/>
          </w:tcPr>
          <w:p w14:paraId="32369C34">
            <w:pPr>
              <w:pStyle w:val="159"/>
            </w:pPr>
            <w:r>
              <w:t>1栋，居住用房</w:t>
            </w:r>
          </w:p>
        </w:tc>
        <w:tc>
          <w:tcPr>
            <w:tcW w:w="0" w:type="auto"/>
            <w:shd w:val="clear" w:color="auto" w:fill="auto"/>
            <w:vAlign w:val="center"/>
          </w:tcPr>
          <w:p w14:paraId="74134689">
            <w:pPr>
              <w:pStyle w:val="159"/>
            </w:pPr>
            <w:r>
              <w:t>2F尖顶、层高约3m</w:t>
            </w:r>
          </w:p>
        </w:tc>
        <w:tc>
          <w:tcPr>
            <w:tcW w:w="0" w:type="auto"/>
            <w:shd w:val="clear" w:color="auto" w:fill="auto"/>
            <w:vAlign w:val="center"/>
          </w:tcPr>
          <w:p w14:paraId="2285F932">
            <w:pPr>
              <w:pStyle w:val="159"/>
            </w:pPr>
            <w:r>
              <w:t>18</w:t>
            </w:r>
          </w:p>
        </w:tc>
        <w:tc>
          <w:tcPr>
            <w:tcW w:w="0" w:type="auto"/>
            <w:shd w:val="clear" w:color="auto" w:fill="auto"/>
            <w:vAlign w:val="center"/>
          </w:tcPr>
          <w:p w14:paraId="08B5BDB9">
            <w:pPr>
              <w:pStyle w:val="159"/>
            </w:pPr>
            <w:r>
              <w:t>E</w:t>
            </w:r>
            <w:r>
              <w:rPr>
                <w:rFonts w:hint="eastAsia"/>
              </w:rPr>
              <w:t>、B</w:t>
            </w:r>
          </w:p>
        </w:tc>
        <w:tc>
          <w:tcPr>
            <w:tcW w:w="0" w:type="auto"/>
            <w:shd w:val="clear" w:color="auto" w:fill="auto"/>
            <w:vAlign w:val="center"/>
          </w:tcPr>
          <w:p w14:paraId="3F3C0B6B">
            <w:pPr>
              <w:pStyle w:val="159"/>
            </w:pPr>
            <w:r>
              <w:drawing>
                <wp:inline distT="0" distB="0" distL="0" distR="0">
                  <wp:extent cx="3254375" cy="2475230"/>
                  <wp:effectExtent l="0" t="0" r="3175" b="1270"/>
                  <wp:docPr id="14" name="图片 14" descr="d:\Documents\WeChat Files\lxc328791165\FileStorage\Temp\b943f4e1a4b054064a285a832b2e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Documents\WeChat Files\lxc328791165\FileStorage\Temp\b943f4e1a4b054064a285a832b2e60d.jpg"/>
                          <pic:cNvPicPr>
                            <a:picLocks noChangeAspect="1" noChangeArrowheads="1"/>
                          </pic:cNvPicPr>
                        </pic:nvPicPr>
                        <pic:blipFill>
                          <a:blip r:embed="rId29" cstate="print">
                            <a:extLst>
                              <a:ext uri="{28A0092B-C50C-407E-A947-70E740481C1C}">
                                <a14:useLocalDpi xmlns:a14="http://schemas.microsoft.com/office/drawing/2010/main" val="0"/>
                              </a:ext>
                            </a:extLst>
                          </a:blip>
                          <a:srcRect l="15868" t="22500" r="37007" b="13772"/>
                          <a:stretch>
                            <a:fillRect/>
                          </a:stretch>
                        </pic:blipFill>
                        <pic:spPr>
                          <a:xfrm>
                            <a:off x="0" y="0"/>
                            <a:ext cx="3255010" cy="2475789"/>
                          </a:xfrm>
                          <a:prstGeom prst="rect">
                            <a:avLst/>
                          </a:prstGeom>
                          <a:noFill/>
                          <a:ln>
                            <a:noFill/>
                          </a:ln>
                        </pic:spPr>
                      </pic:pic>
                    </a:graphicData>
                  </a:graphic>
                </wp:inline>
              </w:drawing>
            </w:r>
          </w:p>
        </w:tc>
      </w:tr>
    </w:tbl>
    <w:p w14:paraId="538071B5">
      <w:pPr>
        <w:autoSpaceDE w:val="0"/>
        <w:autoSpaceDN w:val="0"/>
        <w:adjustRightInd w:val="0"/>
        <w:jc w:val="left"/>
        <w:rPr>
          <w:rFonts w:ascii="宋体" w:cs="宋体"/>
          <w:color w:val="000000"/>
          <w:kern w:val="0"/>
          <w:sz w:val="18"/>
          <w:szCs w:val="18"/>
        </w:rPr>
      </w:pPr>
      <w:r>
        <w:rPr>
          <w:rFonts w:hint="eastAsia" w:ascii="宋体" w:cs="宋体"/>
          <w:color w:val="000000"/>
          <w:kern w:val="0"/>
          <w:sz w:val="18"/>
          <w:szCs w:val="18"/>
        </w:rPr>
        <w:t>注：</w:t>
      </w:r>
      <w:r>
        <w:rPr>
          <w:color w:val="000000"/>
          <w:kern w:val="0"/>
          <w:sz w:val="18"/>
          <w:szCs w:val="18"/>
        </w:rPr>
        <w:t>1</w:t>
      </w:r>
      <w:r>
        <w:rPr>
          <w:rFonts w:hint="eastAsia" w:ascii="宋体" w:cs="宋体"/>
          <w:color w:val="000000"/>
          <w:kern w:val="0"/>
          <w:sz w:val="18"/>
          <w:szCs w:val="18"/>
        </w:rPr>
        <w:t>、表中</w:t>
      </w:r>
      <w:r>
        <w:rPr>
          <w:color w:val="000000"/>
          <w:kern w:val="0"/>
          <w:sz w:val="18"/>
          <w:szCs w:val="18"/>
        </w:rPr>
        <w:t>E—</w:t>
      </w:r>
      <w:r>
        <w:rPr>
          <w:rFonts w:hint="eastAsia" w:ascii="宋体" w:cs="宋体"/>
          <w:color w:val="000000"/>
          <w:kern w:val="0"/>
          <w:sz w:val="18"/>
          <w:szCs w:val="18"/>
        </w:rPr>
        <w:t>工频电场；</w:t>
      </w:r>
      <w:r>
        <w:rPr>
          <w:color w:val="000000"/>
          <w:kern w:val="0"/>
          <w:sz w:val="18"/>
          <w:szCs w:val="18"/>
        </w:rPr>
        <w:t>B—</w:t>
      </w:r>
      <w:r>
        <w:rPr>
          <w:rFonts w:hint="eastAsia" w:ascii="宋体" w:cs="宋体"/>
          <w:color w:val="000000"/>
          <w:kern w:val="0"/>
          <w:sz w:val="18"/>
          <w:szCs w:val="18"/>
        </w:rPr>
        <w:t>工频磁场；</w:t>
      </w:r>
      <w:r>
        <w:rPr>
          <w:color w:val="000000"/>
          <w:kern w:val="0"/>
          <w:sz w:val="18"/>
          <w:szCs w:val="18"/>
        </w:rPr>
        <w:t>2</w:t>
      </w:r>
      <w:r>
        <w:rPr>
          <w:rFonts w:hint="eastAsia" w:ascii="宋体" w:cs="宋体"/>
          <w:color w:val="000000"/>
          <w:kern w:val="0"/>
          <w:sz w:val="18"/>
          <w:szCs w:val="18"/>
        </w:rPr>
        <w:t>、目前工程尚处于前期设计阶段，在实际施工时上表中线路与敏感点的距离可能发生变化。</w:t>
      </w:r>
      <w:r>
        <w:rPr>
          <w:rFonts w:ascii="宋体" w:cs="宋体"/>
          <w:color w:val="000000"/>
          <w:kern w:val="0"/>
          <w:sz w:val="18"/>
          <w:szCs w:val="18"/>
        </w:rPr>
        <w:t xml:space="preserve"> </w:t>
      </w:r>
    </w:p>
    <w:p w14:paraId="2C470E9B">
      <w:pPr>
        <w:autoSpaceDE w:val="0"/>
        <w:autoSpaceDN w:val="0"/>
        <w:adjustRightInd w:val="0"/>
        <w:jc w:val="left"/>
        <w:rPr>
          <w:rFonts w:ascii="宋体" w:cs="宋体"/>
          <w:color w:val="000000"/>
          <w:kern w:val="0"/>
          <w:sz w:val="18"/>
          <w:szCs w:val="18"/>
        </w:rPr>
      </w:pPr>
    </w:p>
    <w:p w14:paraId="6DC1E664">
      <w:pPr>
        <w:pStyle w:val="5"/>
        <w:ind w:left="0" w:firstLine="0"/>
      </w:pPr>
      <w:bookmarkStart w:id="308" w:name="_Toc498526520"/>
      <w:bookmarkStart w:id="309" w:name="_Toc25834139"/>
      <w:bookmarkStart w:id="310" w:name="_Toc25774980"/>
      <w:bookmarkStart w:id="311" w:name="_Toc413055177"/>
      <w:r>
        <w:t>评价标准</w:t>
      </w:r>
      <w:bookmarkEnd w:id="308"/>
      <w:bookmarkEnd w:id="309"/>
      <w:bookmarkEnd w:id="310"/>
      <w:bookmarkEnd w:id="311"/>
    </w:p>
    <w:p w14:paraId="42B08E6D">
      <w:pPr>
        <w:pStyle w:val="3"/>
        <w:ind w:firstLine="480"/>
      </w:pPr>
      <w:r>
        <w:rPr>
          <w:rFonts w:hint="eastAsia"/>
        </w:rPr>
        <w:t>本工程评价标准见表1</w:t>
      </w:r>
      <w:r>
        <w:t>.6-1</w:t>
      </w:r>
      <w:r>
        <w:rPr>
          <w:rFonts w:hint="eastAsia"/>
        </w:rPr>
        <w:t>所示。</w:t>
      </w:r>
    </w:p>
    <w:p w14:paraId="0A54CE6F">
      <w:pPr>
        <w:pStyle w:val="148"/>
      </w:pPr>
      <w:r>
        <w:rPr>
          <w:rFonts w:hint="eastAsia"/>
        </w:rPr>
        <w:t>表1</w:t>
      </w:r>
      <w:r>
        <w:t xml:space="preserve">.6-1  </w:t>
      </w:r>
      <w:r>
        <w:rPr>
          <w:bCs/>
        </w:rPr>
        <w:t xml:space="preserve"> </w:t>
      </w:r>
      <w:r>
        <w:rPr>
          <w:rFonts w:hint="eastAsia"/>
        </w:rPr>
        <w:t>工频电场、工频磁场公众曝露控制限值</w:t>
      </w:r>
    </w:p>
    <w:tbl>
      <w:tblPr>
        <w:tblStyle w:val="40"/>
        <w:tblW w:w="49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3168"/>
        <w:gridCol w:w="2270"/>
        <w:gridCol w:w="2103"/>
      </w:tblGrid>
      <w:tr w14:paraId="2F2A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5" w:type="pct"/>
            <w:vAlign w:val="center"/>
          </w:tcPr>
          <w:p w14:paraId="72801BD6">
            <w:pPr>
              <w:pStyle w:val="159"/>
            </w:pPr>
            <w:r>
              <w:rPr>
                <w:rFonts w:hint="eastAsia"/>
              </w:rPr>
              <w:t>影响因子</w:t>
            </w:r>
          </w:p>
        </w:tc>
        <w:tc>
          <w:tcPr>
            <w:tcW w:w="1737" w:type="pct"/>
            <w:vAlign w:val="center"/>
          </w:tcPr>
          <w:p w14:paraId="37B8E4B1">
            <w:pPr>
              <w:pStyle w:val="159"/>
            </w:pPr>
            <w:r>
              <w:rPr>
                <w:rFonts w:hint="eastAsia"/>
              </w:rPr>
              <w:t>适用区域</w:t>
            </w:r>
          </w:p>
        </w:tc>
        <w:tc>
          <w:tcPr>
            <w:tcW w:w="1245" w:type="pct"/>
            <w:vAlign w:val="center"/>
          </w:tcPr>
          <w:p w14:paraId="4B2A2F32">
            <w:pPr>
              <w:pStyle w:val="159"/>
            </w:pPr>
            <w:r>
              <w:rPr>
                <w:rFonts w:hint="eastAsia"/>
              </w:rPr>
              <w:t>评价标准</w:t>
            </w:r>
          </w:p>
        </w:tc>
        <w:tc>
          <w:tcPr>
            <w:tcW w:w="1153" w:type="pct"/>
            <w:vAlign w:val="center"/>
          </w:tcPr>
          <w:p w14:paraId="2C616349">
            <w:pPr>
              <w:pStyle w:val="159"/>
            </w:pPr>
            <w:r>
              <w:rPr>
                <w:rFonts w:hint="eastAsia"/>
              </w:rPr>
              <w:t>标准来源</w:t>
            </w:r>
          </w:p>
        </w:tc>
      </w:tr>
      <w:tr w14:paraId="0672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5" w:type="pct"/>
            <w:vMerge w:val="restart"/>
            <w:vAlign w:val="center"/>
          </w:tcPr>
          <w:p w14:paraId="16BBB2EC">
            <w:pPr>
              <w:pStyle w:val="159"/>
            </w:pPr>
            <w:r>
              <w:rPr>
                <w:rFonts w:hint="eastAsia"/>
              </w:rPr>
              <w:t>工频电场</w:t>
            </w:r>
          </w:p>
        </w:tc>
        <w:tc>
          <w:tcPr>
            <w:tcW w:w="1737" w:type="pct"/>
            <w:vAlign w:val="center"/>
          </w:tcPr>
          <w:p w14:paraId="39CBD5BC">
            <w:pPr>
              <w:pStyle w:val="159"/>
            </w:pPr>
            <w:r>
              <w:rPr>
                <w:rFonts w:hint="eastAsia"/>
              </w:rPr>
              <w:t>电磁环境敏感目标</w:t>
            </w:r>
          </w:p>
        </w:tc>
        <w:tc>
          <w:tcPr>
            <w:tcW w:w="1245" w:type="pct"/>
            <w:vAlign w:val="center"/>
          </w:tcPr>
          <w:p w14:paraId="5BD36A82">
            <w:pPr>
              <w:pStyle w:val="159"/>
            </w:pPr>
            <w:r>
              <w:t>4000V/m</w:t>
            </w:r>
            <w:r>
              <w:rPr>
                <w:rFonts w:hint="eastAsia"/>
              </w:rPr>
              <w:t>②</w:t>
            </w:r>
          </w:p>
        </w:tc>
        <w:tc>
          <w:tcPr>
            <w:tcW w:w="1153" w:type="pct"/>
            <w:vMerge w:val="restart"/>
            <w:vAlign w:val="center"/>
          </w:tcPr>
          <w:p w14:paraId="58A9D591">
            <w:pPr>
              <w:pStyle w:val="159"/>
            </w:pPr>
            <w:r>
              <w:t>《电磁环境控制限值》</w:t>
            </w:r>
            <w:r>
              <w:rPr>
                <w:rFonts w:hint="eastAsia"/>
              </w:rPr>
              <w:t>（</w:t>
            </w:r>
            <w:r>
              <w:t>GB8702-2014</w:t>
            </w:r>
            <w:r>
              <w:rPr>
                <w:rFonts w:hint="eastAsia"/>
              </w:rPr>
              <w:t>）</w:t>
            </w:r>
          </w:p>
        </w:tc>
      </w:tr>
      <w:tr w14:paraId="7D5C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5" w:type="pct"/>
            <w:vMerge w:val="continue"/>
            <w:vAlign w:val="center"/>
          </w:tcPr>
          <w:p w14:paraId="0424B06A">
            <w:pPr>
              <w:pStyle w:val="159"/>
            </w:pPr>
          </w:p>
        </w:tc>
        <w:tc>
          <w:tcPr>
            <w:tcW w:w="1737" w:type="pct"/>
            <w:vAlign w:val="center"/>
          </w:tcPr>
          <w:p w14:paraId="0E9072E1">
            <w:pPr>
              <w:pStyle w:val="159"/>
            </w:pPr>
            <w:r>
              <w:rPr>
                <w:rFonts w:hint="eastAsia"/>
              </w:rPr>
              <w:t>架空线路下其它场所①</w:t>
            </w:r>
          </w:p>
        </w:tc>
        <w:tc>
          <w:tcPr>
            <w:tcW w:w="1245" w:type="pct"/>
            <w:vAlign w:val="center"/>
          </w:tcPr>
          <w:p w14:paraId="5693E732">
            <w:pPr>
              <w:pStyle w:val="159"/>
            </w:pPr>
            <w:r>
              <w:t>10kV/m</w:t>
            </w:r>
          </w:p>
        </w:tc>
        <w:tc>
          <w:tcPr>
            <w:tcW w:w="1153" w:type="pct"/>
            <w:vMerge w:val="continue"/>
            <w:vAlign w:val="center"/>
          </w:tcPr>
          <w:p w14:paraId="0319519E">
            <w:pPr>
              <w:pStyle w:val="159"/>
            </w:pPr>
          </w:p>
        </w:tc>
      </w:tr>
      <w:tr w14:paraId="4228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5" w:type="pct"/>
            <w:vAlign w:val="center"/>
          </w:tcPr>
          <w:p w14:paraId="6D838E57">
            <w:pPr>
              <w:pStyle w:val="159"/>
            </w:pPr>
            <w:r>
              <w:rPr>
                <w:rFonts w:hint="eastAsia"/>
              </w:rPr>
              <w:t>工频磁场</w:t>
            </w:r>
          </w:p>
        </w:tc>
        <w:tc>
          <w:tcPr>
            <w:tcW w:w="1737" w:type="pct"/>
            <w:vAlign w:val="center"/>
          </w:tcPr>
          <w:p w14:paraId="6AF8813C">
            <w:pPr>
              <w:pStyle w:val="159"/>
            </w:pPr>
            <w:r>
              <w:rPr>
                <w:rFonts w:hint="eastAsia"/>
              </w:rPr>
              <w:t>电磁环境敏感目标</w:t>
            </w:r>
          </w:p>
        </w:tc>
        <w:tc>
          <w:tcPr>
            <w:tcW w:w="1245" w:type="pct"/>
            <w:vAlign w:val="center"/>
          </w:tcPr>
          <w:p w14:paraId="5A82CEB6">
            <w:pPr>
              <w:pStyle w:val="159"/>
            </w:pPr>
            <w:r>
              <w:t>100μT</w:t>
            </w:r>
            <w:r>
              <w:rPr>
                <w:rFonts w:hint="eastAsia" w:ascii="宋体" w:cs="宋体"/>
              </w:rPr>
              <w:t>②</w:t>
            </w:r>
          </w:p>
        </w:tc>
        <w:tc>
          <w:tcPr>
            <w:tcW w:w="1153" w:type="pct"/>
            <w:vMerge w:val="continue"/>
            <w:vAlign w:val="center"/>
          </w:tcPr>
          <w:p w14:paraId="6740F5F4">
            <w:pPr>
              <w:pStyle w:val="159"/>
            </w:pPr>
          </w:p>
        </w:tc>
      </w:tr>
    </w:tbl>
    <w:p w14:paraId="28368B3D">
      <w:r>
        <w:rPr>
          <w:rFonts w:hint="eastAsia"/>
        </w:rPr>
        <w:t>注：①架空输电线路线下的耕地、园地、牧草地、畜禽饲养地、养殖水面、道路等场所，其频率</w:t>
      </w:r>
      <w:r>
        <w:t>50Hz</w:t>
      </w:r>
      <w:r>
        <w:rPr>
          <w:rFonts w:hint="eastAsia"/>
        </w:rPr>
        <w:t>的电场强度控制限值为</w:t>
      </w:r>
      <w:r>
        <w:t>10kV/m</w:t>
      </w:r>
      <w:r>
        <w:rPr>
          <w:rFonts w:hint="eastAsia"/>
        </w:rPr>
        <w:t>，且应给出警示和防护指示标志。②依据《电磁环境控制限值》（</w:t>
      </w:r>
      <w:r>
        <w:t>GB8702-2014</w:t>
      </w:r>
      <w:r>
        <w:rPr>
          <w:rFonts w:hint="eastAsia"/>
        </w:rPr>
        <w:t>），电场、磁场公众曝露控制限值与电磁场频率（</w:t>
      </w:r>
      <w:r>
        <w:t>f</w:t>
      </w:r>
      <w:r>
        <w:rPr>
          <w:rFonts w:hint="eastAsia"/>
        </w:rPr>
        <w:t>，单位为</w:t>
      </w:r>
      <w:r>
        <w:t>kHz</w:t>
      </w:r>
      <w:r>
        <w:rPr>
          <w:rFonts w:hint="eastAsia"/>
        </w:rPr>
        <w:t>）有关，我国交流输变电工程工作频率为</w:t>
      </w:r>
      <w:r>
        <w:t>50Hz</w:t>
      </w:r>
      <w:r>
        <w:rPr>
          <w:rFonts w:hint="eastAsia"/>
        </w:rPr>
        <w:t>，因此交流输变电工程工频电场、工频磁场公众曝露控制限值分别为</w:t>
      </w:r>
      <w:r>
        <w:t>200/f</w:t>
      </w:r>
      <w:r>
        <w:rPr>
          <w:rFonts w:hint="eastAsia"/>
        </w:rPr>
        <w:t>（</w:t>
      </w:r>
      <w:r>
        <w:t>V/m</w:t>
      </w:r>
      <w:r>
        <w:rPr>
          <w:rFonts w:hint="eastAsia"/>
        </w:rPr>
        <w:t>）、</w:t>
      </w:r>
      <w:r>
        <w:t>5/f</w:t>
      </w:r>
      <w:r>
        <w:rPr>
          <w:rFonts w:hint="eastAsia"/>
        </w:rPr>
        <w:t>（</w:t>
      </w:r>
      <w:r>
        <w:t>μT</w:t>
      </w:r>
      <w:r>
        <w:rPr>
          <w:rFonts w:hint="eastAsia"/>
        </w:rPr>
        <w:t>），即</w:t>
      </w:r>
      <w:r>
        <w:t>4000V/m</w:t>
      </w:r>
      <w:r>
        <w:rPr>
          <w:rFonts w:hint="eastAsia"/>
        </w:rPr>
        <w:t>和</w:t>
      </w:r>
      <w:r>
        <w:t>100μT</w:t>
      </w:r>
      <w:r>
        <w:rPr>
          <w:rFonts w:hint="eastAsia"/>
        </w:rPr>
        <w:t>。</w:t>
      </w:r>
    </w:p>
    <w:p w14:paraId="04D98AA3">
      <w:pPr>
        <w:pStyle w:val="16"/>
        <w:jc w:val="center"/>
      </w:pPr>
    </w:p>
    <w:p w14:paraId="7A2626A1">
      <w:pPr>
        <w:pStyle w:val="16"/>
        <w:jc w:val="center"/>
      </w:pPr>
    </w:p>
    <w:p w14:paraId="2175AF19">
      <w:pPr>
        <w:pStyle w:val="2"/>
        <w:pageBreakBefore/>
        <w:numPr>
          <w:ilvl w:val="0"/>
          <w:numId w:val="6"/>
        </w:numPr>
      </w:pPr>
      <w:bookmarkStart w:id="312" w:name="_Toc413055179"/>
      <w:bookmarkStart w:id="313" w:name="_Toc25834141"/>
      <w:bookmarkStart w:id="314" w:name="_Toc25774982"/>
      <w:bookmarkStart w:id="315" w:name="_Toc498526522"/>
      <w:bookmarkStart w:id="316" w:name="_Toc186810131"/>
      <w:r>
        <w:t>电磁环境质量现状监测与评价</w:t>
      </w:r>
      <w:bookmarkEnd w:id="312"/>
      <w:bookmarkEnd w:id="313"/>
      <w:bookmarkEnd w:id="314"/>
      <w:bookmarkEnd w:id="315"/>
      <w:bookmarkEnd w:id="316"/>
    </w:p>
    <w:p w14:paraId="3ACB269A">
      <w:pPr>
        <w:pStyle w:val="3"/>
        <w:ind w:firstLine="480"/>
      </w:pPr>
      <w:r>
        <w:rPr>
          <w:rFonts w:hint="eastAsia"/>
        </w:rPr>
        <w:t>为了解项目周围电磁环境现状，本次评价委托湖南乾诚检测有限公司对工程周围的电磁环境进行现状测量。</w:t>
      </w:r>
    </w:p>
    <w:p w14:paraId="1E94B797">
      <w:pPr>
        <w:pStyle w:val="5"/>
        <w:ind w:left="0" w:firstLine="0"/>
      </w:pPr>
      <w:r>
        <w:rPr>
          <w:rFonts w:hint="eastAsia"/>
        </w:rPr>
        <w:t>监测布点</w:t>
      </w:r>
    </w:p>
    <w:p w14:paraId="36EE5620">
      <w:pPr>
        <w:pStyle w:val="3"/>
        <w:ind w:firstLine="480"/>
      </w:pPr>
      <w:bookmarkStart w:id="317" w:name="_Toc25774984"/>
      <w:bookmarkStart w:id="318" w:name="_Toc25834143"/>
      <w:r>
        <w:rPr>
          <w:rFonts w:hint="eastAsia"/>
        </w:rPr>
        <w:t>结合现场踏勘情况，本次环评选择变电站间隔改造侧和新建输电线路评价范围内电的电磁环境敏感目标进行电磁环境现状监测，布点原则为在满足监测条件的前提下以行政组为单位选择距本工程最近的代表性敏感目标进行监测。本项目电磁环境现状测量布点情况见表</w:t>
      </w:r>
      <w:r>
        <w:t>2.1-1</w:t>
      </w:r>
      <w:r>
        <w:rPr>
          <w:rFonts w:hint="eastAsia"/>
        </w:rPr>
        <w:t>和附图</w:t>
      </w:r>
      <w:r>
        <w:t>4</w:t>
      </w:r>
      <w:r>
        <w:rPr>
          <w:rFonts w:hint="eastAsia"/>
        </w:rPr>
        <w:t>。</w:t>
      </w:r>
    </w:p>
    <w:p w14:paraId="6BE4CF7D">
      <w:pPr>
        <w:pStyle w:val="148"/>
      </w:pPr>
      <w:r>
        <w:rPr>
          <w:rFonts w:hint="eastAsia"/>
        </w:rPr>
        <w:t>表2</w:t>
      </w:r>
      <w:r>
        <w:t xml:space="preserve">.1-1  </w:t>
      </w:r>
      <w:r>
        <w:rPr>
          <w:rFonts w:hint="eastAsia"/>
        </w:rPr>
        <w:t>电磁环境现状测量布点情况</w:t>
      </w:r>
    </w:p>
    <w:tbl>
      <w:tblPr>
        <w:tblStyle w:val="41"/>
        <w:tblW w:w="49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1"/>
        <w:gridCol w:w="3532"/>
        <w:gridCol w:w="2354"/>
        <w:gridCol w:w="2501"/>
      </w:tblGrid>
      <w:tr w14:paraId="48AD4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01" w:type="pct"/>
            <w:vAlign w:val="center"/>
          </w:tcPr>
          <w:p w14:paraId="10125F85">
            <w:pPr>
              <w:pStyle w:val="159"/>
            </w:pPr>
            <w:r>
              <w:t>编号</w:t>
            </w:r>
          </w:p>
        </w:tc>
        <w:tc>
          <w:tcPr>
            <w:tcW w:w="1937" w:type="pct"/>
            <w:vAlign w:val="center"/>
          </w:tcPr>
          <w:p w14:paraId="2BE73CB2">
            <w:pPr>
              <w:pStyle w:val="159"/>
            </w:pPr>
            <w:r>
              <w:t>监测点名称</w:t>
            </w:r>
          </w:p>
        </w:tc>
        <w:tc>
          <w:tcPr>
            <w:tcW w:w="1291" w:type="pct"/>
            <w:vAlign w:val="center"/>
          </w:tcPr>
          <w:p w14:paraId="61104829">
            <w:pPr>
              <w:pStyle w:val="159"/>
            </w:pPr>
            <w:r>
              <w:rPr>
                <w:rFonts w:hint="eastAsia"/>
              </w:rPr>
              <w:t>监测点位置</w:t>
            </w:r>
          </w:p>
        </w:tc>
        <w:tc>
          <w:tcPr>
            <w:tcW w:w="1371" w:type="pct"/>
            <w:vAlign w:val="center"/>
          </w:tcPr>
          <w:p w14:paraId="2300F976">
            <w:pPr>
              <w:pStyle w:val="159"/>
            </w:pPr>
            <w:r>
              <w:rPr>
                <w:rFonts w:hint="eastAsia"/>
              </w:rPr>
              <w:t>监测因子</w:t>
            </w:r>
          </w:p>
        </w:tc>
      </w:tr>
      <w:tr w14:paraId="039D0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01" w:type="pct"/>
            <w:vAlign w:val="center"/>
          </w:tcPr>
          <w:p w14:paraId="39D87C40">
            <w:pPr>
              <w:pStyle w:val="159"/>
            </w:pPr>
            <w:r>
              <w:t>E1</w:t>
            </w:r>
          </w:p>
        </w:tc>
        <w:tc>
          <w:tcPr>
            <w:tcW w:w="1937" w:type="pct"/>
            <w:vAlign w:val="center"/>
          </w:tcPr>
          <w:p w14:paraId="41236423">
            <w:pPr>
              <w:pStyle w:val="159"/>
            </w:pPr>
            <w:r>
              <w:rPr>
                <w:rFonts w:hint="eastAsia"/>
              </w:rPr>
              <w:t>基地源变电站中心</w:t>
            </w:r>
          </w:p>
        </w:tc>
        <w:tc>
          <w:tcPr>
            <w:tcW w:w="1291" w:type="pct"/>
            <w:vAlign w:val="center"/>
          </w:tcPr>
          <w:p w14:paraId="05C57819">
            <w:pPr>
              <w:pStyle w:val="159"/>
            </w:pPr>
            <w:r>
              <w:rPr>
                <w:rFonts w:hint="eastAsia"/>
              </w:rPr>
              <w:t>地面上方</w:t>
            </w:r>
            <w:r>
              <w:t>1.5m</w:t>
            </w:r>
            <w:r>
              <w:rPr>
                <w:rFonts w:hint="eastAsia"/>
              </w:rPr>
              <w:t>高度</w:t>
            </w:r>
          </w:p>
        </w:tc>
        <w:tc>
          <w:tcPr>
            <w:tcW w:w="1371" w:type="pct"/>
            <w:vMerge w:val="restart"/>
            <w:vAlign w:val="center"/>
          </w:tcPr>
          <w:p w14:paraId="46C39938">
            <w:pPr>
              <w:pStyle w:val="159"/>
            </w:pPr>
            <w:r>
              <w:rPr>
                <w:rFonts w:hint="eastAsia"/>
              </w:rPr>
              <w:t>工频电场强度</w:t>
            </w:r>
            <w:r>
              <w:t>、</w:t>
            </w:r>
          </w:p>
          <w:p w14:paraId="764D2E57">
            <w:pPr>
              <w:pStyle w:val="159"/>
            </w:pPr>
            <w:r>
              <w:rPr>
                <w:rFonts w:hint="eastAsia"/>
              </w:rPr>
              <w:t>工频磁感应强度</w:t>
            </w:r>
          </w:p>
        </w:tc>
      </w:tr>
      <w:tr w14:paraId="14E1F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01" w:type="pct"/>
            <w:vAlign w:val="center"/>
          </w:tcPr>
          <w:p w14:paraId="39495187">
            <w:pPr>
              <w:pStyle w:val="159"/>
            </w:pPr>
            <w:r>
              <w:rPr>
                <w:rFonts w:hint="eastAsia"/>
              </w:rPr>
              <w:t>E</w:t>
            </w:r>
            <w:r>
              <w:t>2</w:t>
            </w:r>
          </w:p>
        </w:tc>
        <w:tc>
          <w:tcPr>
            <w:tcW w:w="1937" w:type="pct"/>
            <w:vAlign w:val="center"/>
          </w:tcPr>
          <w:p w14:paraId="4CC98999">
            <w:pPr>
              <w:pStyle w:val="159"/>
            </w:pPr>
            <w:r>
              <w:rPr>
                <w:rFonts w:hint="eastAsia"/>
              </w:rPr>
              <w:t>湘江村木源岔组居民房屋1东侧</w:t>
            </w:r>
          </w:p>
        </w:tc>
        <w:tc>
          <w:tcPr>
            <w:tcW w:w="1291" w:type="pct"/>
            <w:vMerge w:val="restart"/>
            <w:vAlign w:val="center"/>
          </w:tcPr>
          <w:p w14:paraId="6AB09F73">
            <w:pPr>
              <w:pStyle w:val="159"/>
            </w:pPr>
            <w:r>
              <w:rPr>
                <w:rFonts w:hint="eastAsia"/>
              </w:rPr>
              <w:t>建筑外墙外</w:t>
            </w:r>
            <w:r>
              <w:t>1m</w:t>
            </w:r>
            <w:r>
              <w:rPr>
                <w:rFonts w:hint="eastAsia"/>
              </w:rPr>
              <w:t>、地面上方</w:t>
            </w:r>
            <w:r>
              <w:t>1.5m</w:t>
            </w:r>
            <w:r>
              <w:rPr>
                <w:rFonts w:hint="eastAsia"/>
              </w:rPr>
              <w:t>高度</w:t>
            </w:r>
          </w:p>
        </w:tc>
        <w:tc>
          <w:tcPr>
            <w:tcW w:w="1371" w:type="pct"/>
            <w:vMerge w:val="continue"/>
            <w:vAlign w:val="center"/>
          </w:tcPr>
          <w:p w14:paraId="7DD458FB">
            <w:pPr>
              <w:pStyle w:val="159"/>
            </w:pPr>
          </w:p>
        </w:tc>
      </w:tr>
      <w:tr w14:paraId="7CCBA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01" w:type="pct"/>
            <w:vAlign w:val="center"/>
          </w:tcPr>
          <w:p w14:paraId="3C8F99E6">
            <w:pPr>
              <w:pStyle w:val="159"/>
            </w:pPr>
            <w:r>
              <w:rPr>
                <w:rFonts w:hint="eastAsia"/>
              </w:rPr>
              <w:t>E</w:t>
            </w:r>
            <w:r>
              <w:t>3</w:t>
            </w:r>
          </w:p>
        </w:tc>
        <w:tc>
          <w:tcPr>
            <w:tcW w:w="1937" w:type="pct"/>
            <w:vAlign w:val="center"/>
          </w:tcPr>
          <w:p w14:paraId="6C0FED36">
            <w:pPr>
              <w:pStyle w:val="159"/>
            </w:pPr>
            <w:r>
              <w:rPr>
                <w:rFonts w:hint="eastAsia"/>
              </w:rPr>
              <w:t>湘江村木源岔组居民房屋</w:t>
            </w:r>
            <w:r>
              <w:t>2</w:t>
            </w:r>
            <w:r>
              <w:rPr>
                <w:rFonts w:hint="eastAsia"/>
              </w:rPr>
              <w:t>东侧</w:t>
            </w:r>
          </w:p>
        </w:tc>
        <w:tc>
          <w:tcPr>
            <w:tcW w:w="1291" w:type="pct"/>
            <w:vMerge w:val="continue"/>
            <w:vAlign w:val="center"/>
          </w:tcPr>
          <w:p w14:paraId="3A0C1698">
            <w:pPr>
              <w:pStyle w:val="159"/>
            </w:pPr>
          </w:p>
        </w:tc>
        <w:tc>
          <w:tcPr>
            <w:tcW w:w="1371" w:type="pct"/>
            <w:vMerge w:val="continue"/>
            <w:vAlign w:val="center"/>
          </w:tcPr>
          <w:p w14:paraId="3835EC05">
            <w:pPr>
              <w:pStyle w:val="159"/>
            </w:pPr>
          </w:p>
        </w:tc>
      </w:tr>
      <w:tr w14:paraId="1A0CB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01" w:type="pct"/>
            <w:vAlign w:val="center"/>
          </w:tcPr>
          <w:p w14:paraId="2BDE05E6">
            <w:pPr>
              <w:pStyle w:val="159"/>
            </w:pPr>
            <w:r>
              <w:rPr>
                <w:rFonts w:hint="eastAsia"/>
              </w:rPr>
              <w:t>E4</w:t>
            </w:r>
          </w:p>
        </w:tc>
        <w:tc>
          <w:tcPr>
            <w:tcW w:w="1937" w:type="pct"/>
            <w:vAlign w:val="center"/>
          </w:tcPr>
          <w:p w14:paraId="7F95029F">
            <w:pPr>
              <w:pStyle w:val="159"/>
            </w:pPr>
            <w:r>
              <w:rPr>
                <w:rFonts w:hint="eastAsia"/>
              </w:rPr>
              <w:t>湘江村大湾井组居民房屋1东侧</w:t>
            </w:r>
          </w:p>
        </w:tc>
        <w:tc>
          <w:tcPr>
            <w:tcW w:w="1291" w:type="pct"/>
            <w:vMerge w:val="continue"/>
            <w:vAlign w:val="center"/>
          </w:tcPr>
          <w:p w14:paraId="12928533">
            <w:pPr>
              <w:pStyle w:val="159"/>
            </w:pPr>
          </w:p>
        </w:tc>
        <w:tc>
          <w:tcPr>
            <w:tcW w:w="1371" w:type="pct"/>
            <w:vMerge w:val="continue"/>
            <w:vAlign w:val="center"/>
          </w:tcPr>
          <w:p w14:paraId="79957D3E">
            <w:pPr>
              <w:pStyle w:val="159"/>
            </w:pPr>
          </w:p>
        </w:tc>
      </w:tr>
      <w:tr w14:paraId="5AB4C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01" w:type="pct"/>
            <w:vAlign w:val="center"/>
          </w:tcPr>
          <w:p w14:paraId="75D5B957">
            <w:pPr>
              <w:pStyle w:val="159"/>
            </w:pPr>
            <w:r>
              <w:rPr>
                <w:rFonts w:hint="eastAsia"/>
              </w:rPr>
              <w:t>E</w:t>
            </w:r>
            <w:r>
              <w:t>5</w:t>
            </w:r>
          </w:p>
        </w:tc>
        <w:tc>
          <w:tcPr>
            <w:tcW w:w="1937" w:type="pct"/>
            <w:vAlign w:val="center"/>
          </w:tcPr>
          <w:p w14:paraId="2334257C">
            <w:pPr>
              <w:pStyle w:val="159"/>
            </w:pPr>
            <w:r>
              <w:rPr>
                <w:rFonts w:hint="eastAsia"/>
              </w:rPr>
              <w:t>湘江村大湾井组居民房屋</w:t>
            </w:r>
            <w:r>
              <w:t>2</w:t>
            </w:r>
            <w:r>
              <w:rPr>
                <w:rFonts w:hint="eastAsia"/>
              </w:rPr>
              <w:t>东南侧</w:t>
            </w:r>
          </w:p>
        </w:tc>
        <w:tc>
          <w:tcPr>
            <w:tcW w:w="1291" w:type="pct"/>
            <w:vMerge w:val="continue"/>
            <w:vAlign w:val="center"/>
          </w:tcPr>
          <w:p w14:paraId="228EC8A9">
            <w:pPr>
              <w:pStyle w:val="159"/>
            </w:pPr>
          </w:p>
        </w:tc>
        <w:tc>
          <w:tcPr>
            <w:tcW w:w="1371" w:type="pct"/>
            <w:vMerge w:val="continue"/>
            <w:vAlign w:val="center"/>
          </w:tcPr>
          <w:p w14:paraId="57981BBC">
            <w:pPr>
              <w:pStyle w:val="159"/>
            </w:pPr>
          </w:p>
        </w:tc>
      </w:tr>
      <w:tr w14:paraId="6B80E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01" w:type="pct"/>
            <w:vAlign w:val="center"/>
          </w:tcPr>
          <w:p w14:paraId="6365B2FF">
            <w:pPr>
              <w:pStyle w:val="159"/>
            </w:pPr>
            <w:r>
              <w:rPr>
                <w:rFonts w:hint="eastAsia"/>
              </w:rPr>
              <w:t>E</w:t>
            </w:r>
            <w:r>
              <w:t>6</w:t>
            </w:r>
          </w:p>
        </w:tc>
        <w:tc>
          <w:tcPr>
            <w:tcW w:w="1937" w:type="pct"/>
            <w:vAlign w:val="center"/>
          </w:tcPr>
          <w:p w14:paraId="4F90D42D">
            <w:pPr>
              <w:pStyle w:val="159"/>
            </w:pPr>
            <w:r>
              <w:rPr>
                <w:rFonts w:hint="eastAsia"/>
              </w:rPr>
              <w:t>贝江变电站东侧围墙外</w:t>
            </w:r>
          </w:p>
        </w:tc>
        <w:tc>
          <w:tcPr>
            <w:tcW w:w="1291" w:type="pct"/>
            <w:vMerge w:val="restart"/>
            <w:vAlign w:val="center"/>
          </w:tcPr>
          <w:p w14:paraId="02289FA3">
            <w:pPr>
              <w:pStyle w:val="159"/>
            </w:pPr>
            <w:r>
              <w:rPr>
                <w:rFonts w:hint="eastAsia"/>
              </w:rPr>
              <w:t>围墙外</w:t>
            </w:r>
            <w:r>
              <w:t>5m</w:t>
            </w:r>
            <w:r>
              <w:rPr>
                <w:rFonts w:hint="eastAsia"/>
              </w:rPr>
              <w:t>、地面上方</w:t>
            </w:r>
            <w:r>
              <w:t>1.5m</w:t>
            </w:r>
            <w:r>
              <w:rPr>
                <w:rFonts w:hint="eastAsia"/>
              </w:rPr>
              <w:t>高度</w:t>
            </w:r>
          </w:p>
        </w:tc>
        <w:tc>
          <w:tcPr>
            <w:tcW w:w="1371" w:type="pct"/>
            <w:vMerge w:val="continue"/>
            <w:vAlign w:val="center"/>
          </w:tcPr>
          <w:p w14:paraId="469878A1">
            <w:pPr>
              <w:pStyle w:val="159"/>
            </w:pPr>
          </w:p>
        </w:tc>
      </w:tr>
      <w:tr w14:paraId="4918C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01" w:type="pct"/>
            <w:vAlign w:val="center"/>
          </w:tcPr>
          <w:p w14:paraId="4B7DA589">
            <w:pPr>
              <w:pStyle w:val="159"/>
            </w:pPr>
            <w:r>
              <w:rPr>
                <w:rFonts w:hint="eastAsia"/>
              </w:rPr>
              <w:t>E7</w:t>
            </w:r>
          </w:p>
        </w:tc>
        <w:tc>
          <w:tcPr>
            <w:tcW w:w="1937" w:type="pct"/>
            <w:vAlign w:val="center"/>
          </w:tcPr>
          <w:p w14:paraId="2E4448DF">
            <w:pPr>
              <w:pStyle w:val="159"/>
            </w:pPr>
            <w:r>
              <w:rPr>
                <w:rFonts w:hint="eastAsia"/>
              </w:rPr>
              <w:t>贝江变电站南侧围墙外</w:t>
            </w:r>
          </w:p>
        </w:tc>
        <w:tc>
          <w:tcPr>
            <w:tcW w:w="1291" w:type="pct"/>
            <w:vMerge w:val="continue"/>
            <w:vAlign w:val="center"/>
          </w:tcPr>
          <w:p w14:paraId="0CAC4D29">
            <w:pPr>
              <w:pStyle w:val="159"/>
            </w:pPr>
          </w:p>
        </w:tc>
        <w:tc>
          <w:tcPr>
            <w:tcW w:w="1371" w:type="pct"/>
            <w:vMerge w:val="continue"/>
            <w:vAlign w:val="center"/>
          </w:tcPr>
          <w:p w14:paraId="7AF83D64">
            <w:pPr>
              <w:pStyle w:val="159"/>
            </w:pPr>
          </w:p>
        </w:tc>
      </w:tr>
      <w:tr w14:paraId="6E204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01" w:type="pct"/>
            <w:vAlign w:val="center"/>
          </w:tcPr>
          <w:p w14:paraId="57DFFE49">
            <w:pPr>
              <w:pStyle w:val="159"/>
            </w:pPr>
            <w:r>
              <w:rPr>
                <w:rFonts w:hint="eastAsia"/>
              </w:rPr>
              <w:t>E</w:t>
            </w:r>
            <w:r>
              <w:t>8</w:t>
            </w:r>
          </w:p>
        </w:tc>
        <w:tc>
          <w:tcPr>
            <w:tcW w:w="1937" w:type="pct"/>
            <w:vAlign w:val="center"/>
          </w:tcPr>
          <w:p w14:paraId="472B2616">
            <w:pPr>
              <w:pStyle w:val="159"/>
            </w:pPr>
            <w:r>
              <w:rPr>
                <w:rFonts w:hint="eastAsia"/>
              </w:rPr>
              <w:t>贝江变电站西侧围墙外</w:t>
            </w:r>
          </w:p>
        </w:tc>
        <w:tc>
          <w:tcPr>
            <w:tcW w:w="1291" w:type="pct"/>
            <w:vMerge w:val="continue"/>
            <w:vAlign w:val="center"/>
          </w:tcPr>
          <w:p w14:paraId="5D610596">
            <w:pPr>
              <w:pStyle w:val="159"/>
            </w:pPr>
          </w:p>
        </w:tc>
        <w:tc>
          <w:tcPr>
            <w:tcW w:w="1371" w:type="pct"/>
            <w:vMerge w:val="continue"/>
            <w:vAlign w:val="center"/>
          </w:tcPr>
          <w:p w14:paraId="6E23A0EA">
            <w:pPr>
              <w:pStyle w:val="159"/>
            </w:pPr>
          </w:p>
        </w:tc>
      </w:tr>
      <w:tr w14:paraId="362CE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01" w:type="pct"/>
            <w:vAlign w:val="center"/>
          </w:tcPr>
          <w:p w14:paraId="67134832">
            <w:pPr>
              <w:pStyle w:val="159"/>
            </w:pPr>
            <w:r>
              <w:rPr>
                <w:rFonts w:hint="eastAsia"/>
              </w:rPr>
              <w:t>E9</w:t>
            </w:r>
          </w:p>
        </w:tc>
        <w:tc>
          <w:tcPr>
            <w:tcW w:w="1937" w:type="pct"/>
            <w:vAlign w:val="center"/>
          </w:tcPr>
          <w:p w14:paraId="69C5A6F7">
            <w:pPr>
              <w:pStyle w:val="159"/>
            </w:pPr>
            <w:r>
              <w:rPr>
                <w:rFonts w:hint="eastAsia"/>
              </w:rPr>
              <w:t>贝江变电站北侧围墙外</w:t>
            </w:r>
          </w:p>
        </w:tc>
        <w:tc>
          <w:tcPr>
            <w:tcW w:w="1291" w:type="pct"/>
            <w:vMerge w:val="continue"/>
            <w:vAlign w:val="center"/>
          </w:tcPr>
          <w:p w14:paraId="5EA334C9">
            <w:pPr>
              <w:pStyle w:val="159"/>
            </w:pPr>
          </w:p>
        </w:tc>
        <w:tc>
          <w:tcPr>
            <w:tcW w:w="1371" w:type="pct"/>
            <w:vMerge w:val="continue"/>
            <w:vAlign w:val="center"/>
          </w:tcPr>
          <w:p w14:paraId="44D65A30">
            <w:pPr>
              <w:pStyle w:val="159"/>
            </w:pPr>
          </w:p>
        </w:tc>
      </w:tr>
    </w:tbl>
    <w:p w14:paraId="18B1741A"/>
    <w:p w14:paraId="0FCF38D1">
      <w:pPr>
        <w:pStyle w:val="5"/>
        <w:ind w:left="0" w:firstLine="0"/>
      </w:pPr>
      <w:r>
        <w:rPr>
          <w:rFonts w:hint="eastAsia"/>
        </w:rPr>
        <w:t>监测时间、监测频次、监测环境</w:t>
      </w:r>
      <w:bookmarkEnd w:id="317"/>
      <w:bookmarkEnd w:id="318"/>
    </w:p>
    <w:p w14:paraId="1BC3632C">
      <w:pPr>
        <w:pStyle w:val="4"/>
        <w:spacing w:line="360" w:lineRule="auto"/>
        <w:ind w:firstLine="480"/>
        <w:rPr>
          <w:sz w:val="24"/>
          <w:szCs w:val="24"/>
        </w:rPr>
      </w:pPr>
      <w:r>
        <w:rPr>
          <w:rFonts w:hint="eastAsia"/>
          <w:sz w:val="24"/>
          <w:szCs w:val="24"/>
        </w:rPr>
        <w:t>监测时间：</w:t>
      </w:r>
      <w:r>
        <w:rPr>
          <w:sz w:val="24"/>
        </w:rPr>
        <w:t>2024年11月21日</w:t>
      </w:r>
      <w:r>
        <w:rPr>
          <w:rFonts w:hint="eastAsia"/>
          <w:sz w:val="24"/>
          <w:szCs w:val="24"/>
        </w:rPr>
        <w:t>。</w:t>
      </w:r>
    </w:p>
    <w:p w14:paraId="31C06022">
      <w:pPr>
        <w:pStyle w:val="4"/>
        <w:spacing w:line="360" w:lineRule="auto"/>
        <w:ind w:firstLine="480"/>
        <w:rPr>
          <w:sz w:val="24"/>
          <w:szCs w:val="24"/>
        </w:rPr>
      </w:pPr>
      <w:r>
        <w:rPr>
          <w:rFonts w:hint="eastAsia"/>
          <w:sz w:val="24"/>
          <w:szCs w:val="24"/>
        </w:rPr>
        <w:t>监测频次：昼间监测一次。</w:t>
      </w:r>
    </w:p>
    <w:p w14:paraId="3C34C754">
      <w:pPr>
        <w:pStyle w:val="4"/>
        <w:spacing w:line="360" w:lineRule="auto"/>
        <w:ind w:firstLine="480"/>
        <w:rPr>
          <w:sz w:val="24"/>
          <w:szCs w:val="24"/>
        </w:rPr>
      </w:pPr>
      <w:r>
        <w:rPr>
          <w:rFonts w:hint="eastAsia"/>
          <w:sz w:val="24"/>
          <w:szCs w:val="24"/>
        </w:rPr>
        <w:t>监测环境：天气晴，</w:t>
      </w:r>
      <w:r>
        <w:rPr>
          <w:rStyle w:val="49"/>
          <w:rFonts w:hint="eastAsia"/>
        </w:rPr>
        <w:t>温度</w:t>
      </w:r>
      <w:r>
        <w:rPr>
          <w:rStyle w:val="49"/>
        </w:rPr>
        <w:t>14.7</w:t>
      </w:r>
      <w:r>
        <w:rPr>
          <w:rStyle w:val="49"/>
          <w:rFonts w:hint="eastAsia"/>
        </w:rPr>
        <w:t>℃，相对湿度6</w:t>
      </w:r>
      <w:r>
        <w:rPr>
          <w:rStyle w:val="49"/>
        </w:rPr>
        <w:t>0</w:t>
      </w:r>
      <w:r>
        <w:rPr>
          <w:rStyle w:val="49"/>
          <w:rFonts w:hint="eastAsia"/>
        </w:rPr>
        <w:t>%。</w:t>
      </w:r>
    </w:p>
    <w:p w14:paraId="6C28C833">
      <w:pPr>
        <w:pStyle w:val="5"/>
        <w:ind w:left="0" w:firstLine="0"/>
      </w:pPr>
      <w:bookmarkStart w:id="319" w:name="_Toc25774985"/>
      <w:bookmarkStart w:id="320" w:name="_Toc25834144"/>
      <w:r>
        <w:rPr>
          <w:rFonts w:hint="eastAsia"/>
        </w:rPr>
        <w:t>监测方法</w:t>
      </w:r>
      <w:bookmarkEnd w:id="319"/>
      <w:bookmarkEnd w:id="320"/>
    </w:p>
    <w:p w14:paraId="73953127">
      <w:pPr>
        <w:pStyle w:val="4"/>
        <w:spacing w:line="360" w:lineRule="auto"/>
        <w:ind w:firstLine="480"/>
        <w:rPr>
          <w:sz w:val="24"/>
          <w:szCs w:val="24"/>
        </w:rPr>
      </w:pPr>
      <w:r>
        <w:rPr>
          <w:rFonts w:hint="eastAsia"/>
          <w:sz w:val="24"/>
          <w:szCs w:val="24"/>
        </w:rPr>
        <w:t>《交流输变电工程电磁环境监测方法（试行）》（</w:t>
      </w:r>
      <w:r>
        <w:rPr>
          <w:sz w:val="24"/>
          <w:szCs w:val="24"/>
        </w:rPr>
        <w:t>HJ 681-2013</w:t>
      </w:r>
      <w:r>
        <w:rPr>
          <w:rFonts w:hint="eastAsia"/>
          <w:sz w:val="24"/>
          <w:szCs w:val="24"/>
        </w:rPr>
        <w:t>）执行。</w:t>
      </w:r>
    </w:p>
    <w:p w14:paraId="3D8BA346">
      <w:pPr>
        <w:pStyle w:val="5"/>
        <w:ind w:left="0" w:firstLine="0"/>
      </w:pPr>
      <w:bookmarkStart w:id="321" w:name="_Toc25774986"/>
      <w:bookmarkStart w:id="322" w:name="_Toc25834145"/>
      <w:r>
        <w:rPr>
          <w:rFonts w:hint="eastAsia"/>
        </w:rPr>
        <w:t>监测仪器</w:t>
      </w:r>
      <w:bookmarkEnd w:id="321"/>
      <w:bookmarkEnd w:id="322"/>
    </w:p>
    <w:p w14:paraId="310382E1">
      <w:pPr>
        <w:pStyle w:val="4"/>
        <w:spacing w:line="360" w:lineRule="auto"/>
        <w:ind w:firstLine="480"/>
        <w:rPr>
          <w:rFonts w:ascii="宋体" w:hAnsi="宋体"/>
        </w:rPr>
      </w:pPr>
      <w:r>
        <w:rPr>
          <w:rFonts w:hint="eastAsia"/>
          <w:sz w:val="24"/>
          <w:szCs w:val="24"/>
        </w:rPr>
        <w:t>电磁环境现状监测仪器见表2</w:t>
      </w:r>
      <w:r>
        <w:rPr>
          <w:sz w:val="24"/>
          <w:szCs w:val="24"/>
        </w:rPr>
        <w:t>.4-1</w:t>
      </w:r>
      <w:r>
        <w:rPr>
          <w:rFonts w:hint="eastAsia" w:ascii="宋体" w:hAnsi="宋体"/>
        </w:rPr>
        <w:t>。</w:t>
      </w:r>
    </w:p>
    <w:p w14:paraId="7E796EEB">
      <w:pPr>
        <w:pStyle w:val="4"/>
        <w:spacing w:line="360" w:lineRule="auto"/>
        <w:ind w:firstLine="480"/>
        <w:rPr>
          <w:rFonts w:ascii="宋体" w:hAnsi="宋体"/>
        </w:rPr>
      </w:pPr>
    </w:p>
    <w:p w14:paraId="06DC08FA">
      <w:pPr>
        <w:pStyle w:val="4"/>
        <w:spacing w:line="360" w:lineRule="auto"/>
        <w:ind w:firstLine="480"/>
        <w:rPr>
          <w:rFonts w:ascii="宋体" w:hAnsi="宋体"/>
        </w:rPr>
      </w:pPr>
    </w:p>
    <w:p w14:paraId="59E48736">
      <w:pPr>
        <w:pStyle w:val="4"/>
        <w:spacing w:line="360" w:lineRule="auto"/>
        <w:ind w:firstLine="480"/>
        <w:rPr>
          <w:rFonts w:ascii="宋体" w:hAnsi="宋体"/>
        </w:rPr>
      </w:pPr>
    </w:p>
    <w:p w14:paraId="54042CFD">
      <w:pPr>
        <w:pStyle w:val="4"/>
        <w:spacing w:line="360" w:lineRule="auto"/>
        <w:ind w:firstLine="480"/>
      </w:pPr>
    </w:p>
    <w:p w14:paraId="6EC0D265">
      <w:pPr>
        <w:pStyle w:val="148"/>
      </w:pPr>
      <w:r>
        <w:rPr>
          <w:rFonts w:hint="eastAsia"/>
        </w:rPr>
        <w:t>表2</w:t>
      </w:r>
      <w:r>
        <w:t xml:space="preserve">.4-1  </w:t>
      </w:r>
      <w:r>
        <w:rPr>
          <w:rFonts w:hint="eastAsia"/>
        </w:rPr>
        <w:t>电磁环境现状监测仪器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8"/>
        <w:gridCol w:w="5749"/>
      </w:tblGrid>
      <w:tr w14:paraId="061C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5" w:type="pct"/>
            <w:vAlign w:val="center"/>
          </w:tcPr>
          <w:p w14:paraId="765452AA">
            <w:pPr>
              <w:pStyle w:val="159"/>
            </w:pPr>
            <w:bookmarkStart w:id="323" w:name="_Toc25774987"/>
            <w:bookmarkStart w:id="324" w:name="_Toc25834146"/>
            <w:r>
              <w:rPr>
                <w:rFonts w:hint="eastAsia"/>
              </w:rPr>
              <w:t>监测仪</w:t>
            </w:r>
          </w:p>
        </w:tc>
        <w:tc>
          <w:tcPr>
            <w:tcW w:w="3095" w:type="pct"/>
            <w:vAlign w:val="center"/>
          </w:tcPr>
          <w:p w14:paraId="1BF44C34">
            <w:pPr>
              <w:pStyle w:val="159"/>
            </w:pPr>
            <w:r>
              <w:rPr>
                <w:rFonts w:hint="eastAsia"/>
              </w:rPr>
              <w:t>工频场强计</w:t>
            </w:r>
          </w:p>
        </w:tc>
      </w:tr>
      <w:tr w14:paraId="2040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5" w:type="pct"/>
            <w:vAlign w:val="center"/>
          </w:tcPr>
          <w:p w14:paraId="0398E6DF">
            <w:pPr>
              <w:pStyle w:val="159"/>
            </w:pPr>
            <w:r>
              <w:rPr>
                <w:rFonts w:hint="eastAsia"/>
              </w:rPr>
              <w:t>生产厂家</w:t>
            </w:r>
          </w:p>
        </w:tc>
        <w:tc>
          <w:tcPr>
            <w:tcW w:w="3095" w:type="pct"/>
            <w:vAlign w:val="center"/>
          </w:tcPr>
          <w:p w14:paraId="1BDD9F9A">
            <w:pPr>
              <w:pStyle w:val="159"/>
              <w:rPr>
                <w:color w:val="FF0000"/>
              </w:rPr>
            </w:pPr>
            <w:r>
              <w:rPr>
                <w:rFonts w:hint="eastAsia"/>
              </w:rPr>
              <w:t>武汉碧海云天</w:t>
            </w:r>
          </w:p>
        </w:tc>
      </w:tr>
      <w:tr w14:paraId="22C3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5" w:type="pct"/>
            <w:vAlign w:val="center"/>
          </w:tcPr>
          <w:p w14:paraId="6A2D1ED2">
            <w:pPr>
              <w:pStyle w:val="159"/>
            </w:pPr>
            <w:r>
              <w:rPr>
                <w:rFonts w:hint="eastAsia"/>
              </w:rPr>
              <w:t>出场</w:t>
            </w:r>
            <w:r>
              <w:t>编号</w:t>
            </w:r>
          </w:p>
        </w:tc>
        <w:tc>
          <w:tcPr>
            <w:tcW w:w="3095" w:type="pct"/>
            <w:vAlign w:val="center"/>
          </w:tcPr>
          <w:p w14:paraId="60045F2A">
            <w:pPr>
              <w:pStyle w:val="159"/>
              <w:rPr>
                <w:color w:val="FF0000"/>
              </w:rPr>
            </w:pPr>
            <w:r>
              <w:rPr>
                <w:rFonts w:hint="eastAsia"/>
              </w:rPr>
              <w:t>A02480304</w:t>
            </w:r>
          </w:p>
        </w:tc>
      </w:tr>
      <w:tr w14:paraId="6051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5" w:type="pct"/>
            <w:vAlign w:val="center"/>
          </w:tcPr>
          <w:p w14:paraId="49817CD2">
            <w:pPr>
              <w:pStyle w:val="159"/>
            </w:pPr>
            <w:r>
              <w:rPr>
                <w:rFonts w:hint="eastAsia"/>
              </w:rPr>
              <w:t>计量校准单位</w:t>
            </w:r>
          </w:p>
        </w:tc>
        <w:tc>
          <w:tcPr>
            <w:tcW w:w="3095" w:type="pct"/>
            <w:vAlign w:val="center"/>
          </w:tcPr>
          <w:p w14:paraId="079E55E4">
            <w:pPr>
              <w:pStyle w:val="159"/>
              <w:rPr>
                <w:color w:val="FF0000"/>
              </w:rPr>
            </w:pPr>
            <w:r>
              <w:rPr>
                <w:rFonts w:hint="eastAsia"/>
              </w:rPr>
              <w:t>深圳市港湾计量检测有限公司</w:t>
            </w:r>
          </w:p>
        </w:tc>
      </w:tr>
      <w:tr w14:paraId="2401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5" w:type="pct"/>
            <w:vAlign w:val="center"/>
          </w:tcPr>
          <w:p w14:paraId="3A0851D0">
            <w:pPr>
              <w:pStyle w:val="159"/>
            </w:pPr>
            <w:r>
              <w:rPr>
                <w:rFonts w:hint="eastAsia"/>
              </w:rPr>
              <w:t>证书编号</w:t>
            </w:r>
          </w:p>
        </w:tc>
        <w:tc>
          <w:tcPr>
            <w:tcW w:w="3095" w:type="pct"/>
            <w:vAlign w:val="center"/>
          </w:tcPr>
          <w:p w14:paraId="6C3763F0">
            <w:pPr>
              <w:pStyle w:val="159"/>
              <w:rPr>
                <w:color w:val="FF0000"/>
              </w:rPr>
            </w:pPr>
            <w:r>
              <w:rPr>
                <w:rFonts w:hint="eastAsia"/>
              </w:rPr>
              <w:t>GW2024--LYGE06260013</w:t>
            </w:r>
          </w:p>
        </w:tc>
      </w:tr>
      <w:tr w14:paraId="6004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5" w:type="pct"/>
            <w:vAlign w:val="center"/>
          </w:tcPr>
          <w:p w14:paraId="779695EB">
            <w:pPr>
              <w:pStyle w:val="159"/>
            </w:pPr>
            <w:r>
              <w:rPr>
                <w:rFonts w:hint="eastAsia"/>
              </w:rPr>
              <w:t>有效期限至</w:t>
            </w:r>
          </w:p>
        </w:tc>
        <w:tc>
          <w:tcPr>
            <w:tcW w:w="3095" w:type="pct"/>
            <w:vAlign w:val="center"/>
          </w:tcPr>
          <w:p w14:paraId="67025859">
            <w:pPr>
              <w:pStyle w:val="159"/>
              <w:rPr>
                <w:color w:val="FF0000"/>
              </w:rPr>
            </w:pPr>
            <w:r>
              <w:rPr>
                <w:rFonts w:hint="eastAsia"/>
              </w:rPr>
              <w:t>2025年6月26日</w:t>
            </w:r>
          </w:p>
        </w:tc>
      </w:tr>
    </w:tbl>
    <w:p w14:paraId="1BEA619F">
      <w:pPr>
        <w:pStyle w:val="3"/>
        <w:rPr>
          <w:sz w:val="10"/>
          <w:szCs w:val="10"/>
        </w:rPr>
      </w:pPr>
    </w:p>
    <w:p w14:paraId="1A54C34D"/>
    <w:p w14:paraId="09AFDDDE">
      <w:pPr>
        <w:pStyle w:val="5"/>
        <w:ind w:left="0" w:firstLine="0"/>
      </w:pPr>
      <w:r>
        <w:rPr>
          <w:rFonts w:hint="eastAsia"/>
        </w:rPr>
        <w:t>监测结果</w:t>
      </w:r>
      <w:bookmarkEnd w:id="323"/>
      <w:bookmarkEnd w:id="324"/>
    </w:p>
    <w:p w14:paraId="3ADF3D9A">
      <w:pPr>
        <w:pStyle w:val="4"/>
        <w:spacing w:line="360" w:lineRule="auto"/>
        <w:ind w:firstLine="480"/>
        <w:rPr>
          <w:sz w:val="24"/>
          <w:szCs w:val="24"/>
        </w:rPr>
      </w:pPr>
      <w:r>
        <w:rPr>
          <w:rFonts w:hint="eastAsia"/>
          <w:sz w:val="24"/>
          <w:szCs w:val="24"/>
        </w:rPr>
        <w:t>电磁环境现状监测结果见表2</w:t>
      </w:r>
      <w:r>
        <w:rPr>
          <w:sz w:val="24"/>
          <w:szCs w:val="24"/>
        </w:rPr>
        <w:t>.5-1</w:t>
      </w:r>
      <w:r>
        <w:rPr>
          <w:rFonts w:hint="eastAsia" w:ascii="宋体" w:hAnsi="宋体"/>
          <w:sz w:val="24"/>
          <w:szCs w:val="24"/>
        </w:rPr>
        <w:t>。</w:t>
      </w:r>
    </w:p>
    <w:p w14:paraId="214B2061">
      <w:pPr>
        <w:pStyle w:val="148"/>
      </w:pPr>
      <w:r>
        <w:rPr>
          <w:rFonts w:hint="eastAsia"/>
        </w:rPr>
        <w:t>表2</w:t>
      </w:r>
      <w:r>
        <w:t xml:space="preserve">.5-1  </w:t>
      </w:r>
      <w:r>
        <w:rPr>
          <w:rFonts w:hint="eastAsia"/>
        </w:rPr>
        <w:t>电磁环境现状监测结果</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19"/>
        <w:gridCol w:w="3400"/>
        <w:gridCol w:w="1437"/>
        <w:gridCol w:w="1148"/>
        <w:gridCol w:w="1743"/>
        <w:gridCol w:w="838"/>
      </w:tblGrid>
      <w:tr w14:paraId="609F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37" w:type="pct"/>
            <w:vAlign w:val="center"/>
          </w:tcPr>
          <w:p w14:paraId="5A25DE23">
            <w:pPr>
              <w:pStyle w:val="159"/>
            </w:pPr>
            <w:r>
              <w:rPr>
                <w:rFonts w:hint="eastAsia"/>
              </w:rPr>
              <w:t>编</w:t>
            </w:r>
            <w:r>
              <w:t>号</w:t>
            </w:r>
          </w:p>
        </w:tc>
        <w:tc>
          <w:tcPr>
            <w:tcW w:w="1851" w:type="pct"/>
            <w:vAlign w:val="center"/>
          </w:tcPr>
          <w:p w14:paraId="79C7C7B1">
            <w:pPr>
              <w:pStyle w:val="159"/>
            </w:pPr>
            <w:r>
              <w:rPr>
                <w:rFonts w:hint="eastAsia"/>
              </w:rPr>
              <w:t>监测点位名称</w:t>
            </w:r>
          </w:p>
        </w:tc>
        <w:tc>
          <w:tcPr>
            <w:tcW w:w="782" w:type="pct"/>
            <w:vAlign w:val="center"/>
          </w:tcPr>
          <w:p w14:paraId="0044CF7C">
            <w:pPr>
              <w:pStyle w:val="159"/>
            </w:pPr>
            <w:r>
              <w:t>工频电场强度（V/m）</w:t>
            </w:r>
          </w:p>
        </w:tc>
        <w:tc>
          <w:tcPr>
            <w:tcW w:w="625" w:type="pct"/>
            <w:vAlign w:val="center"/>
          </w:tcPr>
          <w:p w14:paraId="6AD87706">
            <w:pPr>
              <w:pStyle w:val="159"/>
            </w:pPr>
            <w:r>
              <w:rPr>
                <w:rFonts w:hint="eastAsia"/>
              </w:rPr>
              <w:t>工频</w:t>
            </w:r>
            <w:r>
              <w:t>磁感应强度（μT）</w:t>
            </w:r>
          </w:p>
        </w:tc>
        <w:tc>
          <w:tcPr>
            <w:tcW w:w="949" w:type="pct"/>
            <w:vAlign w:val="center"/>
          </w:tcPr>
          <w:p w14:paraId="0D5B1D1E">
            <w:pPr>
              <w:pStyle w:val="159"/>
              <w:rPr>
                <w:highlight w:val="yellow"/>
              </w:rPr>
            </w:pPr>
            <w:r>
              <w:rPr>
                <w:rFonts w:hint="eastAsia"/>
              </w:rPr>
              <w:t>《电磁环境控制限值》（GB8702-2014）</w:t>
            </w:r>
          </w:p>
        </w:tc>
        <w:tc>
          <w:tcPr>
            <w:tcW w:w="456" w:type="pct"/>
            <w:vAlign w:val="center"/>
          </w:tcPr>
          <w:p w14:paraId="21F721F4">
            <w:pPr>
              <w:pStyle w:val="159"/>
            </w:pPr>
            <w:r>
              <w:rPr>
                <w:rFonts w:hint="eastAsia"/>
              </w:rPr>
              <w:t>是否</w:t>
            </w:r>
          </w:p>
          <w:p w14:paraId="7B78B407">
            <w:pPr>
              <w:pStyle w:val="159"/>
            </w:pPr>
            <w:r>
              <w:t>达标</w:t>
            </w:r>
          </w:p>
        </w:tc>
      </w:tr>
      <w:tr w14:paraId="63E1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37" w:type="pct"/>
            <w:vAlign w:val="center"/>
          </w:tcPr>
          <w:p w14:paraId="5FA101F6">
            <w:pPr>
              <w:pStyle w:val="159"/>
            </w:pPr>
            <w:r>
              <w:rPr>
                <w:rFonts w:hint="eastAsia"/>
              </w:rPr>
              <w:t>1</w:t>
            </w:r>
          </w:p>
        </w:tc>
        <w:tc>
          <w:tcPr>
            <w:tcW w:w="1851" w:type="pct"/>
            <w:vAlign w:val="center"/>
          </w:tcPr>
          <w:p w14:paraId="3ED5309B">
            <w:pPr>
              <w:pStyle w:val="159"/>
            </w:pPr>
            <w:r>
              <w:rPr>
                <w:rFonts w:hint="eastAsia"/>
              </w:rPr>
              <w:t>基地源变电站中心</w:t>
            </w:r>
          </w:p>
        </w:tc>
        <w:tc>
          <w:tcPr>
            <w:tcW w:w="782" w:type="pct"/>
            <w:vAlign w:val="center"/>
          </w:tcPr>
          <w:p w14:paraId="13B675EA">
            <w:pPr>
              <w:pStyle w:val="159"/>
              <w:rPr>
                <w:szCs w:val="21"/>
              </w:rPr>
            </w:pPr>
            <w:r>
              <w:rPr>
                <w:rFonts w:hint="eastAsia"/>
                <w:szCs w:val="21"/>
              </w:rPr>
              <w:t>5</w:t>
            </w:r>
            <w:r>
              <w:rPr>
                <w:szCs w:val="21"/>
              </w:rPr>
              <w:t>.929</w:t>
            </w:r>
          </w:p>
        </w:tc>
        <w:tc>
          <w:tcPr>
            <w:tcW w:w="625" w:type="pct"/>
            <w:vAlign w:val="center"/>
          </w:tcPr>
          <w:p w14:paraId="59D6500C">
            <w:pPr>
              <w:pStyle w:val="159"/>
              <w:rPr>
                <w:szCs w:val="21"/>
              </w:rPr>
            </w:pPr>
            <w:r>
              <w:rPr>
                <w:rFonts w:hint="eastAsia"/>
                <w:szCs w:val="21"/>
              </w:rPr>
              <w:t>0</w:t>
            </w:r>
            <w:r>
              <w:rPr>
                <w:szCs w:val="21"/>
              </w:rPr>
              <w:t>.084</w:t>
            </w:r>
          </w:p>
        </w:tc>
        <w:tc>
          <w:tcPr>
            <w:tcW w:w="949" w:type="pct"/>
            <w:vMerge w:val="restart"/>
            <w:vAlign w:val="center"/>
          </w:tcPr>
          <w:p w14:paraId="0DC9C57D">
            <w:pPr>
              <w:pStyle w:val="159"/>
              <w:rPr>
                <w:highlight w:val="yellow"/>
              </w:rPr>
            </w:pPr>
            <w:r>
              <w:t>工频电场</w:t>
            </w:r>
            <w:r>
              <w:rPr>
                <w:rFonts w:hint="eastAsia"/>
              </w:rPr>
              <w:t>≤</w:t>
            </w:r>
            <w:r>
              <w:t>4000V/m、工频磁场</w:t>
            </w:r>
            <w:r>
              <w:rPr>
                <w:rFonts w:hint="eastAsia"/>
              </w:rPr>
              <w:t>≤</w:t>
            </w:r>
            <w:r>
              <w:t>100μT</w:t>
            </w:r>
          </w:p>
        </w:tc>
        <w:tc>
          <w:tcPr>
            <w:tcW w:w="456" w:type="pct"/>
            <w:vAlign w:val="center"/>
          </w:tcPr>
          <w:p w14:paraId="10A9F9D2">
            <w:pPr>
              <w:pStyle w:val="159"/>
              <w:rPr>
                <w:highlight w:val="yellow"/>
              </w:rPr>
            </w:pPr>
            <w:r>
              <w:t>达标</w:t>
            </w:r>
          </w:p>
        </w:tc>
      </w:tr>
      <w:tr w14:paraId="1CFB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37" w:type="pct"/>
            <w:vAlign w:val="center"/>
          </w:tcPr>
          <w:p w14:paraId="624E8BF5">
            <w:pPr>
              <w:pStyle w:val="159"/>
            </w:pPr>
            <w:r>
              <w:rPr>
                <w:rFonts w:hint="eastAsia"/>
              </w:rPr>
              <w:t>2</w:t>
            </w:r>
          </w:p>
        </w:tc>
        <w:tc>
          <w:tcPr>
            <w:tcW w:w="1851" w:type="pct"/>
            <w:vAlign w:val="center"/>
          </w:tcPr>
          <w:p w14:paraId="7A5C329B">
            <w:pPr>
              <w:pStyle w:val="159"/>
            </w:pPr>
            <w:r>
              <w:rPr>
                <w:rFonts w:hint="eastAsia"/>
              </w:rPr>
              <w:t>湘江村木源岔组居民房屋1东侧</w:t>
            </w:r>
          </w:p>
        </w:tc>
        <w:tc>
          <w:tcPr>
            <w:tcW w:w="782" w:type="pct"/>
            <w:vAlign w:val="center"/>
          </w:tcPr>
          <w:p w14:paraId="3E0E6722">
            <w:pPr>
              <w:pStyle w:val="159"/>
              <w:rPr>
                <w:szCs w:val="21"/>
              </w:rPr>
            </w:pPr>
            <w:r>
              <w:rPr>
                <w:rFonts w:hint="eastAsia"/>
                <w:szCs w:val="21"/>
              </w:rPr>
              <w:t>1</w:t>
            </w:r>
            <w:r>
              <w:rPr>
                <w:szCs w:val="21"/>
              </w:rPr>
              <w:t>7.09</w:t>
            </w:r>
          </w:p>
        </w:tc>
        <w:tc>
          <w:tcPr>
            <w:tcW w:w="625" w:type="pct"/>
            <w:vAlign w:val="center"/>
          </w:tcPr>
          <w:p w14:paraId="499762E3">
            <w:pPr>
              <w:pStyle w:val="159"/>
              <w:rPr>
                <w:szCs w:val="21"/>
              </w:rPr>
            </w:pPr>
            <w:r>
              <w:rPr>
                <w:rFonts w:hint="eastAsia"/>
                <w:szCs w:val="21"/>
              </w:rPr>
              <w:t>0</w:t>
            </w:r>
            <w:r>
              <w:rPr>
                <w:szCs w:val="21"/>
              </w:rPr>
              <w:t>.082</w:t>
            </w:r>
          </w:p>
        </w:tc>
        <w:tc>
          <w:tcPr>
            <w:tcW w:w="949" w:type="pct"/>
            <w:vMerge w:val="continue"/>
            <w:vAlign w:val="center"/>
          </w:tcPr>
          <w:p w14:paraId="4FB968A5">
            <w:pPr>
              <w:pStyle w:val="159"/>
              <w:rPr>
                <w:highlight w:val="yellow"/>
              </w:rPr>
            </w:pPr>
          </w:p>
        </w:tc>
        <w:tc>
          <w:tcPr>
            <w:tcW w:w="456" w:type="pct"/>
            <w:vAlign w:val="center"/>
          </w:tcPr>
          <w:p w14:paraId="16F0550A">
            <w:pPr>
              <w:pStyle w:val="159"/>
              <w:rPr>
                <w:highlight w:val="yellow"/>
              </w:rPr>
            </w:pPr>
            <w:r>
              <w:t>达标</w:t>
            </w:r>
          </w:p>
        </w:tc>
      </w:tr>
      <w:tr w14:paraId="3BD0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37" w:type="pct"/>
            <w:vAlign w:val="center"/>
          </w:tcPr>
          <w:p w14:paraId="69C60ABE">
            <w:pPr>
              <w:pStyle w:val="159"/>
            </w:pPr>
            <w:r>
              <w:rPr>
                <w:rFonts w:hint="eastAsia"/>
              </w:rPr>
              <w:t>3</w:t>
            </w:r>
          </w:p>
        </w:tc>
        <w:tc>
          <w:tcPr>
            <w:tcW w:w="1851" w:type="pct"/>
            <w:vAlign w:val="center"/>
          </w:tcPr>
          <w:p w14:paraId="6D971441">
            <w:pPr>
              <w:pStyle w:val="159"/>
            </w:pPr>
            <w:r>
              <w:rPr>
                <w:rFonts w:hint="eastAsia"/>
              </w:rPr>
              <w:t>湘江村木源岔组居民房屋</w:t>
            </w:r>
            <w:r>
              <w:t>2</w:t>
            </w:r>
            <w:r>
              <w:rPr>
                <w:rFonts w:hint="eastAsia"/>
              </w:rPr>
              <w:t>东侧</w:t>
            </w:r>
          </w:p>
        </w:tc>
        <w:tc>
          <w:tcPr>
            <w:tcW w:w="782" w:type="pct"/>
            <w:vAlign w:val="center"/>
          </w:tcPr>
          <w:p w14:paraId="57F0FDC5">
            <w:pPr>
              <w:pStyle w:val="159"/>
              <w:rPr>
                <w:szCs w:val="21"/>
              </w:rPr>
            </w:pPr>
            <w:r>
              <w:rPr>
                <w:rFonts w:hint="eastAsia"/>
                <w:szCs w:val="21"/>
              </w:rPr>
              <w:t>5</w:t>
            </w:r>
            <w:r>
              <w:rPr>
                <w:szCs w:val="21"/>
              </w:rPr>
              <w:t>.114</w:t>
            </w:r>
          </w:p>
        </w:tc>
        <w:tc>
          <w:tcPr>
            <w:tcW w:w="625" w:type="pct"/>
            <w:vAlign w:val="center"/>
          </w:tcPr>
          <w:p w14:paraId="534447A8">
            <w:pPr>
              <w:pStyle w:val="159"/>
              <w:rPr>
                <w:szCs w:val="21"/>
              </w:rPr>
            </w:pPr>
            <w:r>
              <w:rPr>
                <w:rFonts w:hint="eastAsia"/>
                <w:szCs w:val="21"/>
              </w:rPr>
              <w:t>0</w:t>
            </w:r>
            <w:r>
              <w:rPr>
                <w:szCs w:val="21"/>
              </w:rPr>
              <w:t>.094</w:t>
            </w:r>
          </w:p>
        </w:tc>
        <w:tc>
          <w:tcPr>
            <w:tcW w:w="949" w:type="pct"/>
            <w:vMerge w:val="continue"/>
            <w:vAlign w:val="center"/>
          </w:tcPr>
          <w:p w14:paraId="7D7DD0BE">
            <w:pPr>
              <w:pStyle w:val="159"/>
              <w:rPr>
                <w:highlight w:val="yellow"/>
              </w:rPr>
            </w:pPr>
          </w:p>
        </w:tc>
        <w:tc>
          <w:tcPr>
            <w:tcW w:w="456" w:type="pct"/>
            <w:vAlign w:val="center"/>
          </w:tcPr>
          <w:p w14:paraId="5EBE0B9F">
            <w:pPr>
              <w:pStyle w:val="159"/>
              <w:rPr>
                <w:highlight w:val="yellow"/>
              </w:rPr>
            </w:pPr>
            <w:r>
              <w:t>达标</w:t>
            </w:r>
          </w:p>
        </w:tc>
      </w:tr>
      <w:tr w14:paraId="0DEA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37" w:type="pct"/>
            <w:vAlign w:val="center"/>
          </w:tcPr>
          <w:p w14:paraId="01005A4A">
            <w:pPr>
              <w:pStyle w:val="159"/>
            </w:pPr>
            <w:r>
              <w:rPr>
                <w:rFonts w:hint="eastAsia"/>
              </w:rPr>
              <w:t>4</w:t>
            </w:r>
          </w:p>
        </w:tc>
        <w:tc>
          <w:tcPr>
            <w:tcW w:w="1851" w:type="pct"/>
            <w:vAlign w:val="center"/>
          </w:tcPr>
          <w:p w14:paraId="059476E5">
            <w:pPr>
              <w:pStyle w:val="159"/>
            </w:pPr>
            <w:r>
              <w:rPr>
                <w:rFonts w:hint="eastAsia"/>
              </w:rPr>
              <w:t>湘江村大湾井组居民房屋1东侧</w:t>
            </w:r>
          </w:p>
        </w:tc>
        <w:tc>
          <w:tcPr>
            <w:tcW w:w="782" w:type="pct"/>
            <w:vAlign w:val="center"/>
          </w:tcPr>
          <w:p w14:paraId="2BA1D08A">
            <w:pPr>
              <w:pStyle w:val="159"/>
              <w:rPr>
                <w:szCs w:val="21"/>
              </w:rPr>
            </w:pPr>
            <w:r>
              <w:rPr>
                <w:rFonts w:hint="eastAsia"/>
                <w:szCs w:val="21"/>
              </w:rPr>
              <w:t>0</w:t>
            </w:r>
            <w:r>
              <w:rPr>
                <w:szCs w:val="21"/>
              </w:rPr>
              <w:t>.223</w:t>
            </w:r>
          </w:p>
        </w:tc>
        <w:tc>
          <w:tcPr>
            <w:tcW w:w="625" w:type="pct"/>
            <w:vAlign w:val="center"/>
          </w:tcPr>
          <w:p w14:paraId="79C9F695">
            <w:pPr>
              <w:pStyle w:val="159"/>
              <w:rPr>
                <w:szCs w:val="21"/>
              </w:rPr>
            </w:pPr>
            <w:r>
              <w:rPr>
                <w:rFonts w:hint="eastAsia"/>
                <w:szCs w:val="21"/>
              </w:rPr>
              <w:t>0</w:t>
            </w:r>
            <w:r>
              <w:rPr>
                <w:szCs w:val="21"/>
              </w:rPr>
              <w:t>.085</w:t>
            </w:r>
          </w:p>
        </w:tc>
        <w:tc>
          <w:tcPr>
            <w:tcW w:w="949" w:type="pct"/>
            <w:vMerge w:val="continue"/>
            <w:vAlign w:val="center"/>
          </w:tcPr>
          <w:p w14:paraId="5405B8BD">
            <w:pPr>
              <w:pStyle w:val="159"/>
              <w:rPr>
                <w:highlight w:val="yellow"/>
              </w:rPr>
            </w:pPr>
          </w:p>
        </w:tc>
        <w:tc>
          <w:tcPr>
            <w:tcW w:w="456" w:type="pct"/>
            <w:vAlign w:val="center"/>
          </w:tcPr>
          <w:p w14:paraId="7A8CFD9A">
            <w:pPr>
              <w:pStyle w:val="159"/>
            </w:pPr>
            <w:r>
              <w:t>达标</w:t>
            </w:r>
          </w:p>
        </w:tc>
      </w:tr>
      <w:tr w14:paraId="6A5E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37" w:type="pct"/>
            <w:vAlign w:val="center"/>
          </w:tcPr>
          <w:p w14:paraId="7C2A49F4">
            <w:pPr>
              <w:pStyle w:val="159"/>
            </w:pPr>
            <w:r>
              <w:rPr>
                <w:rFonts w:hint="eastAsia"/>
              </w:rPr>
              <w:t>5</w:t>
            </w:r>
          </w:p>
        </w:tc>
        <w:tc>
          <w:tcPr>
            <w:tcW w:w="1851" w:type="pct"/>
            <w:vAlign w:val="center"/>
          </w:tcPr>
          <w:p w14:paraId="7D640C40">
            <w:pPr>
              <w:pStyle w:val="159"/>
            </w:pPr>
            <w:r>
              <w:rPr>
                <w:rFonts w:hint="eastAsia"/>
              </w:rPr>
              <w:t>湘江村大湾井组居民房屋</w:t>
            </w:r>
            <w:r>
              <w:t>2</w:t>
            </w:r>
            <w:r>
              <w:rPr>
                <w:rFonts w:hint="eastAsia"/>
              </w:rPr>
              <w:t>东南侧</w:t>
            </w:r>
          </w:p>
        </w:tc>
        <w:tc>
          <w:tcPr>
            <w:tcW w:w="782" w:type="pct"/>
            <w:vAlign w:val="center"/>
          </w:tcPr>
          <w:p w14:paraId="0236F8B4">
            <w:pPr>
              <w:pStyle w:val="159"/>
              <w:rPr>
                <w:szCs w:val="21"/>
              </w:rPr>
            </w:pPr>
            <w:r>
              <w:rPr>
                <w:rFonts w:hint="eastAsia"/>
                <w:szCs w:val="21"/>
              </w:rPr>
              <w:t>1</w:t>
            </w:r>
            <w:r>
              <w:rPr>
                <w:szCs w:val="21"/>
              </w:rPr>
              <w:t>.958</w:t>
            </w:r>
          </w:p>
        </w:tc>
        <w:tc>
          <w:tcPr>
            <w:tcW w:w="625" w:type="pct"/>
            <w:vAlign w:val="center"/>
          </w:tcPr>
          <w:p w14:paraId="11EFB1D6">
            <w:pPr>
              <w:pStyle w:val="159"/>
              <w:rPr>
                <w:szCs w:val="21"/>
              </w:rPr>
            </w:pPr>
            <w:r>
              <w:rPr>
                <w:rFonts w:hint="eastAsia"/>
                <w:szCs w:val="21"/>
              </w:rPr>
              <w:t>0</w:t>
            </w:r>
            <w:r>
              <w:rPr>
                <w:szCs w:val="21"/>
              </w:rPr>
              <w:t>.085</w:t>
            </w:r>
          </w:p>
        </w:tc>
        <w:tc>
          <w:tcPr>
            <w:tcW w:w="949" w:type="pct"/>
            <w:vMerge w:val="continue"/>
            <w:vAlign w:val="center"/>
          </w:tcPr>
          <w:p w14:paraId="33862B2C">
            <w:pPr>
              <w:pStyle w:val="159"/>
              <w:rPr>
                <w:highlight w:val="yellow"/>
              </w:rPr>
            </w:pPr>
          </w:p>
        </w:tc>
        <w:tc>
          <w:tcPr>
            <w:tcW w:w="456" w:type="pct"/>
            <w:vAlign w:val="center"/>
          </w:tcPr>
          <w:p w14:paraId="3D330BF4">
            <w:pPr>
              <w:pStyle w:val="159"/>
            </w:pPr>
            <w:r>
              <w:t>达标</w:t>
            </w:r>
          </w:p>
        </w:tc>
      </w:tr>
      <w:tr w14:paraId="62D1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37" w:type="pct"/>
            <w:vAlign w:val="center"/>
          </w:tcPr>
          <w:p w14:paraId="62553209">
            <w:pPr>
              <w:pStyle w:val="159"/>
            </w:pPr>
            <w:r>
              <w:rPr>
                <w:rFonts w:hint="eastAsia"/>
              </w:rPr>
              <w:t>6</w:t>
            </w:r>
          </w:p>
        </w:tc>
        <w:tc>
          <w:tcPr>
            <w:tcW w:w="1851" w:type="pct"/>
            <w:vAlign w:val="center"/>
          </w:tcPr>
          <w:p w14:paraId="796D7468">
            <w:pPr>
              <w:pStyle w:val="159"/>
            </w:pPr>
            <w:r>
              <w:rPr>
                <w:rFonts w:hint="eastAsia"/>
              </w:rPr>
              <w:t>贝江变电站东侧围墙外</w:t>
            </w:r>
          </w:p>
        </w:tc>
        <w:tc>
          <w:tcPr>
            <w:tcW w:w="782" w:type="pct"/>
            <w:vAlign w:val="center"/>
          </w:tcPr>
          <w:p w14:paraId="7717C49F">
            <w:pPr>
              <w:pStyle w:val="159"/>
              <w:rPr>
                <w:szCs w:val="21"/>
              </w:rPr>
            </w:pPr>
            <w:r>
              <w:rPr>
                <w:rFonts w:hint="eastAsia"/>
              </w:rPr>
              <w:t>9</w:t>
            </w:r>
            <w:r>
              <w:t>8.304</w:t>
            </w:r>
          </w:p>
        </w:tc>
        <w:tc>
          <w:tcPr>
            <w:tcW w:w="625" w:type="pct"/>
            <w:vAlign w:val="center"/>
          </w:tcPr>
          <w:p w14:paraId="65DEF7ED">
            <w:pPr>
              <w:pStyle w:val="159"/>
              <w:rPr>
                <w:szCs w:val="21"/>
              </w:rPr>
            </w:pPr>
            <w:r>
              <w:rPr>
                <w:rFonts w:hint="eastAsia"/>
              </w:rPr>
              <w:t>0</w:t>
            </w:r>
            <w:r>
              <w:t>.152</w:t>
            </w:r>
          </w:p>
        </w:tc>
        <w:tc>
          <w:tcPr>
            <w:tcW w:w="949" w:type="pct"/>
            <w:vMerge w:val="continue"/>
            <w:vAlign w:val="center"/>
          </w:tcPr>
          <w:p w14:paraId="35DA3C27">
            <w:pPr>
              <w:pStyle w:val="159"/>
              <w:rPr>
                <w:highlight w:val="yellow"/>
              </w:rPr>
            </w:pPr>
          </w:p>
        </w:tc>
        <w:tc>
          <w:tcPr>
            <w:tcW w:w="456" w:type="pct"/>
            <w:vAlign w:val="center"/>
          </w:tcPr>
          <w:p w14:paraId="10428414">
            <w:pPr>
              <w:pStyle w:val="159"/>
            </w:pPr>
            <w:r>
              <w:t>达标</w:t>
            </w:r>
          </w:p>
        </w:tc>
      </w:tr>
      <w:tr w14:paraId="1760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37" w:type="pct"/>
            <w:vAlign w:val="center"/>
          </w:tcPr>
          <w:p w14:paraId="691A5777">
            <w:pPr>
              <w:pStyle w:val="159"/>
            </w:pPr>
            <w:r>
              <w:rPr>
                <w:rFonts w:hint="eastAsia"/>
              </w:rPr>
              <w:t>7</w:t>
            </w:r>
          </w:p>
        </w:tc>
        <w:tc>
          <w:tcPr>
            <w:tcW w:w="1851" w:type="pct"/>
            <w:vAlign w:val="center"/>
          </w:tcPr>
          <w:p w14:paraId="329A6CB0">
            <w:pPr>
              <w:pStyle w:val="159"/>
            </w:pPr>
            <w:r>
              <w:rPr>
                <w:rFonts w:hint="eastAsia"/>
              </w:rPr>
              <w:t>贝江变电站南侧围墙外</w:t>
            </w:r>
          </w:p>
        </w:tc>
        <w:tc>
          <w:tcPr>
            <w:tcW w:w="782" w:type="pct"/>
            <w:vAlign w:val="center"/>
          </w:tcPr>
          <w:p w14:paraId="69486A76">
            <w:pPr>
              <w:pStyle w:val="159"/>
              <w:rPr>
                <w:szCs w:val="21"/>
              </w:rPr>
            </w:pPr>
            <w:r>
              <w:rPr>
                <w:rFonts w:hint="eastAsia"/>
              </w:rPr>
              <w:t>9</w:t>
            </w:r>
            <w:r>
              <w:t>.661</w:t>
            </w:r>
          </w:p>
        </w:tc>
        <w:tc>
          <w:tcPr>
            <w:tcW w:w="625" w:type="pct"/>
            <w:vAlign w:val="center"/>
          </w:tcPr>
          <w:p w14:paraId="1A29187F">
            <w:pPr>
              <w:pStyle w:val="159"/>
              <w:rPr>
                <w:szCs w:val="21"/>
              </w:rPr>
            </w:pPr>
            <w:r>
              <w:rPr>
                <w:rFonts w:hint="eastAsia"/>
              </w:rPr>
              <w:t>0</w:t>
            </w:r>
            <w:r>
              <w:t>.092</w:t>
            </w:r>
          </w:p>
        </w:tc>
        <w:tc>
          <w:tcPr>
            <w:tcW w:w="949" w:type="pct"/>
            <w:vMerge w:val="continue"/>
            <w:vAlign w:val="center"/>
          </w:tcPr>
          <w:p w14:paraId="359D7BA1">
            <w:pPr>
              <w:pStyle w:val="159"/>
              <w:rPr>
                <w:highlight w:val="yellow"/>
              </w:rPr>
            </w:pPr>
          </w:p>
        </w:tc>
        <w:tc>
          <w:tcPr>
            <w:tcW w:w="456" w:type="pct"/>
            <w:vAlign w:val="center"/>
          </w:tcPr>
          <w:p w14:paraId="759CB1DE">
            <w:pPr>
              <w:pStyle w:val="159"/>
            </w:pPr>
            <w:r>
              <w:t>达标</w:t>
            </w:r>
          </w:p>
        </w:tc>
      </w:tr>
      <w:tr w14:paraId="5B1F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37" w:type="pct"/>
            <w:vAlign w:val="center"/>
          </w:tcPr>
          <w:p w14:paraId="05C13614">
            <w:pPr>
              <w:pStyle w:val="159"/>
            </w:pPr>
            <w:r>
              <w:rPr>
                <w:rFonts w:hint="eastAsia"/>
              </w:rPr>
              <w:t>8</w:t>
            </w:r>
          </w:p>
        </w:tc>
        <w:tc>
          <w:tcPr>
            <w:tcW w:w="1851" w:type="pct"/>
            <w:vAlign w:val="center"/>
          </w:tcPr>
          <w:p w14:paraId="60444580">
            <w:pPr>
              <w:pStyle w:val="159"/>
            </w:pPr>
            <w:r>
              <w:rPr>
                <w:rFonts w:hint="eastAsia"/>
              </w:rPr>
              <w:t>贝江变电站西侧围墙外</w:t>
            </w:r>
          </w:p>
        </w:tc>
        <w:tc>
          <w:tcPr>
            <w:tcW w:w="782" w:type="pct"/>
            <w:vAlign w:val="center"/>
          </w:tcPr>
          <w:p w14:paraId="362B2E18">
            <w:pPr>
              <w:pStyle w:val="159"/>
              <w:rPr>
                <w:szCs w:val="21"/>
              </w:rPr>
            </w:pPr>
            <w:r>
              <w:rPr>
                <w:rFonts w:hint="eastAsia"/>
              </w:rPr>
              <w:t>2</w:t>
            </w:r>
            <w:r>
              <w:t>37.72</w:t>
            </w:r>
          </w:p>
        </w:tc>
        <w:tc>
          <w:tcPr>
            <w:tcW w:w="625" w:type="pct"/>
            <w:vAlign w:val="center"/>
          </w:tcPr>
          <w:p w14:paraId="31942C75">
            <w:pPr>
              <w:pStyle w:val="159"/>
              <w:rPr>
                <w:szCs w:val="21"/>
              </w:rPr>
            </w:pPr>
            <w:r>
              <w:rPr>
                <w:rFonts w:hint="eastAsia"/>
              </w:rPr>
              <w:t>0</w:t>
            </w:r>
            <w:r>
              <w:t>.081</w:t>
            </w:r>
          </w:p>
        </w:tc>
        <w:tc>
          <w:tcPr>
            <w:tcW w:w="949" w:type="pct"/>
            <w:vMerge w:val="continue"/>
            <w:vAlign w:val="center"/>
          </w:tcPr>
          <w:p w14:paraId="1C7A40E6">
            <w:pPr>
              <w:pStyle w:val="159"/>
              <w:rPr>
                <w:highlight w:val="yellow"/>
              </w:rPr>
            </w:pPr>
          </w:p>
        </w:tc>
        <w:tc>
          <w:tcPr>
            <w:tcW w:w="456" w:type="pct"/>
            <w:vAlign w:val="center"/>
          </w:tcPr>
          <w:p w14:paraId="19187A78">
            <w:pPr>
              <w:pStyle w:val="159"/>
            </w:pPr>
            <w:r>
              <w:t>达标</w:t>
            </w:r>
          </w:p>
        </w:tc>
      </w:tr>
      <w:tr w14:paraId="2F91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37" w:type="pct"/>
            <w:vAlign w:val="center"/>
          </w:tcPr>
          <w:p w14:paraId="2A1952BB">
            <w:pPr>
              <w:pStyle w:val="159"/>
            </w:pPr>
            <w:r>
              <w:rPr>
                <w:rFonts w:hint="eastAsia"/>
              </w:rPr>
              <w:t>9</w:t>
            </w:r>
          </w:p>
        </w:tc>
        <w:tc>
          <w:tcPr>
            <w:tcW w:w="1851" w:type="pct"/>
            <w:vAlign w:val="center"/>
          </w:tcPr>
          <w:p w14:paraId="28879385">
            <w:pPr>
              <w:pStyle w:val="159"/>
            </w:pPr>
            <w:r>
              <w:rPr>
                <w:rFonts w:hint="eastAsia"/>
              </w:rPr>
              <w:t>贝江变电站北侧围墙外</w:t>
            </w:r>
          </w:p>
        </w:tc>
        <w:tc>
          <w:tcPr>
            <w:tcW w:w="782" w:type="pct"/>
            <w:vAlign w:val="center"/>
          </w:tcPr>
          <w:p w14:paraId="74332902">
            <w:pPr>
              <w:pStyle w:val="159"/>
            </w:pPr>
            <w:r>
              <w:rPr>
                <w:rFonts w:hint="eastAsia"/>
              </w:rPr>
              <w:t>3</w:t>
            </w:r>
            <w:r>
              <w:t>08.42</w:t>
            </w:r>
          </w:p>
        </w:tc>
        <w:tc>
          <w:tcPr>
            <w:tcW w:w="625" w:type="pct"/>
            <w:vAlign w:val="center"/>
          </w:tcPr>
          <w:p w14:paraId="69B92DCE">
            <w:pPr>
              <w:pStyle w:val="159"/>
            </w:pPr>
            <w:r>
              <w:rPr>
                <w:rFonts w:hint="eastAsia"/>
              </w:rPr>
              <w:t>0</w:t>
            </w:r>
            <w:r>
              <w:t>.398</w:t>
            </w:r>
          </w:p>
        </w:tc>
        <w:tc>
          <w:tcPr>
            <w:tcW w:w="949" w:type="pct"/>
            <w:vMerge w:val="continue"/>
            <w:vAlign w:val="center"/>
          </w:tcPr>
          <w:p w14:paraId="001F3040">
            <w:pPr>
              <w:pStyle w:val="159"/>
              <w:rPr>
                <w:highlight w:val="yellow"/>
              </w:rPr>
            </w:pPr>
          </w:p>
        </w:tc>
        <w:tc>
          <w:tcPr>
            <w:tcW w:w="456" w:type="pct"/>
            <w:vAlign w:val="center"/>
          </w:tcPr>
          <w:p w14:paraId="478AB6C1">
            <w:pPr>
              <w:pStyle w:val="159"/>
            </w:pPr>
            <w:r>
              <w:t>达标</w:t>
            </w:r>
          </w:p>
        </w:tc>
      </w:tr>
    </w:tbl>
    <w:p w14:paraId="2C87B642"/>
    <w:p w14:paraId="58F9458E">
      <w:pPr>
        <w:pStyle w:val="3"/>
        <w:ind w:firstLine="480"/>
      </w:pPr>
      <w:r>
        <w:rPr>
          <w:rFonts w:hint="eastAsia"/>
        </w:rPr>
        <w:t>由上表可知，贝江1</w:t>
      </w:r>
      <w:r>
        <w:t>10kV</w:t>
      </w:r>
      <w:r>
        <w:rPr>
          <w:rFonts w:hint="eastAsia"/>
        </w:rPr>
        <w:t>变电站外工频电场强度监测值为</w:t>
      </w:r>
      <w:r>
        <w:t>308.42V/m</w:t>
      </w:r>
      <w:r>
        <w:rPr>
          <w:rFonts w:hint="eastAsia"/>
        </w:rPr>
        <w:t>、工频磁感应强度监测值为</w:t>
      </w:r>
      <w:r>
        <w:t>0.398μT</w:t>
      </w:r>
      <w:r>
        <w:rPr>
          <w:rFonts w:hint="eastAsia"/>
        </w:rPr>
        <w:t>；拟建1</w:t>
      </w:r>
      <w:r>
        <w:t>10kV</w:t>
      </w:r>
      <w:r>
        <w:rPr>
          <w:rFonts w:hint="eastAsia"/>
        </w:rPr>
        <w:t>基地源变电站站址处工频电场强度监测值</w:t>
      </w:r>
      <w:r>
        <w:t>5.929V/m</w:t>
      </w:r>
      <w:r>
        <w:rPr>
          <w:rFonts w:hint="eastAsia"/>
        </w:rPr>
        <w:t>、工频磁感应强度监测值为</w:t>
      </w:r>
      <w:r>
        <w:t>0.084μT</w:t>
      </w:r>
      <w:r>
        <w:rPr>
          <w:rFonts w:hint="eastAsia"/>
        </w:rPr>
        <w:t>；输电线路沿线环境敏感目标的工频电场最大监测值为</w:t>
      </w:r>
      <w:r>
        <w:t>17.09V/m</w:t>
      </w:r>
      <w:r>
        <w:rPr>
          <w:rFonts w:hint="eastAsia"/>
        </w:rPr>
        <w:t>，工频磁感应强度最大监测值为</w:t>
      </w:r>
      <w:r>
        <w:t>0.094μT</w:t>
      </w:r>
      <w:r>
        <w:rPr>
          <w:rFonts w:hint="eastAsia"/>
        </w:rPr>
        <w:t>。电磁环境现状满足《电磁环境控制限值》（</w:t>
      </w:r>
      <w:r>
        <w:t>GB 8702-2014</w:t>
      </w:r>
      <w:r>
        <w:rPr>
          <w:rFonts w:hint="eastAsia"/>
        </w:rPr>
        <w:t>）工频电场强度</w:t>
      </w:r>
      <w:r>
        <w:t>4000V/m</w:t>
      </w:r>
      <w:r>
        <w:rPr>
          <w:rFonts w:hint="eastAsia"/>
        </w:rPr>
        <w:t>、工频磁感应强度</w:t>
      </w:r>
      <w:r>
        <w:t xml:space="preserve">100μT </w:t>
      </w:r>
      <w:r>
        <w:rPr>
          <w:rFonts w:hint="eastAsia"/>
        </w:rPr>
        <w:t>的限值标准要求。</w:t>
      </w:r>
    </w:p>
    <w:p w14:paraId="7AD7690F">
      <w:pPr>
        <w:pStyle w:val="2"/>
        <w:pageBreakBefore/>
        <w:numPr>
          <w:ilvl w:val="0"/>
          <w:numId w:val="6"/>
        </w:numPr>
      </w:pPr>
      <w:bookmarkStart w:id="325" w:name="_Toc186810132"/>
      <w:r>
        <w:t>电磁环境影响预测与评价</w:t>
      </w:r>
      <w:bookmarkEnd w:id="325"/>
    </w:p>
    <w:p w14:paraId="43582811">
      <w:pPr>
        <w:pStyle w:val="3"/>
        <w:ind w:firstLine="480"/>
      </w:pPr>
      <w:r>
        <w:rPr>
          <w:rFonts w:hint="eastAsia"/>
        </w:rPr>
        <w:t>本次</w:t>
      </w:r>
      <w:r>
        <w:t>基地源110kV变电站和</w:t>
      </w:r>
      <w:r>
        <w:rPr>
          <w:rFonts w:hint="eastAsia"/>
        </w:rPr>
        <w:t>贝江</w:t>
      </w:r>
      <w:r>
        <w:t>110kV</w:t>
      </w:r>
      <w:r>
        <w:rPr>
          <w:rFonts w:hint="eastAsia"/>
        </w:rPr>
        <w:t>变电站</w:t>
      </w:r>
      <w:r>
        <w:t>间隔扩建</w:t>
      </w:r>
      <w:r>
        <w:rPr>
          <w:rFonts w:hint="eastAsia"/>
        </w:rPr>
        <w:t>采用类比法进行预测，输电线路采用模式预测。</w:t>
      </w:r>
    </w:p>
    <w:p w14:paraId="35D269D5">
      <w:pPr>
        <w:pStyle w:val="5"/>
        <w:ind w:left="0" w:firstLine="0"/>
      </w:pPr>
      <w:r>
        <w:t>基地源110kV变电站</w:t>
      </w:r>
      <w:r>
        <w:rPr>
          <w:rFonts w:hint="eastAsia"/>
        </w:rPr>
        <w:t>电磁环境影响分析</w:t>
      </w:r>
    </w:p>
    <w:p w14:paraId="77E39FAD">
      <w:pPr>
        <w:pStyle w:val="6"/>
        <w:ind w:left="0" w:firstLine="0"/>
      </w:pPr>
      <w:r>
        <w:rPr>
          <w:rFonts w:hint="eastAsia"/>
        </w:rPr>
        <w:t>评价方法</w:t>
      </w:r>
      <w:r>
        <w:t xml:space="preserve"> </w:t>
      </w:r>
    </w:p>
    <w:p w14:paraId="727198D2">
      <w:pPr>
        <w:pStyle w:val="3"/>
        <w:ind w:firstLine="480"/>
      </w:pPr>
      <w:r>
        <w:rPr>
          <w:rFonts w:hint="eastAsia"/>
        </w:rPr>
        <w:t>基地源</w:t>
      </w:r>
      <w:r>
        <w:t>110kV</w:t>
      </w:r>
      <w:r>
        <w:rPr>
          <w:rFonts w:hint="eastAsia"/>
        </w:rPr>
        <w:t>变电站采用类比法进行预测。</w:t>
      </w:r>
    </w:p>
    <w:p w14:paraId="0B009C90">
      <w:pPr>
        <w:pStyle w:val="6"/>
        <w:ind w:left="0" w:firstLine="0"/>
      </w:pPr>
      <w:r>
        <w:rPr>
          <w:rFonts w:hint="eastAsia"/>
        </w:rPr>
        <w:t>类比对象</w:t>
      </w:r>
      <w:r>
        <w:t xml:space="preserve"> </w:t>
      </w:r>
    </w:p>
    <w:p w14:paraId="38274835">
      <w:pPr>
        <w:pStyle w:val="3"/>
        <w:ind w:firstLine="480"/>
      </w:pPr>
      <w:r>
        <w:rPr>
          <w:rFonts w:hint="eastAsia"/>
        </w:rPr>
        <w:t>为预测变电站运行后的工频电场、工频磁场对站址周围环境影响，选取了与本工程变电站条件相似的联富110kV变电站作为类比对象。</w:t>
      </w:r>
    </w:p>
    <w:p w14:paraId="29CB20F4">
      <w:pPr>
        <w:pStyle w:val="6"/>
        <w:ind w:left="0" w:firstLine="0"/>
      </w:pPr>
      <w:r>
        <w:rPr>
          <w:rFonts w:hint="eastAsia"/>
        </w:rPr>
        <w:t>类比对象可类比性分析</w:t>
      </w:r>
    </w:p>
    <w:p w14:paraId="48EDD856">
      <w:pPr>
        <w:pStyle w:val="4"/>
        <w:spacing w:line="360" w:lineRule="auto"/>
        <w:ind w:firstLine="480"/>
        <w:rPr>
          <w:sz w:val="24"/>
          <w:szCs w:val="24"/>
        </w:rPr>
      </w:pPr>
      <w:r>
        <w:rPr>
          <w:rFonts w:hint="eastAsia"/>
          <w:sz w:val="24"/>
          <w:szCs w:val="24"/>
        </w:rPr>
        <w:t>由表</w:t>
      </w:r>
      <w:r>
        <w:rPr>
          <w:sz w:val="24"/>
          <w:szCs w:val="24"/>
        </w:rPr>
        <w:t>3.1-1</w:t>
      </w:r>
      <w:r>
        <w:rPr>
          <w:rFonts w:hint="eastAsia"/>
          <w:sz w:val="24"/>
          <w:szCs w:val="24"/>
        </w:rPr>
        <w:t>可知，本次类比的联富110kV变电站与本项目电压等级、布置形式1</w:t>
      </w:r>
      <w:r>
        <w:rPr>
          <w:sz w:val="24"/>
          <w:szCs w:val="24"/>
        </w:rPr>
        <w:t>10</w:t>
      </w:r>
      <w:r>
        <w:rPr>
          <w:rFonts w:hint="eastAsia"/>
          <w:sz w:val="24"/>
          <w:szCs w:val="24"/>
        </w:rPr>
        <w:t>kV出线回数、出线架设方式和区域环境条件均一致，联富110kV变电站主变容量较基地源110kV变电站更大，电磁环境影响更大。因此，选用联富</w:t>
      </w:r>
      <w:r>
        <w:rPr>
          <w:sz w:val="24"/>
          <w:szCs w:val="24"/>
        </w:rPr>
        <w:t>110kV</w:t>
      </w:r>
      <w:r>
        <w:rPr>
          <w:rFonts w:hint="eastAsia"/>
          <w:sz w:val="24"/>
          <w:szCs w:val="24"/>
        </w:rPr>
        <w:t>变电站运行产生的工频电场、工频磁场来分析本项目</w:t>
      </w:r>
      <w:r>
        <w:rPr>
          <w:sz w:val="24"/>
          <w:szCs w:val="24"/>
        </w:rPr>
        <w:t>110kV</w:t>
      </w:r>
      <w:r>
        <w:rPr>
          <w:rFonts w:hint="eastAsia"/>
          <w:sz w:val="24"/>
          <w:szCs w:val="24"/>
        </w:rPr>
        <w:t>变电站的产生工频电场、工频磁场是比较保守的，类比具有可行性。</w:t>
      </w:r>
    </w:p>
    <w:p w14:paraId="05FA08EB">
      <w:pPr>
        <w:pStyle w:val="148"/>
        <w:rPr>
          <w:szCs w:val="24"/>
        </w:rPr>
      </w:pPr>
      <w:r>
        <w:rPr>
          <w:rFonts w:hint="eastAsia"/>
        </w:rPr>
        <w:t>表</w:t>
      </w:r>
      <w:r>
        <w:rPr>
          <w:b/>
          <w:bCs/>
        </w:rPr>
        <w:t xml:space="preserve">3.1-1   </w:t>
      </w:r>
      <w:r>
        <w:rPr>
          <w:rFonts w:hint="eastAsia"/>
        </w:rPr>
        <w:t>本项目与类比调查变电站工程参数</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gridCol w:w="3095"/>
      </w:tblGrid>
      <w:tr w14:paraId="7B02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14:paraId="4F02ADF7">
            <w:pPr>
              <w:pStyle w:val="159"/>
            </w:pPr>
            <w:r>
              <w:rPr>
                <w:rFonts w:hint="eastAsia"/>
              </w:rPr>
              <w:t>工程</w:t>
            </w:r>
          </w:p>
        </w:tc>
        <w:tc>
          <w:tcPr>
            <w:tcW w:w="1667" w:type="pct"/>
            <w:vAlign w:val="center"/>
          </w:tcPr>
          <w:p w14:paraId="34D8C375">
            <w:pPr>
              <w:pStyle w:val="159"/>
            </w:pPr>
            <w:r>
              <w:rPr>
                <w:rFonts w:hint="eastAsia"/>
              </w:rPr>
              <w:t>基地源1</w:t>
            </w:r>
            <w:r>
              <w:t>10kV</w:t>
            </w:r>
            <w:r>
              <w:rPr>
                <w:rFonts w:hint="eastAsia"/>
              </w:rPr>
              <w:t>变电站</w:t>
            </w:r>
          </w:p>
        </w:tc>
        <w:tc>
          <w:tcPr>
            <w:tcW w:w="1666" w:type="pct"/>
            <w:vAlign w:val="center"/>
          </w:tcPr>
          <w:p w14:paraId="7ACF3A77">
            <w:pPr>
              <w:pStyle w:val="159"/>
            </w:pPr>
            <w:r>
              <w:rPr>
                <w:rFonts w:hint="eastAsia"/>
              </w:rPr>
              <w:t>类比变电站</w:t>
            </w:r>
          </w:p>
        </w:tc>
      </w:tr>
      <w:tr w14:paraId="3EB1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14:paraId="36A6BF67">
            <w:pPr>
              <w:pStyle w:val="159"/>
            </w:pPr>
            <w:r>
              <w:rPr>
                <w:rFonts w:hint="eastAsia"/>
              </w:rPr>
              <w:t>项目名称</w:t>
            </w:r>
          </w:p>
        </w:tc>
        <w:tc>
          <w:tcPr>
            <w:tcW w:w="1667" w:type="pct"/>
            <w:vAlign w:val="center"/>
          </w:tcPr>
          <w:p w14:paraId="3609AD4F">
            <w:pPr>
              <w:pStyle w:val="159"/>
            </w:pPr>
            <w:r>
              <w:rPr>
                <w:rFonts w:hint="eastAsia"/>
              </w:rPr>
              <w:t>基地源</w:t>
            </w:r>
            <w:r>
              <w:t>110kV</w:t>
            </w:r>
            <w:r>
              <w:rPr>
                <w:rFonts w:hint="eastAsia"/>
              </w:rPr>
              <w:t>升压站</w:t>
            </w:r>
          </w:p>
        </w:tc>
        <w:tc>
          <w:tcPr>
            <w:tcW w:w="1666" w:type="pct"/>
            <w:vAlign w:val="center"/>
          </w:tcPr>
          <w:p w14:paraId="2C4A6FD7">
            <w:pPr>
              <w:pStyle w:val="159"/>
            </w:pPr>
            <w:r>
              <w:rPr>
                <w:rFonts w:hint="eastAsia"/>
              </w:rPr>
              <w:t>联富</w:t>
            </w:r>
            <w:r>
              <w:t>110kV</w:t>
            </w:r>
            <w:r>
              <w:rPr>
                <w:rFonts w:hint="eastAsia"/>
              </w:rPr>
              <w:t>变电站（建设名称朝阳110kV变电站）</w:t>
            </w:r>
          </w:p>
        </w:tc>
      </w:tr>
      <w:tr w14:paraId="4F1C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14:paraId="12BF21BF">
            <w:pPr>
              <w:pStyle w:val="159"/>
            </w:pPr>
            <w:r>
              <w:rPr>
                <w:rFonts w:hint="eastAsia"/>
              </w:rPr>
              <w:t>地理位置</w:t>
            </w:r>
          </w:p>
        </w:tc>
        <w:tc>
          <w:tcPr>
            <w:tcW w:w="1667" w:type="pct"/>
            <w:vAlign w:val="center"/>
          </w:tcPr>
          <w:p w14:paraId="497E5B1A">
            <w:pPr>
              <w:pStyle w:val="159"/>
            </w:pPr>
            <w:r>
              <w:rPr>
                <w:rFonts w:hint="eastAsia"/>
              </w:rPr>
              <w:t>永州市江华县</w:t>
            </w:r>
          </w:p>
        </w:tc>
        <w:tc>
          <w:tcPr>
            <w:tcW w:w="1666" w:type="pct"/>
            <w:vAlign w:val="center"/>
          </w:tcPr>
          <w:p w14:paraId="0F79CF90">
            <w:pPr>
              <w:pStyle w:val="159"/>
            </w:pPr>
            <w:r>
              <w:rPr>
                <w:rFonts w:hint="eastAsia"/>
              </w:rPr>
              <w:t>张家界市慈利县</w:t>
            </w:r>
          </w:p>
        </w:tc>
      </w:tr>
      <w:tr w14:paraId="3205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14:paraId="11E77156">
            <w:pPr>
              <w:pStyle w:val="159"/>
            </w:pPr>
            <w:r>
              <w:rPr>
                <w:rFonts w:hint="eastAsia"/>
              </w:rPr>
              <w:t>电压等级</w:t>
            </w:r>
          </w:p>
        </w:tc>
        <w:tc>
          <w:tcPr>
            <w:tcW w:w="1667" w:type="pct"/>
            <w:vAlign w:val="center"/>
          </w:tcPr>
          <w:p w14:paraId="76F39E78">
            <w:pPr>
              <w:pStyle w:val="159"/>
            </w:pPr>
            <w:r>
              <w:t>110kV</w:t>
            </w:r>
          </w:p>
        </w:tc>
        <w:tc>
          <w:tcPr>
            <w:tcW w:w="1666" w:type="pct"/>
            <w:vAlign w:val="center"/>
          </w:tcPr>
          <w:p w14:paraId="7B136491">
            <w:pPr>
              <w:pStyle w:val="159"/>
            </w:pPr>
            <w:r>
              <w:t>110kV</w:t>
            </w:r>
          </w:p>
        </w:tc>
      </w:tr>
      <w:tr w14:paraId="48DB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14:paraId="2AA14014">
            <w:pPr>
              <w:pStyle w:val="159"/>
            </w:pPr>
            <w:r>
              <w:rPr>
                <w:rFonts w:hint="eastAsia"/>
              </w:rPr>
              <w:t>主变容量</w:t>
            </w:r>
          </w:p>
        </w:tc>
        <w:tc>
          <w:tcPr>
            <w:tcW w:w="1667" w:type="pct"/>
            <w:vAlign w:val="center"/>
          </w:tcPr>
          <w:p w14:paraId="0723FBF6">
            <w:pPr>
              <w:pStyle w:val="159"/>
            </w:pPr>
            <w:r>
              <w:t>1×12.5MVA</w:t>
            </w:r>
          </w:p>
        </w:tc>
        <w:tc>
          <w:tcPr>
            <w:tcW w:w="1666" w:type="pct"/>
            <w:vAlign w:val="center"/>
          </w:tcPr>
          <w:p w14:paraId="0A85C4CB">
            <w:pPr>
              <w:pStyle w:val="159"/>
            </w:pPr>
            <w:r>
              <w:t>1×31.5MVA</w:t>
            </w:r>
          </w:p>
        </w:tc>
      </w:tr>
      <w:tr w14:paraId="487B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14:paraId="719970EB">
            <w:pPr>
              <w:pStyle w:val="159"/>
            </w:pPr>
            <w:r>
              <w:rPr>
                <w:rFonts w:hint="eastAsia"/>
              </w:rPr>
              <w:t>布置形式</w:t>
            </w:r>
          </w:p>
        </w:tc>
        <w:tc>
          <w:tcPr>
            <w:tcW w:w="1667" w:type="pct"/>
            <w:vAlign w:val="center"/>
          </w:tcPr>
          <w:p w14:paraId="268DCE66">
            <w:pPr>
              <w:pStyle w:val="159"/>
            </w:pPr>
            <w:r>
              <w:rPr>
                <w:rFonts w:hint="eastAsia"/>
              </w:rPr>
              <w:t>户外布置</w:t>
            </w:r>
          </w:p>
        </w:tc>
        <w:tc>
          <w:tcPr>
            <w:tcW w:w="1666" w:type="pct"/>
            <w:vAlign w:val="center"/>
          </w:tcPr>
          <w:p w14:paraId="2933EF9B">
            <w:pPr>
              <w:pStyle w:val="159"/>
            </w:pPr>
            <w:r>
              <w:rPr>
                <w:rFonts w:hint="eastAsia"/>
              </w:rPr>
              <w:t>户外布置</w:t>
            </w:r>
          </w:p>
        </w:tc>
      </w:tr>
      <w:tr w14:paraId="4247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14:paraId="6C116781">
            <w:pPr>
              <w:pStyle w:val="159"/>
            </w:pPr>
            <w:r>
              <w:t>110kV出线回数</w:t>
            </w:r>
          </w:p>
        </w:tc>
        <w:tc>
          <w:tcPr>
            <w:tcW w:w="1667" w:type="pct"/>
            <w:vAlign w:val="center"/>
          </w:tcPr>
          <w:p w14:paraId="72BCB8A5">
            <w:pPr>
              <w:pStyle w:val="159"/>
            </w:pPr>
            <w:r>
              <w:t>1回</w:t>
            </w:r>
          </w:p>
        </w:tc>
        <w:tc>
          <w:tcPr>
            <w:tcW w:w="1666" w:type="pct"/>
            <w:vAlign w:val="center"/>
          </w:tcPr>
          <w:p w14:paraId="4D048AA7">
            <w:pPr>
              <w:pStyle w:val="159"/>
            </w:pPr>
            <w:r>
              <w:t>1回</w:t>
            </w:r>
          </w:p>
        </w:tc>
      </w:tr>
      <w:tr w14:paraId="26B4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14:paraId="07F66181">
            <w:pPr>
              <w:pStyle w:val="159"/>
            </w:pPr>
            <w:r>
              <w:t>出线架设方式</w:t>
            </w:r>
          </w:p>
        </w:tc>
        <w:tc>
          <w:tcPr>
            <w:tcW w:w="1667" w:type="pct"/>
            <w:vAlign w:val="center"/>
          </w:tcPr>
          <w:p w14:paraId="120758F9">
            <w:pPr>
              <w:pStyle w:val="159"/>
            </w:pPr>
            <w:r>
              <w:t>架空</w:t>
            </w:r>
          </w:p>
        </w:tc>
        <w:tc>
          <w:tcPr>
            <w:tcW w:w="1666" w:type="pct"/>
            <w:vAlign w:val="center"/>
          </w:tcPr>
          <w:p w14:paraId="3EED0A65">
            <w:pPr>
              <w:pStyle w:val="159"/>
            </w:pPr>
            <w:r>
              <w:t>架空</w:t>
            </w:r>
          </w:p>
        </w:tc>
      </w:tr>
      <w:tr w14:paraId="2FB6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14:paraId="115C4B09">
            <w:pPr>
              <w:pStyle w:val="159"/>
            </w:pPr>
            <w:r>
              <w:t>区域环境</w:t>
            </w:r>
          </w:p>
        </w:tc>
        <w:tc>
          <w:tcPr>
            <w:tcW w:w="1667" w:type="pct"/>
            <w:vAlign w:val="center"/>
          </w:tcPr>
          <w:p w14:paraId="1CB7600E">
            <w:pPr>
              <w:pStyle w:val="159"/>
            </w:pPr>
            <w:r>
              <w:t>农村地区，</w:t>
            </w:r>
            <w:r>
              <w:rPr>
                <w:rFonts w:hint="eastAsia"/>
              </w:rPr>
              <w:t>山区地形，</w:t>
            </w:r>
            <w:r>
              <w:t>周围无其他电磁污染源</w:t>
            </w:r>
          </w:p>
        </w:tc>
        <w:tc>
          <w:tcPr>
            <w:tcW w:w="1666" w:type="pct"/>
            <w:vAlign w:val="center"/>
          </w:tcPr>
          <w:p w14:paraId="41ECAD03">
            <w:pPr>
              <w:pStyle w:val="159"/>
            </w:pPr>
            <w:r>
              <w:t>农村地区，</w:t>
            </w:r>
            <w:r>
              <w:rPr>
                <w:rFonts w:hint="eastAsia"/>
              </w:rPr>
              <w:t>山区地形，</w:t>
            </w:r>
            <w:r>
              <w:t>周围无其他电磁污染源</w:t>
            </w:r>
          </w:p>
        </w:tc>
      </w:tr>
    </w:tbl>
    <w:p w14:paraId="3BD5A424"/>
    <w:p w14:paraId="7400D88B">
      <w:pPr>
        <w:pStyle w:val="6"/>
        <w:ind w:left="0" w:firstLine="0"/>
      </w:pPr>
      <w:r>
        <w:rPr>
          <w:rFonts w:hint="eastAsia"/>
        </w:rPr>
        <w:t>类比监测</w:t>
      </w:r>
      <w:r>
        <w:t xml:space="preserve"> </w:t>
      </w:r>
    </w:p>
    <w:p w14:paraId="180BE8FB">
      <w:pPr>
        <w:pStyle w:val="3"/>
        <w:ind w:firstLine="480"/>
      </w:pPr>
      <w:r>
        <w:rPr>
          <w:rFonts w:hint="eastAsia"/>
        </w:rPr>
        <w:t>本次评价收集了湖南张家界慈利朝阳110kV输变电工程竣工环境保护验收调查资料，类比监测数据来源于该项资料。</w:t>
      </w:r>
    </w:p>
    <w:p w14:paraId="3A4A8D4B">
      <w:pPr>
        <w:pStyle w:val="3"/>
        <w:ind w:firstLine="480"/>
      </w:pPr>
      <w:r>
        <w:rPr>
          <w:rFonts w:hint="eastAsia"/>
        </w:rPr>
        <w:t>a）监测单位</w:t>
      </w:r>
    </w:p>
    <w:p w14:paraId="22D2E9AF">
      <w:pPr>
        <w:pStyle w:val="4"/>
        <w:spacing w:line="360" w:lineRule="auto"/>
        <w:ind w:firstLine="480"/>
        <w:rPr>
          <w:sz w:val="24"/>
          <w:szCs w:val="24"/>
        </w:rPr>
      </w:pPr>
      <w:r>
        <w:rPr>
          <w:rFonts w:hint="eastAsia"/>
          <w:sz w:val="24"/>
          <w:szCs w:val="24"/>
        </w:rPr>
        <w:t>湖南省湘电试验研究院有限公司</w:t>
      </w:r>
    </w:p>
    <w:p w14:paraId="5E016968">
      <w:pPr>
        <w:pStyle w:val="3"/>
        <w:ind w:firstLine="480"/>
      </w:pPr>
      <w:bookmarkStart w:id="326" w:name="_Toc344399836"/>
      <w:bookmarkStart w:id="327" w:name="_Toc344398100"/>
      <w:r>
        <w:rPr>
          <w:rFonts w:hint="eastAsia"/>
        </w:rPr>
        <w:t>b）</w:t>
      </w:r>
      <w:r>
        <w:t>监测</w:t>
      </w:r>
      <w:r>
        <w:rPr>
          <w:rFonts w:hint="eastAsia"/>
        </w:rPr>
        <w:t>因子</w:t>
      </w:r>
    </w:p>
    <w:p w14:paraId="77359045">
      <w:pPr>
        <w:pStyle w:val="3"/>
        <w:ind w:firstLine="480"/>
        <w:rPr>
          <w:color w:val="000000"/>
        </w:rPr>
      </w:pPr>
      <w:r>
        <w:rPr>
          <w:rFonts w:hint="eastAsia" w:ascii="宋体" w:cs="宋体"/>
          <w:kern w:val="0"/>
          <w:szCs w:val="24"/>
        </w:rPr>
        <w:t>工频电场强度、工频磁感应强度</w:t>
      </w:r>
    </w:p>
    <w:p w14:paraId="5CECB0EF">
      <w:pPr>
        <w:pStyle w:val="3"/>
        <w:ind w:firstLine="480"/>
        <w:rPr>
          <w:szCs w:val="24"/>
        </w:rPr>
      </w:pPr>
      <w:bookmarkStart w:id="328" w:name="_Toc344398098"/>
      <w:bookmarkStart w:id="329" w:name="_Toc344399834"/>
      <w:r>
        <w:rPr>
          <w:szCs w:val="24"/>
        </w:rPr>
        <w:t>c</w:t>
      </w:r>
      <w:r>
        <w:rPr>
          <w:rFonts w:hint="eastAsia"/>
          <w:szCs w:val="24"/>
        </w:rPr>
        <w:t>）</w:t>
      </w:r>
      <w:r>
        <w:rPr>
          <w:rFonts w:hint="eastAsia" w:ascii="宋体" w:cs="宋体"/>
          <w:kern w:val="0"/>
          <w:szCs w:val="24"/>
        </w:rPr>
        <w:t>监测方法</w:t>
      </w:r>
    </w:p>
    <w:p w14:paraId="3A182EF2">
      <w:pPr>
        <w:pStyle w:val="3"/>
        <w:ind w:firstLine="480"/>
      </w:pPr>
      <w:r>
        <w:rPr>
          <w:rFonts w:hint="eastAsia"/>
        </w:rPr>
        <w:t>电磁环境现状监测按《交流输变电工程电磁环境监测方法》（HJ681-2013）和《环境影响评价技术导则 输变电工程》（HJ24-2014）中相关规定执行。</w:t>
      </w:r>
    </w:p>
    <w:p w14:paraId="1C2090C9">
      <w:pPr>
        <w:pStyle w:val="3"/>
        <w:ind w:firstLine="480"/>
        <w:rPr>
          <w:rFonts w:ascii="宋体" w:cs="宋体"/>
          <w:kern w:val="0"/>
          <w:szCs w:val="24"/>
        </w:rPr>
      </w:pPr>
      <w:r>
        <w:rPr>
          <w:szCs w:val="24"/>
        </w:rPr>
        <w:t>d</w:t>
      </w:r>
      <w:r>
        <w:rPr>
          <w:rFonts w:hint="eastAsia"/>
          <w:szCs w:val="24"/>
        </w:rPr>
        <w:t>）</w:t>
      </w:r>
      <w:r>
        <w:rPr>
          <w:rFonts w:hint="eastAsia" w:ascii="宋体" w:cs="宋体"/>
          <w:kern w:val="0"/>
          <w:szCs w:val="24"/>
        </w:rPr>
        <w:t>监测仪器</w:t>
      </w:r>
    </w:p>
    <w:p w14:paraId="046FB2E2">
      <w:pPr>
        <w:pStyle w:val="3"/>
        <w:ind w:firstLine="480"/>
      </w:pPr>
      <w:r>
        <w:rPr>
          <w:rFonts w:hint="eastAsia"/>
        </w:rPr>
        <w:t>监测仪器信息见表3</w:t>
      </w:r>
      <w:r>
        <w:t>.1-2</w:t>
      </w:r>
      <w:r>
        <w:rPr>
          <w:rFonts w:hint="eastAsia"/>
        </w:rPr>
        <w:t>所示。</w:t>
      </w:r>
    </w:p>
    <w:p w14:paraId="10B1B85F">
      <w:pPr>
        <w:pStyle w:val="148"/>
        <w:rPr>
          <w:szCs w:val="24"/>
        </w:rPr>
      </w:pPr>
      <w:r>
        <w:rPr>
          <w:rFonts w:hint="eastAsia"/>
        </w:rPr>
        <w:t>表</w:t>
      </w:r>
      <w:r>
        <w:t xml:space="preserve">3.1-2 </w:t>
      </w:r>
      <w:r>
        <w:rPr>
          <w:rFonts w:hint="eastAsia"/>
        </w:rPr>
        <w:t xml:space="preserve"> 电磁监测仪器信息</w:t>
      </w:r>
    </w:p>
    <w:tbl>
      <w:tblPr>
        <w:tblStyle w:val="4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65"/>
        <w:gridCol w:w="1256"/>
        <w:gridCol w:w="1183"/>
        <w:gridCol w:w="2120"/>
        <w:gridCol w:w="3363"/>
      </w:tblGrid>
      <w:tr w14:paraId="22AC4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vAlign w:val="center"/>
          </w:tcPr>
          <w:p w14:paraId="119E70EE">
            <w:pPr>
              <w:pStyle w:val="159"/>
            </w:pPr>
            <w:r>
              <w:rPr>
                <w:rFonts w:hint="eastAsia"/>
              </w:rPr>
              <w:t>类型</w:t>
            </w:r>
          </w:p>
        </w:tc>
        <w:tc>
          <w:tcPr>
            <w:tcW w:w="676" w:type="pct"/>
            <w:vAlign w:val="center"/>
          </w:tcPr>
          <w:p w14:paraId="09303226">
            <w:pPr>
              <w:pStyle w:val="159"/>
            </w:pPr>
            <w:r>
              <w:rPr>
                <w:rFonts w:hint="eastAsia"/>
              </w:rPr>
              <w:t>仪器名称</w:t>
            </w:r>
          </w:p>
        </w:tc>
        <w:tc>
          <w:tcPr>
            <w:tcW w:w="637" w:type="pct"/>
            <w:vAlign w:val="center"/>
          </w:tcPr>
          <w:p w14:paraId="58CF56A0">
            <w:pPr>
              <w:pStyle w:val="159"/>
            </w:pPr>
            <w:r>
              <w:rPr>
                <w:rFonts w:hint="eastAsia"/>
              </w:rPr>
              <w:t>仪器型号</w:t>
            </w:r>
          </w:p>
        </w:tc>
        <w:tc>
          <w:tcPr>
            <w:tcW w:w="1141" w:type="pct"/>
            <w:vAlign w:val="center"/>
          </w:tcPr>
          <w:p w14:paraId="253B20BA">
            <w:pPr>
              <w:pStyle w:val="159"/>
            </w:pPr>
            <w:r>
              <w:rPr>
                <w:rFonts w:hint="eastAsia"/>
              </w:rPr>
              <w:t>量程范围</w:t>
            </w:r>
          </w:p>
        </w:tc>
        <w:tc>
          <w:tcPr>
            <w:tcW w:w="1810" w:type="pct"/>
            <w:vAlign w:val="center"/>
          </w:tcPr>
          <w:p w14:paraId="686348EC">
            <w:pPr>
              <w:pStyle w:val="159"/>
            </w:pPr>
            <w:r>
              <w:rPr>
                <w:rFonts w:hint="eastAsia"/>
              </w:rPr>
              <w:t>测试（校准）证书编号</w:t>
            </w:r>
          </w:p>
        </w:tc>
      </w:tr>
      <w:tr w14:paraId="16B54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vAlign w:val="center"/>
          </w:tcPr>
          <w:p w14:paraId="067E6F2F">
            <w:pPr>
              <w:pStyle w:val="159"/>
            </w:pPr>
            <w:r>
              <w:rPr>
                <w:rFonts w:hint="eastAsia"/>
              </w:rPr>
              <w:t>工频电场、工频磁场</w:t>
            </w:r>
          </w:p>
        </w:tc>
        <w:tc>
          <w:tcPr>
            <w:tcW w:w="676" w:type="pct"/>
            <w:vAlign w:val="center"/>
          </w:tcPr>
          <w:p w14:paraId="489EEB22">
            <w:pPr>
              <w:pStyle w:val="159"/>
            </w:pPr>
            <w:r>
              <w:rPr>
                <w:rFonts w:hint="eastAsia"/>
              </w:rPr>
              <w:t>工频电磁场测试仪</w:t>
            </w:r>
          </w:p>
        </w:tc>
        <w:tc>
          <w:tcPr>
            <w:tcW w:w="637" w:type="pct"/>
            <w:vAlign w:val="center"/>
          </w:tcPr>
          <w:p w14:paraId="45EE160B">
            <w:pPr>
              <w:pStyle w:val="159"/>
            </w:pPr>
            <w:r>
              <w:rPr>
                <w:rFonts w:hint="eastAsia"/>
              </w:rPr>
              <w:t>NBM560</w:t>
            </w:r>
          </w:p>
        </w:tc>
        <w:tc>
          <w:tcPr>
            <w:tcW w:w="1141" w:type="pct"/>
            <w:vAlign w:val="center"/>
          </w:tcPr>
          <w:p w14:paraId="59D0773D">
            <w:pPr>
              <w:pStyle w:val="159"/>
            </w:pPr>
            <w:r>
              <w:rPr>
                <w:rFonts w:hint="eastAsia"/>
              </w:rPr>
              <w:t>工频电场强度：5mV/m～100kV/m工频磁感应强度：1nT～1mT</w:t>
            </w:r>
          </w:p>
        </w:tc>
        <w:tc>
          <w:tcPr>
            <w:tcW w:w="1810" w:type="pct"/>
            <w:vAlign w:val="center"/>
          </w:tcPr>
          <w:p w14:paraId="2D7B57CC">
            <w:pPr>
              <w:pStyle w:val="159"/>
            </w:pPr>
            <w:r>
              <w:rPr>
                <w:rFonts w:hint="eastAsia"/>
              </w:rPr>
              <w:t>校准单位：中国计量科学研究院证书编号：XDdj2023-02193有效期：2023年4月23日~2024年4月22日</w:t>
            </w:r>
          </w:p>
        </w:tc>
      </w:tr>
      <w:tr w14:paraId="1DCD7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vAlign w:val="center"/>
          </w:tcPr>
          <w:p w14:paraId="2207BC68">
            <w:pPr>
              <w:pStyle w:val="159"/>
            </w:pPr>
            <w:r>
              <w:rPr>
                <w:rFonts w:hint="eastAsia"/>
              </w:rPr>
              <w:t>温湿度</w:t>
            </w:r>
          </w:p>
        </w:tc>
        <w:tc>
          <w:tcPr>
            <w:tcW w:w="676" w:type="pct"/>
            <w:vAlign w:val="center"/>
          </w:tcPr>
          <w:p w14:paraId="49BEBFF8">
            <w:pPr>
              <w:pStyle w:val="159"/>
            </w:pPr>
            <w:r>
              <w:rPr>
                <w:rFonts w:hint="eastAsia"/>
              </w:rPr>
              <w:t>多功能测量仪</w:t>
            </w:r>
          </w:p>
        </w:tc>
        <w:tc>
          <w:tcPr>
            <w:tcW w:w="637" w:type="pct"/>
            <w:vAlign w:val="center"/>
          </w:tcPr>
          <w:p w14:paraId="44A21BF0">
            <w:pPr>
              <w:pStyle w:val="159"/>
            </w:pPr>
            <w:r>
              <w:rPr>
                <w:rFonts w:hint="eastAsia"/>
              </w:rPr>
              <w:t>VT210</w:t>
            </w:r>
          </w:p>
        </w:tc>
        <w:tc>
          <w:tcPr>
            <w:tcW w:w="1141" w:type="pct"/>
            <w:vAlign w:val="center"/>
          </w:tcPr>
          <w:p w14:paraId="5AFC934A">
            <w:pPr>
              <w:pStyle w:val="159"/>
            </w:pPr>
            <w:r>
              <w:rPr>
                <w:rFonts w:hint="eastAsia"/>
              </w:rPr>
              <w:t>温度：-20～80℃</w:t>
            </w:r>
          </w:p>
          <w:p w14:paraId="1A169C5C">
            <w:pPr>
              <w:pStyle w:val="159"/>
            </w:pPr>
            <w:r>
              <w:rPr>
                <w:rFonts w:hint="eastAsia"/>
              </w:rPr>
              <w:t>相对湿度：5%～95%</w:t>
            </w:r>
          </w:p>
        </w:tc>
        <w:tc>
          <w:tcPr>
            <w:tcW w:w="1810" w:type="pct"/>
            <w:vAlign w:val="center"/>
          </w:tcPr>
          <w:p w14:paraId="7079248D">
            <w:pPr>
              <w:pStyle w:val="159"/>
            </w:pPr>
            <w:r>
              <w:rPr>
                <w:rFonts w:hint="eastAsia"/>
              </w:rPr>
              <w:t>校准单位：广州广电计量检测股份有限公司证书编号：J202307144207-01-0002（温湿度）有效期：2023年09月07日~2024年09月06日</w:t>
            </w:r>
          </w:p>
        </w:tc>
      </w:tr>
    </w:tbl>
    <w:p w14:paraId="6D4BCC03"/>
    <w:p w14:paraId="72B67C5D">
      <w:pPr>
        <w:pStyle w:val="3"/>
        <w:ind w:firstLine="480"/>
        <w:rPr>
          <w:rFonts w:ascii="宋体" w:cs="宋体"/>
          <w:kern w:val="0"/>
          <w:szCs w:val="24"/>
        </w:rPr>
      </w:pPr>
      <w:r>
        <w:rPr>
          <w:szCs w:val="24"/>
        </w:rPr>
        <w:t>e</w:t>
      </w:r>
      <w:r>
        <w:rPr>
          <w:rFonts w:hint="eastAsia"/>
          <w:szCs w:val="24"/>
        </w:rPr>
        <w:t>）</w:t>
      </w:r>
      <w:r>
        <w:rPr>
          <w:rFonts w:hint="eastAsia" w:ascii="宋体" w:cs="宋体"/>
          <w:kern w:val="0"/>
          <w:szCs w:val="24"/>
        </w:rPr>
        <w:t>监测时间及环境条件</w:t>
      </w:r>
    </w:p>
    <w:p w14:paraId="1EE78E57">
      <w:pPr>
        <w:pStyle w:val="3"/>
        <w:ind w:firstLine="480"/>
      </w:pPr>
      <w:r>
        <w:rPr>
          <w:rFonts w:hint="eastAsia"/>
        </w:rPr>
        <w:t>监测时间及环境条件见表</w:t>
      </w:r>
      <w:r>
        <w:t>3.1-3</w:t>
      </w:r>
      <w:r>
        <w:rPr>
          <w:rFonts w:hint="eastAsia"/>
        </w:rPr>
        <w:t>所示。</w:t>
      </w:r>
    </w:p>
    <w:p w14:paraId="7CD410D6">
      <w:pPr>
        <w:pStyle w:val="148"/>
      </w:pPr>
      <w:r>
        <w:rPr>
          <w:rFonts w:hint="eastAsia"/>
        </w:rPr>
        <w:t>表</w:t>
      </w:r>
      <w:r>
        <w:t xml:space="preserve">3.1-3  </w:t>
      </w:r>
      <w:r>
        <w:rPr>
          <w:rFonts w:hint="eastAsia"/>
        </w:rPr>
        <w:t>监测时间及环境条件</w:t>
      </w:r>
    </w:p>
    <w:tbl>
      <w:tblPr>
        <w:tblStyle w:val="4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39"/>
        <w:gridCol w:w="860"/>
        <w:gridCol w:w="1713"/>
        <w:gridCol w:w="2234"/>
        <w:gridCol w:w="1841"/>
      </w:tblGrid>
      <w:tr w14:paraId="1DB28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21" w:type="pct"/>
            <w:vAlign w:val="center"/>
          </w:tcPr>
          <w:p w14:paraId="7DF22779">
            <w:pPr>
              <w:pStyle w:val="159"/>
            </w:pPr>
            <w:r>
              <w:rPr>
                <w:rFonts w:hint="eastAsia"/>
              </w:rPr>
              <w:t>检测时间</w:t>
            </w:r>
          </w:p>
        </w:tc>
        <w:tc>
          <w:tcPr>
            <w:tcW w:w="463" w:type="pct"/>
            <w:vAlign w:val="center"/>
          </w:tcPr>
          <w:p w14:paraId="4DE13974">
            <w:pPr>
              <w:pStyle w:val="159"/>
            </w:pPr>
            <w:r>
              <w:rPr>
                <w:rFonts w:hint="eastAsia"/>
              </w:rPr>
              <w:t>天气</w:t>
            </w:r>
          </w:p>
        </w:tc>
        <w:tc>
          <w:tcPr>
            <w:tcW w:w="922" w:type="pct"/>
            <w:vAlign w:val="center"/>
          </w:tcPr>
          <w:p w14:paraId="5465F194">
            <w:pPr>
              <w:pStyle w:val="159"/>
            </w:pPr>
            <w:r>
              <w:rPr>
                <w:rFonts w:hint="eastAsia"/>
              </w:rPr>
              <w:t>温度（℃）</w:t>
            </w:r>
          </w:p>
        </w:tc>
        <w:tc>
          <w:tcPr>
            <w:tcW w:w="1203" w:type="pct"/>
            <w:vAlign w:val="center"/>
          </w:tcPr>
          <w:p w14:paraId="65F19DD2">
            <w:pPr>
              <w:pStyle w:val="159"/>
            </w:pPr>
            <w:r>
              <w:rPr>
                <w:rFonts w:hint="eastAsia"/>
              </w:rPr>
              <w:t>相对湿度（%）</w:t>
            </w:r>
          </w:p>
        </w:tc>
        <w:tc>
          <w:tcPr>
            <w:tcW w:w="991" w:type="pct"/>
            <w:vAlign w:val="center"/>
          </w:tcPr>
          <w:p w14:paraId="01406014">
            <w:pPr>
              <w:pStyle w:val="159"/>
            </w:pPr>
            <w:r>
              <w:rPr>
                <w:rFonts w:hint="eastAsia"/>
              </w:rPr>
              <w:t>风速（m/s）</w:t>
            </w:r>
          </w:p>
        </w:tc>
      </w:tr>
      <w:tr w14:paraId="3BAC6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21" w:type="pct"/>
            <w:vAlign w:val="center"/>
          </w:tcPr>
          <w:p w14:paraId="6569C391">
            <w:pPr>
              <w:pStyle w:val="159"/>
            </w:pPr>
            <w:r>
              <w:rPr>
                <w:rFonts w:hint="eastAsia"/>
              </w:rPr>
              <w:t>2023年12月13日</w:t>
            </w:r>
          </w:p>
        </w:tc>
        <w:tc>
          <w:tcPr>
            <w:tcW w:w="463" w:type="pct"/>
            <w:vAlign w:val="center"/>
          </w:tcPr>
          <w:p w14:paraId="25808421">
            <w:pPr>
              <w:pStyle w:val="159"/>
            </w:pPr>
            <w:r>
              <w:rPr>
                <w:rFonts w:hint="eastAsia"/>
              </w:rPr>
              <w:t>阴</w:t>
            </w:r>
          </w:p>
        </w:tc>
        <w:tc>
          <w:tcPr>
            <w:tcW w:w="922" w:type="pct"/>
            <w:vAlign w:val="center"/>
          </w:tcPr>
          <w:p w14:paraId="4E59BE1A">
            <w:pPr>
              <w:pStyle w:val="159"/>
            </w:pPr>
            <w:r>
              <w:rPr>
                <w:rFonts w:hint="eastAsia"/>
              </w:rPr>
              <w:t>7.9~13.6</w:t>
            </w:r>
          </w:p>
        </w:tc>
        <w:tc>
          <w:tcPr>
            <w:tcW w:w="1203" w:type="pct"/>
            <w:vAlign w:val="center"/>
          </w:tcPr>
          <w:p w14:paraId="63DEDCA9">
            <w:pPr>
              <w:pStyle w:val="159"/>
            </w:pPr>
            <w:r>
              <w:rPr>
                <w:rFonts w:hint="eastAsia"/>
              </w:rPr>
              <w:t>70.8~73.7</w:t>
            </w:r>
          </w:p>
        </w:tc>
        <w:tc>
          <w:tcPr>
            <w:tcW w:w="991" w:type="pct"/>
            <w:vAlign w:val="center"/>
          </w:tcPr>
          <w:p w14:paraId="77C42AD7">
            <w:pPr>
              <w:pStyle w:val="159"/>
            </w:pPr>
            <w:r>
              <w:rPr>
                <w:rFonts w:hint="eastAsia"/>
              </w:rPr>
              <w:t>0.8~1.2</w:t>
            </w:r>
          </w:p>
        </w:tc>
      </w:tr>
      <w:tr w14:paraId="1A99C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21" w:type="pct"/>
            <w:vAlign w:val="center"/>
          </w:tcPr>
          <w:p w14:paraId="5FD4DD5D">
            <w:pPr>
              <w:pStyle w:val="159"/>
            </w:pPr>
            <w:r>
              <w:rPr>
                <w:rFonts w:hint="eastAsia"/>
              </w:rPr>
              <w:t>2023年12月14日</w:t>
            </w:r>
          </w:p>
        </w:tc>
        <w:tc>
          <w:tcPr>
            <w:tcW w:w="463" w:type="pct"/>
            <w:vAlign w:val="center"/>
          </w:tcPr>
          <w:p w14:paraId="043D194C">
            <w:pPr>
              <w:pStyle w:val="159"/>
            </w:pPr>
            <w:r>
              <w:rPr>
                <w:rFonts w:hint="eastAsia"/>
              </w:rPr>
              <w:t>阴</w:t>
            </w:r>
          </w:p>
        </w:tc>
        <w:tc>
          <w:tcPr>
            <w:tcW w:w="922" w:type="pct"/>
            <w:vAlign w:val="center"/>
          </w:tcPr>
          <w:p w14:paraId="37002A4A">
            <w:pPr>
              <w:pStyle w:val="159"/>
            </w:pPr>
            <w:r>
              <w:rPr>
                <w:rFonts w:hint="eastAsia"/>
              </w:rPr>
              <w:t>6.5~10.9</w:t>
            </w:r>
          </w:p>
        </w:tc>
        <w:tc>
          <w:tcPr>
            <w:tcW w:w="1203" w:type="pct"/>
            <w:vAlign w:val="center"/>
          </w:tcPr>
          <w:p w14:paraId="1C631CC5">
            <w:pPr>
              <w:pStyle w:val="159"/>
            </w:pPr>
            <w:r>
              <w:rPr>
                <w:rFonts w:hint="eastAsia"/>
              </w:rPr>
              <w:t>70.2~74.4</w:t>
            </w:r>
          </w:p>
        </w:tc>
        <w:tc>
          <w:tcPr>
            <w:tcW w:w="991" w:type="pct"/>
            <w:vAlign w:val="center"/>
          </w:tcPr>
          <w:p w14:paraId="21537AC6">
            <w:pPr>
              <w:pStyle w:val="159"/>
            </w:pPr>
            <w:r>
              <w:rPr>
                <w:rFonts w:hint="eastAsia"/>
              </w:rPr>
              <w:t>0.5~1.1</w:t>
            </w:r>
          </w:p>
        </w:tc>
      </w:tr>
    </w:tbl>
    <w:p w14:paraId="054909DC"/>
    <w:p w14:paraId="498E6FB6">
      <w:pPr>
        <w:pStyle w:val="3"/>
        <w:ind w:firstLine="480"/>
        <w:rPr>
          <w:rFonts w:ascii="宋体" w:cs="宋体"/>
          <w:kern w:val="0"/>
          <w:szCs w:val="24"/>
        </w:rPr>
      </w:pPr>
      <w:r>
        <w:rPr>
          <w:szCs w:val="24"/>
        </w:rPr>
        <w:t>f</w:t>
      </w:r>
      <w:r>
        <w:rPr>
          <w:rFonts w:hint="eastAsia"/>
          <w:szCs w:val="24"/>
        </w:rPr>
        <w:t>）</w:t>
      </w:r>
      <w:r>
        <w:rPr>
          <w:rFonts w:hint="eastAsia" w:ascii="宋体" w:cs="宋体"/>
          <w:kern w:val="0"/>
          <w:szCs w:val="24"/>
        </w:rPr>
        <w:t>监测时工况</w:t>
      </w:r>
    </w:p>
    <w:p w14:paraId="02A37A57">
      <w:pPr>
        <w:pStyle w:val="3"/>
        <w:ind w:firstLine="480"/>
      </w:pPr>
      <w:r>
        <w:rPr>
          <w:rFonts w:hint="eastAsia" w:ascii="宋体" w:cs="宋体"/>
          <w:kern w:val="0"/>
          <w:szCs w:val="24"/>
        </w:rPr>
        <w:t>监测时工况</w:t>
      </w:r>
      <w:r>
        <w:rPr>
          <w:rFonts w:hint="eastAsia"/>
        </w:rPr>
        <w:t>见表</w:t>
      </w:r>
      <w:r>
        <w:t>3.1-4</w:t>
      </w:r>
      <w:r>
        <w:rPr>
          <w:rFonts w:hint="eastAsia" w:ascii="宋体" w:cs="宋体"/>
          <w:kern w:val="0"/>
          <w:szCs w:val="24"/>
        </w:rPr>
        <w:t>所示。</w:t>
      </w:r>
    </w:p>
    <w:p w14:paraId="75F95EFA">
      <w:pPr>
        <w:pStyle w:val="16"/>
        <w:jc w:val="center"/>
      </w:pPr>
      <w:r>
        <w:rPr>
          <w:rFonts w:hint="eastAsia"/>
        </w:rPr>
        <w:t>表</w:t>
      </w:r>
      <w:r>
        <w:t xml:space="preserve">3.1-4  </w:t>
      </w:r>
      <w:r>
        <w:rPr>
          <w:rFonts w:hint="eastAsia"/>
        </w:rPr>
        <w:t>监测时工况</w:t>
      </w: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1"/>
        <w:gridCol w:w="1491"/>
        <w:gridCol w:w="1491"/>
        <w:gridCol w:w="1491"/>
        <w:gridCol w:w="1491"/>
        <w:gridCol w:w="1492"/>
      </w:tblGrid>
      <w:tr w14:paraId="31E71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91" w:type="dxa"/>
            <w:vAlign w:val="center"/>
          </w:tcPr>
          <w:p w14:paraId="39378AD5">
            <w:pPr>
              <w:pStyle w:val="159"/>
            </w:pPr>
            <w:r>
              <w:rPr>
                <w:rFonts w:hint="eastAsia"/>
              </w:rPr>
              <w:t>检测时间</w:t>
            </w:r>
          </w:p>
        </w:tc>
        <w:tc>
          <w:tcPr>
            <w:tcW w:w="1491" w:type="dxa"/>
            <w:vAlign w:val="center"/>
          </w:tcPr>
          <w:p w14:paraId="22D5E652">
            <w:pPr>
              <w:pStyle w:val="159"/>
            </w:pPr>
            <w:r>
              <w:rPr>
                <w:rFonts w:hint="eastAsia"/>
              </w:rPr>
              <w:t>项目</w:t>
            </w:r>
          </w:p>
        </w:tc>
        <w:tc>
          <w:tcPr>
            <w:tcW w:w="1491" w:type="dxa"/>
            <w:vAlign w:val="center"/>
          </w:tcPr>
          <w:p w14:paraId="02F1A292">
            <w:pPr>
              <w:pStyle w:val="159"/>
            </w:pPr>
            <w:r>
              <w:rPr>
                <w:rFonts w:hint="eastAsia"/>
              </w:rPr>
              <w:t>电压U（kV）</w:t>
            </w:r>
          </w:p>
        </w:tc>
        <w:tc>
          <w:tcPr>
            <w:tcW w:w="1491" w:type="dxa"/>
            <w:vAlign w:val="center"/>
          </w:tcPr>
          <w:p w14:paraId="0AF67928">
            <w:pPr>
              <w:pStyle w:val="159"/>
            </w:pPr>
            <w:r>
              <w:rPr>
                <w:rFonts w:hint="eastAsia"/>
              </w:rPr>
              <w:t>电流I（A）</w:t>
            </w:r>
          </w:p>
        </w:tc>
        <w:tc>
          <w:tcPr>
            <w:tcW w:w="1491" w:type="dxa"/>
            <w:vAlign w:val="center"/>
          </w:tcPr>
          <w:p w14:paraId="2C92BD44">
            <w:pPr>
              <w:pStyle w:val="159"/>
            </w:pPr>
            <w:r>
              <w:rPr>
                <w:rFonts w:hint="eastAsia"/>
              </w:rPr>
              <w:t>有功P（MW）</w:t>
            </w:r>
          </w:p>
        </w:tc>
        <w:tc>
          <w:tcPr>
            <w:tcW w:w="1492" w:type="dxa"/>
            <w:vAlign w:val="center"/>
          </w:tcPr>
          <w:p w14:paraId="147399FC">
            <w:pPr>
              <w:pStyle w:val="159"/>
            </w:pPr>
            <w:r>
              <w:rPr>
                <w:rFonts w:hint="eastAsia"/>
              </w:rPr>
              <w:t>无功Q（Mvar）</w:t>
            </w:r>
          </w:p>
        </w:tc>
      </w:tr>
      <w:tr w14:paraId="5229A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91" w:type="dxa"/>
            <w:vAlign w:val="center"/>
          </w:tcPr>
          <w:p w14:paraId="0A5BA60C">
            <w:pPr>
              <w:pStyle w:val="159"/>
            </w:pPr>
            <w:r>
              <w:rPr>
                <w:rFonts w:hint="eastAsia"/>
              </w:rPr>
              <w:t>2023年12月13日~14日</w:t>
            </w:r>
          </w:p>
        </w:tc>
        <w:tc>
          <w:tcPr>
            <w:tcW w:w="1491" w:type="dxa"/>
            <w:vAlign w:val="center"/>
          </w:tcPr>
          <w:p w14:paraId="78FDC361">
            <w:pPr>
              <w:pStyle w:val="159"/>
            </w:pPr>
            <w:r>
              <w:rPr>
                <w:rFonts w:hint="eastAsia"/>
              </w:rPr>
              <w:t>1号主变</w:t>
            </w:r>
          </w:p>
        </w:tc>
        <w:tc>
          <w:tcPr>
            <w:tcW w:w="1491" w:type="dxa"/>
            <w:vAlign w:val="center"/>
          </w:tcPr>
          <w:p w14:paraId="3A3D5E75">
            <w:pPr>
              <w:pStyle w:val="159"/>
            </w:pPr>
            <w:r>
              <w:rPr>
                <w:rFonts w:hint="eastAsia"/>
              </w:rPr>
              <w:t>115.6~116.1</w:t>
            </w:r>
          </w:p>
        </w:tc>
        <w:tc>
          <w:tcPr>
            <w:tcW w:w="1491" w:type="dxa"/>
            <w:vAlign w:val="center"/>
          </w:tcPr>
          <w:p w14:paraId="5F5D7443">
            <w:pPr>
              <w:pStyle w:val="159"/>
            </w:pPr>
            <w:r>
              <w:rPr>
                <w:rFonts w:hint="eastAsia"/>
              </w:rPr>
              <w:t>32.8~32.9</w:t>
            </w:r>
          </w:p>
        </w:tc>
        <w:tc>
          <w:tcPr>
            <w:tcW w:w="1491" w:type="dxa"/>
            <w:vAlign w:val="center"/>
          </w:tcPr>
          <w:p w14:paraId="1F420C4D">
            <w:pPr>
              <w:pStyle w:val="159"/>
            </w:pPr>
            <w:r>
              <w:rPr>
                <w:rFonts w:hint="eastAsia"/>
              </w:rPr>
              <w:t>6.2~6.3</w:t>
            </w:r>
          </w:p>
        </w:tc>
        <w:tc>
          <w:tcPr>
            <w:tcW w:w="1492" w:type="dxa"/>
            <w:vAlign w:val="center"/>
          </w:tcPr>
          <w:p w14:paraId="43DEB745">
            <w:pPr>
              <w:pStyle w:val="159"/>
            </w:pPr>
            <w:r>
              <w:rPr>
                <w:rFonts w:hint="eastAsia"/>
              </w:rPr>
              <w:t>2.0~2.1</w:t>
            </w:r>
          </w:p>
        </w:tc>
      </w:tr>
    </w:tbl>
    <w:p w14:paraId="3070908B"/>
    <w:p w14:paraId="452D469D">
      <w:pPr>
        <w:pStyle w:val="3"/>
        <w:ind w:firstLine="480"/>
      </w:pPr>
      <w:r>
        <w:rPr>
          <w:szCs w:val="24"/>
        </w:rPr>
        <w:t>g</w:t>
      </w:r>
      <w:r>
        <w:rPr>
          <w:rFonts w:hint="eastAsia"/>
          <w:szCs w:val="24"/>
        </w:rPr>
        <w:t>）</w:t>
      </w:r>
      <w:r>
        <w:rPr>
          <w:rFonts w:hint="eastAsia" w:ascii="宋体" w:cs="宋体"/>
          <w:kern w:val="0"/>
          <w:szCs w:val="24"/>
        </w:rPr>
        <w:t>监测布点</w:t>
      </w:r>
    </w:p>
    <w:p w14:paraId="68DA6A87">
      <w:pPr>
        <w:pStyle w:val="3"/>
        <w:ind w:firstLine="480"/>
      </w:pPr>
      <w:r>
        <w:rPr>
          <w:rFonts w:hint="eastAsia"/>
        </w:rPr>
        <w:t>在类比对象联富1</w:t>
      </w:r>
      <w:r>
        <w:t>10</w:t>
      </w:r>
      <w:r>
        <w:rPr>
          <w:rFonts w:hint="eastAsia"/>
        </w:rPr>
        <w:t>kV变电站东、南、西、北侧围墙外</w:t>
      </w:r>
      <w:r>
        <w:t>5m</w:t>
      </w:r>
      <w:r>
        <w:rPr>
          <w:rFonts w:hint="eastAsia"/>
        </w:rPr>
        <w:t>各布设1个监测点位。</w:t>
      </w:r>
    </w:p>
    <w:p w14:paraId="5803C6D8">
      <w:pPr>
        <w:pStyle w:val="3"/>
        <w:ind w:firstLine="480"/>
      </w:pPr>
      <w:r>
        <w:rPr>
          <w:szCs w:val="24"/>
        </w:rPr>
        <w:t>h</w:t>
      </w:r>
      <w:r>
        <w:rPr>
          <w:rFonts w:hint="eastAsia"/>
          <w:szCs w:val="24"/>
        </w:rPr>
        <w:t>）</w:t>
      </w:r>
      <w:r>
        <w:rPr>
          <w:rFonts w:hint="eastAsia"/>
        </w:rPr>
        <w:t>监测结果</w:t>
      </w:r>
    </w:p>
    <w:p w14:paraId="398F7D26">
      <w:pPr>
        <w:pStyle w:val="3"/>
        <w:ind w:firstLine="480"/>
      </w:pPr>
      <w:r>
        <w:rPr>
          <w:rFonts w:hint="eastAsia"/>
        </w:rPr>
        <w:t>联富1</w:t>
      </w:r>
      <w:r>
        <w:t>10</w:t>
      </w:r>
      <w:r>
        <w:rPr>
          <w:rFonts w:hint="eastAsia"/>
        </w:rPr>
        <w:t>kV变电站监测结果见表3</w:t>
      </w:r>
      <w:r>
        <w:t>.1-5</w:t>
      </w:r>
      <w:r>
        <w:rPr>
          <w:rFonts w:hint="eastAsia"/>
        </w:rPr>
        <w:t>所示。</w:t>
      </w:r>
    </w:p>
    <w:p w14:paraId="6711B8B6">
      <w:pPr>
        <w:pStyle w:val="148"/>
      </w:pPr>
      <w:r>
        <w:rPr>
          <w:rFonts w:hint="eastAsia"/>
        </w:rPr>
        <w:t>表3</w:t>
      </w:r>
      <w:r>
        <w:t xml:space="preserve">.1-5   </w:t>
      </w:r>
      <w:r>
        <w:rPr>
          <w:rFonts w:hint="eastAsia"/>
        </w:rPr>
        <w:t>联富1</w:t>
      </w:r>
      <w:r>
        <w:t>10</w:t>
      </w:r>
      <w:r>
        <w:rPr>
          <w:rFonts w:hint="eastAsia"/>
        </w:rPr>
        <w:t>kV变电站监测结果</w:t>
      </w:r>
    </w:p>
    <w:tbl>
      <w:tblPr>
        <w:tblStyle w:val="4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6"/>
        <w:gridCol w:w="2528"/>
        <w:gridCol w:w="2918"/>
        <w:gridCol w:w="2885"/>
      </w:tblGrid>
      <w:tr w14:paraId="4C12C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5" w:type="pct"/>
            <w:vAlign w:val="center"/>
          </w:tcPr>
          <w:p w14:paraId="666A7D17">
            <w:pPr>
              <w:pStyle w:val="159"/>
            </w:pPr>
            <w:r>
              <w:t>序号</w:t>
            </w:r>
          </w:p>
        </w:tc>
        <w:tc>
          <w:tcPr>
            <w:tcW w:w="1361" w:type="pct"/>
            <w:vAlign w:val="center"/>
          </w:tcPr>
          <w:p w14:paraId="1E4DC0A9">
            <w:pPr>
              <w:pStyle w:val="159"/>
            </w:pPr>
            <w:r>
              <w:t>检测点位</w:t>
            </w:r>
          </w:p>
        </w:tc>
        <w:tc>
          <w:tcPr>
            <w:tcW w:w="1571" w:type="pct"/>
            <w:vAlign w:val="center"/>
          </w:tcPr>
          <w:p w14:paraId="27E4DD0D">
            <w:pPr>
              <w:pStyle w:val="159"/>
            </w:pPr>
            <w:r>
              <w:t>工频电场强度（V/m）</w:t>
            </w:r>
          </w:p>
        </w:tc>
        <w:tc>
          <w:tcPr>
            <w:tcW w:w="1553" w:type="pct"/>
            <w:vAlign w:val="center"/>
          </w:tcPr>
          <w:p w14:paraId="12010468">
            <w:pPr>
              <w:pStyle w:val="159"/>
            </w:pPr>
            <w:r>
              <w:t>工频磁感应强度（μT）</w:t>
            </w:r>
          </w:p>
        </w:tc>
      </w:tr>
      <w:tr w14:paraId="29B33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5" w:type="pct"/>
            <w:vAlign w:val="center"/>
          </w:tcPr>
          <w:p w14:paraId="070D11FA">
            <w:pPr>
              <w:pStyle w:val="159"/>
            </w:pPr>
            <w:r>
              <w:t>1</w:t>
            </w:r>
          </w:p>
        </w:tc>
        <w:tc>
          <w:tcPr>
            <w:tcW w:w="1361" w:type="pct"/>
            <w:vAlign w:val="center"/>
          </w:tcPr>
          <w:p w14:paraId="1B7768FB">
            <w:pPr>
              <w:pStyle w:val="159"/>
            </w:pPr>
            <w:r>
              <w:t>变电站东侧厂界</w:t>
            </w:r>
          </w:p>
        </w:tc>
        <w:tc>
          <w:tcPr>
            <w:tcW w:w="1571" w:type="pct"/>
            <w:vAlign w:val="center"/>
          </w:tcPr>
          <w:p w14:paraId="4F0331C2">
            <w:pPr>
              <w:pStyle w:val="159"/>
            </w:pPr>
            <w:r>
              <w:t>77.9</w:t>
            </w:r>
          </w:p>
        </w:tc>
        <w:tc>
          <w:tcPr>
            <w:tcW w:w="1553" w:type="pct"/>
            <w:vAlign w:val="center"/>
          </w:tcPr>
          <w:p w14:paraId="4898D1BE">
            <w:pPr>
              <w:pStyle w:val="159"/>
            </w:pPr>
            <w:r>
              <w:t>0.071</w:t>
            </w:r>
          </w:p>
        </w:tc>
      </w:tr>
      <w:tr w14:paraId="68D0A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5" w:type="pct"/>
            <w:vAlign w:val="center"/>
          </w:tcPr>
          <w:p w14:paraId="5CA8B2D4">
            <w:pPr>
              <w:pStyle w:val="159"/>
            </w:pPr>
            <w:r>
              <w:t>2</w:t>
            </w:r>
          </w:p>
        </w:tc>
        <w:tc>
          <w:tcPr>
            <w:tcW w:w="1361" w:type="pct"/>
            <w:vAlign w:val="center"/>
          </w:tcPr>
          <w:p w14:paraId="4EE14449">
            <w:pPr>
              <w:pStyle w:val="159"/>
            </w:pPr>
            <w:r>
              <w:t>变电站南侧厂界</w:t>
            </w:r>
          </w:p>
        </w:tc>
        <w:tc>
          <w:tcPr>
            <w:tcW w:w="1571" w:type="pct"/>
            <w:vAlign w:val="center"/>
          </w:tcPr>
          <w:p w14:paraId="3305731F">
            <w:pPr>
              <w:pStyle w:val="159"/>
            </w:pPr>
            <w:r>
              <w:t>7.1</w:t>
            </w:r>
          </w:p>
        </w:tc>
        <w:tc>
          <w:tcPr>
            <w:tcW w:w="1553" w:type="pct"/>
            <w:vAlign w:val="center"/>
          </w:tcPr>
          <w:p w14:paraId="731E347D">
            <w:pPr>
              <w:pStyle w:val="159"/>
            </w:pPr>
            <w:r>
              <w:t>0.044</w:t>
            </w:r>
          </w:p>
        </w:tc>
      </w:tr>
      <w:tr w14:paraId="30D37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5" w:type="pct"/>
            <w:vAlign w:val="center"/>
          </w:tcPr>
          <w:p w14:paraId="271D950F">
            <w:pPr>
              <w:pStyle w:val="159"/>
            </w:pPr>
            <w:r>
              <w:t>3</w:t>
            </w:r>
          </w:p>
        </w:tc>
        <w:tc>
          <w:tcPr>
            <w:tcW w:w="1361" w:type="pct"/>
            <w:vAlign w:val="center"/>
          </w:tcPr>
          <w:p w14:paraId="34EC2A54">
            <w:pPr>
              <w:pStyle w:val="159"/>
            </w:pPr>
            <w:r>
              <w:t>变电站西侧厂界</w:t>
            </w:r>
          </w:p>
        </w:tc>
        <w:tc>
          <w:tcPr>
            <w:tcW w:w="1571" w:type="pct"/>
            <w:vAlign w:val="center"/>
          </w:tcPr>
          <w:p w14:paraId="6320B619">
            <w:pPr>
              <w:pStyle w:val="159"/>
            </w:pPr>
            <w:r>
              <w:t>4.3</w:t>
            </w:r>
          </w:p>
        </w:tc>
        <w:tc>
          <w:tcPr>
            <w:tcW w:w="1553" w:type="pct"/>
            <w:vAlign w:val="center"/>
          </w:tcPr>
          <w:p w14:paraId="78F6D843">
            <w:pPr>
              <w:pStyle w:val="159"/>
            </w:pPr>
            <w:r>
              <w:t>0.063</w:t>
            </w:r>
          </w:p>
        </w:tc>
      </w:tr>
      <w:tr w14:paraId="02D99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5" w:type="pct"/>
            <w:vAlign w:val="center"/>
          </w:tcPr>
          <w:p w14:paraId="3B107997">
            <w:pPr>
              <w:pStyle w:val="159"/>
            </w:pPr>
            <w:r>
              <w:t>4</w:t>
            </w:r>
          </w:p>
        </w:tc>
        <w:tc>
          <w:tcPr>
            <w:tcW w:w="1361" w:type="pct"/>
            <w:vAlign w:val="center"/>
          </w:tcPr>
          <w:p w14:paraId="02157851">
            <w:pPr>
              <w:pStyle w:val="159"/>
            </w:pPr>
            <w:r>
              <w:t>变电站北侧厂界</w:t>
            </w:r>
          </w:p>
        </w:tc>
        <w:tc>
          <w:tcPr>
            <w:tcW w:w="1571" w:type="pct"/>
            <w:vAlign w:val="center"/>
          </w:tcPr>
          <w:p w14:paraId="0CB56278">
            <w:pPr>
              <w:pStyle w:val="159"/>
            </w:pPr>
            <w:r>
              <w:t>42.3</w:t>
            </w:r>
          </w:p>
        </w:tc>
        <w:tc>
          <w:tcPr>
            <w:tcW w:w="1553" w:type="pct"/>
            <w:vAlign w:val="center"/>
          </w:tcPr>
          <w:p w14:paraId="258F3B10">
            <w:pPr>
              <w:pStyle w:val="159"/>
            </w:pPr>
            <w:r>
              <w:t>0.145</w:t>
            </w:r>
          </w:p>
        </w:tc>
      </w:tr>
    </w:tbl>
    <w:p w14:paraId="66296F4E">
      <w:pPr>
        <w:pStyle w:val="16"/>
        <w:jc w:val="center"/>
      </w:pPr>
      <w:r>
        <w:drawing>
          <wp:inline distT="0" distB="0" distL="0" distR="0">
            <wp:extent cx="4333875" cy="24955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4333875" cy="2495550"/>
                    </a:xfrm>
                    <a:prstGeom prst="rect">
                      <a:avLst/>
                    </a:prstGeom>
                  </pic:spPr>
                </pic:pic>
              </a:graphicData>
            </a:graphic>
          </wp:inline>
        </w:drawing>
      </w:r>
    </w:p>
    <w:p w14:paraId="5E9FF8AC">
      <w:pPr>
        <w:pStyle w:val="16"/>
        <w:jc w:val="center"/>
      </w:pPr>
      <w:r>
        <w:rPr>
          <w:kern w:val="0"/>
          <w:szCs w:val="24"/>
        </w:rPr>
        <w:t>图</w:t>
      </w:r>
      <w:r>
        <w:rPr>
          <w:rFonts w:eastAsia="TimesNewRomanPSMT"/>
          <w:kern w:val="0"/>
          <w:szCs w:val="24"/>
        </w:rPr>
        <w:t xml:space="preserve">3.1-1   </w:t>
      </w:r>
      <w:r>
        <w:rPr>
          <w:rStyle w:val="149"/>
        </w:rPr>
        <w:t>联富110kV变电站</w:t>
      </w:r>
      <w:r>
        <w:rPr>
          <w:kern w:val="0"/>
          <w:szCs w:val="24"/>
        </w:rPr>
        <w:t>监测布点图</w:t>
      </w:r>
    </w:p>
    <w:bookmarkEnd w:id="328"/>
    <w:bookmarkEnd w:id="329"/>
    <w:p w14:paraId="5DD295A0">
      <w:pPr>
        <w:pStyle w:val="3"/>
        <w:ind w:firstLine="480"/>
      </w:pPr>
      <w:r>
        <w:t>从上表可知，类比升压站厂界外</w:t>
      </w:r>
      <w:r>
        <w:rPr>
          <w:rFonts w:eastAsia="TimesNewRomanPSMT"/>
        </w:rPr>
        <w:t>5m</w:t>
      </w:r>
      <w:r>
        <w:t>处工频电场强度在</w:t>
      </w:r>
      <w:r>
        <w:rPr>
          <w:rFonts w:hint="eastAsia" w:eastAsiaTheme="minorEastAsia"/>
        </w:rPr>
        <w:t>4</w:t>
      </w:r>
      <w:r>
        <w:rPr>
          <w:rFonts w:eastAsiaTheme="minorEastAsia"/>
        </w:rPr>
        <w:t>.3</w:t>
      </w:r>
      <w:r>
        <w:rPr>
          <w:rFonts w:eastAsia="TimesNewRomanPSMT"/>
        </w:rPr>
        <w:t>V/m~77.9V/m</w:t>
      </w:r>
      <w:r>
        <w:t>之间，工频磁感应强度为</w:t>
      </w:r>
      <w:r>
        <w:rPr>
          <w:rFonts w:eastAsia="TimesNewRomanPSMT"/>
        </w:rPr>
        <w:t>0.044μT~0.145μT</w:t>
      </w:r>
      <w:r>
        <w:t>之间，满足《电磁环境控制限值》(GB8702-2014）中的标准限值要求（即工频电场4000V/m、工频磁场100μT）。</w:t>
      </w:r>
    </w:p>
    <w:p w14:paraId="72C30778">
      <w:pPr>
        <w:pStyle w:val="6"/>
        <w:ind w:left="0" w:firstLine="0"/>
      </w:pPr>
      <w:r>
        <w:rPr>
          <w:rFonts w:hint="eastAsia"/>
        </w:rPr>
        <w:t>基地源1</w:t>
      </w:r>
      <w:r>
        <w:t>10kV</w:t>
      </w:r>
      <w:r>
        <w:rPr>
          <w:rFonts w:hint="eastAsia"/>
        </w:rPr>
        <w:t>变电站电磁环境影响预测评价</w:t>
      </w:r>
    </w:p>
    <w:bookmarkEnd w:id="326"/>
    <w:bookmarkEnd w:id="327"/>
    <w:p w14:paraId="21195D31">
      <w:pPr>
        <w:pStyle w:val="3"/>
        <w:ind w:firstLine="480"/>
      </w:pPr>
      <w:r>
        <w:rPr>
          <w:rFonts w:hint="eastAsia"/>
          <w:szCs w:val="24"/>
        </w:rPr>
        <w:t>本次类比的联富110kV变电站与本项目电压等级、布置形式1</w:t>
      </w:r>
      <w:r>
        <w:rPr>
          <w:szCs w:val="24"/>
        </w:rPr>
        <w:t>10</w:t>
      </w:r>
      <w:r>
        <w:rPr>
          <w:rFonts w:hint="eastAsia"/>
          <w:szCs w:val="24"/>
        </w:rPr>
        <w:t>kV出线回数、出线架设方式和区域环境条件均一致，联富110kV变电站主变容量较基地源110kV变电站更大，电磁环境影响更大。因此，选用联富</w:t>
      </w:r>
      <w:r>
        <w:rPr>
          <w:szCs w:val="24"/>
        </w:rPr>
        <w:t>110kV</w:t>
      </w:r>
      <w:r>
        <w:rPr>
          <w:rFonts w:hint="eastAsia"/>
          <w:szCs w:val="24"/>
        </w:rPr>
        <w:t>变电站运行产生的工频电场、工频磁场来分析本项目</w:t>
      </w:r>
      <w:r>
        <w:rPr>
          <w:szCs w:val="24"/>
        </w:rPr>
        <w:t>110kV</w:t>
      </w:r>
      <w:r>
        <w:rPr>
          <w:rFonts w:hint="eastAsia"/>
          <w:szCs w:val="24"/>
        </w:rPr>
        <w:t>变电站的产生工频电场、工频磁场是比较保守的，类比具有可行性。</w:t>
      </w:r>
    </w:p>
    <w:p w14:paraId="68FB33BA">
      <w:pPr>
        <w:pStyle w:val="3"/>
        <w:ind w:firstLine="480"/>
      </w:pPr>
      <w:r>
        <w:t>通过对</w:t>
      </w:r>
      <w:r>
        <w:rPr>
          <w:rFonts w:hint="eastAsia"/>
          <w:szCs w:val="24"/>
        </w:rPr>
        <w:t>联富110kV变电站</w:t>
      </w:r>
      <w:r>
        <w:t>的类比监测数据可知，本升压站建成后，升压站周围工频强度和工频磁感应强度均低于《电磁环境控制限值》（GB8702-2014）的控制限值（4000V/m和100μT）要求。</w:t>
      </w:r>
    </w:p>
    <w:p w14:paraId="4C105EC1">
      <w:pPr>
        <w:pStyle w:val="3"/>
        <w:ind w:firstLine="480"/>
      </w:pPr>
      <w:r>
        <w:rPr>
          <w:rFonts w:hint="eastAsia"/>
        </w:rPr>
        <w:t>通过现场踏勘与调查，本工程评价范围内无电磁环境敏感目标，不开展敏感目标电磁环境影响预测。</w:t>
      </w:r>
    </w:p>
    <w:p w14:paraId="6E141A6F">
      <w:pPr>
        <w:pStyle w:val="5"/>
        <w:ind w:left="0" w:firstLine="0"/>
      </w:pPr>
      <w:r>
        <w:rPr>
          <w:rFonts w:hint="eastAsia"/>
        </w:rPr>
        <w:t>扩建间隔电磁环境影响分析</w:t>
      </w:r>
    </w:p>
    <w:p w14:paraId="045C4591">
      <w:pPr>
        <w:pStyle w:val="3"/>
        <w:ind w:firstLine="480"/>
      </w:pPr>
      <w:r>
        <w:rPr>
          <w:rFonts w:hint="eastAsia"/>
        </w:rPr>
        <w:t>本期仅在贝江</w:t>
      </w:r>
      <w:r>
        <w:t>110kV</w:t>
      </w:r>
      <w:r>
        <w:rPr>
          <w:rFonts w:hint="eastAsia"/>
        </w:rPr>
        <w:t>变电站扩建</w:t>
      </w:r>
      <w:r>
        <w:t>110kV</w:t>
      </w:r>
      <w:r>
        <w:rPr>
          <w:rFonts w:hint="eastAsia"/>
        </w:rPr>
        <w:t>出线间隔</w:t>
      </w:r>
      <w:r>
        <w:t>1</w:t>
      </w:r>
      <w:r>
        <w:rPr>
          <w:rFonts w:hint="eastAsia"/>
        </w:rPr>
        <w:t>个，改造工程不新增主变压器、高压电抗器等主要电磁环境污染源，新增其它电气设备的布置与规划的布置完全一致，</w:t>
      </w:r>
      <w:r>
        <w:t>并保持规划电气主接线不变，</w:t>
      </w:r>
      <w:r>
        <w:rPr>
          <w:rFonts w:hint="eastAsia"/>
        </w:rPr>
        <w:t>故其扩建后对环境的影响与变电站建设前对环境的影响基本一致，不会增加新的影响，扩建工程完成后变电站区域电磁环境水平与变电站前期工程建成后的电磁环境水平相当。</w:t>
      </w:r>
    </w:p>
    <w:p w14:paraId="656AEC5B">
      <w:pPr>
        <w:pStyle w:val="3"/>
        <w:ind w:firstLine="480"/>
      </w:pPr>
      <w:r>
        <w:rPr>
          <w:rFonts w:hint="eastAsia"/>
        </w:rPr>
        <w:t>根据表2</w:t>
      </w:r>
      <w:r>
        <w:t>.5-1</w:t>
      </w:r>
      <w:r>
        <w:rPr>
          <w:rFonts w:hint="eastAsia"/>
        </w:rPr>
        <w:t>中变电站间隔扩建处现状监测结果可知，现状监测能够满足电磁环境相应评价标准。因此，可以预测本期扩建工程完成后，其围墙外工频电场、工频磁场与现状电磁环境水平相当，对环境的影响亦能够满足《电磁环境控制限值》（</w:t>
      </w:r>
      <w:r>
        <w:t>GB8702-2014</w:t>
      </w:r>
      <w:r>
        <w:rPr>
          <w:rFonts w:hint="eastAsia"/>
        </w:rPr>
        <w:t>）</w:t>
      </w:r>
      <w:r>
        <w:t>4000V/m</w:t>
      </w:r>
      <w:r>
        <w:rPr>
          <w:rFonts w:hint="eastAsia"/>
        </w:rPr>
        <w:t>、</w:t>
      </w:r>
      <w:r>
        <w:t xml:space="preserve">100μT </w:t>
      </w:r>
      <w:r>
        <w:rPr>
          <w:rFonts w:hint="eastAsia"/>
        </w:rPr>
        <w:t>的控制限值要求。</w:t>
      </w:r>
    </w:p>
    <w:p w14:paraId="020156D6">
      <w:pPr>
        <w:pStyle w:val="5"/>
        <w:ind w:left="0" w:firstLine="0"/>
      </w:pPr>
      <w:r>
        <w:rPr>
          <w:rFonts w:hint="eastAsia"/>
        </w:rPr>
        <w:t>架空线路电磁</w:t>
      </w:r>
      <w:r>
        <w:t>环境影响预测与评价</w:t>
      </w:r>
    </w:p>
    <w:p w14:paraId="086D12BB">
      <w:pPr>
        <w:pStyle w:val="6"/>
        <w:ind w:left="0" w:firstLine="0"/>
      </w:pPr>
      <w:bookmarkStart w:id="330" w:name="_Toc25834149"/>
      <w:bookmarkStart w:id="331" w:name="_Toc25774990"/>
      <w:r>
        <w:t>评价方法</w:t>
      </w:r>
      <w:bookmarkEnd w:id="330"/>
      <w:bookmarkEnd w:id="331"/>
    </w:p>
    <w:p w14:paraId="0A359D95">
      <w:pPr>
        <w:pStyle w:val="3"/>
        <w:ind w:firstLine="480"/>
      </w:pPr>
      <w:r>
        <w:rPr>
          <w:rFonts w:hint="eastAsia"/>
        </w:rPr>
        <w:t>根据可研资料，本项目架空线路为</w:t>
      </w:r>
      <w:r>
        <w:t>110kV</w:t>
      </w:r>
      <w:r>
        <w:rPr>
          <w:rFonts w:hint="eastAsia"/>
        </w:rPr>
        <w:t>单回架设型式。根据《环境影响评价技术导则</w:t>
      </w:r>
      <w:r>
        <w:t xml:space="preserve"> </w:t>
      </w:r>
      <w:r>
        <w:rPr>
          <w:rFonts w:hint="eastAsia"/>
        </w:rPr>
        <w:t>输变电》（</w:t>
      </w:r>
      <w:r>
        <w:t>HJ24-2020</w:t>
      </w:r>
      <w:r>
        <w:rPr>
          <w:rFonts w:hint="eastAsia"/>
        </w:rPr>
        <w:t>），输电线路电磁环境影响二级评价，架空线路采用模式预测的方式。</w:t>
      </w:r>
    </w:p>
    <w:p w14:paraId="05205431">
      <w:pPr>
        <w:pStyle w:val="6"/>
        <w:ind w:left="0" w:firstLine="0"/>
      </w:pPr>
      <w:r>
        <w:rPr>
          <w:rFonts w:hint="eastAsia"/>
        </w:rPr>
        <w:t>预测模式</w:t>
      </w:r>
    </w:p>
    <w:p w14:paraId="6F4E83FE">
      <w:pPr>
        <w:pStyle w:val="3"/>
        <w:ind w:firstLine="480"/>
      </w:pPr>
      <w:r>
        <w:t>a</w:t>
      </w:r>
      <w:r>
        <w:rPr>
          <w:rFonts w:hint="eastAsia"/>
        </w:rPr>
        <w:t>）工频电场强度计算模型</w:t>
      </w:r>
      <w:r>
        <w:t xml:space="preserve"> </w:t>
      </w:r>
    </w:p>
    <w:p w14:paraId="322A968B">
      <w:pPr>
        <w:pStyle w:val="3"/>
        <w:ind w:firstLine="480"/>
      </w:pPr>
      <w:r>
        <w:rPr>
          <w:rFonts w:hint="eastAsia"/>
        </w:rPr>
        <w:t>高压输电线上的等效电荷是线电荷，由于高压输电线半径</w:t>
      </w:r>
      <w:r>
        <w:t>r</w:t>
      </w:r>
      <w:r>
        <w:rPr>
          <w:rFonts w:hint="eastAsia"/>
        </w:rPr>
        <w:t>远远小于架设高度</w:t>
      </w:r>
      <w:r>
        <w:t>h</w:t>
      </w:r>
      <w:r>
        <w:rPr>
          <w:rFonts w:hint="eastAsia"/>
        </w:rPr>
        <w:t>，所以等效电荷的位置可以认为是在输电导线的几何中心。</w:t>
      </w:r>
      <w:r>
        <w:t xml:space="preserve"> </w:t>
      </w:r>
    </w:p>
    <w:p w14:paraId="26DE224C">
      <w:pPr>
        <w:pStyle w:val="3"/>
        <w:ind w:firstLine="480"/>
      </w:pPr>
      <w:r>
        <w:rPr>
          <w:rFonts w:hint="eastAsia"/>
        </w:rPr>
        <w:t>设输电线路为无限长并且平行于地面，地面可视为良导体，利用镜像法计算输电线上的等效电荷。</w:t>
      </w:r>
      <w:r>
        <w:t xml:space="preserve"> </w:t>
      </w:r>
    </w:p>
    <w:p w14:paraId="559FBA4A">
      <w:pPr>
        <w:pStyle w:val="3"/>
        <w:ind w:firstLine="480"/>
      </w:pPr>
      <w:r>
        <w:rPr>
          <w:rFonts w:hint="eastAsia"/>
        </w:rPr>
        <w:t>为了计算多导线线路中导线上的等效电荷，可写出下列矩阵方程：</w:t>
      </w:r>
    </w:p>
    <w:p w14:paraId="1E738B3C">
      <w:pPr>
        <w:pStyle w:val="159"/>
      </w:pPr>
      <w:r>
        <w:drawing>
          <wp:inline distT="0" distB="0" distL="0" distR="0">
            <wp:extent cx="4325620" cy="116713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1"/>
                    <a:stretch>
                      <a:fillRect/>
                    </a:stretch>
                  </pic:blipFill>
                  <pic:spPr>
                    <a:xfrm>
                      <a:off x="0" y="0"/>
                      <a:ext cx="4409980" cy="1190375"/>
                    </a:xfrm>
                    <a:prstGeom prst="rect">
                      <a:avLst/>
                    </a:prstGeom>
                  </pic:spPr>
                </pic:pic>
              </a:graphicData>
            </a:graphic>
          </wp:inline>
        </w:drawing>
      </w:r>
    </w:p>
    <w:p w14:paraId="208BFBA3">
      <w:pPr>
        <w:pStyle w:val="3"/>
        <w:ind w:firstLine="480"/>
      </w:pPr>
      <w:r>
        <w:rPr>
          <w:rFonts w:hint="eastAsia"/>
        </w:rPr>
        <w:t>式中：</w:t>
      </w:r>
      <w:r>
        <w:t>U——</w:t>
      </w:r>
      <w:r>
        <w:rPr>
          <w:rFonts w:hint="eastAsia"/>
        </w:rPr>
        <w:t>各导线对地电压的单列矩阵；</w:t>
      </w:r>
    </w:p>
    <w:p w14:paraId="13105875">
      <w:pPr>
        <w:pStyle w:val="3"/>
        <w:ind w:firstLine="1200" w:firstLineChars="500"/>
      </w:pPr>
      <w:r>
        <w:t>Q——</w:t>
      </w:r>
      <w:r>
        <w:rPr>
          <w:rFonts w:hint="eastAsia"/>
        </w:rPr>
        <w:t>各导线上等效电荷的单列矩阵；</w:t>
      </w:r>
    </w:p>
    <w:p w14:paraId="76E970E8">
      <w:pPr>
        <w:pStyle w:val="3"/>
        <w:ind w:firstLine="1200" w:firstLineChars="500"/>
      </w:pPr>
      <w:r>
        <w:t>I——</w:t>
      </w:r>
      <w:r>
        <w:rPr>
          <w:rFonts w:hint="eastAsia"/>
        </w:rPr>
        <w:t>各导线的电位系数组成的</w:t>
      </w:r>
      <w:r>
        <w:t xml:space="preserve"> m </w:t>
      </w:r>
      <w:r>
        <w:rPr>
          <w:rFonts w:hint="eastAsia"/>
        </w:rPr>
        <w:t>阶方阵（</w:t>
      </w:r>
      <w:r>
        <w:t xml:space="preserve">m </w:t>
      </w:r>
      <w:r>
        <w:rPr>
          <w:rFonts w:hint="eastAsia"/>
        </w:rPr>
        <w:t>为导线数目）。</w:t>
      </w:r>
    </w:p>
    <w:p w14:paraId="3430C89B">
      <w:pPr>
        <w:pStyle w:val="3"/>
        <w:ind w:firstLine="480"/>
      </w:pPr>
      <w:r>
        <w:t>[U]</w:t>
      </w:r>
      <w:r>
        <w:rPr>
          <w:rFonts w:hint="eastAsia"/>
        </w:rPr>
        <w:t>矩阵可由输电线的电压和相位确定，从环境保护考虑以额定电压的</w:t>
      </w:r>
      <w:r>
        <w:t>1.05</w:t>
      </w:r>
      <w:r>
        <w:rPr>
          <w:rFonts w:hint="eastAsia"/>
        </w:rPr>
        <w:t>倍作为计算电压。</w:t>
      </w:r>
      <w:r>
        <w:t>[λ]</w:t>
      </w:r>
      <w:r>
        <w:rPr>
          <w:rFonts w:hint="eastAsia"/>
        </w:rPr>
        <w:t>矩阵由镜像原理求得。地面为电位等于零的平面，地面的感应电荷可由对应地面导线的镜像电荷代替，用</w:t>
      </w:r>
      <w:r>
        <w:t>i</w:t>
      </w:r>
      <w:r>
        <w:rPr>
          <w:rFonts w:hint="eastAsia"/>
        </w:rPr>
        <w:t>，</w:t>
      </w:r>
      <w:r>
        <w:t>j</w:t>
      </w:r>
      <w:r>
        <w:rPr>
          <w:rFonts w:hint="eastAsia"/>
        </w:rPr>
        <w:t>，</w:t>
      </w:r>
      <w:r>
        <w:t>…</w:t>
      </w:r>
      <w:r>
        <w:rPr>
          <w:rFonts w:hint="eastAsia"/>
        </w:rPr>
        <w:t>表示相互平行的实际导线，用</w:t>
      </w:r>
      <w:r>
        <w:t>i'</w:t>
      </w:r>
      <w:r>
        <w:rPr>
          <w:rFonts w:hint="eastAsia"/>
        </w:rPr>
        <w:t>，</w:t>
      </w:r>
      <w:r>
        <w:t>j'</w:t>
      </w:r>
      <w:r>
        <w:rPr>
          <w:rFonts w:hint="eastAsia"/>
        </w:rPr>
        <w:t>，</w:t>
      </w:r>
      <w:r>
        <w:t>…</w:t>
      </w:r>
      <w:r>
        <w:rPr>
          <w:rFonts w:hint="eastAsia"/>
        </w:rPr>
        <w:t>表示它们的镜像如图</w:t>
      </w:r>
      <w:r>
        <w:t>8.4-2</w:t>
      </w:r>
      <w:r>
        <w:rPr>
          <w:rFonts w:hint="eastAsia"/>
        </w:rPr>
        <w:t>所示，电位系数可写为：</w:t>
      </w:r>
    </w:p>
    <w:p w14:paraId="71B94285">
      <w:pPr>
        <w:pStyle w:val="159"/>
      </w:pPr>
      <w:r>
        <w:drawing>
          <wp:inline distT="0" distB="0" distL="0" distR="0">
            <wp:extent cx="2822575" cy="155702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a:stretch>
                      <a:fillRect/>
                    </a:stretch>
                  </pic:blipFill>
                  <pic:spPr>
                    <a:xfrm>
                      <a:off x="0" y="0"/>
                      <a:ext cx="2860780" cy="1578599"/>
                    </a:xfrm>
                    <a:prstGeom prst="rect">
                      <a:avLst/>
                    </a:prstGeom>
                  </pic:spPr>
                </pic:pic>
              </a:graphicData>
            </a:graphic>
          </wp:inline>
        </w:drawing>
      </w:r>
    </w:p>
    <w:p w14:paraId="6BA0779C">
      <w:pPr>
        <w:pStyle w:val="3"/>
        <w:ind w:firstLine="480"/>
      </w:pPr>
      <w:r>
        <w:rPr>
          <w:rFonts w:hint="eastAsia"/>
        </w:rPr>
        <w:t>式中：</w:t>
      </w:r>
      <m:oMath>
        <m:sSub>
          <m:sSubPr>
            <m:ctrlPr>
              <w:rPr>
                <w:rFonts w:ascii="Cambria Math" w:hAnsi="Cambria Math"/>
                <w:sz w:val="21"/>
                <w:szCs w:val="24"/>
              </w:rPr>
            </m:ctrlPr>
          </m:sSubPr>
          <m:e>
            <m:r>
              <m:rPr/>
              <w:rPr>
                <w:rFonts w:ascii="Cambria Math" w:hAnsi="Cambria Math"/>
              </w:rPr>
              <m:t>ε</m:t>
            </m:r>
            <m:ctrlPr>
              <w:rPr>
                <w:rFonts w:ascii="Cambria Math" w:hAnsi="Cambria Math"/>
                <w:sz w:val="21"/>
                <w:szCs w:val="24"/>
              </w:rPr>
            </m:ctrlPr>
          </m:e>
          <m:sub>
            <m:r>
              <m:rPr/>
              <w:rPr>
                <w:rFonts w:ascii="Cambria Math" w:hAnsi="Cambria Math"/>
              </w:rPr>
              <m:t>0</m:t>
            </m:r>
            <m:ctrlPr>
              <w:rPr>
                <w:rFonts w:ascii="Cambria Math" w:hAnsi="Cambria Math"/>
                <w:sz w:val="21"/>
                <w:szCs w:val="24"/>
              </w:rPr>
            </m:ctrlPr>
          </m:sub>
        </m:sSub>
      </m:oMath>
      <w:r>
        <w:t>——</w:t>
      </w:r>
      <w:r>
        <w:rPr>
          <w:rFonts w:hint="eastAsia"/>
        </w:rPr>
        <w:t>真空介电常数；</w:t>
      </w:r>
    </w:p>
    <w:p w14:paraId="643ACC88">
      <w:pPr>
        <w:pStyle w:val="3"/>
        <w:ind w:firstLine="1200" w:firstLineChars="500"/>
      </w:pPr>
      <w:r>
        <w:t>Ri——</w:t>
      </w:r>
      <w:r>
        <w:rPr>
          <w:rFonts w:hint="eastAsia"/>
        </w:rPr>
        <w:t>输电导线半径，对于分裂导线可用等效单根导线半径代入，</w:t>
      </w:r>
      <w:r>
        <w:t>Ri</w:t>
      </w:r>
      <w:r>
        <w:rPr>
          <w:rFonts w:hint="eastAsia"/>
        </w:rPr>
        <w:t>的计算式为：</w:t>
      </w:r>
    </w:p>
    <w:p w14:paraId="23F6E48F">
      <w:pPr>
        <w:pStyle w:val="159"/>
      </w:pPr>
      <w:r>
        <w:drawing>
          <wp:inline distT="0" distB="0" distL="0" distR="0">
            <wp:extent cx="3149600" cy="546100"/>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3211167" cy="556950"/>
                    </a:xfrm>
                    <a:prstGeom prst="rect">
                      <a:avLst/>
                    </a:prstGeom>
                  </pic:spPr>
                </pic:pic>
              </a:graphicData>
            </a:graphic>
          </wp:inline>
        </w:drawing>
      </w:r>
    </w:p>
    <w:p w14:paraId="630F97BE">
      <w:pPr>
        <w:pStyle w:val="3"/>
        <w:ind w:firstLine="480"/>
      </w:pPr>
      <w:r>
        <w:rPr>
          <w:rFonts w:hint="eastAsia"/>
        </w:rPr>
        <w:t>式中：</w:t>
      </w:r>
      <w:r>
        <w:t>R——</w:t>
      </w:r>
      <w:r>
        <w:rPr>
          <w:rFonts w:hint="eastAsia"/>
        </w:rPr>
        <w:t>分裂导线半径，</w:t>
      </w:r>
      <w:r>
        <w:t>m</w:t>
      </w:r>
      <w:r>
        <w:rPr>
          <w:rFonts w:hint="eastAsia"/>
        </w:rPr>
        <w:t>；</w:t>
      </w:r>
    </w:p>
    <w:p w14:paraId="27DDE460">
      <w:pPr>
        <w:pStyle w:val="3"/>
        <w:ind w:firstLine="1200" w:firstLineChars="500"/>
      </w:pPr>
      <w:r>
        <w:t>n——</w:t>
      </w:r>
      <w:r>
        <w:rPr>
          <w:rFonts w:hint="eastAsia"/>
        </w:rPr>
        <w:t>次导线根数；</w:t>
      </w:r>
    </w:p>
    <w:p w14:paraId="18EFF5F0">
      <w:pPr>
        <w:pStyle w:val="3"/>
        <w:ind w:firstLine="1200" w:firstLineChars="500"/>
      </w:pPr>
      <w:r>
        <w:t>r——</w:t>
      </w:r>
      <w:r>
        <w:rPr>
          <w:rFonts w:hint="eastAsia"/>
        </w:rPr>
        <w:t>次导线半径，</w:t>
      </w:r>
      <w:r>
        <w:t>m</w:t>
      </w:r>
      <w:r>
        <w:rPr>
          <w:rFonts w:hint="eastAsia"/>
        </w:rPr>
        <w:t>。</w:t>
      </w:r>
    </w:p>
    <w:p w14:paraId="55F8525D">
      <w:pPr>
        <w:pStyle w:val="3"/>
        <w:ind w:firstLine="1200" w:firstLineChars="500"/>
      </w:pPr>
      <w:r>
        <w:rPr>
          <w:rFonts w:hint="eastAsia"/>
        </w:rPr>
        <w:t>由</w:t>
      </w:r>
      <w:r>
        <w:t>[U]</w:t>
      </w:r>
      <w:r>
        <w:rPr>
          <w:rFonts w:hint="eastAsia"/>
        </w:rPr>
        <w:t>矩阵和</w:t>
      </w:r>
      <w:r>
        <w:t>[λ]</w:t>
      </w:r>
      <w:r>
        <w:rPr>
          <w:rFonts w:hint="eastAsia"/>
        </w:rPr>
        <w:t>矩阵，利用公式即可解出</w:t>
      </w:r>
      <w:r>
        <w:t>[Q]</w:t>
      </w:r>
      <w:r>
        <w:rPr>
          <w:rFonts w:hint="eastAsia"/>
        </w:rPr>
        <w:t>矩阵。</w:t>
      </w:r>
    </w:p>
    <w:tbl>
      <w:tblPr>
        <w:tblStyle w:val="40"/>
        <w:tblW w:w="5000" w:type="pct"/>
        <w:tblInd w:w="0" w:type="dxa"/>
        <w:tblLayout w:type="autofit"/>
        <w:tblCellMar>
          <w:top w:w="0" w:type="dxa"/>
          <w:left w:w="108" w:type="dxa"/>
          <w:bottom w:w="0" w:type="dxa"/>
          <w:right w:w="108" w:type="dxa"/>
        </w:tblCellMar>
      </w:tblPr>
      <w:tblGrid>
        <w:gridCol w:w="5165"/>
        <w:gridCol w:w="4122"/>
      </w:tblGrid>
      <w:tr w14:paraId="25C8C7FA">
        <w:tblPrEx>
          <w:tblCellMar>
            <w:top w:w="0" w:type="dxa"/>
            <w:left w:w="108" w:type="dxa"/>
            <w:bottom w:w="0" w:type="dxa"/>
            <w:right w:w="108" w:type="dxa"/>
          </w:tblCellMar>
        </w:tblPrEx>
        <w:tc>
          <w:tcPr>
            <w:tcW w:w="2781" w:type="pct"/>
          </w:tcPr>
          <w:p w14:paraId="55652EFF">
            <w:pPr>
              <w:pStyle w:val="148"/>
            </w:pPr>
            <w:r>
              <w:drawing>
                <wp:inline distT="0" distB="0" distL="0" distR="0">
                  <wp:extent cx="2760345" cy="2539365"/>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rcRect r="42946"/>
                          <a:stretch>
                            <a:fillRect/>
                          </a:stretch>
                        </pic:blipFill>
                        <pic:spPr>
                          <a:xfrm>
                            <a:off x="0" y="0"/>
                            <a:ext cx="2802432" cy="2577982"/>
                          </a:xfrm>
                          <a:prstGeom prst="rect">
                            <a:avLst/>
                          </a:prstGeom>
                          <a:ln>
                            <a:noFill/>
                          </a:ln>
                        </pic:spPr>
                      </pic:pic>
                    </a:graphicData>
                  </a:graphic>
                </wp:inline>
              </w:drawing>
            </w:r>
          </w:p>
        </w:tc>
        <w:tc>
          <w:tcPr>
            <w:tcW w:w="2219" w:type="pct"/>
          </w:tcPr>
          <w:p w14:paraId="734D849F">
            <w:pPr>
              <w:pStyle w:val="148"/>
            </w:pPr>
            <w:r>
              <w:drawing>
                <wp:inline distT="0" distB="0" distL="0" distR="0">
                  <wp:extent cx="2112010" cy="253936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a:srcRect l="56340"/>
                          <a:stretch>
                            <a:fillRect/>
                          </a:stretch>
                        </pic:blipFill>
                        <pic:spPr>
                          <a:xfrm>
                            <a:off x="0" y="0"/>
                            <a:ext cx="2144530" cy="2577982"/>
                          </a:xfrm>
                          <a:prstGeom prst="rect">
                            <a:avLst/>
                          </a:prstGeom>
                          <a:ln>
                            <a:noFill/>
                          </a:ln>
                        </pic:spPr>
                      </pic:pic>
                    </a:graphicData>
                  </a:graphic>
                </wp:inline>
              </w:drawing>
            </w:r>
          </w:p>
        </w:tc>
      </w:tr>
      <w:tr w14:paraId="4F86BA7A">
        <w:tblPrEx>
          <w:tblCellMar>
            <w:top w:w="0" w:type="dxa"/>
            <w:left w:w="108" w:type="dxa"/>
            <w:bottom w:w="0" w:type="dxa"/>
            <w:right w:w="108" w:type="dxa"/>
          </w:tblCellMar>
        </w:tblPrEx>
        <w:tc>
          <w:tcPr>
            <w:tcW w:w="2781" w:type="pct"/>
          </w:tcPr>
          <w:p w14:paraId="22AC8568">
            <w:pPr>
              <w:pStyle w:val="148"/>
            </w:pPr>
            <w:r>
              <w:rPr>
                <w:rFonts w:hint="eastAsia"/>
              </w:rPr>
              <w:t>图3</w:t>
            </w:r>
            <w:r>
              <w:t xml:space="preserve">.3-1  </w:t>
            </w:r>
            <w:r>
              <w:rPr>
                <w:rFonts w:hint="eastAsia"/>
              </w:rPr>
              <w:t>电位系数计算图</w:t>
            </w:r>
          </w:p>
        </w:tc>
        <w:tc>
          <w:tcPr>
            <w:tcW w:w="2219" w:type="pct"/>
          </w:tcPr>
          <w:p w14:paraId="2A6F2059">
            <w:pPr>
              <w:pStyle w:val="148"/>
            </w:pPr>
            <w:r>
              <w:rPr>
                <w:rFonts w:hint="eastAsia"/>
              </w:rPr>
              <w:t>图</w:t>
            </w:r>
            <w:r>
              <w:t xml:space="preserve">3.3-2 </w:t>
            </w:r>
            <w:r>
              <w:rPr>
                <w:rFonts w:hint="eastAsia"/>
              </w:rPr>
              <w:t xml:space="preserve"> 等效半径计算图</w:t>
            </w:r>
          </w:p>
        </w:tc>
      </w:tr>
    </w:tbl>
    <w:p w14:paraId="7E645E23">
      <w:pPr>
        <w:pStyle w:val="3"/>
        <w:ind w:firstLine="480"/>
      </w:pPr>
      <w:r>
        <w:rPr>
          <w:rFonts w:hint="eastAsia"/>
        </w:rPr>
        <w:t>对于三相交流线路，由于电压为时间向量，计算各相导线的电压时要用复数表示：</w:t>
      </w:r>
    </w:p>
    <w:p w14:paraId="729C4C43">
      <w:pPr>
        <w:pStyle w:val="159"/>
      </w:pPr>
      <w:r>
        <w:drawing>
          <wp:inline distT="0" distB="0" distL="0" distR="0">
            <wp:extent cx="3622675" cy="4095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3724275" cy="421298"/>
                    </a:xfrm>
                    <a:prstGeom prst="rect">
                      <a:avLst/>
                    </a:prstGeom>
                  </pic:spPr>
                </pic:pic>
              </a:graphicData>
            </a:graphic>
          </wp:inline>
        </w:drawing>
      </w:r>
    </w:p>
    <w:p w14:paraId="6B7C6045">
      <w:pPr>
        <w:pStyle w:val="3"/>
        <w:ind w:firstLine="480"/>
      </w:pPr>
      <w:r>
        <w:rPr>
          <w:rFonts w:hint="eastAsia"/>
        </w:rPr>
        <w:t>相应地电荷也是复数量：</w:t>
      </w:r>
    </w:p>
    <w:p w14:paraId="0C477ECD">
      <w:pPr>
        <w:pStyle w:val="159"/>
      </w:pPr>
      <w:r>
        <w:drawing>
          <wp:inline distT="0" distB="0" distL="0" distR="0">
            <wp:extent cx="3634105" cy="417195"/>
            <wp:effectExtent l="0" t="0" r="444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3761893" cy="432401"/>
                    </a:xfrm>
                    <a:prstGeom prst="rect">
                      <a:avLst/>
                    </a:prstGeom>
                  </pic:spPr>
                </pic:pic>
              </a:graphicData>
            </a:graphic>
          </wp:inline>
        </w:drawing>
      </w:r>
    </w:p>
    <w:p w14:paraId="296935AD">
      <w:pPr>
        <w:pStyle w:val="3"/>
        <w:ind w:firstLine="480"/>
      </w:pPr>
      <w:r>
        <w:rPr>
          <w:rFonts w:hint="eastAsia"/>
        </w:rPr>
        <w:t>式（</w:t>
      </w:r>
      <w:r>
        <w:t>C1</w:t>
      </w:r>
      <w:r>
        <w:rPr>
          <w:rFonts w:hint="eastAsia"/>
        </w:rPr>
        <w:t>）矩阵关系即分别表示了复数量的实部和虚部两部分：</w:t>
      </w:r>
    </w:p>
    <w:p w14:paraId="4CF98BC3">
      <w:pPr>
        <w:pStyle w:val="3"/>
        <w:ind w:firstLine="480"/>
      </w:pPr>
      <w:r>
        <w:drawing>
          <wp:inline distT="0" distB="0" distL="0" distR="0">
            <wp:extent cx="3119120" cy="982980"/>
            <wp:effectExtent l="0" t="0" r="508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3210673" cy="1012150"/>
                    </a:xfrm>
                    <a:prstGeom prst="rect">
                      <a:avLst/>
                    </a:prstGeom>
                  </pic:spPr>
                </pic:pic>
              </a:graphicData>
            </a:graphic>
          </wp:inline>
        </w:drawing>
      </w:r>
    </w:p>
    <w:p w14:paraId="1D862523">
      <w:pPr>
        <w:pStyle w:val="3"/>
        <w:ind w:firstLine="480"/>
      </w:pPr>
      <w:r>
        <w:rPr>
          <w:rFonts w:hint="eastAsia"/>
        </w:rPr>
        <w:t>为计算地面电场强度的最大值，通常取设计最大弧垂时导线的最小对地高度。</w:t>
      </w:r>
      <w:r>
        <w:t xml:space="preserve"> </w:t>
      </w:r>
    </w:p>
    <w:p w14:paraId="34A6DEBC">
      <w:pPr>
        <w:pStyle w:val="3"/>
        <w:ind w:firstLine="480"/>
      </w:pPr>
      <w:r>
        <w:rPr>
          <w:rFonts w:hint="eastAsia"/>
        </w:rPr>
        <w:t>当各导线单位长度的等效电荷量求出后，空间任意一点的电场强度可根据叠加原理计算得出，在（</w:t>
      </w:r>
      <w:r>
        <w:t>x</w:t>
      </w:r>
      <w:r>
        <w:rPr>
          <w:rFonts w:hint="eastAsia"/>
        </w:rPr>
        <w:t>，</w:t>
      </w:r>
      <w:r>
        <w:t>y</w:t>
      </w:r>
      <w:r>
        <w:rPr>
          <w:rFonts w:hint="eastAsia"/>
        </w:rPr>
        <w:t>）点的电场强度分量</w:t>
      </w:r>
      <w:r>
        <w:t>Ex</w:t>
      </w:r>
      <w:r>
        <w:rPr>
          <w:rFonts w:hint="eastAsia"/>
        </w:rPr>
        <w:t>和</w:t>
      </w:r>
      <w:r>
        <w:t>Ey</w:t>
      </w:r>
      <w:r>
        <w:rPr>
          <w:rFonts w:hint="eastAsia"/>
        </w:rPr>
        <w:t>可表示为：</w:t>
      </w:r>
    </w:p>
    <w:p w14:paraId="5430A5D4">
      <w:pPr>
        <w:pStyle w:val="3"/>
        <w:ind w:firstLine="480"/>
      </w:pPr>
      <w:r>
        <w:drawing>
          <wp:inline distT="0" distB="0" distL="0" distR="0">
            <wp:extent cx="4353560" cy="1272540"/>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4406048" cy="1288411"/>
                    </a:xfrm>
                    <a:prstGeom prst="rect">
                      <a:avLst/>
                    </a:prstGeom>
                  </pic:spPr>
                </pic:pic>
              </a:graphicData>
            </a:graphic>
          </wp:inline>
        </w:drawing>
      </w:r>
    </w:p>
    <w:p w14:paraId="35EFE9B5">
      <w:pPr>
        <w:pStyle w:val="3"/>
        <w:ind w:firstLine="480"/>
      </w:pPr>
      <w:r>
        <w:rPr>
          <w:rFonts w:hint="eastAsia"/>
        </w:rPr>
        <w:t>式中：</w:t>
      </w:r>
      <w:r>
        <w:t>x</w:t>
      </w:r>
      <w:r>
        <w:rPr>
          <w:vertAlign w:val="subscript"/>
        </w:rPr>
        <w:t>i</w:t>
      </w:r>
      <w:r>
        <w:rPr>
          <w:rFonts w:hint="eastAsia"/>
        </w:rPr>
        <w:t>，</w:t>
      </w:r>
      <w:r>
        <w:t>y</w:t>
      </w:r>
      <w:r>
        <w:rPr>
          <w:vertAlign w:val="subscript"/>
        </w:rPr>
        <w:t>i</w:t>
      </w:r>
      <w:r>
        <w:t>——</w:t>
      </w:r>
      <w:r>
        <w:rPr>
          <w:rFonts w:hint="eastAsia"/>
        </w:rPr>
        <w:t>导线</w:t>
      </w:r>
      <w:r>
        <w:t>i</w:t>
      </w:r>
      <w:r>
        <w:rPr>
          <w:rFonts w:hint="eastAsia"/>
        </w:rPr>
        <w:t>的坐标（</w:t>
      </w:r>
      <w:r>
        <w:t>i=1</w:t>
      </w:r>
      <w:r>
        <w:rPr>
          <w:rFonts w:hint="eastAsia"/>
        </w:rPr>
        <w:t>、</w:t>
      </w:r>
      <w:r>
        <w:t>2</w:t>
      </w:r>
      <w:r>
        <w:rPr>
          <w:rFonts w:hint="eastAsia"/>
        </w:rPr>
        <w:t>、</w:t>
      </w:r>
      <w:r>
        <w:t>…m</w:t>
      </w:r>
      <w:r>
        <w:rPr>
          <w:rFonts w:hint="eastAsia"/>
        </w:rPr>
        <w:t>）；</w:t>
      </w:r>
    </w:p>
    <w:p w14:paraId="40084E6E">
      <w:pPr>
        <w:pStyle w:val="3"/>
        <w:ind w:firstLine="1200" w:firstLineChars="500"/>
      </w:pPr>
      <w:r>
        <w:t>m——</w:t>
      </w:r>
      <w:r>
        <w:rPr>
          <w:rFonts w:hint="eastAsia"/>
        </w:rPr>
        <w:t>导线数目；</w:t>
      </w:r>
    </w:p>
    <w:p w14:paraId="4935BFE7">
      <w:pPr>
        <w:pStyle w:val="3"/>
        <w:ind w:firstLine="1200" w:firstLineChars="500"/>
      </w:pPr>
      <w:r>
        <w:t>L</w:t>
      </w:r>
      <w:r>
        <w:rPr>
          <w:vertAlign w:val="subscript"/>
        </w:rPr>
        <w:t>i</w:t>
      </w:r>
      <w:r>
        <w:rPr>
          <w:rFonts w:hint="eastAsia"/>
        </w:rPr>
        <w:t>，</w:t>
      </w:r>
      <w:r>
        <w:t>L'</w:t>
      </w:r>
      <w:r>
        <w:rPr>
          <w:vertAlign w:val="subscript"/>
        </w:rPr>
        <w:t>i</w:t>
      </w:r>
      <w:r>
        <w:t>——</w:t>
      </w:r>
      <w:r>
        <w:rPr>
          <w:rFonts w:hint="eastAsia"/>
        </w:rPr>
        <w:t>分别为导线</w:t>
      </w:r>
      <w:r>
        <w:t>i</w:t>
      </w:r>
      <w:r>
        <w:rPr>
          <w:rFonts w:hint="eastAsia"/>
        </w:rPr>
        <w:t>及其镜像至计算点的距离，</w:t>
      </w:r>
      <w:r>
        <w:t>m</w:t>
      </w:r>
      <w:r>
        <w:rPr>
          <w:rFonts w:hint="eastAsia"/>
        </w:rPr>
        <w:t>。</w:t>
      </w:r>
    </w:p>
    <w:p w14:paraId="254378B9">
      <w:pPr>
        <w:pStyle w:val="3"/>
        <w:ind w:firstLine="480"/>
      </w:pPr>
      <w:r>
        <w:rPr>
          <w:rFonts w:hint="eastAsia"/>
        </w:rPr>
        <w:t>对于三相交流线路，可根据式（C</w:t>
      </w:r>
      <w:r>
        <w:t>8</w:t>
      </w:r>
      <w:r>
        <w:rPr>
          <w:rFonts w:hint="eastAsia"/>
        </w:rPr>
        <w:t>）和（C</w:t>
      </w:r>
      <w:r>
        <w:t>9</w:t>
      </w:r>
      <w:r>
        <w:rPr>
          <w:rFonts w:hint="eastAsia"/>
        </w:rPr>
        <w:t>）求得的电荷计算空间任一点电场强度的水平和垂直分量为：</w:t>
      </w:r>
    </w:p>
    <w:p w14:paraId="784489CF">
      <w:pPr>
        <w:pStyle w:val="159"/>
      </w:pPr>
      <w:r>
        <w:drawing>
          <wp:inline distT="0" distB="0" distL="0" distR="0">
            <wp:extent cx="3326130" cy="2251075"/>
            <wp:effectExtent l="0" t="0" r="762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3334459" cy="2256812"/>
                    </a:xfrm>
                    <a:prstGeom prst="rect">
                      <a:avLst/>
                    </a:prstGeom>
                  </pic:spPr>
                </pic:pic>
              </a:graphicData>
            </a:graphic>
          </wp:inline>
        </w:drawing>
      </w:r>
    </w:p>
    <w:p w14:paraId="59869DF2">
      <w:pPr>
        <w:pStyle w:val="3"/>
        <w:ind w:firstLine="480"/>
      </w:pPr>
      <w:r>
        <w:rPr>
          <w:rFonts w:hint="eastAsia"/>
        </w:rPr>
        <w:t>式中：</w:t>
      </w:r>
      <w:r>
        <w:rPr>
          <w:i/>
        </w:rPr>
        <w:t>E</w:t>
      </w:r>
      <w:r>
        <w:rPr>
          <w:i/>
          <w:vertAlign w:val="subscript"/>
        </w:rPr>
        <w:t>xR</w:t>
      </w:r>
      <w:r>
        <w:t>——</w:t>
      </w:r>
      <w:r>
        <w:rPr>
          <w:rFonts w:hint="eastAsia"/>
        </w:rPr>
        <w:t>由各导线的实部电荷在该点产生场强的水平分量；</w:t>
      </w:r>
    </w:p>
    <w:p w14:paraId="38BF94E8">
      <w:pPr>
        <w:pStyle w:val="3"/>
        <w:ind w:firstLine="1200" w:firstLineChars="500"/>
      </w:pPr>
      <w:r>
        <w:rPr>
          <w:i/>
        </w:rPr>
        <w:t>E</w:t>
      </w:r>
      <w:r>
        <w:rPr>
          <w:i/>
          <w:vertAlign w:val="subscript"/>
        </w:rPr>
        <w:t>xI</w:t>
      </w:r>
      <w:r>
        <w:t>——</w:t>
      </w:r>
      <w:r>
        <w:rPr>
          <w:rFonts w:hint="eastAsia"/>
        </w:rPr>
        <w:t>由各导线的虚部电荷在该点产生场强的水平分量；</w:t>
      </w:r>
    </w:p>
    <w:p w14:paraId="3862216B">
      <w:pPr>
        <w:pStyle w:val="3"/>
        <w:ind w:firstLine="1200" w:firstLineChars="500"/>
      </w:pPr>
      <w:r>
        <w:rPr>
          <w:i/>
        </w:rPr>
        <w:t>E</w:t>
      </w:r>
      <w:r>
        <w:rPr>
          <w:i/>
          <w:vertAlign w:val="subscript"/>
        </w:rPr>
        <w:t>yR</w:t>
      </w:r>
      <w:r>
        <w:t>——</w:t>
      </w:r>
      <w:r>
        <w:rPr>
          <w:rFonts w:hint="eastAsia"/>
        </w:rPr>
        <w:t>由各导线的实部电荷在该点产生场强的垂直分量；</w:t>
      </w:r>
    </w:p>
    <w:p w14:paraId="16227F4B">
      <w:pPr>
        <w:pStyle w:val="3"/>
        <w:ind w:firstLine="1200" w:firstLineChars="500"/>
      </w:pPr>
      <w:r>
        <w:rPr>
          <w:i/>
        </w:rPr>
        <w:t>E</w:t>
      </w:r>
      <w:r>
        <w:rPr>
          <w:i/>
          <w:vertAlign w:val="subscript"/>
        </w:rPr>
        <w:t>yI</w:t>
      </w:r>
      <w:r>
        <w:t>——</w:t>
      </w:r>
      <w:r>
        <w:rPr>
          <w:rFonts w:hint="eastAsia"/>
        </w:rPr>
        <w:t>由各导线的虚部电荷在该点产生场强的垂直分量。</w:t>
      </w:r>
    </w:p>
    <w:p w14:paraId="57D91EB0">
      <w:pPr>
        <w:pStyle w:val="3"/>
        <w:ind w:firstLine="480"/>
      </w:pPr>
      <w:r>
        <w:rPr>
          <w:rFonts w:hint="eastAsia"/>
        </w:rPr>
        <w:t>该点的合成的电场强度则为：</w:t>
      </w:r>
    </w:p>
    <w:p w14:paraId="4055F57E">
      <w:pPr>
        <w:pStyle w:val="159"/>
      </w:pPr>
      <w:r>
        <w:drawing>
          <wp:inline distT="0" distB="0" distL="0" distR="0">
            <wp:extent cx="3288665" cy="828040"/>
            <wp:effectExtent l="0" t="0" r="698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3307634" cy="832858"/>
                    </a:xfrm>
                    <a:prstGeom prst="rect">
                      <a:avLst/>
                    </a:prstGeom>
                  </pic:spPr>
                </pic:pic>
              </a:graphicData>
            </a:graphic>
          </wp:inline>
        </w:drawing>
      </w:r>
    </w:p>
    <w:p w14:paraId="57941599">
      <w:pPr>
        <w:pStyle w:val="3"/>
        <w:ind w:firstLine="480"/>
      </w:pPr>
      <w:r>
        <w:rPr>
          <w:rFonts w:hint="eastAsia"/>
        </w:rPr>
        <w:t>式中：</w:t>
      </w:r>
    </w:p>
    <w:p w14:paraId="3E17011B">
      <w:pPr>
        <w:pStyle w:val="159"/>
      </w:pPr>
      <w:r>
        <w:drawing>
          <wp:inline distT="0" distB="0" distL="0" distR="0">
            <wp:extent cx="3217545" cy="805815"/>
            <wp:effectExtent l="0" t="0" r="1905" b="0"/>
            <wp:docPr id="40" name="图片 40" descr="d:\Documents\WeChat Files\lxc328791165\FileStorage\Temp\1725519859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Documents\WeChat Files\lxc328791165\FileStorage\Temp\17255198599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260900" cy="817203"/>
                    </a:xfrm>
                    <a:prstGeom prst="rect">
                      <a:avLst/>
                    </a:prstGeom>
                    <a:noFill/>
                    <a:ln>
                      <a:noFill/>
                    </a:ln>
                  </pic:spPr>
                </pic:pic>
              </a:graphicData>
            </a:graphic>
          </wp:inline>
        </w:drawing>
      </w:r>
    </w:p>
    <w:p w14:paraId="6271ABF6">
      <w:pPr>
        <w:pStyle w:val="3"/>
        <w:ind w:firstLine="480"/>
      </w:pPr>
      <w:r>
        <w:rPr>
          <w:rFonts w:hint="eastAsia"/>
        </w:rPr>
        <w:t>b）工频磁场计算模型</w:t>
      </w:r>
    </w:p>
    <w:p w14:paraId="54411AFA">
      <w:pPr>
        <w:pStyle w:val="3"/>
        <w:ind w:firstLine="480"/>
      </w:pPr>
      <w:r>
        <w:rPr>
          <w:rFonts w:hint="eastAsia"/>
        </w:rPr>
        <w:t>由于工频情况下电磁性能具有准静态特性，线路的磁场仅由电流产生。应用安培定律，将计算结果按矢量叠加，可得出导线周围的磁场强度。</w:t>
      </w:r>
      <w:r>
        <w:t xml:space="preserve"> </w:t>
      </w:r>
    </w:p>
    <w:p w14:paraId="72523A40">
      <w:pPr>
        <w:pStyle w:val="3"/>
        <w:ind w:firstLine="480"/>
      </w:pPr>
      <w:r>
        <w:rPr>
          <w:rFonts w:hint="eastAsia"/>
        </w:rPr>
        <w:t>和电场强度计算不同的是关于镜像导线的考虑，与导线所处高度相比这些镜像导线位于地下很深的距离</w:t>
      </w:r>
      <w:r>
        <w:t>d</w:t>
      </w:r>
      <w:r>
        <w:rPr>
          <w:rFonts w:hint="eastAsia"/>
        </w:rPr>
        <w:t>：</w:t>
      </w:r>
    </w:p>
    <w:p w14:paraId="0A828619">
      <w:pPr>
        <w:pStyle w:val="159"/>
      </w:pPr>
      <w:r>
        <w:drawing>
          <wp:inline distT="0" distB="0" distL="0" distR="0">
            <wp:extent cx="3493135" cy="56261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stretch>
                      <a:fillRect/>
                    </a:stretch>
                  </pic:blipFill>
                  <pic:spPr>
                    <a:xfrm>
                      <a:off x="0" y="0"/>
                      <a:ext cx="3601441" cy="580327"/>
                    </a:xfrm>
                    <a:prstGeom prst="rect">
                      <a:avLst/>
                    </a:prstGeom>
                  </pic:spPr>
                </pic:pic>
              </a:graphicData>
            </a:graphic>
          </wp:inline>
        </w:drawing>
      </w:r>
    </w:p>
    <w:p w14:paraId="560B0FDF">
      <w:pPr>
        <w:pStyle w:val="3"/>
        <w:ind w:firstLine="480"/>
      </w:pPr>
      <w:r>
        <w:rPr>
          <w:rFonts w:hint="eastAsia"/>
        </w:rPr>
        <w:t>式中：</w:t>
      </w:r>
      <w:r>
        <w:rPr>
          <w:i/>
          <w:iCs/>
        </w:rPr>
        <w:t>ρ——</w:t>
      </w:r>
      <w:r>
        <w:rPr>
          <w:rFonts w:hint="eastAsia"/>
        </w:rPr>
        <w:t>大地电阻率，</w:t>
      </w:r>
      <w:r>
        <w:t>Ω</w:t>
      </w:r>
      <w:r>
        <w:rPr>
          <w:rFonts w:hint="eastAsia"/>
        </w:rPr>
        <w:t>·</w:t>
      </w:r>
      <w:r>
        <w:t>m</w:t>
      </w:r>
      <w:r>
        <w:rPr>
          <w:rFonts w:hint="eastAsia"/>
        </w:rPr>
        <w:t>；</w:t>
      </w:r>
    </w:p>
    <w:p w14:paraId="0B8296A5">
      <w:pPr>
        <w:pStyle w:val="3"/>
        <w:ind w:firstLine="1200" w:firstLineChars="500"/>
      </w:pPr>
      <w:r>
        <w:rPr>
          <w:i/>
          <w:iCs/>
        </w:rPr>
        <w:t>f——</w:t>
      </w:r>
      <w:r>
        <w:rPr>
          <w:rFonts w:hint="eastAsia"/>
        </w:rPr>
        <w:t>频率，</w:t>
      </w:r>
      <w:r>
        <w:t>Hz</w:t>
      </w:r>
      <w:r>
        <w:rPr>
          <w:rFonts w:hint="eastAsia"/>
        </w:rPr>
        <w:t>。</w:t>
      </w:r>
      <w:r>
        <w:t xml:space="preserve"> </w:t>
      </w:r>
    </w:p>
    <w:p w14:paraId="557ED0EB">
      <w:pPr>
        <w:pStyle w:val="3"/>
        <w:ind w:firstLine="480"/>
      </w:pPr>
      <w:r>
        <w:rPr>
          <w:rFonts w:hint="eastAsia"/>
        </w:rPr>
        <w:t>在一般情况下，可只考虑处于空间的实际导线，忽略它的镜像进行计算，其结果已足够符合实际。如图</w:t>
      </w:r>
      <w:r>
        <w:t>3.3-2</w:t>
      </w:r>
      <w:r>
        <w:rPr>
          <w:rFonts w:hint="eastAsia"/>
        </w:rPr>
        <w:t>，不考虑导线</w:t>
      </w:r>
      <w:r>
        <w:rPr>
          <w:i/>
          <w:iCs/>
        </w:rPr>
        <w:t xml:space="preserve">i </w:t>
      </w:r>
      <w:r>
        <w:rPr>
          <w:rFonts w:hint="eastAsia"/>
        </w:rPr>
        <w:t>的镜像时，可计算其在</w:t>
      </w:r>
      <w:r>
        <w:t xml:space="preserve">A </w:t>
      </w:r>
      <w:r>
        <w:rPr>
          <w:rFonts w:hint="eastAsia"/>
        </w:rPr>
        <w:t>点产生的磁场强度：</w:t>
      </w:r>
    </w:p>
    <w:p w14:paraId="6DAEEDC7">
      <w:pPr>
        <w:pStyle w:val="159"/>
      </w:pPr>
      <w:r>
        <w:drawing>
          <wp:inline distT="0" distB="0" distL="0" distR="0">
            <wp:extent cx="4436110" cy="543560"/>
            <wp:effectExtent l="0" t="0" r="254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4583859" cy="561627"/>
                    </a:xfrm>
                    <a:prstGeom prst="rect">
                      <a:avLst/>
                    </a:prstGeom>
                  </pic:spPr>
                </pic:pic>
              </a:graphicData>
            </a:graphic>
          </wp:inline>
        </w:drawing>
      </w:r>
    </w:p>
    <w:p w14:paraId="559FD062">
      <w:pPr>
        <w:pStyle w:val="3"/>
        <w:ind w:firstLine="480"/>
      </w:pPr>
      <w:r>
        <w:rPr>
          <w:rFonts w:hint="eastAsia"/>
        </w:rPr>
        <w:t>式中：</w:t>
      </w:r>
      <w:r>
        <w:rPr>
          <w:i/>
          <w:iCs/>
        </w:rPr>
        <w:t>I——</w:t>
      </w:r>
      <w:r>
        <w:rPr>
          <w:rFonts w:hint="eastAsia"/>
        </w:rPr>
        <w:t>导线</w:t>
      </w:r>
      <w:r>
        <w:rPr>
          <w:i/>
          <w:iCs/>
        </w:rPr>
        <w:t xml:space="preserve">i </w:t>
      </w:r>
      <w:r>
        <w:rPr>
          <w:rFonts w:hint="eastAsia"/>
        </w:rPr>
        <w:t>中的电流值，</w:t>
      </w:r>
      <w:r>
        <w:t>A</w:t>
      </w:r>
      <w:r>
        <w:rPr>
          <w:rFonts w:hint="eastAsia"/>
        </w:rPr>
        <w:t>；</w:t>
      </w:r>
    </w:p>
    <w:p w14:paraId="15BB872F">
      <w:pPr>
        <w:pStyle w:val="3"/>
        <w:ind w:firstLine="1200" w:firstLineChars="500"/>
      </w:pPr>
      <w:r>
        <w:rPr>
          <w:i/>
          <w:iCs/>
        </w:rPr>
        <w:t>h——</w:t>
      </w:r>
      <w:r>
        <w:rPr>
          <w:rFonts w:hint="eastAsia"/>
        </w:rPr>
        <w:t>导线与预测点的高差，</w:t>
      </w:r>
      <w:r>
        <w:t>m</w:t>
      </w:r>
      <w:r>
        <w:rPr>
          <w:rFonts w:hint="eastAsia"/>
        </w:rPr>
        <w:t>；</w:t>
      </w:r>
    </w:p>
    <w:p w14:paraId="1C963902">
      <w:pPr>
        <w:pStyle w:val="3"/>
        <w:ind w:firstLine="1200" w:firstLineChars="500"/>
      </w:pPr>
      <w:r>
        <w:rPr>
          <w:i/>
          <w:iCs/>
        </w:rPr>
        <w:t>L ——</w:t>
      </w:r>
      <w:r>
        <w:rPr>
          <w:rFonts w:hint="eastAsia"/>
        </w:rPr>
        <w:t>导线与预测点水平距离，</w:t>
      </w:r>
      <w:r>
        <w:t>m</w:t>
      </w:r>
      <w:r>
        <w:rPr>
          <w:rFonts w:hint="eastAsia"/>
        </w:rPr>
        <w:t>。</w:t>
      </w:r>
    </w:p>
    <w:p w14:paraId="5645C4FA">
      <w:pPr>
        <w:pStyle w:val="3"/>
        <w:ind w:firstLine="480"/>
      </w:pPr>
      <w:r>
        <w:rPr>
          <w:rFonts w:hint="eastAsia"/>
        </w:rPr>
        <w:t>对于三相线路，由相位不同形成的磁场强度水平和垂直分量都应分别考虑电流的相角，按相位矢量来合成。合成的旋转矢量在空间的轨迹是一个椭圆。</w:t>
      </w:r>
    </w:p>
    <w:p w14:paraId="79395AF6">
      <w:pPr>
        <w:pStyle w:val="159"/>
      </w:pPr>
      <w:r>
        <w:drawing>
          <wp:inline distT="0" distB="0" distL="0" distR="0">
            <wp:extent cx="3822700" cy="2797810"/>
            <wp:effectExtent l="0" t="0" r="635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3865355" cy="2829047"/>
                    </a:xfrm>
                    <a:prstGeom prst="rect">
                      <a:avLst/>
                    </a:prstGeom>
                  </pic:spPr>
                </pic:pic>
              </a:graphicData>
            </a:graphic>
          </wp:inline>
        </w:drawing>
      </w:r>
    </w:p>
    <w:p w14:paraId="143F47A1">
      <w:pPr>
        <w:pStyle w:val="148"/>
      </w:pPr>
      <w:r>
        <w:rPr>
          <w:rFonts w:hint="eastAsia"/>
        </w:rPr>
        <w:t>图</w:t>
      </w:r>
      <w:r>
        <w:t xml:space="preserve">3.3-3  </w:t>
      </w:r>
      <w:r>
        <w:rPr>
          <w:rFonts w:hint="eastAsia"/>
        </w:rPr>
        <w:t>磁场向量图</w:t>
      </w:r>
    </w:p>
    <w:p w14:paraId="57093D4F">
      <w:pPr>
        <w:pStyle w:val="6"/>
        <w:ind w:left="0" w:firstLine="0"/>
      </w:pPr>
      <w:r>
        <w:rPr>
          <w:rFonts w:hint="eastAsia"/>
        </w:rPr>
        <w:t>预测内容及参数</w:t>
      </w:r>
    </w:p>
    <w:p w14:paraId="5C453B1A">
      <w:pPr>
        <w:pStyle w:val="3"/>
        <w:ind w:firstLine="480"/>
      </w:pPr>
      <w:r>
        <w:rPr>
          <w:rFonts w:hint="eastAsia"/>
        </w:rPr>
        <w:t>（</w:t>
      </w:r>
      <w:r>
        <w:t>1</w:t>
      </w:r>
      <w:r>
        <w:rPr>
          <w:rFonts w:hint="eastAsia"/>
        </w:rPr>
        <w:t>）预测内容</w:t>
      </w:r>
    </w:p>
    <w:p w14:paraId="66F92C7C">
      <w:pPr>
        <w:pStyle w:val="3"/>
        <w:ind w:firstLine="480"/>
      </w:pPr>
      <w:r>
        <w:rPr>
          <w:rFonts w:hint="eastAsia"/>
        </w:rPr>
        <w:t>预测</w:t>
      </w:r>
      <w:r>
        <w:t>110kV</w:t>
      </w:r>
      <w:r>
        <w:rPr>
          <w:rFonts w:hint="eastAsia"/>
        </w:rPr>
        <w:t>单回线路工频电场、工频磁场影响程度及范围。</w:t>
      </w:r>
      <w:r>
        <w:t xml:space="preserve"> </w:t>
      </w:r>
    </w:p>
    <w:p w14:paraId="002C7B4D">
      <w:pPr>
        <w:pStyle w:val="3"/>
        <w:ind w:firstLine="480"/>
      </w:pPr>
      <w:r>
        <w:rPr>
          <w:rFonts w:hint="eastAsia"/>
        </w:rPr>
        <w:t>（</w:t>
      </w:r>
      <w:r>
        <w:t>2</w:t>
      </w:r>
      <w:r>
        <w:rPr>
          <w:rFonts w:hint="eastAsia"/>
        </w:rPr>
        <w:t>）参数的选择</w:t>
      </w:r>
      <w:r>
        <w:t xml:space="preserve"> </w:t>
      </w:r>
    </w:p>
    <w:p w14:paraId="2A78088E">
      <w:pPr>
        <w:pStyle w:val="3"/>
        <w:ind w:firstLine="480"/>
      </w:pPr>
      <w:r>
        <w:rPr>
          <w:rFonts w:hint="eastAsia"/>
        </w:rPr>
        <w:t>根据设计资料，本项目线路工程划分为1</w:t>
      </w:r>
      <w:r>
        <w:t>5mm</w:t>
      </w:r>
      <w:r>
        <w:rPr>
          <w:rFonts w:hint="eastAsia"/>
        </w:rPr>
        <w:t>冰区和2</w:t>
      </w:r>
      <w:r>
        <w:t>0mm</w:t>
      </w:r>
      <w:r>
        <w:rPr>
          <w:rFonts w:hint="eastAsia"/>
        </w:rPr>
        <w:t>冰区，分别采用两种不同型号的导线。本次评价对每种型号导线对应杆塔型号中横担最宽的塔型进行分别预测，结果偏保守，能够反映输电线路最不利的环境影响。</w:t>
      </w:r>
    </w:p>
    <w:p w14:paraId="522D9BB0">
      <w:pPr>
        <w:pStyle w:val="148"/>
      </w:pPr>
      <w:r>
        <w:rPr>
          <w:rFonts w:hint="eastAsia"/>
        </w:rPr>
        <w:t>表3</w:t>
      </w:r>
      <w:r>
        <w:t xml:space="preserve">.3-1  </w:t>
      </w:r>
      <w:r>
        <w:rPr>
          <w:rFonts w:hint="eastAsia"/>
        </w:rPr>
        <w:t>本项目架空线路电磁预测参数</w:t>
      </w:r>
    </w:p>
    <w:tbl>
      <w:tblPr>
        <w:tblStyle w:val="4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67"/>
        <w:gridCol w:w="2247"/>
        <w:gridCol w:w="2682"/>
        <w:gridCol w:w="2891"/>
      </w:tblGrid>
      <w:tr w14:paraId="668E6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00" w:type="pct"/>
            <w:gridSpan w:val="2"/>
            <w:vAlign w:val="center"/>
          </w:tcPr>
          <w:p w14:paraId="0ECDBB5B">
            <w:pPr>
              <w:pStyle w:val="159"/>
              <w:rPr>
                <w:color w:val="FF0000"/>
              </w:rPr>
            </w:pPr>
          </w:p>
        </w:tc>
        <w:tc>
          <w:tcPr>
            <w:tcW w:w="1444" w:type="pct"/>
            <w:vAlign w:val="center"/>
          </w:tcPr>
          <w:p w14:paraId="0599563F">
            <w:pPr>
              <w:pStyle w:val="159"/>
            </w:pPr>
            <w:r>
              <w:rPr>
                <w:rFonts w:hint="eastAsia"/>
              </w:rPr>
              <w:t>1</w:t>
            </w:r>
            <w:r>
              <w:t>5</w:t>
            </w:r>
            <w:r>
              <w:rPr>
                <w:rFonts w:hint="eastAsia"/>
              </w:rPr>
              <w:t>mm冰区</w:t>
            </w:r>
          </w:p>
        </w:tc>
        <w:tc>
          <w:tcPr>
            <w:tcW w:w="1556" w:type="pct"/>
            <w:vAlign w:val="center"/>
          </w:tcPr>
          <w:p w14:paraId="2391C051">
            <w:pPr>
              <w:pStyle w:val="159"/>
            </w:pPr>
            <w:r>
              <w:t>20</w:t>
            </w:r>
            <w:r>
              <w:rPr>
                <w:rFonts w:hint="eastAsia"/>
              </w:rPr>
              <w:t>mm冰区</w:t>
            </w:r>
          </w:p>
        </w:tc>
      </w:tr>
      <w:tr w14:paraId="46E71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00" w:type="pct"/>
            <w:gridSpan w:val="2"/>
            <w:vAlign w:val="center"/>
          </w:tcPr>
          <w:p w14:paraId="7DCC3B33">
            <w:pPr>
              <w:pStyle w:val="159"/>
            </w:pPr>
            <w:r>
              <w:rPr>
                <w:rFonts w:hint="eastAsia"/>
              </w:rPr>
              <w:t>架设形式</w:t>
            </w:r>
            <w:r>
              <w:t xml:space="preserve"> </w:t>
            </w:r>
          </w:p>
        </w:tc>
        <w:tc>
          <w:tcPr>
            <w:tcW w:w="1444" w:type="pct"/>
            <w:vAlign w:val="center"/>
          </w:tcPr>
          <w:p w14:paraId="1F07FC34">
            <w:pPr>
              <w:pStyle w:val="159"/>
            </w:pPr>
            <w:r>
              <w:rPr>
                <w:rFonts w:hint="eastAsia"/>
              </w:rPr>
              <w:t>单回线路</w:t>
            </w:r>
            <w:r>
              <w:t xml:space="preserve"> </w:t>
            </w:r>
          </w:p>
        </w:tc>
        <w:tc>
          <w:tcPr>
            <w:tcW w:w="1556" w:type="pct"/>
            <w:vAlign w:val="center"/>
          </w:tcPr>
          <w:p w14:paraId="1063274B">
            <w:pPr>
              <w:pStyle w:val="159"/>
            </w:pPr>
            <w:r>
              <w:rPr>
                <w:rFonts w:hint="eastAsia"/>
              </w:rPr>
              <w:t>单回线路</w:t>
            </w:r>
          </w:p>
        </w:tc>
      </w:tr>
      <w:tr w14:paraId="712BC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00" w:type="pct"/>
            <w:gridSpan w:val="2"/>
            <w:vAlign w:val="center"/>
          </w:tcPr>
          <w:p w14:paraId="010F8810">
            <w:pPr>
              <w:pStyle w:val="159"/>
            </w:pPr>
            <w:r>
              <w:rPr>
                <w:rFonts w:hint="eastAsia"/>
              </w:rPr>
              <w:t>杆塔型号</w:t>
            </w:r>
            <w:r>
              <w:t xml:space="preserve"> </w:t>
            </w:r>
          </w:p>
        </w:tc>
        <w:tc>
          <w:tcPr>
            <w:tcW w:w="1444" w:type="pct"/>
            <w:vAlign w:val="center"/>
          </w:tcPr>
          <w:p w14:paraId="4BE37C7E">
            <w:pPr>
              <w:pStyle w:val="159"/>
              <w:rPr>
                <w:color w:val="FF0000"/>
              </w:rPr>
            </w:pPr>
            <w:r>
              <w:t>110-DA31D-JC3</w:t>
            </w:r>
          </w:p>
        </w:tc>
        <w:tc>
          <w:tcPr>
            <w:tcW w:w="1556" w:type="pct"/>
            <w:vAlign w:val="center"/>
          </w:tcPr>
          <w:p w14:paraId="6C42A0EA">
            <w:pPr>
              <w:pStyle w:val="159"/>
              <w:rPr>
                <w:color w:val="FF0000"/>
              </w:rPr>
            </w:pPr>
            <w:r>
              <w:t>1ZT422</w:t>
            </w:r>
          </w:p>
        </w:tc>
      </w:tr>
      <w:tr w14:paraId="1C3AD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00" w:type="pct"/>
            <w:gridSpan w:val="2"/>
            <w:vAlign w:val="center"/>
          </w:tcPr>
          <w:p w14:paraId="38844470">
            <w:pPr>
              <w:pStyle w:val="159"/>
            </w:pPr>
            <w:r>
              <w:rPr>
                <w:rFonts w:hint="eastAsia"/>
              </w:rPr>
              <w:t>导线型号</w:t>
            </w:r>
            <w:r>
              <w:t xml:space="preserve"> </w:t>
            </w:r>
          </w:p>
        </w:tc>
        <w:tc>
          <w:tcPr>
            <w:tcW w:w="1444" w:type="pct"/>
            <w:vAlign w:val="center"/>
          </w:tcPr>
          <w:p w14:paraId="4542516E">
            <w:pPr>
              <w:pStyle w:val="159"/>
            </w:pPr>
            <w:r>
              <w:t>JL3/G1A-300/40</w:t>
            </w:r>
          </w:p>
        </w:tc>
        <w:tc>
          <w:tcPr>
            <w:tcW w:w="1556" w:type="pct"/>
            <w:vAlign w:val="center"/>
          </w:tcPr>
          <w:p w14:paraId="2B675A0F">
            <w:pPr>
              <w:pStyle w:val="159"/>
            </w:pPr>
            <w:r>
              <w:rPr>
                <w:rFonts w:hint="eastAsia"/>
              </w:rPr>
              <w:t>JLHA1/G1A-300/50</w:t>
            </w:r>
          </w:p>
        </w:tc>
      </w:tr>
      <w:tr w14:paraId="55F40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00" w:type="pct"/>
            <w:gridSpan w:val="2"/>
            <w:vAlign w:val="center"/>
          </w:tcPr>
          <w:p w14:paraId="17D1074F">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导线外径（</w:t>
            </w:r>
            <w:r>
              <w:rPr>
                <w:color w:val="000000" w:themeColor="text1"/>
                <w14:textFill>
                  <w14:solidFill>
                    <w14:schemeClr w14:val="tx1"/>
                  </w14:solidFill>
                </w14:textFill>
              </w:rPr>
              <w:t>mm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p>
        </w:tc>
        <w:tc>
          <w:tcPr>
            <w:tcW w:w="1444" w:type="pct"/>
            <w:vAlign w:val="center"/>
          </w:tcPr>
          <w:p w14:paraId="49121673">
            <w:pPr>
              <w:pStyle w:val="159"/>
            </w:pPr>
            <w:r>
              <w:rPr>
                <w:rFonts w:hint="eastAsia"/>
              </w:rPr>
              <w:t>23.9</w:t>
            </w:r>
          </w:p>
        </w:tc>
        <w:tc>
          <w:tcPr>
            <w:tcW w:w="1556" w:type="pct"/>
            <w:vAlign w:val="center"/>
          </w:tcPr>
          <w:p w14:paraId="33D65395">
            <w:pPr>
              <w:pStyle w:val="159"/>
            </w:pPr>
            <w:r>
              <w:rPr>
                <w:rFonts w:hint="eastAsia"/>
              </w:rPr>
              <w:t>24.3</w:t>
            </w:r>
          </w:p>
        </w:tc>
      </w:tr>
      <w:tr w14:paraId="0920C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00" w:type="pct"/>
            <w:gridSpan w:val="2"/>
            <w:vAlign w:val="center"/>
          </w:tcPr>
          <w:p w14:paraId="115E980B">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导线分裂数</w:t>
            </w:r>
          </w:p>
        </w:tc>
        <w:tc>
          <w:tcPr>
            <w:tcW w:w="1444" w:type="pct"/>
            <w:vAlign w:val="center"/>
          </w:tcPr>
          <w:p w14:paraId="74FB91C5">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556" w:type="pct"/>
            <w:vAlign w:val="center"/>
          </w:tcPr>
          <w:p w14:paraId="7214201C">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28DC3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00" w:type="pct"/>
            <w:gridSpan w:val="2"/>
            <w:vAlign w:val="center"/>
          </w:tcPr>
          <w:p w14:paraId="61CD6ACE">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分裂间距（mm）</w:t>
            </w:r>
          </w:p>
        </w:tc>
        <w:tc>
          <w:tcPr>
            <w:tcW w:w="1444" w:type="pct"/>
            <w:vAlign w:val="center"/>
          </w:tcPr>
          <w:p w14:paraId="20874983">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56" w:type="pct"/>
            <w:vAlign w:val="center"/>
          </w:tcPr>
          <w:p w14:paraId="011BF6EB">
            <w:pPr>
              <w:pStyle w:val="159"/>
              <w:rPr>
                <w:color w:val="000000" w:themeColor="text1"/>
                <w14:textFill>
                  <w14:solidFill>
                    <w14:schemeClr w14:val="tx1"/>
                  </w14:solidFill>
                </w14:textFill>
              </w:rPr>
            </w:pPr>
            <w:r>
              <w:rPr>
                <w:color w:val="000000" w:themeColor="text1"/>
                <w14:textFill>
                  <w14:solidFill>
                    <w14:schemeClr w14:val="tx1"/>
                  </w14:solidFill>
                </w14:textFill>
              </w:rPr>
              <w:t>/</w:t>
            </w:r>
          </w:p>
        </w:tc>
      </w:tr>
      <w:tr w14:paraId="736B0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00" w:type="pct"/>
            <w:gridSpan w:val="2"/>
            <w:vAlign w:val="center"/>
          </w:tcPr>
          <w:p w14:paraId="0EE96E5A">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最大电流（</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p>
        </w:tc>
        <w:tc>
          <w:tcPr>
            <w:tcW w:w="1444" w:type="pct"/>
            <w:vAlign w:val="center"/>
          </w:tcPr>
          <w:p w14:paraId="2C3B20ED">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632.78</w:t>
            </w:r>
          </w:p>
        </w:tc>
        <w:tc>
          <w:tcPr>
            <w:tcW w:w="1556" w:type="pct"/>
            <w:vAlign w:val="center"/>
          </w:tcPr>
          <w:p w14:paraId="0B15E131">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581.48</w:t>
            </w:r>
          </w:p>
        </w:tc>
      </w:tr>
      <w:tr w14:paraId="00619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00" w:type="pct"/>
            <w:gridSpan w:val="2"/>
            <w:vAlign w:val="center"/>
          </w:tcPr>
          <w:p w14:paraId="6B070D12">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相序排列</w:t>
            </w:r>
            <w:r>
              <w:rPr>
                <w:color w:val="000000" w:themeColor="text1"/>
                <w14:textFill>
                  <w14:solidFill>
                    <w14:schemeClr w14:val="tx1"/>
                  </w14:solidFill>
                </w14:textFill>
              </w:rPr>
              <w:t xml:space="preserve"> </w:t>
            </w:r>
          </w:p>
        </w:tc>
        <w:tc>
          <w:tcPr>
            <w:tcW w:w="1444" w:type="pct"/>
            <w:vAlign w:val="center"/>
          </w:tcPr>
          <w:p w14:paraId="608888A3">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B</w:t>
            </w:r>
          </w:p>
          <w:p w14:paraId="348228BD">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C</w:t>
            </w:r>
          </w:p>
        </w:tc>
        <w:tc>
          <w:tcPr>
            <w:tcW w:w="1556" w:type="pct"/>
            <w:vAlign w:val="center"/>
          </w:tcPr>
          <w:p w14:paraId="26463237">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B C</w:t>
            </w:r>
          </w:p>
        </w:tc>
      </w:tr>
      <w:tr w14:paraId="29757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00" w:type="pct"/>
            <w:gridSpan w:val="2"/>
            <w:vAlign w:val="center"/>
          </w:tcPr>
          <w:p w14:paraId="0A77C4E9">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导线水平间距（</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1444" w:type="pct"/>
            <w:vAlign w:val="center"/>
          </w:tcPr>
          <w:p w14:paraId="2FC9E0CF">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3.7</w:t>
            </w:r>
            <w:r>
              <w:rPr>
                <w:rFonts w:hint="eastAsia"/>
                <w:color w:val="000000" w:themeColor="text1"/>
                <w14:textFill>
                  <w14:solidFill>
                    <w14:schemeClr w14:val="tx1"/>
                  </w14:solidFill>
                </w14:textFill>
              </w:rPr>
              <w:t>,0,3</w:t>
            </w:r>
            <w:r>
              <w:rPr>
                <w:color w:val="000000" w:themeColor="text1"/>
                <w14:textFill>
                  <w14:solidFill>
                    <w14:schemeClr w14:val="tx1"/>
                  </w14:solidFill>
                </w14:textFill>
              </w:rPr>
              <w:t>.3</w:t>
            </w:r>
          </w:p>
        </w:tc>
        <w:tc>
          <w:tcPr>
            <w:tcW w:w="1556" w:type="pct"/>
            <w:vAlign w:val="center"/>
          </w:tcPr>
          <w:p w14:paraId="6EC22795">
            <w:pPr>
              <w:pStyle w:val="159"/>
              <w:rPr>
                <w:color w:val="000000" w:themeColor="text1"/>
                <w14:textFill>
                  <w14:solidFill>
                    <w14:schemeClr w14:val="tx1"/>
                  </w14:solidFill>
                </w14:textFill>
              </w:rPr>
            </w:pPr>
            <w:r>
              <w:rPr>
                <w:color w:val="000000" w:themeColor="text1"/>
                <w14:textFill>
                  <w14:solidFill>
                    <w14:schemeClr w14:val="tx1"/>
                  </w14:solidFill>
                </w14:textFill>
              </w:rPr>
              <w:t>6,0,6</w:t>
            </w:r>
          </w:p>
        </w:tc>
      </w:tr>
      <w:tr w14:paraId="2C287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00" w:type="pct"/>
            <w:gridSpan w:val="2"/>
            <w:vAlign w:val="center"/>
          </w:tcPr>
          <w:p w14:paraId="7F8ED7FF">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导线垂直间距（m）</w:t>
            </w:r>
          </w:p>
        </w:tc>
        <w:tc>
          <w:tcPr>
            <w:tcW w:w="1444" w:type="pct"/>
            <w:vAlign w:val="center"/>
          </w:tcPr>
          <w:p w14:paraId="26013D89">
            <w:pPr>
              <w:pStyle w:val="159"/>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1556" w:type="pct"/>
            <w:vAlign w:val="center"/>
          </w:tcPr>
          <w:p w14:paraId="18A279D4">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w:t>
            </w:r>
          </w:p>
        </w:tc>
      </w:tr>
      <w:tr w14:paraId="6E171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90" w:type="pct"/>
            <w:vMerge w:val="restart"/>
            <w:vAlign w:val="center"/>
          </w:tcPr>
          <w:p w14:paraId="3B5FB1D3">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导线对地最小距离</w:t>
            </w:r>
          </w:p>
        </w:tc>
        <w:tc>
          <w:tcPr>
            <w:tcW w:w="1210" w:type="pct"/>
            <w:vAlign w:val="center"/>
          </w:tcPr>
          <w:p w14:paraId="533ABD92">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非居民区</w:t>
            </w:r>
          </w:p>
        </w:tc>
        <w:tc>
          <w:tcPr>
            <w:tcW w:w="1444" w:type="pct"/>
            <w:vAlign w:val="center"/>
          </w:tcPr>
          <w:p w14:paraId="665F38E8">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c>
          <w:tcPr>
            <w:tcW w:w="1556" w:type="pct"/>
            <w:vAlign w:val="center"/>
          </w:tcPr>
          <w:p w14:paraId="3F38DEA1">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r>
      <w:tr w14:paraId="7306C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90" w:type="pct"/>
            <w:vMerge w:val="continue"/>
            <w:vAlign w:val="center"/>
          </w:tcPr>
          <w:p w14:paraId="06AAA6FE">
            <w:pPr>
              <w:pStyle w:val="159"/>
              <w:rPr>
                <w:color w:val="000000" w:themeColor="text1"/>
                <w14:textFill>
                  <w14:solidFill>
                    <w14:schemeClr w14:val="tx1"/>
                  </w14:solidFill>
                </w14:textFill>
              </w:rPr>
            </w:pPr>
          </w:p>
        </w:tc>
        <w:tc>
          <w:tcPr>
            <w:tcW w:w="1210" w:type="pct"/>
            <w:vAlign w:val="center"/>
          </w:tcPr>
          <w:p w14:paraId="47E5F25B">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居民区</w:t>
            </w:r>
          </w:p>
        </w:tc>
        <w:tc>
          <w:tcPr>
            <w:tcW w:w="1444" w:type="pct"/>
            <w:vAlign w:val="center"/>
          </w:tcPr>
          <w:p w14:paraId="1A080E0D">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w:t>
            </w:r>
          </w:p>
        </w:tc>
        <w:tc>
          <w:tcPr>
            <w:tcW w:w="1556" w:type="pct"/>
            <w:vAlign w:val="center"/>
          </w:tcPr>
          <w:p w14:paraId="420FCBB5">
            <w:pPr>
              <w:pStyle w:val="1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w:t>
            </w:r>
          </w:p>
        </w:tc>
      </w:tr>
      <w:tr w14:paraId="44C3A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90" w:type="pct"/>
            <w:vMerge w:val="restart"/>
            <w:vAlign w:val="center"/>
          </w:tcPr>
          <w:p w14:paraId="3D2B68FB">
            <w:pPr>
              <w:pStyle w:val="159"/>
            </w:pPr>
            <w:r>
              <w:rPr>
                <w:rFonts w:hint="eastAsia"/>
              </w:rPr>
              <w:t>预测高度</w:t>
            </w:r>
          </w:p>
        </w:tc>
        <w:tc>
          <w:tcPr>
            <w:tcW w:w="1210" w:type="pct"/>
            <w:vAlign w:val="center"/>
          </w:tcPr>
          <w:p w14:paraId="45672BC4">
            <w:pPr>
              <w:pStyle w:val="159"/>
            </w:pPr>
            <w:r>
              <w:rPr>
                <w:rFonts w:hint="eastAsia"/>
              </w:rPr>
              <w:t>非居民区</w:t>
            </w:r>
          </w:p>
        </w:tc>
        <w:tc>
          <w:tcPr>
            <w:tcW w:w="1444" w:type="pct"/>
            <w:vAlign w:val="center"/>
          </w:tcPr>
          <w:p w14:paraId="2206DC17">
            <w:pPr>
              <w:pStyle w:val="159"/>
            </w:pPr>
            <w:r>
              <w:t>1.5m</w:t>
            </w:r>
          </w:p>
        </w:tc>
        <w:tc>
          <w:tcPr>
            <w:tcW w:w="1556" w:type="pct"/>
            <w:vAlign w:val="center"/>
          </w:tcPr>
          <w:p w14:paraId="7C3628AE">
            <w:pPr>
              <w:pStyle w:val="159"/>
            </w:pPr>
            <w:r>
              <w:t>1.5m</w:t>
            </w:r>
          </w:p>
        </w:tc>
      </w:tr>
      <w:tr w14:paraId="20EE1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90" w:type="pct"/>
            <w:vMerge w:val="continue"/>
            <w:vAlign w:val="center"/>
          </w:tcPr>
          <w:p w14:paraId="0E648FA2">
            <w:pPr>
              <w:pStyle w:val="159"/>
              <w:rPr>
                <w:color w:val="FF0000"/>
              </w:rPr>
            </w:pPr>
          </w:p>
        </w:tc>
        <w:tc>
          <w:tcPr>
            <w:tcW w:w="1210" w:type="pct"/>
            <w:vAlign w:val="center"/>
          </w:tcPr>
          <w:p w14:paraId="42E6ED7A">
            <w:pPr>
              <w:pStyle w:val="159"/>
            </w:pPr>
            <w:r>
              <w:rPr>
                <w:rFonts w:hint="eastAsia"/>
              </w:rPr>
              <w:t>居民区</w:t>
            </w:r>
          </w:p>
        </w:tc>
        <w:tc>
          <w:tcPr>
            <w:tcW w:w="1444" w:type="pct"/>
            <w:vAlign w:val="center"/>
          </w:tcPr>
          <w:p w14:paraId="303140EE">
            <w:pPr>
              <w:pStyle w:val="159"/>
            </w:pPr>
            <w:r>
              <w:t>1.5m</w:t>
            </w:r>
            <w:r>
              <w:rPr>
                <w:rFonts w:hint="eastAsia"/>
              </w:rPr>
              <w:t>、</w:t>
            </w:r>
            <w:r>
              <w:t>4.5m</w:t>
            </w:r>
            <w:r>
              <w:rPr>
                <w:rFonts w:hint="eastAsia"/>
              </w:rPr>
              <w:t>、</w:t>
            </w:r>
            <w:r>
              <w:t>7.5m</w:t>
            </w:r>
          </w:p>
        </w:tc>
        <w:tc>
          <w:tcPr>
            <w:tcW w:w="1556" w:type="pct"/>
            <w:vAlign w:val="center"/>
          </w:tcPr>
          <w:p w14:paraId="6C94BB9B">
            <w:pPr>
              <w:pStyle w:val="159"/>
            </w:pPr>
            <w:r>
              <w:t>1.5m</w:t>
            </w:r>
            <w:r>
              <w:rPr>
                <w:rFonts w:hint="eastAsia"/>
              </w:rPr>
              <w:t>、</w:t>
            </w:r>
            <w:r>
              <w:t>4.5m</w:t>
            </w:r>
            <w:r>
              <w:rPr>
                <w:rFonts w:hint="eastAsia"/>
              </w:rPr>
              <w:t>、</w:t>
            </w:r>
            <w:r>
              <w:t>7.5m</w:t>
            </w:r>
          </w:p>
        </w:tc>
      </w:tr>
    </w:tbl>
    <w:p w14:paraId="0DF082AB"/>
    <w:tbl>
      <w:tblPr>
        <w:tblStyle w:val="40"/>
        <w:tblW w:w="0" w:type="auto"/>
        <w:tblInd w:w="0" w:type="dxa"/>
        <w:tblLayout w:type="autofit"/>
        <w:tblCellMar>
          <w:top w:w="0" w:type="dxa"/>
          <w:left w:w="108" w:type="dxa"/>
          <w:bottom w:w="0" w:type="dxa"/>
          <w:right w:w="108" w:type="dxa"/>
        </w:tblCellMar>
      </w:tblPr>
      <w:tblGrid>
        <w:gridCol w:w="4541"/>
        <w:gridCol w:w="4422"/>
      </w:tblGrid>
      <w:tr w14:paraId="5B1399CE">
        <w:tblPrEx>
          <w:tblCellMar>
            <w:top w:w="0" w:type="dxa"/>
            <w:left w:w="108" w:type="dxa"/>
            <w:bottom w:w="0" w:type="dxa"/>
            <w:right w:w="108" w:type="dxa"/>
          </w:tblCellMar>
        </w:tblPrEx>
        <w:tc>
          <w:tcPr>
            <w:tcW w:w="4541" w:type="dxa"/>
          </w:tcPr>
          <w:p w14:paraId="6A2A5DC8">
            <w:pPr>
              <w:pStyle w:val="159"/>
            </w:pPr>
            <w:r>
              <w:drawing>
                <wp:inline distT="0" distB="0" distL="0" distR="0">
                  <wp:extent cx="2536825" cy="58966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5"/>
                          <a:stretch>
                            <a:fillRect/>
                          </a:stretch>
                        </pic:blipFill>
                        <pic:spPr>
                          <a:xfrm>
                            <a:off x="0" y="0"/>
                            <a:ext cx="2549890" cy="5926536"/>
                          </a:xfrm>
                          <a:prstGeom prst="rect">
                            <a:avLst/>
                          </a:prstGeom>
                        </pic:spPr>
                      </pic:pic>
                    </a:graphicData>
                  </a:graphic>
                </wp:inline>
              </w:drawing>
            </w:r>
          </w:p>
        </w:tc>
        <w:tc>
          <w:tcPr>
            <w:tcW w:w="4416" w:type="dxa"/>
          </w:tcPr>
          <w:p w14:paraId="765CA42F">
            <w:pPr>
              <w:pStyle w:val="159"/>
            </w:pPr>
            <w:r>
              <w:rPr>
                <w:rFonts w:hint="eastAsia"/>
              </w:rPr>
              <w:drawing>
                <wp:inline distT="0" distB="0" distL="0" distR="0">
                  <wp:extent cx="2670810" cy="5898515"/>
                  <wp:effectExtent l="0" t="0" r="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6">
                            <a:extLst>
                              <a:ext uri="{28A0092B-C50C-407E-A947-70E740481C1C}">
                                <a14:useLocalDpi xmlns:a14="http://schemas.microsoft.com/office/drawing/2010/main" val="0"/>
                              </a:ext>
                            </a:extLst>
                          </a:blip>
                          <a:srcRect l="43477" t="6530" r="39042" b="38857"/>
                          <a:stretch>
                            <a:fillRect/>
                          </a:stretch>
                        </pic:blipFill>
                        <pic:spPr>
                          <a:xfrm>
                            <a:off x="0" y="0"/>
                            <a:ext cx="2709128" cy="5982271"/>
                          </a:xfrm>
                          <a:prstGeom prst="rect">
                            <a:avLst/>
                          </a:prstGeom>
                          <a:ln>
                            <a:noFill/>
                          </a:ln>
                        </pic:spPr>
                      </pic:pic>
                    </a:graphicData>
                  </a:graphic>
                </wp:inline>
              </w:drawing>
            </w:r>
          </w:p>
        </w:tc>
      </w:tr>
      <w:tr w14:paraId="794DC4F7">
        <w:tblPrEx>
          <w:tblCellMar>
            <w:top w:w="0" w:type="dxa"/>
            <w:left w:w="108" w:type="dxa"/>
            <w:bottom w:w="0" w:type="dxa"/>
            <w:right w:w="108" w:type="dxa"/>
          </w:tblCellMar>
        </w:tblPrEx>
        <w:tc>
          <w:tcPr>
            <w:tcW w:w="4541" w:type="dxa"/>
          </w:tcPr>
          <w:p w14:paraId="1A00620F">
            <w:pPr>
              <w:pStyle w:val="159"/>
            </w:pPr>
            <w:r>
              <w:t>110</w:t>
            </w:r>
            <w:r>
              <w:rPr>
                <w:rFonts w:hint="eastAsia"/>
              </w:rPr>
              <w:t>-DA</w:t>
            </w:r>
            <w:r>
              <w:t>31</w:t>
            </w:r>
            <w:r>
              <w:rPr>
                <w:rFonts w:hint="eastAsia"/>
              </w:rPr>
              <w:t>D</w:t>
            </w:r>
            <w:r>
              <w:t>-</w:t>
            </w:r>
            <w:r>
              <w:rPr>
                <w:rFonts w:hint="eastAsia"/>
              </w:rPr>
              <w:t>JC</w:t>
            </w:r>
            <w:r>
              <w:t>3</w:t>
            </w:r>
          </w:p>
        </w:tc>
        <w:tc>
          <w:tcPr>
            <w:tcW w:w="4416" w:type="dxa"/>
          </w:tcPr>
          <w:p w14:paraId="1BBE9458">
            <w:pPr>
              <w:pStyle w:val="159"/>
            </w:pPr>
            <w:r>
              <w:t>1ZT422</w:t>
            </w:r>
          </w:p>
        </w:tc>
      </w:tr>
      <w:tr w14:paraId="4DEC00B7">
        <w:tblPrEx>
          <w:tblCellMar>
            <w:top w:w="0" w:type="dxa"/>
            <w:left w:w="108" w:type="dxa"/>
            <w:bottom w:w="0" w:type="dxa"/>
            <w:right w:w="108" w:type="dxa"/>
          </w:tblCellMar>
        </w:tblPrEx>
        <w:tc>
          <w:tcPr>
            <w:tcW w:w="8957" w:type="dxa"/>
            <w:gridSpan w:val="2"/>
          </w:tcPr>
          <w:p w14:paraId="48D9284D">
            <w:pPr>
              <w:pStyle w:val="148"/>
            </w:pPr>
            <w:r>
              <w:rPr>
                <w:rFonts w:hint="eastAsia"/>
              </w:rPr>
              <w:t>图3</w:t>
            </w:r>
            <w:r>
              <w:t xml:space="preserve">.3-4  </w:t>
            </w:r>
            <w:r>
              <w:rPr>
                <w:rFonts w:hint="eastAsia"/>
              </w:rPr>
              <w:t>预测选取的典型塔型杆塔图</w:t>
            </w:r>
          </w:p>
        </w:tc>
      </w:tr>
    </w:tbl>
    <w:p w14:paraId="7CEE09E2">
      <w:pPr>
        <w:pStyle w:val="6"/>
        <w:ind w:left="0" w:firstLine="0"/>
      </w:pPr>
      <w:r>
        <w:rPr>
          <w:rFonts w:hint="eastAsia"/>
        </w:rPr>
        <w:t>预测结果</w:t>
      </w:r>
    </w:p>
    <w:p w14:paraId="3F53FA5A">
      <w:pPr>
        <w:pStyle w:val="3"/>
        <w:ind w:firstLine="480"/>
      </w:pPr>
      <w:r>
        <w:rPr>
          <w:rFonts w:hint="eastAsia"/>
        </w:rPr>
        <w:t>1</w:t>
      </w:r>
      <w:r>
        <w:t>5mm</w:t>
      </w:r>
      <w:r>
        <w:rPr>
          <w:rFonts w:hint="eastAsia"/>
        </w:rPr>
        <w:t>冰区典型塔型左右不对称，工频电场、磁场左右不对称，对线路左右两侧分别进行预测，2</w:t>
      </w:r>
      <w:r>
        <w:t>0mm</w:t>
      </w:r>
      <w:r>
        <w:rPr>
          <w:rFonts w:hint="eastAsia"/>
        </w:rPr>
        <w:t>典型塔型左右对称，只预测单边。</w:t>
      </w:r>
    </w:p>
    <w:p w14:paraId="70BB4CEA">
      <w:pPr>
        <w:pStyle w:val="3"/>
        <w:ind w:firstLine="480"/>
      </w:pPr>
      <w:r>
        <w:rPr>
          <w:rFonts w:hint="eastAsia"/>
        </w:rPr>
        <w:t>a）线路过耕作、畜牧养殖及道路区域（非居民区）时预测结果</w:t>
      </w:r>
    </w:p>
    <w:p w14:paraId="705D0244">
      <w:pPr>
        <w:pStyle w:val="3"/>
        <w:ind w:firstLine="480"/>
      </w:pPr>
      <w:r>
        <w:rPr>
          <w:rFonts w:hint="eastAsia"/>
        </w:rPr>
        <w:t>线路过耕作、畜牧养殖及道路区域（非居民区）时工频电、磁场强度预测结果见表3</w:t>
      </w:r>
      <w:r>
        <w:t>.3-2</w:t>
      </w:r>
      <w:r>
        <w:rPr>
          <w:rFonts w:hint="eastAsia"/>
        </w:rPr>
        <w:t>和表3</w:t>
      </w:r>
      <w:r>
        <w:t>.3-3</w:t>
      </w:r>
      <w:r>
        <w:rPr>
          <w:rFonts w:hint="eastAsia"/>
        </w:rPr>
        <w:t>所示。</w:t>
      </w:r>
    </w:p>
    <w:p w14:paraId="4635B209">
      <w:pPr>
        <w:pStyle w:val="148"/>
      </w:pPr>
      <w:r>
        <w:rPr>
          <w:rFonts w:hint="eastAsia"/>
        </w:rPr>
        <w:t>表3</w:t>
      </w:r>
      <w:r>
        <w:t xml:space="preserve">.3-2 </w:t>
      </w:r>
      <w:r>
        <w:rPr>
          <w:bCs/>
        </w:rPr>
        <w:t xml:space="preserve"> </w:t>
      </w:r>
      <w:r>
        <w:rPr>
          <w:rFonts w:hint="eastAsia"/>
          <w:bCs/>
        </w:rPr>
        <w:t>本项目</w:t>
      </w:r>
      <w:r>
        <w:rPr>
          <w:rFonts w:hint="eastAsia"/>
        </w:rPr>
        <w:t>线路（典型杆塔）经过耕作、畜牧养殖及道路区域时工频电、磁场强度预测（1</w:t>
      </w:r>
      <w:r>
        <w:t>5mm</w:t>
      </w:r>
      <w:r>
        <w:rPr>
          <w:rFonts w:hint="eastAsia"/>
        </w:rPr>
        <w:t>冰区）</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2084"/>
        <w:gridCol w:w="2520"/>
        <w:gridCol w:w="2521"/>
      </w:tblGrid>
      <w:tr w14:paraId="4F5D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64" w:type="pct"/>
            <w:shd w:val="clear" w:color="auto" w:fill="auto"/>
            <w:noWrap/>
            <w:vAlign w:val="center"/>
          </w:tcPr>
          <w:p w14:paraId="5326EC14">
            <w:pPr>
              <w:pStyle w:val="159"/>
            </w:pPr>
            <w:r>
              <w:rPr>
                <w:rFonts w:hint="eastAsia"/>
              </w:rPr>
              <w:t>距线路中心</w:t>
            </w:r>
          </w:p>
          <w:p w14:paraId="52661AF7">
            <w:pPr>
              <w:pStyle w:val="159"/>
              <w:rPr>
                <w:rFonts w:hAnsi="宋体"/>
                <w:sz w:val="22"/>
                <w:szCs w:val="22"/>
              </w:rPr>
            </w:pPr>
            <w:r>
              <w:rPr>
                <w:rFonts w:hint="eastAsia"/>
              </w:rPr>
              <w:t>距离（</w:t>
            </w:r>
            <w:r>
              <w:t>m</w:t>
            </w:r>
            <w:r>
              <w:rPr>
                <w:rFonts w:hint="eastAsia"/>
              </w:rPr>
              <w:t>）</w:t>
            </w:r>
            <w:r>
              <w:t xml:space="preserve"> </w:t>
            </w:r>
          </w:p>
        </w:tc>
        <w:tc>
          <w:tcPr>
            <w:tcW w:w="1122" w:type="pct"/>
            <w:vAlign w:val="center"/>
          </w:tcPr>
          <w:p w14:paraId="6601A564">
            <w:pPr>
              <w:pStyle w:val="159"/>
            </w:pPr>
            <w:r>
              <w:rPr>
                <w:rFonts w:hint="eastAsia"/>
              </w:rPr>
              <w:t>距边导线</w:t>
            </w:r>
          </w:p>
          <w:p w14:paraId="32254947">
            <w:pPr>
              <w:pStyle w:val="159"/>
              <w:rPr>
                <w:rFonts w:hAnsi="宋体"/>
                <w:sz w:val="22"/>
                <w:szCs w:val="22"/>
              </w:rPr>
            </w:pPr>
            <w:r>
              <w:rPr>
                <w:rFonts w:hint="eastAsia"/>
              </w:rPr>
              <w:t>距离（</w:t>
            </w:r>
            <w:r>
              <w:t>m</w:t>
            </w:r>
            <w:r>
              <w:rPr>
                <w:rFonts w:hint="eastAsia"/>
              </w:rPr>
              <w:t>）</w:t>
            </w:r>
            <w:r>
              <w:t xml:space="preserve"> </w:t>
            </w:r>
          </w:p>
        </w:tc>
        <w:tc>
          <w:tcPr>
            <w:tcW w:w="1357" w:type="pct"/>
            <w:shd w:val="clear" w:color="auto" w:fill="auto"/>
            <w:noWrap/>
            <w:vAlign w:val="center"/>
          </w:tcPr>
          <w:p w14:paraId="7FEA0476">
            <w:pPr>
              <w:pStyle w:val="159"/>
            </w:pPr>
            <w:r>
              <w:rPr>
                <w:rFonts w:hint="eastAsia"/>
              </w:rPr>
              <w:t>工频电场强度</w:t>
            </w:r>
          </w:p>
          <w:p w14:paraId="5B78F093">
            <w:pPr>
              <w:pStyle w:val="159"/>
              <w:rPr>
                <w:rFonts w:hAnsi="宋体"/>
                <w:sz w:val="22"/>
                <w:szCs w:val="22"/>
              </w:rPr>
            </w:pPr>
            <w:r>
              <w:rPr>
                <w:rFonts w:hint="eastAsia"/>
              </w:rPr>
              <w:t>（</w:t>
            </w:r>
            <w:r>
              <w:t>kV/m</w:t>
            </w:r>
            <w:r>
              <w:rPr>
                <w:rFonts w:hint="eastAsia"/>
              </w:rPr>
              <w:t>）</w:t>
            </w:r>
          </w:p>
        </w:tc>
        <w:tc>
          <w:tcPr>
            <w:tcW w:w="1357" w:type="pct"/>
            <w:shd w:val="clear" w:color="auto" w:fill="auto"/>
            <w:noWrap/>
            <w:vAlign w:val="center"/>
          </w:tcPr>
          <w:p w14:paraId="31DD86ED">
            <w:pPr>
              <w:pStyle w:val="159"/>
            </w:pPr>
            <w:r>
              <w:rPr>
                <w:rFonts w:hint="eastAsia"/>
              </w:rPr>
              <w:t>工频磁场强度</w:t>
            </w:r>
          </w:p>
          <w:p w14:paraId="49B211B1">
            <w:pPr>
              <w:pStyle w:val="159"/>
              <w:rPr>
                <w:rFonts w:hAnsi="宋体"/>
                <w:sz w:val="22"/>
                <w:szCs w:val="22"/>
              </w:rPr>
            </w:pPr>
            <w:r>
              <w:rPr>
                <w:rFonts w:hint="eastAsia"/>
              </w:rPr>
              <w:t>（</w:t>
            </w:r>
            <w:r>
              <w:t>μT</w:t>
            </w:r>
            <w:r>
              <w:rPr>
                <w:rFonts w:hint="eastAsia"/>
              </w:rPr>
              <w:t>）</w:t>
            </w:r>
          </w:p>
        </w:tc>
      </w:tr>
      <w:tr w14:paraId="5BCE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345C0C51">
            <w:pPr>
              <w:pStyle w:val="159"/>
              <w:rPr>
                <w:rFonts w:hAnsi="宋体"/>
              </w:rPr>
            </w:pPr>
            <w:r>
              <w:rPr>
                <w:rFonts w:hint="eastAsia"/>
              </w:rPr>
              <w:t>-33.7</w:t>
            </w:r>
          </w:p>
        </w:tc>
        <w:tc>
          <w:tcPr>
            <w:tcW w:w="1122" w:type="pct"/>
            <w:vAlign w:val="center"/>
          </w:tcPr>
          <w:p w14:paraId="25728930">
            <w:pPr>
              <w:pStyle w:val="159"/>
              <w:rPr>
                <w:rFonts w:hAnsi="宋体"/>
              </w:rPr>
            </w:pPr>
            <w:r>
              <w:rPr>
                <w:rFonts w:hint="eastAsia"/>
              </w:rPr>
              <w:t>-30</w:t>
            </w:r>
          </w:p>
        </w:tc>
        <w:tc>
          <w:tcPr>
            <w:tcW w:w="1357" w:type="pct"/>
            <w:shd w:val="clear" w:color="auto" w:fill="auto"/>
            <w:noWrap/>
            <w:vAlign w:val="center"/>
          </w:tcPr>
          <w:p w14:paraId="4A5150F3">
            <w:pPr>
              <w:pStyle w:val="159"/>
              <w:rPr>
                <w:rFonts w:hAnsi="宋体"/>
              </w:rPr>
            </w:pPr>
            <w:r>
              <w:rPr>
                <w:rFonts w:hint="eastAsia"/>
              </w:rPr>
              <w:t xml:space="preserve">73.325 </w:t>
            </w:r>
          </w:p>
        </w:tc>
        <w:tc>
          <w:tcPr>
            <w:tcW w:w="1357" w:type="pct"/>
            <w:shd w:val="clear" w:color="auto" w:fill="auto"/>
            <w:noWrap/>
            <w:vAlign w:val="center"/>
          </w:tcPr>
          <w:p w14:paraId="2C9B45BB">
            <w:pPr>
              <w:pStyle w:val="159"/>
              <w:rPr>
                <w:rFonts w:hAnsi="宋体"/>
              </w:rPr>
            </w:pPr>
            <w:r>
              <w:rPr>
                <w:rFonts w:hint="eastAsia"/>
              </w:rPr>
              <w:t xml:space="preserve">0.808 </w:t>
            </w:r>
          </w:p>
        </w:tc>
      </w:tr>
      <w:tr w14:paraId="38A0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2C76536C">
            <w:pPr>
              <w:pStyle w:val="159"/>
              <w:rPr>
                <w:rFonts w:hAnsi="宋体"/>
              </w:rPr>
            </w:pPr>
            <w:r>
              <w:rPr>
                <w:rFonts w:hint="eastAsia"/>
              </w:rPr>
              <w:t>-32.7</w:t>
            </w:r>
          </w:p>
        </w:tc>
        <w:tc>
          <w:tcPr>
            <w:tcW w:w="1122" w:type="pct"/>
            <w:vAlign w:val="center"/>
          </w:tcPr>
          <w:p w14:paraId="13F2350F">
            <w:pPr>
              <w:pStyle w:val="159"/>
              <w:rPr>
                <w:rFonts w:hAnsi="宋体"/>
              </w:rPr>
            </w:pPr>
            <w:r>
              <w:rPr>
                <w:rFonts w:hint="eastAsia"/>
              </w:rPr>
              <w:t>-29</w:t>
            </w:r>
          </w:p>
        </w:tc>
        <w:tc>
          <w:tcPr>
            <w:tcW w:w="1357" w:type="pct"/>
            <w:shd w:val="clear" w:color="auto" w:fill="auto"/>
            <w:noWrap/>
            <w:vAlign w:val="center"/>
          </w:tcPr>
          <w:p w14:paraId="526B2941">
            <w:pPr>
              <w:pStyle w:val="159"/>
              <w:rPr>
                <w:rFonts w:hAnsi="宋体"/>
              </w:rPr>
            </w:pPr>
            <w:r>
              <w:rPr>
                <w:rFonts w:hint="eastAsia"/>
              </w:rPr>
              <w:t xml:space="preserve">78.404 </w:t>
            </w:r>
          </w:p>
        </w:tc>
        <w:tc>
          <w:tcPr>
            <w:tcW w:w="1357" w:type="pct"/>
            <w:shd w:val="clear" w:color="auto" w:fill="auto"/>
            <w:noWrap/>
            <w:vAlign w:val="center"/>
          </w:tcPr>
          <w:p w14:paraId="741A8657">
            <w:pPr>
              <w:pStyle w:val="159"/>
              <w:rPr>
                <w:rFonts w:hAnsi="宋体"/>
              </w:rPr>
            </w:pPr>
            <w:r>
              <w:rPr>
                <w:rFonts w:hint="eastAsia"/>
              </w:rPr>
              <w:t xml:space="preserve">0.852 </w:t>
            </w:r>
          </w:p>
        </w:tc>
      </w:tr>
      <w:tr w14:paraId="3371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75C81AC">
            <w:pPr>
              <w:pStyle w:val="159"/>
              <w:rPr>
                <w:rFonts w:hAnsi="宋体"/>
              </w:rPr>
            </w:pPr>
            <w:r>
              <w:rPr>
                <w:rFonts w:hint="eastAsia"/>
              </w:rPr>
              <w:t>-31.7</w:t>
            </w:r>
          </w:p>
        </w:tc>
        <w:tc>
          <w:tcPr>
            <w:tcW w:w="1122" w:type="pct"/>
            <w:vAlign w:val="center"/>
          </w:tcPr>
          <w:p w14:paraId="2FD37A5F">
            <w:pPr>
              <w:pStyle w:val="159"/>
              <w:rPr>
                <w:rFonts w:hAnsi="宋体"/>
              </w:rPr>
            </w:pPr>
            <w:r>
              <w:rPr>
                <w:rFonts w:hint="eastAsia"/>
              </w:rPr>
              <w:t>-28</w:t>
            </w:r>
          </w:p>
        </w:tc>
        <w:tc>
          <w:tcPr>
            <w:tcW w:w="1357" w:type="pct"/>
            <w:shd w:val="clear" w:color="auto" w:fill="auto"/>
            <w:noWrap/>
            <w:vAlign w:val="center"/>
          </w:tcPr>
          <w:p w14:paraId="02E76460">
            <w:pPr>
              <w:pStyle w:val="159"/>
              <w:rPr>
                <w:rFonts w:hAnsi="宋体"/>
              </w:rPr>
            </w:pPr>
            <w:r>
              <w:rPr>
                <w:rFonts w:hint="eastAsia"/>
              </w:rPr>
              <w:t xml:space="preserve">83.961 </w:t>
            </w:r>
          </w:p>
        </w:tc>
        <w:tc>
          <w:tcPr>
            <w:tcW w:w="1357" w:type="pct"/>
            <w:shd w:val="clear" w:color="auto" w:fill="auto"/>
            <w:noWrap/>
            <w:vAlign w:val="center"/>
          </w:tcPr>
          <w:p w14:paraId="020275E5">
            <w:pPr>
              <w:pStyle w:val="159"/>
              <w:rPr>
                <w:rFonts w:hAnsi="宋体"/>
              </w:rPr>
            </w:pPr>
            <w:r>
              <w:rPr>
                <w:rFonts w:hint="eastAsia"/>
              </w:rPr>
              <w:t xml:space="preserve">0.899 </w:t>
            </w:r>
          </w:p>
        </w:tc>
      </w:tr>
      <w:tr w14:paraId="2804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23C049B3">
            <w:pPr>
              <w:pStyle w:val="159"/>
              <w:rPr>
                <w:rFonts w:hAnsi="宋体"/>
              </w:rPr>
            </w:pPr>
            <w:r>
              <w:rPr>
                <w:rFonts w:hint="eastAsia"/>
              </w:rPr>
              <w:t>-30.7</w:t>
            </w:r>
          </w:p>
        </w:tc>
        <w:tc>
          <w:tcPr>
            <w:tcW w:w="1122" w:type="pct"/>
            <w:vAlign w:val="center"/>
          </w:tcPr>
          <w:p w14:paraId="29F3BD2B">
            <w:pPr>
              <w:pStyle w:val="159"/>
              <w:rPr>
                <w:rFonts w:hAnsi="宋体"/>
              </w:rPr>
            </w:pPr>
            <w:r>
              <w:rPr>
                <w:rFonts w:hint="eastAsia"/>
              </w:rPr>
              <w:t>-27</w:t>
            </w:r>
          </w:p>
        </w:tc>
        <w:tc>
          <w:tcPr>
            <w:tcW w:w="1357" w:type="pct"/>
            <w:shd w:val="clear" w:color="auto" w:fill="auto"/>
            <w:noWrap/>
            <w:vAlign w:val="center"/>
          </w:tcPr>
          <w:p w14:paraId="22D828E1">
            <w:pPr>
              <w:pStyle w:val="159"/>
              <w:rPr>
                <w:rFonts w:hAnsi="宋体"/>
              </w:rPr>
            </w:pPr>
            <w:r>
              <w:rPr>
                <w:rFonts w:hint="eastAsia"/>
              </w:rPr>
              <w:t xml:space="preserve">90.046 </w:t>
            </w:r>
          </w:p>
        </w:tc>
        <w:tc>
          <w:tcPr>
            <w:tcW w:w="1357" w:type="pct"/>
            <w:shd w:val="clear" w:color="auto" w:fill="auto"/>
            <w:noWrap/>
            <w:vAlign w:val="center"/>
          </w:tcPr>
          <w:p w14:paraId="59A4F2D7">
            <w:pPr>
              <w:pStyle w:val="159"/>
              <w:rPr>
                <w:rFonts w:hAnsi="宋体"/>
              </w:rPr>
            </w:pPr>
            <w:r>
              <w:rPr>
                <w:rFonts w:hint="eastAsia"/>
              </w:rPr>
              <w:t xml:space="preserve">0.949 </w:t>
            </w:r>
          </w:p>
        </w:tc>
      </w:tr>
      <w:tr w14:paraId="5A10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1900C9A">
            <w:pPr>
              <w:pStyle w:val="159"/>
              <w:rPr>
                <w:rFonts w:hAnsi="宋体"/>
              </w:rPr>
            </w:pPr>
            <w:r>
              <w:rPr>
                <w:rFonts w:hint="eastAsia"/>
              </w:rPr>
              <w:t>-29.7</w:t>
            </w:r>
          </w:p>
        </w:tc>
        <w:tc>
          <w:tcPr>
            <w:tcW w:w="1122" w:type="pct"/>
            <w:vAlign w:val="center"/>
          </w:tcPr>
          <w:p w14:paraId="2FA79888">
            <w:pPr>
              <w:pStyle w:val="159"/>
              <w:rPr>
                <w:rFonts w:hAnsi="宋体"/>
              </w:rPr>
            </w:pPr>
            <w:r>
              <w:rPr>
                <w:rFonts w:hint="eastAsia"/>
              </w:rPr>
              <w:t>-26</w:t>
            </w:r>
          </w:p>
        </w:tc>
        <w:tc>
          <w:tcPr>
            <w:tcW w:w="1357" w:type="pct"/>
            <w:shd w:val="clear" w:color="auto" w:fill="auto"/>
            <w:noWrap/>
            <w:vAlign w:val="center"/>
          </w:tcPr>
          <w:p w14:paraId="6E4062A8">
            <w:pPr>
              <w:pStyle w:val="159"/>
              <w:rPr>
                <w:rFonts w:hAnsi="宋体"/>
              </w:rPr>
            </w:pPr>
            <w:r>
              <w:rPr>
                <w:rFonts w:hint="eastAsia"/>
              </w:rPr>
              <w:t xml:space="preserve">96.715 </w:t>
            </w:r>
          </w:p>
        </w:tc>
        <w:tc>
          <w:tcPr>
            <w:tcW w:w="1357" w:type="pct"/>
            <w:shd w:val="clear" w:color="auto" w:fill="auto"/>
            <w:noWrap/>
            <w:vAlign w:val="center"/>
          </w:tcPr>
          <w:p w14:paraId="3715CAC2">
            <w:pPr>
              <w:pStyle w:val="159"/>
              <w:rPr>
                <w:rFonts w:hAnsi="宋体"/>
              </w:rPr>
            </w:pPr>
            <w:r>
              <w:rPr>
                <w:rFonts w:hint="eastAsia"/>
              </w:rPr>
              <w:t xml:space="preserve">1.004 </w:t>
            </w:r>
          </w:p>
        </w:tc>
      </w:tr>
      <w:tr w14:paraId="59A5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3ABC7796">
            <w:pPr>
              <w:pStyle w:val="159"/>
              <w:rPr>
                <w:rFonts w:hAnsi="宋体"/>
              </w:rPr>
            </w:pPr>
            <w:r>
              <w:rPr>
                <w:rFonts w:hint="eastAsia"/>
              </w:rPr>
              <w:t>-28.7</w:t>
            </w:r>
          </w:p>
        </w:tc>
        <w:tc>
          <w:tcPr>
            <w:tcW w:w="1122" w:type="pct"/>
            <w:vAlign w:val="center"/>
          </w:tcPr>
          <w:p w14:paraId="6DF64064">
            <w:pPr>
              <w:pStyle w:val="159"/>
              <w:rPr>
                <w:rFonts w:hAnsi="宋体"/>
              </w:rPr>
            </w:pPr>
            <w:r>
              <w:rPr>
                <w:rFonts w:hint="eastAsia"/>
              </w:rPr>
              <w:t>-25</w:t>
            </w:r>
          </w:p>
        </w:tc>
        <w:tc>
          <w:tcPr>
            <w:tcW w:w="1357" w:type="pct"/>
            <w:shd w:val="clear" w:color="auto" w:fill="auto"/>
            <w:noWrap/>
            <w:vAlign w:val="center"/>
          </w:tcPr>
          <w:p w14:paraId="6B448D15">
            <w:pPr>
              <w:pStyle w:val="159"/>
              <w:rPr>
                <w:rFonts w:hAnsi="宋体"/>
              </w:rPr>
            </w:pPr>
            <w:r>
              <w:rPr>
                <w:rFonts w:hint="eastAsia"/>
              </w:rPr>
              <w:t xml:space="preserve">104.031 </w:t>
            </w:r>
          </w:p>
        </w:tc>
        <w:tc>
          <w:tcPr>
            <w:tcW w:w="1357" w:type="pct"/>
            <w:shd w:val="clear" w:color="auto" w:fill="auto"/>
            <w:noWrap/>
            <w:vAlign w:val="center"/>
          </w:tcPr>
          <w:p w14:paraId="3FE5456E">
            <w:pPr>
              <w:pStyle w:val="159"/>
              <w:rPr>
                <w:rFonts w:hAnsi="宋体"/>
              </w:rPr>
            </w:pPr>
            <w:r>
              <w:rPr>
                <w:rFonts w:hint="eastAsia"/>
              </w:rPr>
              <w:t xml:space="preserve">1.063 </w:t>
            </w:r>
          </w:p>
        </w:tc>
      </w:tr>
      <w:tr w14:paraId="20B4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3A9C0A2E">
            <w:pPr>
              <w:pStyle w:val="159"/>
              <w:rPr>
                <w:rFonts w:hAnsi="宋体"/>
              </w:rPr>
            </w:pPr>
            <w:r>
              <w:rPr>
                <w:rFonts w:hint="eastAsia"/>
              </w:rPr>
              <w:t>-27.7</w:t>
            </w:r>
          </w:p>
        </w:tc>
        <w:tc>
          <w:tcPr>
            <w:tcW w:w="1122" w:type="pct"/>
            <w:vAlign w:val="center"/>
          </w:tcPr>
          <w:p w14:paraId="7C9FDDEE">
            <w:pPr>
              <w:pStyle w:val="159"/>
              <w:rPr>
                <w:rFonts w:hAnsi="宋体"/>
              </w:rPr>
            </w:pPr>
            <w:r>
              <w:rPr>
                <w:rFonts w:hint="eastAsia"/>
              </w:rPr>
              <w:t>-24</w:t>
            </w:r>
          </w:p>
        </w:tc>
        <w:tc>
          <w:tcPr>
            <w:tcW w:w="1357" w:type="pct"/>
            <w:shd w:val="clear" w:color="auto" w:fill="auto"/>
            <w:noWrap/>
            <w:vAlign w:val="center"/>
          </w:tcPr>
          <w:p w14:paraId="0F3F4907">
            <w:pPr>
              <w:pStyle w:val="159"/>
              <w:rPr>
                <w:rFonts w:hAnsi="宋体"/>
              </w:rPr>
            </w:pPr>
            <w:r>
              <w:rPr>
                <w:rFonts w:hint="eastAsia"/>
              </w:rPr>
              <w:t xml:space="preserve">112.061 </w:t>
            </w:r>
          </w:p>
        </w:tc>
        <w:tc>
          <w:tcPr>
            <w:tcW w:w="1357" w:type="pct"/>
            <w:shd w:val="clear" w:color="auto" w:fill="auto"/>
            <w:noWrap/>
            <w:vAlign w:val="center"/>
          </w:tcPr>
          <w:p w14:paraId="09E13B82">
            <w:pPr>
              <w:pStyle w:val="159"/>
              <w:rPr>
                <w:rFonts w:hAnsi="宋体"/>
              </w:rPr>
            </w:pPr>
            <w:r>
              <w:rPr>
                <w:rFonts w:hint="eastAsia"/>
              </w:rPr>
              <w:t xml:space="preserve">1.127 </w:t>
            </w:r>
          </w:p>
        </w:tc>
      </w:tr>
      <w:tr w14:paraId="3543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A74E6AF">
            <w:pPr>
              <w:pStyle w:val="159"/>
              <w:rPr>
                <w:rFonts w:hAnsi="宋体"/>
              </w:rPr>
            </w:pPr>
            <w:r>
              <w:rPr>
                <w:rFonts w:hint="eastAsia"/>
              </w:rPr>
              <w:t>-26.7</w:t>
            </w:r>
          </w:p>
        </w:tc>
        <w:tc>
          <w:tcPr>
            <w:tcW w:w="1122" w:type="pct"/>
            <w:vAlign w:val="center"/>
          </w:tcPr>
          <w:p w14:paraId="763983E3">
            <w:pPr>
              <w:pStyle w:val="159"/>
              <w:rPr>
                <w:rFonts w:hAnsi="宋体"/>
              </w:rPr>
            </w:pPr>
            <w:r>
              <w:rPr>
                <w:rFonts w:hint="eastAsia"/>
              </w:rPr>
              <w:t>-23</w:t>
            </w:r>
          </w:p>
        </w:tc>
        <w:tc>
          <w:tcPr>
            <w:tcW w:w="1357" w:type="pct"/>
            <w:shd w:val="clear" w:color="auto" w:fill="auto"/>
            <w:noWrap/>
            <w:vAlign w:val="center"/>
          </w:tcPr>
          <w:p w14:paraId="01C2B2F3">
            <w:pPr>
              <w:pStyle w:val="159"/>
              <w:rPr>
                <w:rFonts w:hAnsi="宋体"/>
              </w:rPr>
            </w:pPr>
            <w:r>
              <w:rPr>
                <w:rFonts w:hint="eastAsia"/>
              </w:rPr>
              <w:t xml:space="preserve">120.877 </w:t>
            </w:r>
          </w:p>
        </w:tc>
        <w:tc>
          <w:tcPr>
            <w:tcW w:w="1357" w:type="pct"/>
            <w:shd w:val="clear" w:color="auto" w:fill="auto"/>
            <w:noWrap/>
            <w:vAlign w:val="center"/>
          </w:tcPr>
          <w:p w14:paraId="2557D2EB">
            <w:pPr>
              <w:pStyle w:val="159"/>
              <w:rPr>
                <w:rFonts w:hAnsi="宋体"/>
              </w:rPr>
            </w:pPr>
            <w:r>
              <w:rPr>
                <w:rFonts w:hint="eastAsia"/>
              </w:rPr>
              <w:t xml:space="preserve">1.196 </w:t>
            </w:r>
          </w:p>
        </w:tc>
      </w:tr>
      <w:tr w14:paraId="4488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334991E">
            <w:pPr>
              <w:pStyle w:val="159"/>
              <w:rPr>
                <w:rFonts w:hAnsi="宋体"/>
              </w:rPr>
            </w:pPr>
            <w:r>
              <w:rPr>
                <w:rFonts w:hint="eastAsia"/>
              </w:rPr>
              <w:t>-25.7</w:t>
            </w:r>
          </w:p>
        </w:tc>
        <w:tc>
          <w:tcPr>
            <w:tcW w:w="1122" w:type="pct"/>
            <w:vAlign w:val="center"/>
          </w:tcPr>
          <w:p w14:paraId="78C382B2">
            <w:pPr>
              <w:pStyle w:val="159"/>
              <w:rPr>
                <w:rFonts w:hAnsi="宋体"/>
              </w:rPr>
            </w:pPr>
            <w:r>
              <w:rPr>
                <w:rFonts w:hint="eastAsia"/>
              </w:rPr>
              <w:t>-22</w:t>
            </w:r>
          </w:p>
        </w:tc>
        <w:tc>
          <w:tcPr>
            <w:tcW w:w="1357" w:type="pct"/>
            <w:shd w:val="clear" w:color="auto" w:fill="auto"/>
            <w:noWrap/>
            <w:vAlign w:val="center"/>
          </w:tcPr>
          <w:p w14:paraId="43E310E1">
            <w:pPr>
              <w:pStyle w:val="159"/>
              <w:rPr>
                <w:rFonts w:hAnsi="宋体"/>
              </w:rPr>
            </w:pPr>
            <w:r>
              <w:rPr>
                <w:rFonts w:hint="eastAsia"/>
              </w:rPr>
              <w:t xml:space="preserve">130.556 </w:t>
            </w:r>
          </w:p>
        </w:tc>
        <w:tc>
          <w:tcPr>
            <w:tcW w:w="1357" w:type="pct"/>
            <w:shd w:val="clear" w:color="auto" w:fill="auto"/>
            <w:noWrap/>
            <w:vAlign w:val="center"/>
          </w:tcPr>
          <w:p w14:paraId="790B60AD">
            <w:pPr>
              <w:pStyle w:val="159"/>
              <w:rPr>
                <w:rFonts w:hAnsi="宋体"/>
              </w:rPr>
            </w:pPr>
            <w:r>
              <w:rPr>
                <w:rFonts w:hint="eastAsia"/>
              </w:rPr>
              <w:t xml:space="preserve">1.272 </w:t>
            </w:r>
          </w:p>
        </w:tc>
      </w:tr>
      <w:tr w14:paraId="50F3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CED778A">
            <w:pPr>
              <w:pStyle w:val="159"/>
              <w:rPr>
                <w:rFonts w:hAnsi="宋体"/>
              </w:rPr>
            </w:pPr>
            <w:r>
              <w:rPr>
                <w:rFonts w:hint="eastAsia"/>
              </w:rPr>
              <w:t>-24.7</w:t>
            </w:r>
          </w:p>
        </w:tc>
        <w:tc>
          <w:tcPr>
            <w:tcW w:w="1122" w:type="pct"/>
            <w:vAlign w:val="center"/>
          </w:tcPr>
          <w:p w14:paraId="7F16ECF2">
            <w:pPr>
              <w:pStyle w:val="159"/>
              <w:rPr>
                <w:rFonts w:hAnsi="宋体"/>
              </w:rPr>
            </w:pPr>
            <w:r>
              <w:rPr>
                <w:rFonts w:hint="eastAsia"/>
              </w:rPr>
              <w:t>-21</w:t>
            </w:r>
          </w:p>
        </w:tc>
        <w:tc>
          <w:tcPr>
            <w:tcW w:w="1357" w:type="pct"/>
            <w:shd w:val="clear" w:color="auto" w:fill="auto"/>
            <w:noWrap/>
            <w:vAlign w:val="center"/>
          </w:tcPr>
          <w:p w14:paraId="4D0FC0CC">
            <w:pPr>
              <w:pStyle w:val="159"/>
              <w:rPr>
                <w:rFonts w:hAnsi="宋体"/>
              </w:rPr>
            </w:pPr>
            <w:r>
              <w:rPr>
                <w:rFonts w:hint="eastAsia"/>
              </w:rPr>
              <w:t xml:space="preserve">141.178 </w:t>
            </w:r>
          </w:p>
        </w:tc>
        <w:tc>
          <w:tcPr>
            <w:tcW w:w="1357" w:type="pct"/>
            <w:shd w:val="clear" w:color="auto" w:fill="auto"/>
            <w:noWrap/>
            <w:vAlign w:val="center"/>
          </w:tcPr>
          <w:p w14:paraId="70643FE0">
            <w:pPr>
              <w:pStyle w:val="159"/>
              <w:rPr>
                <w:rFonts w:hAnsi="宋体"/>
              </w:rPr>
            </w:pPr>
            <w:r>
              <w:rPr>
                <w:rFonts w:hint="eastAsia"/>
              </w:rPr>
              <w:t xml:space="preserve">1.353 </w:t>
            </w:r>
          </w:p>
        </w:tc>
      </w:tr>
      <w:tr w14:paraId="46CA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27647C96">
            <w:pPr>
              <w:pStyle w:val="159"/>
              <w:rPr>
                <w:rFonts w:hAnsi="宋体"/>
              </w:rPr>
            </w:pPr>
            <w:r>
              <w:rPr>
                <w:rFonts w:hint="eastAsia"/>
              </w:rPr>
              <w:t>-23.7</w:t>
            </w:r>
          </w:p>
        </w:tc>
        <w:tc>
          <w:tcPr>
            <w:tcW w:w="1122" w:type="pct"/>
            <w:vAlign w:val="center"/>
          </w:tcPr>
          <w:p w14:paraId="1527D233">
            <w:pPr>
              <w:pStyle w:val="159"/>
              <w:rPr>
                <w:rFonts w:hAnsi="宋体"/>
              </w:rPr>
            </w:pPr>
            <w:r>
              <w:rPr>
                <w:rFonts w:hint="eastAsia"/>
              </w:rPr>
              <w:t>-20</w:t>
            </w:r>
          </w:p>
        </w:tc>
        <w:tc>
          <w:tcPr>
            <w:tcW w:w="1357" w:type="pct"/>
            <w:shd w:val="clear" w:color="auto" w:fill="auto"/>
            <w:noWrap/>
            <w:vAlign w:val="center"/>
          </w:tcPr>
          <w:p w14:paraId="550C4548">
            <w:pPr>
              <w:pStyle w:val="159"/>
              <w:rPr>
                <w:rFonts w:hAnsi="宋体"/>
              </w:rPr>
            </w:pPr>
            <w:r>
              <w:rPr>
                <w:rFonts w:hint="eastAsia"/>
              </w:rPr>
              <w:t xml:space="preserve">152.824 </w:t>
            </w:r>
          </w:p>
        </w:tc>
        <w:tc>
          <w:tcPr>
            <w:tcW w:w="1357" w:type="pct"/>
            <w:shd w:val="clear" w:color="auto" w:fill="auto"/>
            <w:noWrap/>
            <w:vAlign w:val="center"/>
          </w:tcPr>
          <w:p w14:paraId="52CABD3D">
            <w:pPr>
              <w:pStyle w:val="159"/>
              <w:rPr>
                <w:rFonts w:hAnsi="宋体"/>
              </w:rPr>
            </w:pPr>
            <w:r>
              <w:rPr>
                <w:rFonts w:hint="eastAsia"/>
              </w:rPr>
              <w:t xml:space="preserve">1.442 </w:t>
            </w:r>
          </w:p>
        </w:tc>
      </w:tr>
      <w:tr w14:paraId="4033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61F6C0F">
            <w:pPr>
              <w:pStyle w:val="159"/>
              <w:rPr>
                <w:rFonts w:hAnsi="宋体"/>
              </w:rPr>
            </w:pPr>
            <w:r>
              <w:rPr>
                <w:rFonts w:hint="eastAsia"/>
              </w:rPr>
              <w:t>-22.7</w:t>
            </w:r>
          </w:p>
        </w:tc>
        <w:tc>
          <w:tcPr>
            <w:tcW w:w="1122" w:type="pct"/>
            <w:vAlign w:val="center"/>
          </w:tcPr>
          <w:p w14:paraId="297253A5">
            <w:pPr>
              <w:pStyle w:val="159"/>
              <w:rPr>
                <w:rFonts w:hAnsi="宋体"/>
              </w:rPr>
            </w:pPr>
            <w:r>
              <w:rPr>
                <w:rFonts w:hint="eastAsia"/>
              </w:rPr>
              <w:t>-19</w:t>
            </w:r>
          </w:p>
        </w:tc>
        <w:tc>
          <w:tcPr>
            <w:tcW w:w="1357" w:type="pct"/>
            <w:shd w:val="clear" w:color="auto" w:fill="auto"/>
            <w:noWrap/>
            <w:vAlign w:val="center"/>
          </w:tcPr>
          <w:p w14:paraId="5E8172E2">
            <w:pPr>
              <w:pStyle w:val="159"/>
              <w:rPr>
                <w:rFonts w:hAnsi="宋体"/>
              </w:rPr>
            </w:pPr>
            <w:r>
              <w:rPr>
                <w:rFonts w:hint="eastAsia"/>
              </w:rPr>
              <w:t xml:space="preserve">165.576 </w:t>
            </w:r>
          </w:p>
        </w:tc>
        <w:tc>
          <w:tcPr>
            <w:tcW w:w="1357" w:type="pct"/>
            <w:shd w:val="clear" w:color="auto" w:fill="auto"/>
            <w:noWrap/>
            <w:vAlign w:val="center"/>
          </w:tcPr>
          <w:p w14:paraId="27213679">
            <w:pPr>
              <w:pStyle w:val="159"/>
              <w:rPr>
                <w:rFonts w:hAnsi="宋体"/>
              </w:rPr>
            </w:pPr>
            <w:r>
              <w:rPr>
                <w:rFonts w:hint="eastAsia"/>
              </w:rPr>
              <w:t xml:space="preserve">1.538 </w:t>
            </w:r>
          </w:p>
        </w:tc>
      </w:tr>
      <w:tr w14:paraId="2C36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4137624">
            <w:pPr>
              <w:pStyle w:val="159"/>
              <w:rPr>
                <w:rFonts w:hAnsi="宋体"/>
              </w:rPr>
            </w:pPr>
            <w:r>
              <w:rPr>
                <w:rFonts w:hint="eastAsia"/>
              </w:rPr>
              <w:t>-21.7</w:t>
            </w:r>
          </w:p>
        </w:tc>
        <w:tc>
          <w:tcPr>
            <w:tcW w:w="1122" w:type="pct"/>
            <w:vAlign w:val="center"/>
          </w:tcPr>
          <w:p w14:paraId="6934CD45">
            <w:pPr>
              <w:pStyle w:val="159"/>
              <w:rPr>
                <w:rFonts w:hAnsi="宋体"/>
              </w:rPr>
            </w:pPr>
            <w:r>
              <w:rPr>
                <w:rFonts w:hint="eastAsia"/>
              </w:rPr>
              <w:t>-18</w:t>
            </w:r>
          </w:p>
        </w:tc>
        <w:tc>
          <w:tcPr>
            <w:tcW w:w="1357" w:type="pct"/>
            <w:shd w:val="clear" w:color="auto" w:fill="auto"/>
            <w:noWrap/>
            <w:vAlign w:val="center"/>
          </w:tcPr>
          <w:p w14:paraId="49A804DD">
            <w:pPr>
              <w:pStyle w:val="159"/>
              <w:rPr>
                <w:rFonts w:hAnsi="宋体"/>
              </w:rPr>
            </w:pPr>
            <w:r>
              <w:rPr>
                <w:rFonts w:hint="eastAsia"/>
              </w:rPr>
              <w:t xml:space="preserve">179.506 </w:t>
            </w:r>
          </w:p>
        </w:tc>
        <w:tc>
          <w:tcPr>
            <w:tcW w:w="1357" w:type="pct"/>
            <w:shd w:val="clear" w:color="auto" w:fill="auto"/>
            <w:noWrap/>
            <w:vAlign w:val="center"/>
          </w:tcPr>
          <w:p w14:paraId="4DCF7E8E">
            <w:pPr>
              <w:pStyle w:val="159"/>
              <w:rPr>
                <w:rFonts w:hAnsi="宋体"/>
              </w:rPr>
            </w:pPr>
            <w:r>
              <w:rPr>
                <w:rFonts w:hint="eastAsia"/>
              </w:rPr>
              <w:t xml:space="preserve">1.642 </w:t>
            </w:r>
          </w:p>
        </w:tc>
      </w:tr>
      <w:tr w14:paraId="69CE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40DD31A">
            <w:pPr>
              <w:pStyle w:val="159"/>
              <w:rPr>
                <w:rFonts w:hAnsi="宋体"/>
              </w:rPr>
            </w:pPr>
            <w:r>
              <w:rPr>
                <w:rFonts w:hint="eastAsia"/>
              </w:rPr>
              <w:t>-20.7</w:t>
            </w:r>
          </w:p>
        </w:tc>
        <w:tc>
          <w:tcPr>
            <w:tcW w:w="1122" w:type="pct"/>
            <w:vAlign w:val="center"/>
          </w:tcPr>
          <w:p w14:paraId="6CE316F1">
            <w:pPr>
              <w:pStyle w:val="159"/>
              <w:rPr>
                <w:rFonts w:hAnsi="宋体"/>
              </w:rPr>
            </w:pPr>
            <w:r>
              <w:rPr>
                <w:rFonts w:hint="eastAsia"/>
              </w:rPr>
              <w:t>-17</w:t>
            </w:r>
          </w:p>
        </w:tc>
        <w:tc>
          <w:tcPr>
            <w:tcW w:w="1357" w:type="pct"/>
            <w:shd w:val="clear" w:color="auto" w:fill="auto"/>
            <w:noWrap/>
            <w:vAlign w:val="center"/>
          </w:tcPr>
          <w:p w14:paraId="31686A1B">
            <w:pPr>
              <w:pStyle w:val="159"/>
              <w:rPr>
                <w:rFonts w:hAnsi="宋体"/>
              </w:rPr>
            </w:pPr>
            <w:r>
              <w:rPr>
                <w:rFonts w:hint="eastAsia"/>
              </w:rPr>
              <w:t xml:space="preserve">194.675 </w:t>
            </w:r>
          </w:p>
        </w:tc>
        <w:tc>
          <w:tcPr>
            <w:tcW w:w="1357" w:type="pct"/>
            <w:shd w:val="clear" w:color="auto" w:fill="auto"/>
            <w:noWrap/>
            <w:vAlign w:val="center"/>
          </w:tcPr>
          <w:p w14:paraId="0DBB6999">
            <w:pPr>
              <w:pStyle w:val="159"/>
              <w:rPr>
                <w:rFonts w:hAnsi="宋体"/>
              </w:rPr>
            </w:pPr>
            <w:r>
              <w:rPr>
                <w:rFonts w:hint="eastAsia"/>
              </w:rPr>
              <w:t xml:space="preserve">1.756 </w:t>
            </w:r>
          </w:p>
        </w:tc>
      </w:tr>
      <w:tr w14:paraId="272F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3F7F3D5E">
            <w:pPr>
              <w:pStyle w:val="159"/>
              <w:rPr>
                <w:rFonts w:hAnsi="宋体"/>
              </w:rPr>
            </w:pPr>
            <w:r>
              <w:rPr>
                <w:rFonts w:hint="eastAsia"/>
              </w:rPr>
              <w:t>-19.7</w:t>
            </w:r>
          </w:p>
        </w:tc>
        <w:tc>
          <w:tcPr>
            <w:tcW w:w="1122" w:type="pct"/>
            <w:vAlign w:val="center"/>
          </w:tcPr>
          <w:p w14:paraId="53E2836B">
            <w:pPr>
              <w:pStyle w:val="159"/>
              <w:rPr>
                <w:rFonts w:hAnsi="宋体"/>
              </w:rPr>
            </w:pPr>
            <w:r>
              <w:rPr>
                <w:rFonts w:hint="eastAsia"/>
              </w:rPr>
              <w:t>-16</w:t>
            </w:r>
          </w:p>
        </w:tc>
        <w:tc>
          <w:tcPr>
            <w:tcW w:w="1357" w:type="pct"/>
            <w:shd w:val="clear" w:color="auto" w:fill="auto"/>
            <w:noWrap/>
            <w:vAlign w:val="center"/>
          </w:tcPr>
          <w:p w14:paraId="0F62171E">
            <w:pPr>
              <w:pStyle w:val="159"/>
              <w:rPr>
                <w:rFonts w:hAnsi="宋体"/>
              </w:rPr>
            </w:pPr>
            <w:r>
              <w:rPr>
                <w:rFonts w:hint="eastAsia"/>
              </w:rPr>
              <w:t xml:space="preserve">211.125 </w:t>
            </w:r>
          </w:p>
        </w:tc>
        <w:tc>
          <w:tcPr>
            <w:tcW w:w="1357" w:type="pct"/>
            <w:shd w:val="clear" w:color="auto" w:fill="auto"/>
            <w:noWrap/>
            <w:vAlign w:val="center"/>
          </w:tcPr>
          <w:p w14:paraId="411D96D1">
            <w:pPr>
              <w:pStyle w:val="159"/>
              <w:rPr>
                <w:rFonts w:hAnsi="宋体"/>
              </w:rPr>
            </w:pPr>
            <w:r>
              <w:rPr>
                <w:rFonts w:hint="eastAsia"/>
              </w:rPr>
              <w:t xml:space="preserve">1.879 </w:t>
            </w:r>
          </w:p>
        </w:tc>
      </w:tr>
      <w:tr w14:paraId="731F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8B08B78">
            <w:pPr>
              <w:pStyle w:val="159"/>
              <w:rPr>
                <w:rFonts w:hAnsi="宋体"/>
              </w:rPr>
            </w:pPr>
            <w:r>
              <w:rPr>
                <w:rFonts w:hint="eastAsia"/>
              </w:rPr>
              <w:t>-18.7</w:t>
            </w:r>
          </w:p>
        </w:tc>
        <w:tc>
          <w:tcPr>
            <w:tcW w:w="1122" w:type="pct"/>
            <w:vAlign w:val="center"/>
          </w:tcPr>
          <w:p w14:paraId="1188BAE4">
            <w:pPr>
              <w:pStyle w:val="159"/>
              <w:rPr>
                <w:rFonts w:hAnsi="宋体"/>
              </w:rPr>
            </w:pPr>
            <w:r>
              <w:rPr>
                <w:rFonts w:hint="eastAsia"/>
              </w:rPr>
              <w:t>-15</w:t>
            </w:r>
          </w:p>
        </w:tc>
        <w:tc>
          <w:tcPr>
            <w:tcW w:w="1357" w:type="pct"/>
            <w:shd w:val="clear" w:color="auto" w:fill="auto"/>
            <w:noWrap/>
            <w:vAlign w:val="center"/>
          </w:tcPr>
          <w:p w14:paraId="57E37806">
            <w:pPr>
              <w:pStyle w:val="159"/>
              <w:rPr>
                <w:rFonts w:hAnsi="宋体"/>
              </w:rPr>
            </w:pPr>
            <w:r>
              <w:rPr>
                <w:rFonts w:hint="eastAsia"/>
              </w:rPr>
              <w:t xml:space="preserve">228.861 </w:t>
            </w:r>
          </w:p>
        </w:tc>
        <w:tc>
          <w:tcPr>
            <w:tcW w:w="1357" w:type="pct"/>
            <w:shd w:val="clear" w:color="auto" w:fill="auto"/>
            <w:noWrap/>
            <w:vAlign w:val="center"/>
          </w:tcPr>
          <w:p w14:paraId="4C805A91">
            <w:pPr>
              <w:pStyle w:val="159"/>
              <w:rPr>
                <w:rFonts w:hAnsi="宋体"/>
              </w:rPr>
            </w:pPr>
            <w:r>
              <w:rPr>
                <w:rFonts w:hint="eastAsia"/>
              </w:rPr>
              <w:t xml:space="preserve">2.013 </w:t>
            </w:r>
          </w:p>
        </w:tc>
      </w:tr>
      <w:tr w14:paraId="1512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1AA6A16">
            <w:pPr>
              <w:pStyle w:val="159"/>
              <w:rPr>
                <w:rFonts w:hAnsi="宋体"/>
              </w:rPr>
            </w:pPr>
            <w:r>
              <w:rPr>
                <w:rFonts w:hint="eastAsia"/>
              </w:rPr>
              <w:t>-17.7</w:t>
            </w:r>
          </w:p>
        </w:tc>
        <w:tc>
          <w:tcPr>
            <w:tcW w:w="1122" w:type="pct"/>
            <w:vAlign w:val="center"/>
          </w:tcPr>
          <w:p w14:paraId="6A01A60D">
            <w:pPr>
              <w:pStyle w:val="159"/>
              <w:rPr>
                <w:rFonts w:hAnsi="宋体"/>
              </w:rPr>
            </w:pPr>
            <w:r>
              <w:rPr>
                <w:rFonts w:hint="eastAsia"/>
              </w:rPr>
              <w:t>-14</w:t>
            </w:r>
          </w:p>
        </w:tc>
        <w:tc>
          <w:tcPr>
            <w:tcW w:w="1357" w:type="pct"/>
            <w:shd w:val="clear" w:color="auto" w:fill="auto"/>
            <w:noWrap/>
            <w:vAlign w:val="center"/>
          </w:tcPr>
          <w:p w14:paraId="51B482AB">
            <w:pPr>
              <w:pStyle w:val="159"/>
              <w:rPr>
                <w:rFonts w:hAnsi="宋体"/>
              </w:rPr>
            </w:pPr>
            <w:r>
              <w:rPr>
                <w:rFonts w:hint="eastAsia"/>
              </w:rPr>
              <w:t xml:space="preserve">247.842 </w:t>
            </w:r>
          </w:p>
        </w:tc>
        <w:tc>
          <w:tcPr>
            <w:tcW w:w="1357" w:type="pct"/>
            <w:shd w:val="clear" w:color="auto" w:fill="auto"/>
            <w:noWrap/>
            <w:vAlign w:val="center"/>
          </w:tcPr>
          <w:p w14:paraId="1505A833">
            <w:pPr>
              <w:pStyle w:val="159"/>
              <w:rPr>
                <w:rFonts w:hAnsi="宋体"/>
              </w:rPr>
            </w:pPr>
            <w:r>
              <w:rPr>
                <w:rFonts w:hint="eastAsia"/>
              </w:rPr>
              <w:t xml:space="preserve">2.158 </w:t>
            </w:r>
          </w:p>
        </w:tc>
      </w:tr>
      <w:tr w14:paraId="644C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E86862F">
            <w:pPr>
              <w:pStyle w:val="159"/>
              <w:rPr>
                <w:rFonts w:hAnsi="宋体"/>
              </w:rPr>
            </w:pPr>
            <w:r>
              <w:rPr>
                <w:rFonts w:hint="eastAsia"/>
              </w:rPr>
              <w:t>-16.7</w:t>
            </w:r>
          </w:p>
        </w:tc>
        <w:tc>
          <w:tcPr>
            <w:tcW w:w="1122" w:type="pct"/>
            <w:vAlign w:val="center"/>
          </w:tcPr>
          <w:p w14:paraId="724FCDB1">
            <w:pPr>
              <w:pStyle w:val="159"/>
              <w:rPr>
                <w:rFonts w:hAnsi="宋体"/>
              </w:rPr>
            </w:pPr>
            <w:r>
              <w:rPr>
                <w:rFonts w:hint="eastAsia"/>
              </w:rPr>
              <w:t>-13</w:t>
            </w:r>
          </w:p>
        </w:tc>
        <w:tc>
          <w:tcPr>
            <w:tcW w:w="1357" w:type="pct"/>
            <w:shd w:val="clear" w:color="auto" w:fill="auto"/>
            <w:noWrap/>
            <w:vAlign w:val="center"/>
          </w:tcPr>
          <w:p w14:paraId="09D6BF93">
            <w:pPr>
              <w:pStyle w:val="159"/>
              <w:rPr>
                <w:rFonts w:hAnsi="宋体"/>
              </w:rPr>
            </w:pPr>
            <w:r>
              <w:rPr>
                <w:rFonts w:hint="eastAsia"/>
              </w:rPr>
              <w:t xml:space="preserve">267.958 </w:t>
            </w:r>
          </w:p>
        </w:tc>
        <w:tc>
          <w:tcPr>
            <w:tcW w:w="1357" w:type="pct"/>
            <w:shd w:val="clear" w:color="auto" w:fill="auto"/>
            <w:noWrap/>
            <w:vAlign w:val="center"/>
          </w:tcPr>
          <w:p w14:paraId="0E801FAE">
            <w:pPr>
              <w:pStyle w:val="159"/>
              <w:rPr>
                <w:rFonts w:hAnsi="宋体"/>
              </w:rPr>
            </w:pPr>
            <w:r>
              <w:rPr>
                <w:rFonts w:hint="eastAsia"/>
              </w:rPr>
              <w:t xml:space="preserve">2.315 </w:t>
            </w:r>
          </w:p>
        </w:tc>
      </w:tr>
      <w:tr w14:paraId="196D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4F40CE9">
            <w:pPr>
              <w:pStyle w:val="159"/>
              <w:rPr>
                <w:rFonts w:hAnsi="宋体"/>
              </w:rPr>
            </w:pPr>
            <w:r>
              <w:rPr>
                <w:rFonts w:hint="eastAsia"/>
              </w:rPr>
              <w:t>-15.7</w:t>
            </w:r>
          </w:p>
        </w:tc>
        <w:tc>
          <w:tcPr>
            <w:tcW w:w="1122" w:type="pct"/>
            <w:vAlign w:val="center"/>
          </w:tcPr>
          <w:p w14:paraId="7394B2B7">
            <w:pPr>
              <w:pStyle w:val="159"/>
              <w:rPr>
                <w:rFonts w:hAnsi="宋体"/>
              </w:rPr>
            </w:pPr>
            <w:r>
              <w:rPr>
                <w:rFonts w:hint="eastAsia"/>
              </w:rPr>
              <w:t>-12</w:t>
            </w:r>
          </w:p>
        </w:tc>
        <w:tc>
          <w:tcPr>
            <w:tcW w:w="1357" w:type="pct"/>
            <w:shd w:val="clear" w:color="auto" w:fill="auto"/>
            <w:noWrap/>
            <w:vAlign w:val="center"/>
          </w:tcPr>
          <w:p w14:paraId="31A01DDD">
            <w:pPr>
              <w:pStyle w:val="159"/>
              <w:rPr>
                <w:rFonts w:hAnsi="宋体"/>
              </w:rPr>
            </w:pPr>
            <w:r>
              <w:rPr>
                <w:rFonts w:hint="eastAsia"/>
              </w:rPr>
              <w:t xml:space="preserve">289.006 </w:t>
            </w:r>
          </w:p>
        </w:tc>
        <w:tc>
          <w:tcPr>
            <w:tcW w:w="1357" w:type="pct"/>
            <w:shd w:val="clear" w:color="auto" w:fill="auto"/>
            <w:noWrap/>
            <w:vAlign w:val="center"/>
          </w:tcPr>
          <w:p w14:paraId="66A66B3E">
            <w:pPr>
              <w:pStyle w:val="159"/>
              <w:rPr>
                <w:rFonts w:hAnsi="宋体"/>
              </w:rPr>
            </w:pPr>
            <w:r>
              <w:rPr>
                <w:rFonts w:hint="eastAsia"/>
              </w:rPr>
              <w:t xml:space="preserve">2.483 </w:t>
            </w:r>
          </w:p>
        </w:tc>
      </w:tr>
      <w:tr w14:paraId="7B70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A73C6EE">
            <w:pPr>
              <w:pStyle w:val="159"/>
              <w:rPr>
                <w:rFonts w:hAnsi="宋体"/>
              </w:rPr>
            </w:pPr>
            <w:r>
              <w:rPr>
                <w:rFonts w:hint="eastAsia"/>
              </w:rPr>
              <w:t>-14.7</w:t>
            </w:r>
          </w:p>
        </w:tc>
        <w:tc>
          <w:tcPr>
            <w:tcW w:w="1122" w:type="pct"/>
            <w:vAlign w:val="center"/>
          </w:tcPr>
          <w:p w14:paraId="4BD4A2AB">
            <w:pPr>
              <w:pStyle w:val="159"/>
              <w:rPr>
                <w:rFonts w:hAnsi="宋体"/>
              </w:rPr>
            </w:pPr>
            <w:r>
              <w:rPr>
                <w:rFonts w:hint="eastAsia"/>
              </w:rPr>
              <w:t>-11</w:t>
            </w:r>
          </w:p>
        </w:tc>
        <w:tc>
          <w:tcPr>
            <w:tcW w:w="1357" w:type="pct"/>
            <w:shd w:val="clear" w:color="auto" w:fill="auto"/>
            <w:noWrap/>
            <w:vAlign w:val="center"/>
          </w:tcPr>
          <w:p w14:paraId="16A34605">
            <w:pPr>
              <w:pStyle w:val="159"/>
              <w:rPr>
                <w:rFonts w:hAnsi="宋体"/>
              </w:rPr>
            </w:pPr>
            <w:r>
              <w:rPr>
                <w:rFonts w:hint="eastAsia"/>
              </w:rPr>
              <w:t xml:space="preserve">310.666 </w:t>
            </w:r>
          </w:p>
        </w:tc>
        <w:tc>
          <w:tcPr>
            <w:tcW w:w="1357" w:type="pct"/>
            <w:shd w:val="clear" w:color="auto" w:fill="auto"/>
            <w:noWrap/>
            <w:vAlign w:val="center"/>
          </w:tcPr>
          <w:p w14:paraId="10C1F214">
            <w:pPr>
              <w:pStyle w:val="159"/>
              <w:rPr>
                <w:rFonts w:hAnsi="宋体"/>
              </w:rPr>
            </w:pPr>
            <w:r>
              <w:rPr>
                <w:rFonts w:hint="eastAsia"/>
              </w:rPr>
              <w:t xml:space="preserve">2.664 </w:t>
            </w:r>
          </w:p>
        </w:tc>
      </w:tr>
      <w:tr w14:paraId="3607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2CF47745">
            <w:pPr>
              <w:pStyle w:val="159"/>
              <w:rPr>
                <w:rFonts w:hAnsi="宋体"/>
              </w:rPr>
            </w:pPr>
            <w:r>
              <w:rPr>
                <w:rFonts w:hint="eastAsia"/>
              </w:rPr>
              <w:t>-13.7</w:t>
            </w:r>
          </w:p>
        </w:tc>
        <w:tc>
          <w:tcPr>
            <w:tcW w:w="1122" w:type="pct"/>
            <w:vAlign w:val="center"/>
          </w:tcPr>
          <w:p w14:paraId="12F9672B">
            <w:pPr>
              <w:pStyle w:val="159"/>
              <w:rPr>
                <w:rFonts w:hAnsi="宋体"/>
              </w:rPr>
            </w:pPr>
            <w:r>
              <w:rPr>
                <w:rFonts w:hint="eastAsia"/>
              </w:rPr>
              <w:t>-10</w:t>
            </w:r>
          </w:p>
        </w:tc>
        <w:tc>
          <w:tcPr>
            <w:tcW w:w="1357" w:type="pct"/>
            <w:shd w:val="clear" w:color="auto" w:fill="auto"/>
            <w:noWrap/>
            <w:vAlign w:val="center"/>
          </w:tcPr>
          <w:p w14:paraId="3990678F">
            <w:pPr>
              <w:pStyle w:val="159"/>
              <w:rPr>
                <w:rFonts w:hAnsi="宋体"/>
              </w:rPr>
            </w:pPr>
            <w:r>
              <w:rPr>
                <w:rFonts w:hint="eastAsia"/>
              </w:rPr>
              <w:t xml:space="preserve">332.470 </w:t>
            </w:r>
          </w:p>
        </w:tc>
        <w:tc>
          <w:tcPr>
            <w:tcW w:w="1357" w:type="pct"/>
            <w:shd w:val="clear" w:color="auto" w:fill="auto"/>
            <w:noWrap/>
            <w:vAlign w:val="center"/>
          </w:tcPr>
          <w:p w14:paraId="73E1BC73">
            <w:pPr>
              <w:pStyle w:val="159"/>
              <w:rPr>
                <w:rFonts w:hAnsi="宋体"/>
              </w:rPr>
            </w:pPr>
            <w:r>
              <w:rPr>
                <w:rFonts w:hint="eastAsia"/>
              </w:rPr>
              <w:t xml:space="preserve">2.857 </w:t>
            </w:r>
          </w:p>
        </w:tc>
      </w:tr>
      <w:tr w14:paraId="32BA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B3A6B72">
            <w:pPr>
              <w:pStyle w:val="159"/>
              <w:rPr>
                <w:rFonts w:hAnsi="宋体"/>
              </w:rPr>
            </w:pPr>
            <w:r>
              <w:rPr>
                <w:rFonts w:hint="eastAsia"/>
              </w:rPr>
              <w:t>-12.7</w:t>
            </w:r>
          </w:p>
        </w:tc>
        <w:tc>
          <w:tcPr>
            <w:tcW w:w="1122" w:type="pct"/>
            <w:vAlign w:val="center"/>
          </w:tcPr>
          <w:p w14:paraId="2C0616B9">
            <w:pPr>
              <w:pStyle w:val="159"/>
              <w:rPr>
                <w:rFonts w:hAnsi="宋体"/>
              </w:rPr>
            </w:pPr>
            <w:r>
              <w:rPr>
                <w:rFonts w:hint="eastAsia"/>
              </w:rPr>
              <w:t>-9</w:t>
            </w:r>
          </w:p>
        </w:tc>
        <w:tc>
          <w:tcPr>
            <w:tcW w:w="1357" w:type="pct"/>
            <w:shd w:val="clear" w:color="auto" w:fill="auto"/>
            <w:noWrap/>
            <w:vAlign w:val="center"/>
          </w:tcPr>
          <w:p w14:paraId="6B38D392">
            <w:pPr>
              <w:pStyle w:val="159"/>
              <w:rPr>
                <w:rFonts w:hAnsi="宋体"/>
              </w:rPr>
            </w:pPr>
            <w:r>
              <w:rPr>
                <w:rFonts w:hint="eastAsia"/>
              </w:rPr>
              <w:t xml:space="preserve">353.780 </w:t>
            </w:r>
          </w:p>
        </w:tc>
        <w:tc>
          <w:tcPr>
            <w:tcW w:w="1357" w:type="pct"/>
            <w:shd w:val="clear" w:color="auto" w:fill="auto"/>
            <w:noWrap/>
            <w:vAlign w:val="center"/>
          </w:tcPr>
          <w:p w14:paraId="7E197C19">
            <w:pPr>
              <w:pStyle w:val="159"/>
              <w:rPr>
                <w:rFonts w:hAnsi="宋体"/>
              </w:rPr>
            </w:pPr>
            <w:r>
              <w:rPr>
                <w:rFonts w:hint="eastAsia"/>
              </w:rPr>
              <w:t xml:space="preserve">3.060 </w:t>
            </w:r>
          </w:p>
        </w:tc>
      </w:tr>
      <w:tr w14:paraId="6C67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52C2936">
            <w:pPr>
              <w:pStyle w:val="159"/>
              <w:rPr>
                <w:rFonts w:hAnsi="宋体"/>
              </w:rPr>
            </w:pPr>
            <w:r>
              <w:rPr>
                <w:rFonts w:hint="eastAsia"/>
              </w:rPr>
              <w:t>-11.7</w:t>
            </w:r>
          </w:p>
        </w:tc>
        <w:tc>
          <w:tcPr>
            <w:tcW w:w="1122" w:type="pct"/>
            <w:vAlign w:val="center"/>
          </w:tcPr>
          <w:p w14:paraId="781365FC">
            <w:pPr>
              <w:pStyle w:val="159"/>
              <w:rPr>
                <w:rFonts w:hAnsi="宋体"/>
              </w:rPr>
            </w:pPr>
            <w:r>
              <w:rPr>
                <w:rFonts w:hint="eastAsia"/>
              </w:rPr>
              <w:t>-8</w:t>
            </w:r>
          </w:p>
        </w:tc>
        <w:tc>
          <w:tcPr>
            <w:tcW w:w="1357" w:type="pct"/>
            <w:shd w:val="clear" w:color="auto" w:fill="auto"/>
            <w:noWrap/>
            <w:vAlign w:val="center"/>
          </w:tcPr>
          <w:p w14:paraId="4A35DDB9">
            <w:pPr>
              <w:pStyle w:val="159"/>
              <w:rPr>
                <w:rFonts w:hAnsi="宋体"/>
              </w:rPr>
            </w:pPr>
            <w:r>
              <w:rPr>
                <w:rFonts w:hint="eastAsia"/>
              </w:rPr>
              <w:t xml:space="preserve">373.768 </w:t>
            </w:r>
          </w:p>
        </w:tc>
        <w:tc>
          <w:tcPr>
            <w:tcW w:w="1357" w:type="pct"/>
            <w:shd w:val="clear" w:color="auto" w:fill="auto"/>
            <w:noWrap/>
            <w:vAlign w:val="center"/>
          </w:tcPr>
          <w:p w14:paraId="0F87EBA2">
            <w:pPr>
              <w:pStyle w:val="159"/>
              <w:rPr>
                <w:rFonts w:hAnsi="宋体"/>
              </w:rPr>
            </w:pPr>
            <w:r>
              <w:rPr>
                <w:rFonts w:hint="eastAsia"/>
              </w:rPr>
              <w:t xml:space="preserve">3.273 </w:t>
            </w:r>
          </w:p>
        </w:tc>
      </w:tr>
      <w:tr w14:paraId="6140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71F378D">
            <w:pPr>
              <w:pStyle w:val="159"/>
              <w:rPr>
                <w:rFonts w:hAnsi="宋体"/>
              </w:rPr>
            </w:pPr>
            <w:r>
              <w:rPr>
                <w:rFonts w:hint="eastAsia"/>
              </w:rPr>
              <w:t>-10.7</w:t>
            </w:r>
          </w:p>
        </w:tc>
        <w:tc>
          <w:tcPr>
            <w:tcW w:w="1122" w:type="pct"/>
            <w:vAlign w:val="center"/>
          </w:tcPr>
          <w:p w14:paraId="782FB447">
            <w:pPr>
              <w:pStyle w:val="159"/>
              <w:rPr>
                <w:rFonts w:hAnsi="宋体"/>
              </w:rPr>
            </w:pPr>
            <w:r>
              <w:rPr>
                <w:rFonts w:hint="eastAsia"/>
              </w:rPr>
              <w:t>-7</w:t>
            </w:r>
          </w:p>
        </w:tc>
        <w:tc>
          <w:tcPr>
            <w:tcW w:w="1357" w:type="pct"/>
            <w:shd w:val="clear" w:color="auto" w:fill="auto"/>
            <w:noWrap/>
            <w:vAlign w:val="center"/>
          </w:tcPr>
          <w:p w14:paraId="63A31215">
            <w:pPr>
              <w:pStyle w:val="159"/>
              <w:rPr>
                <w:rFonts w:hAnsi="宋体"/>
              </w:rPr>
            </w:pPr>
            <w:r>
              <w:rPr>
                <w:rFonts w:hint="eastAsia"/>
              </w:rPr>
              <w:t xml:space="preserve">391.422 </w:t>
            </w:r>
          </w:p>
        </w:tc>
        <w:tc>
          <w:tcPr>
            <w:tcW w:w="1357" w:type="pct"/>
            <w:shd w:val="clear" w:color="auto" w:fill="auto"/>
            <w:noWrap/>
            <w:vAlign w:val="center"/>
          </w:tcPr>
          <w:p w14:paraId="01F9A51F">
            <w:pPr>
              <w:pStyle w:val="159"/>
              <w:rPr>
                <w:rFonts w:hAnsi="宋体"/>
              </w:rPr>
            </w:pPr>
            <w:r>
              <w:rPr>
                <w:rFonts w:hint="eastAsia"/>
              </w:rPr>
              <w:t xml:space="preserve">3.494 </w:t>
            </w:r>
          </w:p>
        </w:tc>
      </w:tr>
      <w:tr w14:paraId="73BB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945B5BF">
            <w:pPr>
              <w:pStyle w:val="159"/>
              <w:rPr>
                <w:rFonts w:hAnsi="宋体"/>
              </w:rPr>
            </w:pPr>
            <w:r>
              <w:rPr>
                <w:rFonts w:hint="eastAsia"/>
              </w:rPr>
              <w:t>-9.7</w:t>
            </w:r>
          </w:p>
        </w:tc>
        <w:tc>
          <w:tcPr>
            <w:tcW w:w="1122" w:type="pct"/>
            <w:vAlign w:val="center"/>
          </w:tcPr>
          <w:p w14:paraId="5678F1A0">
            <w:pPr>
              <w:pStyle w:val="159"/>
              <w:rPr>
                <w:rFonts w:hAnsi="宋体"/>
              </w:rPr>
            </w:pPr>
            <w:r>
              <w:rPr>
                <w:rFonts w:hint="eastAsia"/>
              </w:rPr>
              <w:t>-6</w:t>
            </w:r>
          </w:p>
        </w:tc>
        <w:tc>
          <w:tcPr>
            <w:tcW w:w="1357" w:type="pct"/>
            <w:shd w:val="clear" w:color="auto" w:fill="auto"/>
            <w:noWrap/>
            <w:vAlign w:val="center"/>
          </w:tcPr>
          <w:p w14:paraId="025A5CC6">
            <w:pPr>
              <w:pStyle w:val="159"/>
              <w:rPr>
                <w:rFonts w:hAnsi="宋体"/>
              </w:rPr>
            </w:pPr>
            <w:r>
              <w:rPr>
                <w:rFonts w:hint="eastAsia"/>
              </w:rPr>
              <w:t xml:space="preserve">405.580 </w:t>
            </w:r>
          </w:p>
        </w:tc>
        <w:tc>
          <w:tcPr>
            <w:tcW w:w="1357" w:type="pct"/>
            <w:shd w:val="clear" w:color="auto" w:fill="auto"/>
            <w:noWrap/>
            <w:vAlign w:val="center"/>
          </w:tcPr>
          <w:p w14:paraId="5FA5B91F">
            <w:pPr>
              <w:pStyle w:val="159"/>
              <w:rPr>
                <w:rFonts w:hAnsi="宋体"/>
              </w:rPr>
            </w:pPr>
            <w:r>
              <w:rPr>
                <w:rFonts w:hint="eastAsia"/>
              </w:rPr>
              <w:t xml:space="preserve">3.718 </w:t>
            </w:r>
          </w:p>
        </w:tc>
      </w:tr>
      <w:tr w14:paraId="46F6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5A83337">
            <w:pPr>
              <w:pStyle w:val="159"/>
              <w:rPr>
                <w:rFonts w:hAnsi="宋体"/>
              </w:rPr>
            </w:pPr>
            <w:r>
              <w:rPr>
                <w:rFonts w:hint="eastAsia"/>
              </w:rPr>
              <w:t>-8.7</w:t>
            </w:r>
          </w:p>
        </w:tc>
        <w:tc>
          <w:tcPr>
            <w:tcW w:w="1122" w:type="pct"/>
            <w:vAlign w:val="center"/>
          </w:tcPr>
          <w:p w14:paraId="702DAE37">
            <w:pPr>
              <w:pStyle w:val="159"/>
              <w:rPr>
                <w:rFonts w:hAnsi="宋体"/>
              </w:rPr>
            </w:pPr>
            <w:r>
              <w:rPr>
                <w:rFonts w:hint="eastAsia"/>
              </w:rPr>
              <w:t>-5</w:t>
            </w:r>
          </w:p>
        </w:tc>
        <w:tc>
          <w:tcPr>
            <w:tcW w:w="1357" w:type="pct"/>
            <w:shd w:val="clear" w:color="auto" w:fill="auto"/>
            <w:noWrap/>
            <w:vAlign w:val="center"/>
          </w:tcPr>
          <w:p w14:paraId="20C17B75">
            <w:pPr>
              <w:pStyle w:val="159"/>
              <w:rPr>
                <w:rFonts w:hAnsi="宋体"/>
              </w:rPr>
            </w:pPr>
            <w:r>
              <w:rPr>
                <w:rFonts w:hint="eastAsia"/>
              </w:rPr>
              <w:t xml:space="preserve">415.008 </w:t>
            </w:r>
          </w:p>
        </w:tc>
        <w:tc>
          <w:tcPr>
            <w:tcW w:w="1357" w:type="pct"/>
            <w:shd w:val="clear" w:color="auto" w:fill="auto"/>
            <w:noWrap/>
            <w:vAlign w:val="center"/>
          </w:tcPr>
          <w:p w14:paraId="39A9ED01">
            <w:pPr>
              <w:pStyle w:val="159"/>
              <w:rPr>
                <w:rFonts w:hAnsi="宋体"/>
              </w:rPr>
            </w:pPr>
            <w:r>
              <w:rPr>
                <w:rFonts w:hint="eastAsia"/>
              </w:rPr>
              <w:t xml:space="preserve">3.942 </w:t>
            </w:r>
          </w:p>
        </w:tc>
      </w:tr>
      <w:tr w14:paraId="1C9D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86B85FE">
            <w:pPr>
              <w:pStyle w:val="159"/>
              <w:rPr>
                <w:rFonts w:hAnsi="宋体"/>
              </w:rPr>
            </w:pPr>
            <w:r>
              <w:rPr>
                <w:rFonts w:hint="eastAsia"/>
              </w:rPr>
              <w:t>-7.7</w:t>
            </w:r>
          </w:p>
        </w:tc>
        <w:tc>
          <w:tcPr>
            <w:tcW w:w="1122" w:type="pct"/>
            <w:vAlign w:val="center"/>
          </w:tcPr>
          <w:p w14:paraId="351CE5CF">
            <w:pPr>
              <w:pStyle w:val="159"/>
              <w:rPr>
                <w:rFonts w:hAnsi="宋体"/>
              </w:rPr>
            </w:pPr>
            <w:r>
              <w:rPr>
                <w:rFonts w:hint="eastAsia"/>
              </w:rPr>
              <w:t>-4</w:t>
            </w:r>
          </w:p>
        </w:tc>
        <w:tc>
          <w:tcPr>
            <w:tcW w:w="1357" w:type="pct"/>
            <w:shd w:val="clear" w:color="auto" w:fill="auto"/>
            <w:noWrap/>
            <w:vAlign w:val="center"/>
          </w:tcPr>
          <w:p w14:paraId="00005FFB">
            <w:pPr>
              <w:pStyle w:val="159"/>
              <w:rPr>
                <w:rFonts w:hAnsi="宋体"/>
              </w:rPr>
            </w:pPr>
            <w:r>
              <w:rPr>
                <w:rFonts w:hint="eastAsia"/>
              </w:rPr>
              <w:t xml:space="preserve">418.543 </w:t>
            </w:r>
          </w:p>
        </w:tc>
        <w:tc>
          <w:tcPr>
            <w:tcW w:w="1357" w:type="pct"/>
            <w:shd w:val="clear" w:color="auto" w:fill="auto"/>
            <w:noWrap/>
            <w:vAlign w:val="center"/>
          </w:tcPr>
          <w:p w14:paraId="296ED995">
            <w:pPr>
              <w:pStyle w:val="159"/>
              <w:rPr>
                <w:rFonts w:hAnsi="宋体"/>
              </w:rPr>
            </w:pPr>
            <w:r>
              <w:rPr>
                <w:rFonts w:hint="eastAsia"/>
              </w:rPr>
              <w:t xml:space="preserve">4.161 </w:t>
            </w:r>
          </w:p>
        </w:tc>
      </w:tr>
      <w:tr w14:paraId="18AF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FEE3CB6">
            <w:pPr>
              <w:pStyle w:val="159"/>
              <w:rPr>
                <w:rFonts w:hAnsi="宋体"/>
              </w:rPr>
            </w:pPr>
            <w:r>
              <w:rPr>
                <w:rFonts w:hint="eastAsia"/>
              </w:rPr>
              <w:t>-6.7</w:t>
            </w:r>
          </w:p>
        </w:tc>
        <w:tc>
          <w:tcPr>
            <w:tcW w:w="1122" w:type="pct"/>
            <w:vAlign w:val="center"/>
          </w:tcPr>
          <w:p w14:paraId="603B086A">
            <w:pPr>
              <w:pStyle w:val="159"/>
              <w:rPr>
                <w:rFonts w:hAnsi="宋体"/>
              </w:rPr>
            </w:pPr>
            <w:r>
              <w:rPr>
                <w:rFonts w:hint="eastAsia"/>
              </w:rPr>
              <w:t>-3</w:t>
            </w:r>
          </w:p>
        </w:tc>
        <w:tc>
          <w:tcPr>
            <w:tcW w:w="1357" w:type="pct"/>
            <w:shd w:val="clear" w:color="auto" w:fill="auto"/>
            <w:noWrap/>
            <w:vAlign w:val="center"/>
          </w:tcPr>
          <w:p w14:paraId="219C0E20">
            <w:pPr>
              <w:pStyle w:val="159"/>
              <w:rPr>
                <w:rFonts w:hAnsi="宋体"/>
              </w:rPr>
            </w:pPr>
            <w:r>
              <w:rPr>
                <w:rFonts w:hint="eastAsia"/>
              </w:rPr>
              <w:t xml:space="preserve">415.294 </w:t>
            </w:r>
          </w:p>
        </w:tc>
        <w:tc>
          <w:tcPr>
            <w:tcW w:w="1357" w:type="pct"/>
            <w:shd w:val="clear" w:color="auto" w:fill="auto"/>
            <w:noWrap/>
            <w:vAlign w:val="center"/>
          </w:tcPr>
          <w:p w14:paraId="7AD6ACC6">
            <w:pPr>
              <w:pStyle w:val="159"/>
              <w:rPr>
                <w:rFonts w:hAnsi="宋体"/>
              </w:rPr>
            </w:pPr>
            <w:r>
              <w:rPr>
                <w:rFonts w:hint="eastAsia"/>
              </w:rPr>
              <w:t xml:space="preserve">4.367 </w:t>
            </w:r>
          </w:p>
        </w:tc>
      </w:tr>
      <w:tr w14:paraId="0202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3B485E4">
            <w:pPr>
              <w:pStyle w:val="159"/>
              <w:rPr>
                <w:rFonts w:hAnsi="宋体"/>
              </w:rPr>
            </w:pPr>
            <w:r>
              <w:rPr>
                <w:rFonts w:hint="eastAsia"/>
              </w:rPr>
              <w:t>-5.7</w:t>
            </w:r>
          </w:p>
        </w:tc>
        <w:tc>
          <w:tcPr>
            <w:tcW w:w="1122" w:type="pct"/>
            <w:vAlign w:val="center"/>
          </w:tcPr>
          <w:p w14:paraId="58DB20A4">
            <w:pPr>
              <w:pStyle w:val="159"/>
              <w:rPr>
                <w:rFonts w:hAnsi="宋体"/>
              </w:rPr>
            </w:pPr>
            <w:r>
              <w:rPr>
                <w:rFonts w:hint="eastAsia"/>
              </w:rPr>
              <w:t>-2</w:t>
            </w:r>
          </w:p>
        </w:tc>
        <w:tc>
          <w:tcPr>
            <w:tcW w:w="1357" w:type="pct"/>
            <w:shd w:val="clear" w:color="auto" w:fill="auto"/>
            <w:noWrap/>
            <w:vAlign w:val="center"/>
          </w:tcPr>
          <w:p w14:paraId="0F8134ED">
            <w:pPr>
              <w:pStyle w:val="159"/>
              <w:rPr>
                <w:rFonts w:hAnsi="宋体"/>
              </w:rPr>
            </w:pPr>
            <w:r>
              <w:rPr>
                <w:rFonts w:hint="eastAsia"/>
              </w:rPr>
              <w:t xml:space="preserve">404.915 </w:t>
            </w:r>
          </w:p>
        </w:tc>
        <w:tc>
          <w:tcPr>
            <w:tcW w:w="1357" w:type="pct"/>
            <w:shd w:val="clear" w:color="auto" w:fill="auto"/>
            <w:noWrap/>
            <w:vAlign w:val="center"/>
          </w:tcPr>
          <w:p w14:paraId="6AD82B4E">
            <w:pPr>
              <w:pStyle w:val="159"/>
              <w:rPr>
                <w:rFonts w:hAnsi="宋体"/>
              </w:rPr>
            </w:pPr>
            <w:r>
              <w:rPr>
                <w:rFonts w:hint="eastAsia"/>
              </w:rPr>
              <w:t xml:space="preserve">4.555 </w:t>
            </w:r>
          </w:p>
        </w:tc>
      </w:tr>
      <w:tr w14:paraId="73EC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2D4D9755">
            <w:pPr>
              <w:pStyle w:val="159"/>
              <w:rPr>
                <w:rFonts w:hAnsi="宋体"/>
              </w:rPr>
            </w:pPr>
            <w:r>
              <w:rPr>
                <w:rFonts w:hint="eastAsia"/>
              </w:rPr>
              <w:t>-4.7</w:t>
            </w:r>
          </w:p>
        </w:tc>
        <w:tc>
          <w:tcPr>
            <w:tcW w:w="1122" w:type="pct"/>
            <w:vAlign w:val="center"/>
          </w:tcPr>
          <w:p w14:paraId="747AC668">
            <w:pPr>
              <w:pStyle w:val="159"/>
              <w:rPr>
                <w:rFonts w:hAnsi="宋体"/>
              </w:rPr>
            </w:pPr>
            <w:r>
              <w:rPr>
                <w:rFonts w:hint="eastAsia"/>
              </w:rPr>
              <w:t>-1</w:t>
            </w:r>
          </w:p>
        </w:tc>
        <w:tc>
          <w:tcPr>
            <w:tcW w:w="1357" w:type="pct"/>
            <w:shd w:val="clear" w:color="auto" w:fill="auto"/>
            <w:noWrap/>
            <w:vAlign w:val="center"/>
          </w:tcPr>
          <w:p w14:paraId="14B3680F">
            <w:pPr>
              <w:pStyle w:val="159"/>
              <w:rPr>
                <w:rFonts w:hAnsi="宋体"/>
              </w:rPr>
            </w:pPr>
            <w:r>
              <w:rPr>
                <w:rFonts w:hint="eastAsia"/>
              </w:rPr>
              <w:t xml:space="preserve">387.924 </w:t>
            </w:r>
          </w:p>
        </w:tc>
        <w:tc>
          <w:tcPr>
            <w:tcW w:w="1357" w:type="pct"/>
            <w:shd w:val="clear" w:color="auto" w:fill="auto"/>
            <w:noWrap/>
            <w:vAlign w:val="center"/>
          </w:tcPr>
          <w:p w14:paraId="41ABB934">
            <w:pPr>
              <w:pStyle w:val="159"/>
              <w:rPr>
                <w:rFonts w:hAnsi="宋体"/>
              </w:rPr>
            </w:pPr>
            <w:r>
              <w:rPr>
                <w:rFonts w:hint="eastAsia"/>
              </w:rPr>
              <w:t xml:space="preserve">4.717 </w:t>
            </w:r>
          </w:p>
        </w:tc>
      </w:tr>
      <w:tr w14:paraId="5C10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E2AC678">
            <w:pPr>
              <w:pStyle w:val="159"/>
              <w:rPr>
                <w:rFonts w:hAnsi="宋体"/>
              </w:rPr>
            </w:pPr>
            <w:r>
              <w:rPr>
                <w:rFonts w:hint="eastAsia"/>
              </w:rPr>
              <w:t>-3.7</w:t>
            </w:r>
          </w:p>
        </w:tc>
        <w:tc>
          <w:tcPr>
            <w:tcW w:w="1122" w:type="pct"/>
            <w:vAlign w:val="center"/>
          </w:tcPr>
          <w:p w14:paraId="02636D9C">
            <w:pPr>
              <w:pStyle w:val="159"/>
              <w:rPr>
                <w:rFonts w:hAnsi="宋体"/>
              </w:rPr>
            </w:pPr>
            <w:r>
              <w:rPr>
                <w:rFonts w:hint="eastAsia" w:hAnsi="宋体"/>
              </w:rPr>
              <w:t>线下</w:t>
            </w:r>
          </w:p>
        </w:tc>
        <w:tc>
          <w:tcPr>
            <w:tcW w:w="1357" w:type="pct"/>
            <w:shd w:val="clear" w:color="auto" w:fill="auto"/>
            <w:noWrap/>
            <w:vAlign w:val="center"/>
          </w:tcPr>
          <w:p w14:paraId="2A0CD5B8">
            <w:pPr>
              <w:pStyle w:val="159"/>
              <w:rPr>
                <w:rFonts w:hAnsi="宋体"/>
              </w:rPr>
            </w:pPr>
            <w:r>
              <w:rPr>
                <w:rFonts w:hint="eastAsia"/>
              </w:rPr>
              <w:t xml:space="preserve">366.031 </w:t>
            </w:r>
          </w:p>
        </w:tc>
        <w:tc>
          <w:tcPr>
            <w:tcW w:w="1357" w:type="pct"/>
            <w:shd w:val="clear" w:color="auto" w:fill="auto"/>
            <w:noWrap/>
            <w:vAlign w:val="center"/>
          </w:tcPr>
          <w:p w14:paraId="496FAB71">
            <w:pPr>
              <w:pStyle w:val="159"/>
              <w:rPr>
                <w:rFonts w:hAnsi="宋体"/>
              </w:rPr>
            </w:pPr>
            <w:r>
              <w:rPr>
                <w:rFonts w:hint="eastAsia"/>
              </w:rPr>
              <w:t xml:space="preserve">4.847 </w:t>
            </w:r>
          </w:p>
        </w:tc>
      </w:tr>
      <w:tr w14:paraId="724E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E55363F">
            <w:pPr>
              <w:pStyle w:val="159"/>
              <w:rPr>
                <w:rFonts w:hAnsi="宋体"/>
              </w:rPr>
            </w:pPr>
            <w:r>
              <w:rPr>
                <w:rFonts w:hint="eastAsia"/>
              </w:rPr>
              <w:t>-2.7</w:t>
            </w:r>
          </w:p>
        </w:tc>
        <w:tc>
          <w:tcPr>
            <w:tcW w:w="1122" w:type="pct"/>
            <w:vAlign w:val="center"/>
          </w:tcPr>
          <w:p w14:paraId="6C72FF31">
            <w:pPr>
              <w:pStyle w:val="159"/>
              <w:rPr>
                <w:rFonts w:hAnsi="宋体"/>
              </w:rPr>
            </w:pPr>
            <w:r>
              <w:rPr>
                <w:rFonts w:hint="eastAsia" w:hAnsi="宋体"/>
              </w:rPr>
              <w:t>线下</w:t>
            </w:r>
          </w:p>
        </w:tc>
        <w:tc>
          <w:tcPr>
            <w:tcW w:w="1357" w:type="pct"/>
            <w:shd w:val="clear" w:color="auto" w:fill="auto"/>
            <w:noWrap/>
            <w:vAlign w:val="center"/>
          </w:tcPr>
          <w:p w14:paraId="760ECB5A">
            <w:pPr>
              <w:pStyle w:val="159"/>
              <w:rPr>
                <w:rFonts w:hAnsi="宋体"/>
              </w:rPr>
            </w:pPr>
            <w:r>
              <w:rPr>
                <w:rFonts w:hint="eastAsia"/>
              </w:rPr>
              <w:t xml:space="preserve">342.369 </w:t>
            </w:r>
          </w:p>
        </w:tc>
        <w:tc>
          <w:tcPr>
            <w:tcW w:w="1357" w:type="pct"/>
            <w:shd w:val="clear" w:color="auto" w:fill="auto"/>
            <w:noWrap/>
            <w:vAlign w:val="center"/>
          </w:tcPr>
          <w:p w14:paraId="309C2BF0">
            <w:pPr>
              <w:pStyle w:val="159"/>
              <w:rPr>
                <w:rFonts w:hAnsi="宋体"/>
              </w:rPr>
            </w:pPr>
            <w:r>
              <w:rPr>
                <w:rFonts w:hint="eastAsia"/>
              </w:rPr>
              <w:t xml:space="preserve">4.940 </w:t>
            </w:r>
          </w:p>
        </w:tc>
      </w:tr>
      <w:tr w14:paraId="6309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6C2077D">
            <w:pPr>
              <w:pStyle w:val="159"/>
              <w:rPr>
                <w:rFonts w:hAnsi="宋体"/>
              </w:rPr>
            </w:pPr>
            <w:r>
              <w:rPr>
                <w:rFonts w:hint="eastAsia"/>
              </w:rPr>
              <w:t>-1.7</w:t>
            </w:r>
          </w:p>
        </w:tc>
        <w:tc>
          <w:tcPr>
            <w:tcW w:w="1122" w:type="pct"/>
            <w:vAlign w:val="center"/>
          </w:tcPr>
          <w:p w14:paraId="43283175">
            <w:pPr>
              <w:pStyle w:val="159"/>
              <w:rPr>
                <w:rFonts w:hAnsi="宋体"/>
              </w:rPr>
            </w:pPr>
            <w:r>
              <w:rPr>
                <w:rFonts w:hint="eastAsia" w:hAnsi="宋体"/>
              </w:rPr>
              <w:t>线下</w:t>
            </w:r>
          </w:p>
        </w:tc>
        <w:tc>
          <w:tcPr>
            <w:tcW w:w="1357" w:type="pct"/>
            <w:shd w:val="clear" w:color="auto" w:fill="auto"/>
            <w:noWrap/>
            <w:vAlign w:val="center"/>
          </w:tcPr>
          <w:p w14:paraId="1CA62FD6">
            <w:pPr>
              <w:pStyle w:val="159"/>
              <w:rPr>
                <w:rFonts w:hAnsi="宋体"/>
              </w:rPr>
            </w:pPr>
            <w:r>
              <w:rPr>
                <w:rFonts w:hint="eastAsia"/>
              </w:rPr>
              <w:t xml:space="preserve">321.417 </w:t>
            </w:r>
          </w:p>
        </w:tc>
        <w:tc>
          <w:tcPr>
            <w:tcW w:w="1357" w:type="pct"/>
            <w:shd w:val="clear" w:color="auto" w:fill="auto"/>
            <w:noWrap/>
            <w:vAlign w:val="center"/>
          </w:tcPr>
          <w:p w14:paraId="2E85EE06">
            <w:pPr>
              <w:pStyle w:val="159"/>
              <w:rPr>
                <w:rFonts w:hAnsi="宋体"/>
              </w:rPr>
            </w:pPr>
            <w:r>
              <w:rPr>
                <w:rFonts w:hint="eastAsia"/>
              </w:rPr>
              <w:t xml:space="preserve">4.990 </w:t>
            </w:r>
          </w:p>
        </w:tc>
      </w:tr>
      <w:tr w14:paraId="345F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15F0706">
            <w:pPr>
              <w:pStyle w:val="159"/>
              <w:rPr>
                <w:rFonts w:hAnsi="宋体"/>
              </w:rPr>
            </w:pPr>
            <w:r>
              <w:rPr>
                <w:rFonts w:hint="eastAsia"/>
              </w:rPr>
              <w:t>-0.7</w:t>
            </w:r>
          </w:p>
        </w:tc>
        <w:tc>
          <w:tcPr>
            <w:tcW w:w="1122" w:type="pct"/>
            <w:vAlign w:val="center"/>
          </w:tcPr>
          <w:p w14:paraId="6C0F4449">
            <w:pPr>
              <w:pStyle w:val="159"/>
              <w:rPr>
                <w:rFonts w:hAnsi="宋体"/>
              </w:rPr>
            </w:pPr>
            <w:r>
              <w:rPr>
                <w:rFonts w:hint="eastAsia" w:hAnsi="宋体"/>
              </w:rPr>
              <w:t>线下</w:t>
            </w:r>
          </w:p>
        </w:tc>
        <w:tc>
          <w:tcPr>
            <w:tcW w:w="1357" w:type="pct"/>
            <w:shd w:val="clear" w:color="auto" w:fill="auto"/>
            <w:noWrap/>
            <w:vAlign w:val="center"/>
          </w:tcPr>
          <w:p w14:paraId="659D5FB2">
            <w:pPr>
              <w:pStyle w:val="159"/>
              <w:rPr>
                <w:rFonts w:hAnsi="宋体"/>
              </w:rPr>
            </w:pPr>
            <w:r>
              <w:rPr>
                <w:rFonts w:hint="eastAsia"/>
              </w:rPr>
              <w:t xml:space="preserve">308.173 </w:t>
            </w:r>
          </w:p>
        </w:tc>
        <w:tc>
          <w:tcPr>
            <w:tcW w:w="1357" w:type="pct"/>
            <w:shd w:val="clear" w:color="auto" w:fill="auto"/>
            <w:noWrap/>
            <w:vAlign w:val="center"/>
          </w:tcPr>
          <w:p w14:paraId="616D2CDE">
            <w:pPr>
              <w:pStyle w:val="159"/>
              <w:rPr>
                <w:rFonts w:hAnsi="宋体"/>
              </w:rPr>
            </w:pPr>
            <w:r>
              <w:rPr>
                <w:rFonts w:hint="eastAsia"/>
              </w:rPr>
              <w:t xml:space="preserve">4.997 </w:t>
            </w:r>
          </w:p>
        </w:tc>
      </w:tr>
      <w:tr w14:paraId="5581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2877C8D">
            <w:pPr>
              <w:pStyle w:val="159"/>
              <w:rPr>
                <w:rFonts w:hAnsi="宋体"/>
              </w:rPr>
            </w:pPr>
            <w:r>
              <w:rPr>
                <w:rFonts w:hint="eastAsia"/>
              </w:rPr>
              <w:t>0</w:t>
            </w:r>
          </w:p>
        </w:tc>
        <w:tc>
          <w:tcPr>
            <w:tcW w:w="1122" w:type="pct"/>
            <w:vAlign w:val="center"/>
          </w:tcPr>
          <w:p w14:paraId="5999DFBB">
            <w:pPr>
              <w:pStyle w:val="159"/>
              <w:rPr>
                <w:rFonts w:hAnsi="宋体"/>
              </w:rPr>
            </w:pPr>
            <w:r>
              <w:rPr>
                <w:rFonts w:hint="eastAsia" w:hAnsi="宋体"/>
              </w:rPr>
              <w:t>线下</w:t>
            </w:r>
          </w:p>
        </w:tc>
        <w:tc>
          <w:tcPr>
            <w:tcW w:w="1357" w:type="pct"/>
            <w:shd w:val="clear" w:color="auto" w:fill="auto"/>
            <w:noWrap/>
            <w:vAlign w:val="center"/>
          </w:tcPr>
          <w:p w14:paraId="62C212D3">
            <w:pPr>
              <w:pStyle w:val="159"/>
              <w:rPr>
                <w:rFonts w:hAnsi="宋体"/>
              </w:rPr>
            </w:pPr>
            <w:r>
              <w:rPr>
                <w:rFonts w:hint="eastAsia"/>
              </w:rPr>
              <w:t xml:space="preserve">305.564 </w:t>
            </w:r>
          </w:p>
        </w:tc>
        <w:tc>
          <w:tcPr>
            <w:tcW w:w="1357" w:type="pct"/>
            <w:shd w:val="clear" w:color="auto" w:fill="auto"/>
            <w:noWrap/>
            <w:vAlign w:val="center"/>
          </w:tcPr>
          <w:p w14:paraId="4A590E2E">
            <w:pPr>
              <w:pStyle w:val="159"/>
              <w:rPr>
                <w:rFonts w:hAnsi="宋体"/>
              </w:rPr>
            </w:pPr>
            <w:r>
              <w:rPr>
                <w:rFonts w:hint="eastAsia"/>
              </w:rPr>
              <w:t xml:space="preserve">4.975 </w:t>
            </w:r>
          </w:p>
        </w:tc>
      </w:tr>
      <w:tr w14:paraId="5D8C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1790EBF">
            <w:pPr>
              <w:pStyle w:val="159"/>
              <w:rPr>
                <w:rFonts w:hAnsi="宋体"/>
              </w:rPr>
            </w:pPr>
            <w:r>
              <w:rPr>
                <w:rFonts w:hint="eastAsia"/>
              </w:rPr>
              <w:t>1.3</w:t>
            </w:r>
          </w:p>
        </w:tc>
        <w:tc>
          <w:tcPr>
            <w:tcW w:w="1122" w:type="pct"/>
            <w:vAlign w:val="center"/>
          </w:tcPr>
          <w:p w14:paraId="5D7F83E3">
            <w:pPr>
              <w:pStyle w:val="159"/>
              <w:rPr>
                <w:rFonts w:hAnsi="宋体"/>
              </w:rPr>
            </w:pPr>
            <w:r>
              <w:rPr>
                <w:rFonts w:hint="eastAsia" w:hAnsi="宋体"/>
              </w:rPr>
              <w:t>线下</w:t>
            </w:r>
          </w:p>
        </w:tc>
        <w:tc>
          <w:tcPr>
            <w:tcW w:w="1357" w:type="pct"/>
            <w:shd w:val="clear" w:color="auto" w:fill="auto"/>
            <w:noWrap/>
            <w:vAlign w:val="center"/>
          </w:tcPr>
          <w:p w14:paraId="4C3797B1">
            <w:pPr>
              <w:pStyle w:val="159"/>
              <w:rPr>
                <w:rFonts w:hAnsi="宋体"/>
              </w:rPr>
            </w:pPr>
            <w:r>
              <w:rPr>
                <w:rFonts w:hint="eastAsia"/>
              </w:rPr>
              <w:t xml:space="preserve">316.075 </w:t>
            </w:r>
          </w:p>
        </w:tc>
        <w:tc>
          <w:tcPr>
            <w:tcW w:w="1357" w:type="pct"/>
            <w:shd w:val="clear" w:color="auto" w:fill="auto"/>
            <w:noWrap/>
            <w:vAlign w:val="center"/>
          </w:tcPr>
          <w:p w14:paraId="0BC34722">
            <w:pPr>
              <w:pStyle w:val="159"/>
              <w:rPr>
                <w:rFonts w:hAnsi="宋体"/>
              </w:rPr>
            </w:pPr>
            <w:r>
              <w:rPr>
                <w:rFonts w:hint="eastAsia"/>
              </w:rPr>
              <w:t xml:space="preserve">4.878 </w:t>
            </w:r>
          </w:p>
        </w:tc>
      </w:tr>
      <w:tr w14:paraId="36E9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4A5BEA5">
            <w:pPr>
              <w:pStyle w:val="159"/>
              <w:rPr>
                <w:rFonts w:hAnsi="宋体"/>
              </w:rPr>
            </w:pPr>
            <w:r>
              <w:rPr>
                <w:rFonts w:hint="eastAsia"/>
              </w:rPr>
              <w:t>2.3</w:t>
            </w:r>
          </w:p>
        </w:tc>
        <w:tc>
          <w:tcPr>
            <w:tcW w:w="1122" w:type="pct"/>
            <w:vAlign w:val="center"/>
          </w:tcPr>
          <w:p w14:paraId="3B077613">
            <w:pPr>
              <w:pStyle w:val="159"/>
              <w:rPr>
                <w:rFonts w:hAnsi="宋体"/>
              </w:rPr>
            </w:pPr>
            <w:r>
              <w:rPr>
                <w:rFonts w:hint="eastAsia" w:hAnsi="宋体"/>
              </w:rPr>
              <w:t>线下</w:t>
            </w:r>
          </w:p>
        </w:tc>
        <w:tc>
          <w:tcPr>
            <w:tcW w:w="1357" w:type="pct"/>
            <w:shd w:val="clear" w:color="auto" w:fill="auto"/>
            <w:noWrap/>
            <w:vAlign w:val="center"/>
          </w:tcPr>
          <w:p w14:paraId="158FA3C0">
            <w:pPr>
              <w:pStyle w:val="159"/>
              <w:rPr>
                <w:rFonts w:hAnsi="宋体"/>
              </w:rPr>
            </w:pPr>
            <w:r>
              <w:rPr>
                <w:rFonts w:hint="eastAsia"/>
              </w:rPr>
              <w:t xml:space="preserve">334.323 </w:t>
            </w:r>
          </w:p>
        </w:tc>
        <w:tc>
          <w:tcPr>
            <w:tcW w:w="1357" w:type="pct"/>
            <w:shd w:val="clear" w:color="auto" w:fill="auto"/>
            <w:noWrap/>
            <w:vAlign w:val="center"/>
          </w:tcPr>
          <w:p w14:paraId="4289AE21">
            <w:pPr>
              <w:pStyle w:val="159"/>
              <w:rPr>
                <w:rFonts w:hAnsi="宋体"/>
              </w:rPr>
            </w:pPr>
            <w:r>
              <w:rPr>
                <w:rFonts w:hint="eastAsia"/>
              </w:rPr>
              <w:t xml:space="preserve">4.759 </w:t>
            </w:r>
          </w:p>
        </w:tc>
      </w:tr>
      <w:tr w14:paraId="2A7B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89D2779">
            <w:pPr>
              <w:pStyle w:val="159"/>
              <w:rPr>
                <w:rFonts w:hAnsi="宋体"/>
              </w:rPr>
            </w:pPr>
            <w:r>
              <w:rPr>
                <w:rFonts w:hint="eastAsia"/>
              </w:rPr>
              <w:t>3.3</w:t>
            </w:r>
          </w:p>
        </w:tc>
        <w:tc>
          <w:tcPr>
            <w:tcW w:w="1122" w:type="pct"/>
            <w:vAlign w:val="center"/>
          </w:tcPr>
          <w:p w14:paraId="2AB28A25">
            <w:pPr>
              <w:pStyle w:val="159"/>
              <w:rPr>
                <w:rFonts w:hAnsi="宋体"/>
              </w:rPr>
            </w:pPr>
            <w:r>
              <w:rPr>
                <w:rFonts w:hint="eastAsia"/>
              </w:rPr>
              <w:t>0</w:t>
            </w:r>
          </w:p>
        </w:tc>
        <w:tc>
          <w:tcPr>
            <w:tcW w:w="1357" w:type="pct"/>
            <w:shd w:val="clear" w:color="auto" w:fill="auto"/>
            <w:noWrap/>
            <w:vAlign w:val="center"/>
          </w:tcPr>
          <w:p w14:paraId="5000370E">
            <w:pPr>
              <w:pStyle w:val="159"/>
              <w:rPr>
                <w:rFonts w:hAnsi="宋体"/>
              </w:rPr>
            </w:pPr>
            <w:r>
              <w:rPr>
                <w:rFonts w:hint="eastAsia"/>
              </w:rPr>
              <w:t xml:space="preserve">356.111 </w:t>
            </w:r>
          </w:p>
        </w:tc>
        <w:tc>
          <w:tcPr>
            <w:tcW w:w="1357" w:type="pct"/>
            <w:shd w:val="clear" w:color="auto" w:fill="auto"/>
            <w:noWrap/>
            <w:vAlign w:val="center"/>
          </w:tcPr>
          <w:p w14:paraId="334CF5B8">
            <w:pPr>
              <w:pStyle w:val="159"/>
              <w:rPr>
                <w:rFonts w:hAnsi="宋体"/>
              </w:rPr>
            </w:pPr>
            <w:r>
              <w:rPr>
                <w:rFonts w:hint="eastAsia"/>
              </w:rPr>
              <w:t xml:space="preserve">4.606 </w:t>
            </w:r>
          </w:p>
        </w:tc>
      </w:tr>
      <w:tr w14:paraId="27EF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A515995">
            <w:pPr>
              <w:pStyle w:val="159"/>
              <w:rPr>
                <w:rFonts w:hAnsi="宋体"/>
              </w:rPr>
            </w:pPr>
            <w:r>
              <w:rPr>
                <w:rFonts w:hint="eastAsia"/>
              </w:rPr>
              <w:t>4.3</w:t>
            </w:r>
          </w:p>
        </w:tc>
        <w:tc>
          <w:tcPr>
            <w:tcW w:w="1122" w:type="pct"/>
            <w:vAlign w:val="center"/>
          </w:tcPr>
          <w:p w14:paraId="73739943">
            <w:pPr>
              <w:pStyle w:val="159"/>
              <w:rPr>
                <w:rFonts w:hAnsi="宋体"/>
              </w:rPr>
            </w:pPr>
            <w:r>
              <w:rPr>
                <w:rFonts w:hint="eastAsia"/>
              </w:rPr>
              <w:t>1</w:t>
            </w:r>
          </w:p>
        </w:tc>
        <w:tc>
          <w:tcPr>
            <w:tcW w:w="1357" w:type="pct"/>
            <w:shd w:val="clear" w:color="auto" w:fill="auto"/>
            <w:noWrap/>
            <w:vAlign w:val="center"/>
          </w:tcPr>
          <w:p w14:paraId="7DE69E50">
            <w:pPr>
              <w:pStyle w:val="159"/>
              <w:rPr>
                <w:rFonts w:hAnsi="宋体"/>
              </w:rPr>
            </w:pPr>
            <w:r>
              <w:rPr>
                <w:rFonts w:hint="eastAsia"/>
              </w:rPr>
              <w:t xml:space="preserve">376.828 </w:t>
            </w:r>
          </w:p>
        </w:tc>
        <w:tc>
          <w:tcPr>
            <w:tcW w:w="1357" w:type="pct"/>
            <w:shd w:val="clear" w:color="auto" w:fill="auto"/>
            <w:noWrap/>
            <w:vAlign w:val="center"/>
          </w:tcPr>
          <w:p w14:paraId="13546691">
            <w:pPr>
              <w:pStyle w:val="159"/>
              <w:rPr>
                <w:rFonts w:hAnsi="宋体"/>
              </w:rPr>
            </w:pPr>
            <w:r>
              <w:rPr>
                <w:rFonts w:hint="eastAsia"/>
              </w:rPr>
              <w:t xml:space="preserve">4.425 </w:t>
            </w:r>
          </w:p>
        </w:tc>
      </w:tr>
      <w:tr w14:paraId="6FCE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2838C453">
            <w:pPr>
              <w:pStyle w:val="159"/>
              <w:rPr>
                <w:rFonts w:hAnsi="宋体"/>
              </w:rPr>
            </w:pPr>
            <w:r>
              <w:rPr>
                <w:rFonts w:hint="eastAsia"/>
              </w:rPr>
              <w:t>5.3</w:t>
            </w:r>
          </w:p>
        </w:tc>
        <w:tc>
          <w:tcPr>
            <w:tcW w:w="1122" w:type="pct"/>
            <w:vAlign w:val="center"/>
          </w:tcPr>
          <w:p w14:paraId="0207F102">
            <w:pPr>
              <w:pStyle w:val="159"/>
              <w:rPr>
                <w:rFonts w:hAnsi="宋体"/>
              </w:rPr>
            </w:pPr>
            <w:r>
              <w:rPr>
                <w:rFonts w:hint="eastAsia"/>
              </w:rPr>
              <w:t>2</w:t>
            </w:r>
          </w:p>
        </w:tc>
        <w:tc>
          <w:tcPr>
            <w:tcW w:w="1357" w:type="pct"/>
            <w:shd w:val="clear" w:color="auto" w:fill="auto"/>
            <w:noWrap/>
            <w:vAlign w:val="center"/>
          </w:tcPr>
          <w:p w14:paraId="24D07EBE">
            <w:pPr>
              <w:pStyle w:val="159"/>
              <w:rPr>
                <w:rFonts w:hAnsi="宋体"/>
              </w:rPr>
            </w:pPr>
            <w:r>
              <w:rPr>
                <w:rFonts w:hint="eastAsia"/>
              </w:rPr>
              <w:t xml:space="preserve">393.167 </w:t>
            </w:r>
          </w:p>
        </w:tc>
        <w:tc>
          <w:tcPr>
            <w:tcW w:w="1357" w:type="pct"/>
            <w:shd w:val="clear" w:color="auto" w:fill="auto"/>
            <w:noWrap/>
            <w:vAlign w:val="center"/>
          </w:tcPr>
          <w:p w14:paraId="6D9B09A6">
            <w:pPr>
              <w:pStyle w:val="159"/>
              <w:rPr>
                <w:rFonts w:hAnsi="宋体"/>
              </w:rPr>
            </w:pPr>
            <w:r>
              <w:rPr>
                <w:rFonts w:hint="eastAsia"/>
              </w:rPr>
              <w:t xml:space="preserve">4.224 </w:t>
            </w:r>
          </w:p>
        </w:tc>
      </w:tr>
      <w:tr w14:paraId="47E5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20343AA">
            <w:pPr>
              <w:pStyle w:val="159"/>
              <w:rPr>
                <w:rFonts w:hAnsi="宋体"/>
              </w:rPr>
            </w:pPr>
            <w:r>
              <w:rPr>
                <w:rFonts w:hint="eastAsia"/>
              </w:rPr>
              <w:t>6.3</w:t>
            </w:r>
          </w:p>
        </w:tc>
        <w:tc>
          <w:tcPr>
            <w:tcW w:w="1122" w:type="pct"/>
            <w:vAlign w:val="center"/>
          </w:tcPr>
          <w:p w14:paraId="1EC08F0B">
            <w:pPr>
              <w:pStyle w:val="159"/>
              <w:rPr>
                <w:rFonts w:hAnsi="宋体"/>
              </w:rPr>
            </w:pPr>
            <w:r>
              <w:rPr>
                <w:rFonts w:hint="eastAsia"/>
              </w:rPr>
              <w:t>3</w:t>
            </w:r>
          </w:p>
        </w:tc>
        <w:tc>
          <w:tcPr>
            <w:tcW w:w="1357" w:type="pct"/>
            <w:shd w:val="clear" w:color="auto" w:fill="auto"/>
            <w:noWrap/>
            <w:vAlign w:val="center"/>
          </w:tcPr>
          <w:p w14:paraId="6247A6B3">
            <w:pPr>
              <w:pStyle w:val="159"/>
              <w:rPr>
                <w:rFonts w:hAnsi="宋体"/>
              </w:rPr>
            </w:pPr>
            <w:r>
              <w:rPr>
                <w:rFonts w:hint="eastAsia"/>
              </w:rPr>
              <w:t xml:space="preserve">403.276 </w:t>
            </w:r>
          </w:p>
        </w:tc>
        <w:tc>
          <w:tcPr>
            <w:tcW w:w="1357" w:type="pct"/>
            <w:shd w:val="clear" w:color="auto" w:fill="auto"/>
            <w:noWrap/>
            <w:vAlign w:val="center"/>
          </w:tcPr>
          <w:p w14:paraId="71D307FA">
            <w:pPr>
              <w:pStyle w:val="159"/>
              <w:rPr>
                <w:rFonts w:hAnsi="宋体"/>
              </w:rPr>
            </w:pPr>
            <w:r>
              <w:rPr>
                <w:rFonts w:hint="eastAsia"/>
              </w:rPr>
              <w:t xml:space="preserve">4.008 </w:t>
            </w:r>
          </w:p>
        </w:tc>
      </w:tr>
      <w:tr w14:paraId="1001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B75CE1E">
            <w:pPr>
              <w:pStyle w:val="159"/>
              <w:rPr>
                <w:rFonts w:hAnsi="宋体"/>
              </w:rPr>
            </w:pPr>
            <w:r>
              <w:rPr>
                <w:rFonts w:hint="eastAsia"/>
              </w:rPr>
              <w:t>7.3</w:t>
            </w:r>
          </w:p>
        </w:tc>
        <w:tc>
          <w:tcPr>
            <w:tcW w:w="1122" w:type="pct"/>
            <w:vAlign w:val="center"/>
          </w:tcPr>
          <w:p w14:paraId="149E01FF">
            <w:pPr>
              <w:pStyle w:val="159"/>
              <w:rPr>
                <w:rFonts w:hAnsi="宋体"/>
              </w:rPr>
            </w:pPr>
            <w:r>
              <w:rPr>
                <w:rFonts w:hint="eastAsia"/>
              </w:rPr>
              <w:t>4</w:t>
            </w:r>
          </w:p>
        </w:tc>
        <w:tc>
          <w:tcPr>
            <w:tcW w:w="1357" w:type="pct"/>
            <w:shd w:val="clear" w:color="auto" w:fill="auto"/>
            <w:noWrap/>
            <w:vAlign w:val="center"/>
          </w:tcPr>
          <w:p w14:paraId="5171454A">
            <w:pPr>
              <w:pStyle w:val="159"/>
              <w:rPr>
                <w:rFonts w:hAnsi="宋体"/>
              </w:rPr>
            </w:pPr>
            <w:r>
              <w:rPr>
                <w:rFonts w:hint="eastAsia"/>
              </w:rPr>
              <w:t xml:space="preserve">406.532 </w:t>
            </w:r>
          </w:p>
        </w:tc>
        <w:tc>
          <w:tcPr>
            <w:tcW w:w="1357" w:type="pct"/>
            <w:shd w:val="clear" w:color="auto" w:fill="auto"/>
            <w:noWrap/>
            <w:vAlign w:val="center"/>
          </w:tcPr>
          <w:p w14:paraId="017C1369">
            <w:pPr>
              <w:pStyle w:val="159"/>
              <w:rPr>
                <w:rFonts w:hAnsi="宋体"/>
              </w:rPr>
            </w:pPr>
            <w:r>
              <w:rPr>
                <w:rFonts w:hint="eastAsia"/>
              </w:rPr>
              <w:t xml:space="preserve">3.784 </w:t>
            </w:r>
          </w:p>
        </w:tc>
      </w:tr>
      <w:tr w14:paraId="50A9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C681A54">
            <w:pPr>
              <w:pStyle w:val="159"/>
              <w:rPr>
                <w:rFonts w:hAnsi="宋体"/>
              </w:rPr>
            </w:pPr>
            <w:r>
              <w:rPr>
                <w:rFonts w:hint="eastAsia"/>
              </w:rPr>
              <w:t>8.3</w:t>
            </w:r>
          </w:p>
        </w:tc>
        <w:tc>
          <w:tcPr>
            <w:tcW w:w="1122" w:type="pct"/>
            <w:vAlign w:val="center"/>
          </w:tcPr>
          <w:p w14:paraId="22AD42F9">
            <w:pPr>
              <w:pStyle w:val="159"/>
              <w:rPr>
                <w:rFonts w:hAnsi="宋体"/>
              </w:rPr>
            </w:pPr>
            <w:r>
              <w:rPr>
                <w:rFonts w:hint="eastAsia"/>
              </w:rPr>
              <w:t>5</w:t>
            </w:r>
          </w:p>
        </w:tc>
        <w:tc>
          <w:tcPr>
            <w:tcW w:w="1357" w:type="pct"/>
            <w:shd w:val="clear" w:color="auto" w:fill="auto"/>
            <w:noWrap/>
            <w:vAlign w:val="center"/>
          </w:tcPr>
          <w:p w14:paraId="60C6C791">
            <w:pPr>
              <w:pStyle w:val="159"/>
              <w:rPr>
                <w:rFonts w:hAnsi="宋体"/>
              </w:rPr>
            </w:pPr>
            <w:r>
              <w:rPr>
                <w:rFonts w:hint="eastAsia"/>
              </w:rPr>
              <w:t xml:space="preserve">403.206 </w:t>
            </w:r>
          </w:p>
        </w:tc>
        <w:tc>
          <w:tcPr>
            <w:tcW w:w="1357" w:type="pct"/>
            <w:shd w:val="clear" w:color="auto" w:fill="auto"/>
            <w:noWrap/>
            <w:vAlign w:val="center"/>
          </w:tcPr>
          <w:p w14:paraId="44E2ECF7">
            <w:pPr>
              <w:pStyle w:val="159"/>
              <w:rPr>
                <w:rFonts w:hAnsi="宋体"/>
              </w:rPr>
            </w:pPr>
            <w:r>
              <w:rPr>
                <w:rFonts w:hint="eastAsia"/>
              </w:rPr>
              <w:t xml:space="preserve">3.559 </w:t>
            </w:r>
          </w:p>
        </w:tc>
      </w:tr>
      <w:tr w14:paraId="7646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4D72ED4">
            <w:pPr>
              <w:pStyle w:val="159"/>
              <w:rPr>
                <w:rFonts w:hAnsi="宋体"/>
              </w:rPr>
            </w:pPr>
            <w:r>
              <w:rPr>
                <w:rFonts w:hint="eastAsia"/>
              </w:rPr>
              <w:t>9.3</w:t>
            </w:r>
          </w:p>
        </w:tc>
        <w:tc>
          <w:tcPr>
            <w:tcW w:w="1122" w:type="pct"/>
            <w:vAlign w:val="center"/>
          </w:tcPr>
          <w:p w14:paraId="4F6773C2">
            <w:pPr>
              <w:pStyle w:val="159"/>
              <w:rPr>
                <w:rFonts w:hAnsi="宋体"/>
              </w:rPr>
            </w:pPr>
            <w:r>
              <w:rPr>
                <w:rFonts w:hint="eastAsia"/>
              </w:rPr>
              <w:t>6</w:t>
            </w:r>
          </w:p>
        </w:tc>
        <w:tc>
          <w:tcPr>
            <w:tcW w:w="1357" w:type="pct"/>
            <w:shd w:val="clear" w:color="auto" w:fill="auto"/>
            <w:noWrap/>
            <w:vAlign w:val="center"/>
          </w:tcPr>
          <w:p w14:paraId="1E2C2A86">
            <w:pPr>
              <w:pStyle w:val="159"/>
              <w:rPr>
                <w:rFonts w:hAnsi="宋体"/>
              </w:rPr>
            </w:pPr>
            <w:r>
              <w:rPr>
                <w:rFonts w:hint="eastAsia"/>
              </w:rPr>
              <w:t xml:space="preserve">394.134 </w:t>
            </w:r>
          </w:p>
        </w:tc>
        <w:tc>
          <w:tcPr>
            <w:tcW w:w="1357" w:type="pct"/>
            <w:shd w:val="clear" w:color="auto" w:fill="auto"/>
            <w:noWrap/>
            <w:vAlign w:val="center"/>
          </w:tcPr>
          <w:p w14:paraId="1F68104D">
            <w:pPr>
              <w:pStyle w:val="159"/>
              <w:rPr>
                <w:rFonts w:hAnsi="宋体"/>
              </w:rPr>
            </w:pPr>
            <w:r>
              <w:rPr>
                <w:rFonts w:hint="eastAsia"/>
              </w:rPr>
              <w:t xml:space="preserve">3.335 </w:t>
            </w:r>
          </w:p>
        </w:tc>
      </w:tr>
      <w:tr w14:paraId="065D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C69F950">
            <w:pPr>
              <w:pStyle w:val="159"/>
              <w:rPr>
                <w:rFonts w:hAnsi="宋体"/>
              </w:rPr>
            </w:pPr>
            <w:r>
              <w:rPr>
                <w:rFonts w:hint="eastAsia"/>
              </w:rPr>
              <w:t>10.3</w:t>
            </w:r>
          </w:p>
        </w:tc>
        <w:tc>
          <w:tcPr>
            <w:tcW w:w="1122" w:type="pct"/>
            <w:vAlign w:val="center"/>
          </w:tcPr>
          <w:p w14:paraId="35B5D088">
            <w:pPr>
              <w:pStyle w:val="159"/>
              <w:rPr>
                <w:rFonts w:hAnsi="宋体"/>
              </w:rPr>
            </w:pPr>
            <w:r>
              <w:rPr>
                <w:rFonts w:hint="eastAsia"/>
              </w:rPr>
              <w:t>7</w:t>
            </w:r>
          </w:p>
        </w:tc>
        <w:tc>
          <w:tcPr>
            <w:tcW w:w="1357" w:type="pct"/>
            <w:shd w:val="clear" w:color="auto" w:fill="auto"/>
            <w:noWrap/>
            <w:vAlign w:val="center"/>
          </w:tcPr>
          <w:p w14:paraId="088E5F16">
            <w:pPr>
              <w:pStyle w:val="159"/>
              <w:rPr>
                <w:rFonts w:hAnsi="宋体"/>
              </w:rPr>
            </w:pPr>
            <w:r>
              <w:rPr>
                <w:rFonts w:hint="eastAsia"/>
              </w:rPr>
              <w:t xml:space="preserve">380.441 </w:t>
            </w:r>
          </w:p>
        </w:tc>
        <w:tc>
          <w:tcPr>
            <w:tcW w:w="1357" w:type="pct"/>
            <w:shd w:val="clear" w:color="auto" w:fill="auto"/>
            <w:noWrap/>
            <w:vAlign w:val="center"/>
          </w:tcPr>
          <w:p w14:paraId="58E28D8E">
            <w:pPr>
              <w:pStyle w:val="159"/>
              <w:rPr>
                <w:rFonts w:hAnsi="宋体"/>
              </w:rPr>
            </w:pPr>
            <w:r>
              <w:rPr>
                <w:rFonts w:hint="eastAsia"/>
              </w:rPr>
              <w:t xml:space="preserve">3.118 </w:t>
            </w:r>
          </w:p>
        </w:tc>
      </w:tr>
      <w:tr w14:paraId="7F8D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A3CCCE9">
            <w:pPr>
              <w:pStyle w:val="159"/>
              <w:rPr>
                <w:rFonts w:hAnsi="宋体"/>
              </w:rPr>
            </w:pPr>
            <w:r>
              <w:rPr>
                <w:rFonts w:hint="eastAsia"/>
              </w:rPr>
              <w:t>11.3</w:t>
            </w:r>
          </w:p>
        </w:tc>
        <w:tc>
          <w:tcPr>
            <w:tcW w:w="1122" w:type="pct"/>
            <w:vAlign w:val="center"/>
          </w:tcPr>
          <w:p w14:paraId="7B018424">
            <w:pPr>
              <w:pStyle w:val="159"/>
              <w:rPr>
                <w:rFonts w:hAnsi="宋体"/>
              </w:rPr>
            </w:pPr>
            <w:r>
              <w:rPr>
                <w:rFonts w:hint="eastAsia"/>
              </w:rPr>
              <w:t>8</w:t>
            </w:r>
          </w:p>
        </w:tc>
        <w:tc>
          <w:tcPr>
            <w:tcW w:w="1357" w:type="pct"/>
            <w:shd w:val="clear" w:color="auto" w:fill="auto"/>
            <w:noWrap/>
            <w:vAlign w:val="center"/>
          </w:tcPr>
          <w:p w14:paraId="198DE5F5">
            <w:pPr>
              <w:pStyle w:val="159"/>
              <w:rPr>
                <w:rFonts w:hAnsi="宋体"/>
              </w:rPr>
            </w:pPr>
            <w:r>
              <w:rPr>
                <w:rFonts w:hint="eastAsia"/>
              </w:rPr>
              <w:t xml:space="preserve">363.327 </w:t>
            </w:r>
          </w:p>
        </w:tc>
        <w:tc>
          <w:tcPr>
            <w:tcW w:w="1357" w:type="pct"/>
            <w:shd w:val="clear" w:color="auto" w:fill="auto"/>
            <w:noWrap/>
            <w:vAlign w:val="center"/>
          </w:tcPr>
          <w:p w14:paraId="73BB9D46">
            <w:pPr>
              <w:pStyle w:val="159"/>
              <w:rPr>
                <w:rFonts w:hAnsi="宋体"/>
              </w:rPr>
            </w:pPr>
            <w:r>
              <w:rPr>
                <w:rFonts w:hint="eastAsia"/>
              </w:rPr>
              <w:t xml:space="preserve">2.910 </w:t>
            </w:r>
          </w:p>
        </w:tc>
      </w:tr>
      <w:tr w14:paraId="6F4B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44A5CF9">
            <w:pPr>
              <w:pStyle w:val="159"/>
              <w:rPr>
                <w:rFonts w:hAnsi="宋体"/>
              </w:rPr>
            </w:pPr>
            <w:r>
              <w:rPr>
                <w:rFonts w:hint="eastAsia"/>
              </w:rPr>
              <w:t>12.3</w:t>
            </w:r>
          </w:p>
        </w:tc>
        <w:tc>
          <w:tcPr>
            <w:tcW w:w="1122" w:type="pct"/>
            <w:vAlign w:val="center"/>
          </w:tcPr>
          <w:p w14:paraId="5B3227D9">
            <w:pPr>
              <w:pStyle w:val="159"/>
              <w:rPr>
                <w:rFonts w:hAnsi="宋体"/>
              </w:rPr>
            </w:pPr>
            <w:r>
              <w:rPr>
                <w:rFonts w:hint="eastAsia"/>
              </w:rPr>
              <w:t>9</w:t>
            </w:r>
          </w:p>
        </w:tc>
        <w:tc>
          <w:tcPr>
            <w:tcW w:w="1357" w:type="pct"/>
            <w:shd w:val="clear" w:color="auto" w:fill="auto"/>
            <w:noWrap/>
            <w:vAlign w:val="center"/>
          </w:tcPr>
          <w:p w14:paraId="63DDA1AF">
            <w:pPr>
              <w:pStyle w:val="159"/>
              <w:rPr>
                <w:rFonts w:hAnsi="宋体"/>
              </w:rPr>
            </w:pPr>
            <w:r>
              <w:rPr>
                <w:rFonts w:hint="eastAsia"/>
              </w:rPr>
              <w:t xml:space="preserve">343.929 </w:t>
            </w:r>
          </w:p>
        </w:tc>
        <w:tc>
          <w:tcPr>
            <w:tcW w:w="1357" w:type="pct"/>
            <w:shd w:val="clear" w:color="auto" w:fill="auto"/>
            <w:noWrap/>
            <w:vAlign w:val="center"/>
          </w:tcPr>
          <w:p w14:paraId="48909FB3">
            <w:pPr>
              <w:pStyle w:val="159"/>
              <w:rPr>
                <w:rFonts w:hAnsi="宋体"/>
              </w:rPr>
            </w:pPr>
            <w:r>
              <w:rPr>
                <w:rFonts w:hint="eastAsia"/>
              </w:rPr>
              <w:t xml:space="preserve">2.712 </w:t>
            </w:r>
          </w:p>
        </w:tc>
      </w:tr>
      <w:tr w14:paraId="670F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3B2693CC">
            <w:pPr>
              <w:pStyle w:val="159"/>
              <w:rPr>
                <w:rFonts w:hAnsi="宋体"/>
              </w:rPr>
            </w:pPr>
            <w:r>
              <w:rPr>
                <w:rFonts w:hint="eastAsia"/>
              </w:rPr>
              <w:t>13.3</w:t>
            </w:r>
          </w:p>
        </w:tc>
        <w:tc>
          <w:tcPr>
            <w:tcW w:w="1122" w:type="pct"/>
            <w:vAlign w:val="center"/>
          </w:tcPr>
          <w:p w14:paraId="747E9216">
            <w:pPr>
              <w:pStyle w:val="159"/>
              <w:rPr>
                <w:rFonts w:hAnsi="宋体"/>
              </w:rPr>
            </w:pPr>
            <w:r>
              <w:rPr>
                <w:rFonts w:hint="eastAsia"/>
              </w:rPr>
              <w:t>10</w:t>
            </w:r>
          </w:p>
        </w:tc>
        <w:tc>
          <w:tcPr>
            <w:tcW w:w="1357" w:type="pct"/>
            <w:shd w:val="clear" w:color="auto" w:fill="auto"/>
            <w:noWrap/>
            <w:vAlign w:val="center"/>
          </w:tcPr>
          <w:p w14:paraId="5200C71C">
            <w:pPr>
              <w:pStyle w:val="159"/>
              <w:rPr>
                <w:rFonts w:hAnsi="宋体"/>
              </w:rPr>
            </w:pPr>
            <w:r>
              <w:rPr>
                <w:rFonts w:hint="eastAsia"/>
              </w:rPr>
              <w:t xml:space="preserve">323.238 </w:t>
            </w:r>
          </w:p>
        </w:tc>
        <w:tc>
          <w:tcPr>
            <w:tcW w:w="1357" w:type="pct"/>
            <w:shd w:val="clear" w:color="auto" w:fill="auto"/>
            <w:noWrap/>
            <w:vAlign w:val="center"/>
          </w:tcPr>
          <w:p w14:paraId="02E35A63">
            <w:pPr>
              <w:pStyle w:val="159"/>
              <w:rPr>
                <w:rFonts w:hAnsi="宋体"/>
              </w:rPr>
            </w:pPr>
            <w:r>
              <w:rPr>
                <w:rFonts w:hint="eastAsia"/>
              </w:rPr>
              <w:t xml:space="preserve">2.526 </w:t>
            </w:r>
          </w:p>
        </w:tc>
      </w:tr>
      <w:tr w14:paraId="5D2E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E2EB250">
            <w:pPr>
              <w:pStyle w:val="159"/>
              <w:rPr>
                <w:rFonts w:hAnsi="宋体"/>
              </w:rPr>
            </w:pPr>
            <w:r>
              <w:rPr>
                <w:rFonts w:hint="eastAsia"/>
              </w:rPr>
              <w:t>14.3</w:t>
            </w:r>
          </w:p>
        </w:tc>
        <w:tc>
          <w:tcPr>
            <w:tcW w:w="1122" w:type="pct"/>
            <w:vAlign w:val="center"/>
          </w:tcPr>
          <w:p w14:paraId="33B19FA2">
            <w:pPr>
              <w:pStyle w:val="159"/>
              <w:rPr>
                <w:rFonts w:hAnsi="宋体"/>
              </w:rPr>
            </w:pPr>
            <w:r>
              <w:rPr>
                <w:rFonts w:hint="eastAsia"/>
              </w:rPr>
              <w:t>11</w:t>
            </w:r>
          </w:p>
        </w:tc>
        <w:tc>
          <w:tcPr>
            <w:tcW w:w="1357" w:type="pct"/>
            <w:shd w:val="clear" w:color="auto" w:fill="auto"/>
            <w:noWrap/>
            <w:vAlign w:val="center"/>
          </w:tcPr>
          <w:p w14:paraId="707B76C9">
            <w:pPr>
              <w:pStyle w:val="159"/>
              <w:rPr>
                <w:rFonts w:hAnsi="宋体"/>
              </w:rPr>
            </w:pPr>
            <w:r>
              <w:rPr>
                <w:rFonts w:hint="eastAsia"/>
              </w:rPr>
              <w:t xml:space="preserve">302.063 </w:t>
            </w:r>
          </w:p>
        </w:tc>
        <w:tc>
          <w:tcPr>
            <w:tcW w:w="1357" w:type="pct"/>
            <w:shd w:val="clear" w:color="auto" w:fill="auto"/>
            <w:noWrap/>
            <w:vAlign w:val="center"/>
          </w:tcPr>
          <w:p w14:paraId="4B88E10C">
            <w:pPr>
              <w:pStyle w:val="159"/>
              <w:rPr>
                <w:rFonts w:hAnsi="宋体"/>
              </w:rPr>
            </w:pPr>
            <w:r>
              <w:rPr>
                <w:rFonts w:hint="eastAsia"/>
              </w:rPr>
              <w:t xml:space="preserve">2.353 </w:t>
            </w:r>
          </w:p>
        </w:tc>
      </w:tr>
      <w:tr w14:paraId="2B50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A74CC9C">
            <w:pPr>
              <w:pStyle w:val="159"/>
              <w:rPr>
                <w:rFonts w:hAnsi="宋体"/>
              </w:rPr>
            </w:pPr>
            <w:r>
              <w:rPr>
                <w:rFonts w:hint="eastAsia"/>
              </w:rPr>
              <w:t>15.3</w:t>
            </w:r>
          </w:p>
        </w:tc>
        <w:tc>
          <w:tcPr>
            <w:tcW w:w="1122" w:type="pct"/>
            <w:vAlign w:val="center"/>
          </w:tcPr>
          <w:p w14:paraId="50F294DD">
            <w:pPr>
              <w:pStyle w:val="159"/>
              <w:rPr>
                <w:rFonts w:hAnsi="宋体"/>
              </w:rPr>
            </w:pPr>
            <w:r>
              <w:rPr>
                <w:rFonts w:hint="eastAsia"/>
              </w:rPr>
              <w:t>12</w:t>
            </w:r>
          </w:p>
        </w:tc>
        <w:tc>
          <w:tcPr>
            <w:tcW w:w="1357" w:type="pct"/>
            <w:shd w:val="clear" w:color="auto" w:fill="auto"/>
            <w:noWrap/>
            <w:vAlign w:val="center"/>
          </w:tcPr>
          <w:p w14:paraId="4DDA535D">
            <w:pPr>
              <w:pStyle w:val="159"/>
              <w:rPr>
                <w:rFonts w:hAnsi="宋体"/>
              </w:rPr>
            </w:pPr>
            <w:r>
              <w:rPr>
                <w:rFonts w:hint="eastAsia"/>
              </w:rPr>
              <w:t xml:space="preserve">281.031 </w:t>
            </w:r>
          </w:p>
        </w:tc>
        <w:tc>
          <w:tcPr>
            <w:tcW w:w="1357" w:type="pct"/>
            <w:shd w:val="clear" w:color="auto" w:fill="auto"/>
            <w:noWrap/>
            <w:vAlign w:val="center"/>
          </w:tcPr>
          <w:p w14:paraId="4BBCF6B1">
            <w:pPr>
              <w:pStyle w:val="159"/>
              <w:rPr>
                <w:rFonts w:hAnsi="宋体"/>
              </w:rPr>
            </w:pPr>
            <w:r>
              <w:rPr>
                <w:rFonts w:hint="eastAsia"/>
              </w:rPr>
              <w:t xml:space="preserve">2.192 </w:t>
            </w:r>
          </w:p>
        </w:tc>
      </w:tr>
      <w:tr w14:paraId="5117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67B1BA4">
            <w:pPr>
              <w:pStyle w:val="159"/>
              <w:rPr>
                <w:rFonts w:hAnsi="宋体"/>
              </w:rPr>
            </w:pPr>
            <w:r>
              <w:rPr>
                <w:rFonts w:hint="eastAsia"/>
              </w:rPr>
              <w:t>16.3</w:t>
            </w:r>
          </w:p>
        </w:tc>
        <w:tc>
          <w:tcPr>
            <w:tcW w:w="1122" w:type="pct"/>
            <w:vAlign w:val="center"/>
          </w:tcPr>
          <w:p w14:paraId="61F82AA5">
            <w:pPr>
              <w:pStyle w:val="159"/>
              <w:rPr>
                <w:rFonts w:hAnsi="宋体"/>
              </w:rPr>
            </w:pPr>
            <w:r>
              <w:rPr>
                <w:rFonts w:hint="eastAsia"/>
              </w:rPr>
              <w:t>13</w:t>
            </w:r>
          </w:p>
        </w:tc>
        <w:tc>
          <w:tcPr>
            <w:tcW w:w="1357" w:type="pct"/>
            <w:shd w:val="clear" w:color="auto" w:fill="auto"/>
            <w:noWrap/>
            <w:vAlign w:val="center"/>
          </w:tcPr>
          <w:p w14:paraId="4BE04F26">
            <w:pPr>
              <w:pStyle w:val="159"/>
              <w:rPr>
                <w:rFonts w:hAnsi="宋体"/>
              </w:rPr>
            </w:pPr>
            <w:r>
              <w:rPr>
                <w:rFonts w:hint="eastAsia"/>
              </w:rPr>
              <w:t xml:space="preserve">260.597 </w:t>
            </w:r>
          </w:p>
        </w:tc>
        <w:tc>
          <w:tcPr>
            <w:tcW w:w="1357" w:type="pct"/>
            <w:shd w:val="clear" w:color="auto" w:fill="auto"/>
            <w:noWrap/>
            <w:vAlign w:val="center"/>
          </w:tcPr>
          <w:p w14:paraId="77494635">
            <w:pPr>
              <w:pStyle w:val="159"/>
              <w:rPr>
                <w:rFonts w:hAnsi="宋体"/>
              </w:rPr>
            </w:pPr>
            <w:r>
              <w:rPr>
                <w:rFonts w:hint="eastAsia"/>
              </w:rPr>
              <w:t xml:space="preserve">2.042 </w:t>
            </w:r>
          </w:p>
        </w:tc>
      </w:tr>
      <w:tr w14:paraId="22F6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9795476">
            <w:pPr>
              <w:pStyle w:val="159"/>
              <w:rPr>
                <w:rFonts w:hAnsi="宋体"/>
              </w:rPr>
            </w:pPr>
            <w:r>
              <w:rPr>
                <w:rFonts w:hint="eastAsia"/>
              </w:rPr>
              <w:t>17.3</w:t>
            </w:r>
          </w:p>
        </w:tc>
        <w:tc>
          <w:tcPr>
            <w:tcW w:w="1122" w:type="pct"/>
            <w:vAlign w:val="center"/>
          </w:tcPr>
          <w:p w14:paraId="07892849">
            <w:pPr>
              <w:pStyle w:val="159"/>
              <w:rPr>
                <w:rFonts w:hAnsi="宋体"/>
              </w:rPr>
            </w:pPr>
            <w:r>
              <w:rPr>
                <w:rFonts w:hint="eastAsia"/>
              </w:rPr>
              <w:t>14</w:t>
            </w:r>
          </w:p>
        </w:tc>
        <w:tc>
          <w:tcPr>
            <w:tcW w:w="1357" w:type="pct"/>
            <w:shd w:val="clear" w:color="auto" w:fill="auto"/>
            <w:noWrap/>
            <w:vAlign w:val="center"/>
          </w:tcPr>
          <w:p w14:paraId="0EA9E12D">
            <w:pPr>
              <w:pStyle w:val="159"/>
              <w:rPr>
                <w:rFonts w:hAnsi="宋体"/>
              </w:rPr>
            </w:pPr>
            <w:r>
              <w:rPr>
                <w:rFonts w:hint="eastAsia"/>
              </w:rPr>
              <w:t xml:space="preserve">241.075 </w:t>
            </w:r>
          </w:p>
        </w:tc>
        <w:tc>
          <w:tcPr>
            <w:tcW w:w="1357" w:type="pct"/>
            <w:shd w:val="clear" w:color="auto" w:fill="auto"/>
            <w:noWrap/>
            <w:vAlign w:val="center"/>
          </w:tcPr>
          <w:p w14:paraId="26303891">
            <w:pPr>
              <w:pStyle w:val="159"/>
              <w:rPr>
                <w:rFonts w:hAnsi="宋体"/>
              </w:rPr>
            </w:pPr>
            <w:r>
              <w:rPr>
                <w:rFonts w:hint="eastAsia"/>
              </w:rPr>
              <w:t xml:space="preserve">1.905 </w:t>
            </w:r>
          </w:p>
        </w:tc>
      </w:tr>
      <w:tr w14:paraId="44B7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269DD53">
            <w:pPr>
              <w:pStyle w:val="159"/>
              <w:rPr>
                <w:rFonts w:hAnsi="宋体"/>
              </w:rPr>
            </w:pPr>
            <w:r>
              <w:rPr>
                <w:rFonts w:hint="eastAsia"/>
              </w:rPr>
              <w:t>18.3</w:t>
            </w:r>
          </w:p>
        </w:tc>
        <w:tc>
          <w:tcPr>
            <w:tcW w:w="1122" w:type="pct"/>
            <w:vAlign w:val="center"/>
          </w:tcPr>
          <w:p w14:paraId="797E8F74">
            <w:pPr>
              <w:pStyle w:val="159"/>
              <w:rPr>
                <w:rFonts w:hAnsi="宋体"/>
              </w:rPr>
            </w:pPr>
            <w:r>
              <w:rPr>
                <w:rFonts w:hint="eastAsia"/>
              </w:rPr>
              <w:t>15</w:t>
            </w:r>
          </w:p>
        </w:tc>
        <w:tc>
          <w:tcPr>
            <w:tcW w:w="1357" w:type="pct"/>
            <w:shd w:val="clear" w:color="auto" w:fill="auto"/>
            <w:noWrap/>
            <w:vAlign w:val="center"/>
          </w:tcPr>
          <w:p w14:paraId="625CB814">
            <w:pPr>
              <w:pStyle w:val="159"/>
              <w:rPr>
                <w:rFonts w:hAnsi="宋体"/>
              </w:rPr>
            </w:pPr>
            <w:r>
              <w:rPr>
                <w:rFonts w:hint="eastAsia"/>
              </w:rPr>
              <w:t xml:space="preserve">222.660 </w:t>
            </w:r>
          </w:p>
        </w:tc>
        <w:tc>
          <w:tcPr>
            <w:tcW w:w="1357" w:type="pct"/>
            <w:shd w:val="clear" w:color="auto" w:fill="auto"/>
            <w:noWrap/>
            <w:vAlign w:val="center"/>
          </w:tcPr>
          <w:p w14:paraId="1A0ECC15">
            <w:pPr>
              <w:pStyle w:val="159"/>
              <w:rPr>
                <w:rFonts w:hAnsi="宋体"/>
              </w:rPr>
            </w:pPr>
            <w:r>
              <w:rPr>
                <w:rFonts w:hint="eastAsia"/>
              </w:rPr>
              <w:t xml:space="preserve">1.778 </w:t>
            </w:r>
          </w:p>
        </w:tc>
      </w:tr>
      <w:tr w14:paraId="522D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14872B6">
            <w:pPr>
              <w:pStyle w:val="159"/>
              <w:rPr>
                <w:rFonts w:hAnsi="宋体"/>
              </w:rPr>
            </w:pPr>
            <w:r>
              <w:rPr>
                <w:rFonts w:hint="eastAsia"/>
              </w:rPr>
              <w:t>19.3</w:t>
            </w:r>
          </w:p>
        </w:tc>
        <w:tc>
          <w:tcPr>
            <w:tcW w:w="1122" w:type="pct"/>
            <w:vAlign w:val="center"/>
          </w:tcPr>
          <w:p w14:paraId="7B3992F4">
            <w:pPr>
              <w:pStyle w:val="159"/>
              <w:rPr>
                <w:rFonts w:hAnsi="宋体"/>
              </w:rPr>
            </w:pPr>
            <w:r>
              <w:rPr>
                <w:rFonts w:hint="eastAsia"/>
              </w:rPr>
              <w:t>16</w:t>
            </w:r>
          </w:p>
        </w:tc>
        <w:tc>
          <w:tcPr>
            <w:tcW w:w="1357" w:type="pct"/>
            <w:shd w:val="clear" w:color="auto" w:fill="auto"/>
            <w:noWrap/>
            <w:vAlign w:val="center"/>
          </w:tcPr>
          <w:p w14:paraId="33659220">
            <w:pPr>
              <w:pStyle w:val="159"/>
              <w:rPr>
                <w:rFonts w:hAnsi="宋体"/>
              </w:rPr>
            </w:pPr>
            <w:r>
              <w:rPr>
                <w:rFonts w:hint="eastAsia"/>
              </w:rPr>
              <w:t xml:space="preserve">205.460 </w:t>
            </w:r>
          </w:p>
        </w:tc>
        <w:tc>
          <w:tcPr>
            <w:tcW w:w="1357" w:type="pct"/>
            <w:shd w:val="clear" w:color="auto" w:fill="auto"/>
            <w:noWrap/>
            <w:vAlign w:val="center"/>
          </w:tcPr>
          <w:p w14:paraId="5AA39F94">
            <w:pPr>
              <w:pStyle w:val="159"/>
              <w:rPr>
                <w:rFonts w:hAnsi="宋体"/>
              </w:rPr>
            </w:pPr>
            <w:r>
              <w:rPr>
                <w:rFonts w:hint="eastAsia"/>
              </w:rPr>
              <w:t xml:space="preserve">1.662 </w:t>
            </w:r>
          </w:p>
        </w:tc>
      </w:tr>
      <w:tr w14:paraId="00F3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35D7B7D">
            <w:pPr>
              <w:pStyle w:val="159"/>
              <w:rPr>
                <w:rFonts w:hAnsi="宋体"/>
              </w:rPr>
            </w:pPr>
            <w:r>
              <w:rPr>
                <w:rFonts w:hint="eastAsia"/>
              </w:rPr>
              <w:t>20.3</w:t>
            </w:r>
          </w:p>
        </w:tc>
        <w:tc>
          <w:tcPr>
            <w:tcW w:w="1122" w:type="pct"/>
            <w:vAlign w:val="center"/>
          </w:tcPr>
          <w:p w14:paraId="054750E8">
            <w:pPr>
              <w:pStyle w:val="159"/>
              <w:rPr>
                <w:rFonts w:hAnsi="宋体"/>
              </w:rPr>
            </w:pPr>
            <w:r>
              <w:rPr>
                <w:rFonts w:hint="eastAsia"/>
              </w:rPr>
              <w:t>17</w:t>
            </w:r>
          </w:p>
        </w:tc>
        <w:tc>
          <w:tcPr>
            <w:tcW w:w="1357" w:type="pct"/>
            <w:shd w:val="clear" w:color="auto" w:fill="auto"/>
            <w:noWrap/>
            <w:vAlign w:val="center"/>
          </w:tcPr>
          <w:p w14:paraId="745735EF">
            <w:pPr>
              <w:pStyle w:val="159"/>
              <w:rPr>
                <w:rFonts w:hAnsi="宋体"/>
              </w:rPr>
            </w:pPr>
            <w:r>
              <w:rPr>
                <w:rFonts w:hint="eastAsia"/>
              </w:rPr>
              <w:t xml:space="preserve">189.512 </w:t>
            </w:r>
          </w:p>
        </w:tc>
        <w:tc>
          <w:tcPr>
            <w:tcW w:w="1357" w:type="pct"/>
            <w:shd w:val="clear" w:color="auto" w:fill="auto"/>
            <w:noWrap/>
            <w:vAlign w:val="center"/>
          </w:tcPr>
          <w:p w14:paraId="50BD159F">
            <w:pPr>
              <w:pStyle w:val="159"/>
              <w:rPr>
                <w:rFonts w:hAnsi="宋体"/>
              </w:rPr>
            </w:pPr>
            <w:r>
              <w:rPr>
                <w:rFonts w:hint="eastAsia"/>
              </w:rPr>
              <w:t xml:space="preserve">1.554 </w:t>
            </w:r>
          </w:p>
        </w:tc>
      </w:tr>
      <w:tr w14:paraId="18EB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40699FF">
            <w:pPr>
              <w:pStyle w:val="159"/>
              <w:rPr>
                <w:rFonts w:hAnsi="宋体"/>
              </w:rPr>
            </w:pPr>
            <w:r>
              <w:rPr>
                <w:rFonts w:hint="eastAsia"/>
              </w:rPr>
              <w:t>21.3</w:t>
            </w:r>
          </w:p>
        </w:tc>
        <w:tc>
          <w:tcPr>
            <w:tcW w:w="1122" w:type="pct"/>
            <w:vAlign w:val="center"/>
          </w:tcPr>
          <w:p w14:paraId="04F44E90">
            <w:pPr>
              <w:pStyle w:val="159"/>
              <w:rPr>
                <w:rFonts w:hAnsi="宋体"/>
              </w:rPr>
            </w:pPr>
            <w:r>
              <w:rPr>
                <w:rFonts w:hint="eastAsia"/>
              </w:rPr>
              <w:t>18</w:t>
            </w:r>
          </w:p>
        </w:tc>
        <w:tc>
          <w:tcPr>
            <w:tcW w:w="1357" w:type="pct"/>
            <w:shd w:val="clear" w:color="auto" w:fill="auto"/>
            <w:noWrap/>
            <w:vAlign w:val="center"/>
          </w:tcPr>
          <w:p w14:paraId="5C4E815C">
            <w:pPr>
              <w:pStyle w:val="159"/>
              <w:rPr>
                <w:rFonts w:hAnsi="宋体"/>
              </w:rPr>
            </w:pPr>
            <w:r>
              <w:rPr>
                <w:rFonts w:hint="eastAsia"/>
              </w:rPr>
              <w:t xml:space="preserve">174.810 </w:t>
            </w:r>
          </w:p>
        </w:tc>
        <w:tc>
          <w:tcPr>
            <w:tcW w:w="1357" w:type="pct"/>
            <w:shd w:val="clear" w:color="auto" w:fill="auto"/>
            <w:noWrap/>
            <w:vAlign w:val="center"/>
          </w:tcPr>
          <w:p w14:paraId="4AC594D4">
            <w:pPr>
              <w:pStyle w:val="159"/>
              <w:rPr>
                <w:rFonts w:hAnsi="宋体"/>
              </w:rPr>
            </w:pPr>
            <w:r>
              <w:rPr>
                <w:rFonts w:hint="eastAsia"/>
              </w:rPr>
              <w:t xml:space="preserve">1.456 </w:t>
            </w:r>
          </w:p>
        </w:tc>
      </w:tr>
      <w:tr w14:paraId="6F45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A13D389">
            <w:pPr>
              <w:pStyle w:val="159"/>
              <w:rPr>
                <w:rFonts w:hAnsi="宋体"/>
              </w:rPr>
            </w:pPr>
            <w:r>
              <w:rPr>
                <w:rFonts w:hint="eastAsia"/>
              </w:rPr>
              <w:t>22.3</w:t>
            </w:r>
          </w:p>
        </w:tc>
        <w:tc>
          <w:tcPr>
            <w:tcW w:w="1122" w:type="pct"/>
            <w:vAlign w:val="center"/>
          </w:tcPr>
          <w:p w14:paraId="0017657E">
            <w:pPr>
              <w:pStyle w:val="159"/>
              <w:rPr>
                <w:rFonts w:hAnsi="宋体"/>
              </w:rPr>
            </w:pPr>
            <w:r>
              <w:rPr>
                <w:rFonts w:hint="eastAsia"/>
              </w:rPr>
              <w:t>19</w:t>
            </w:r>
          </w:p>
        </w:tc>
        <w:tc>
          <w:tcPr>
            <w:tcW w:w="1357" w:type="pct"/>
            <w:shd w:val="clear" w:color="auto" w:fill="auto"/>
            <w:noWrap/>
            <w:vAlign w:val="center"/>
          </w:tcPr>
          <w:p w14:paraId="05A6DFA0">
            <w:pPr>
              <w:pStyle w:val="159"/>
              <w:rPr>
                <w:rFonts w:hAnsi="宋体"/>
              </w:rPr>
            </w:pPr>
            <w:r>
              <w:rPr>
                <w:rFonts w:hint="eastAsia"/>
              </w:rPr>
              <w:t xml:space="preserve">161.314 </w:t>
            </w:r>
          </w:p>
        </w:tc>
        <w:tc>
          <w:tcPr>
            <w:tcW w:w="1357" w:type="pct"/>
            <w:shd w:val="clear" w:color="auto" w:fill="auto"/>
            <w:noWrap/>
            <w:vAlign w:val="center"/>
          </w:tcPr>
          <w:p w14:paraId="6DDDC115">
            <w:pPr>
              <w:pStyle w:val="159"/>
              <w:rPr>
                <w:rFonts w:hAnsi="宋体"/>
              </w:rPr>
            </w:pPr>
            <w:r>
              <w:rPr>
                <w:rFonts w:hint="eastAsia"/>
              </w:rPr>
              <w:t xml:space="preserve">1.365 </w:t>
            </w:r>
          </w:p>
        </w:tc>
      </w:tr>
      <w:tr w14:paraId="30B6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DAEE7E2">
            <w:pPr>
              <w:pStyle w:val="159"/>
              <w:rPr>
                <w:rFonts w:hAnsi="宋体"/>
              </w:rPr>
            </w:pPr>
            <w:r>
              <w:rPr>
                <w:rFonts w:hint="eastAsia"/>
              </w:rPr>
              <w:t>23.3</w:t>
            </w:r>
          </w:p>
        </w:tc>
        <w:tc>
          <w:tcPr>
            <w:tcW w:w="1122" w:type="pct"/>
            <w:vAlign w:val="center"/>
          </w:tcPr>
          <w:p w14:paraId="55BCF808">
            <w:pPr>
              <w:pStyle w:val="159"/>
              <w:rPr>
                <w:rFonts w:hAnsi="宋体"/>
              </w:rPr>
            </w:pPr>
            <w:r>
              <w:rPr>
                <w:rFonts w:hint="eastAsia"/>
              </w:rPr>
              <w:t>20</w:t>
            </w:r>
          </w:p>
        </w:tc>
        <w:tc>
          <w:tcPr>
            <w:tcW w:w="1357" w:type="pct"/>
            <w:shd w:val="clear" w:color="auto" w:fill="auto"/>
            <w:noWrap/>
            <w:vAlign w:val="center"/>
          </w:tcPr>
          <w:p w14:paraId="4A02AB08">
            <w:pPr>
              <w:pStyle w:val="159"/>
              <w:rPr>
                <w:rFonts w:hAnsi="宋体"/>
              </w:rPr>
            </w:pPr>
            <w:r>
              <w:rPr>
                <w:rFonts w:hint="eastAsia"/>
              </w:rPr>
              <w:t xml:space="preserve">148.962 </w:t>
            </w:r>
          </w:p>
        </w:tc>
        <w:tc>
          <w:tcPr>
            <w:tcW w:w="1357" w:type="pct"/>
            <w:shd w:val="clear" w:color="auto" w:fill="auto"/>
            <w:noWrap/>
            <w:vAlign w:val="center"/>
          </w:tcPr>
          <w:p w14:paraId="63683B41">
            <w:pPr>
              <w:pStyle w:val="159"/>
              <w:rPr>
                <w:rFonts w:hAnsi="宋体"/>
              </w:rPr>
            </w:pPr>
            <w:r>
              <w:rPr>
                <w:rFonts w:hint="eastAsia"/>
              </w:rPr>
              <w:t xml:space="preserve">1.282 </w:t>
            </w:r>
          </w:p>
        </w:tc>
      </w:tr>
      <w:tr w14:paraId="2A6E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45B8834">
            <w:pPr>
              <w:pStyle w:val="159"/>
              <w:rPr>
                <w:rFonts w:hAnsi="宋体"/>
              </w:rPr>
            </w:pPr>
            <w:r>
              <w:rPr>
                <w:rFonts w:hint="eastAsia"/>
              </w:rPr>
              <w:t>24.3</w:t>
            </w:r>
          </w:p>
        </w:tc>
        <w:tc>
          <w:tcPr>
            <w:tcW w:w="1122" w:type="pct"/>
            <w:vAlign w:val="center"/>
          </w:tcPr>
          <w:p w14:paraId="609C8F67">
            <w:pPr>
              <w:pStyle w:val="159"/>
              <w:rPr>
                <w:rFonts w:hAnsi="宋体"/>
              </w:rPr>
            </w:pPr>
            <w:r>
              <w:rPr>
                <w:rFonts w:hint="eastAsia"/>
              </w:rPr>
              <w:t>21</w:t>
            </w:r>
          </w:p>
        </w:tc>
        <w:tc>
          <w:tcPr>
            <w:tcW w:w="1357" w:type="pct"/>
            <w:shd w:val="clear" w:color="auto" w:fill="auto"/>
            <w:noWrap/>
            <w:vAlign w:val="center"/>
          </w:tcPr>
          <w:p w14:paraId="5685284D">
            <w:pPr>
              <w:pStyle w:val="159"/>
              <w:rPr>
                <w:rFonts w:hAnsi="宋体"/>
              </w:rPr>
            </w:pPr>
            <w:r>
              <w:rPr>
                <w:rFonts w:hint="eastAsia"/>
              </w:rPr>
              <w:t xml:space="preserve">137.682 </w:t>
            </w:r>
          </w:p>
        </w:tc>
        <w:tc>
          <w:tcPr>
            <w:tcW w:w="1357" w:type="pct"/>
            <w:shd w:val="clear" w:color="auto" w:fill="auto"/>
            <w:noWrap/>
            <w:vAlign w:val="center"/>
          </w:tcPr>
          <w:p w14:paraId="4D680403">
            <w:pPr>
              <w:pStyle w:val="159"/>
              <w:rPr>
                <w:rFonts w:hAnsi="宋体"/>
              </w:rPr>
            </w:pPr>
            <w:r>
              <w:rPr>
                <w:rFonts w:hint="eastAsia"/>
              </w:rPr>
              <w:t xml:space="preserve">1.206 </w:t>
            </w:r>
          </w:p>
        </w:tc>
      </w:tr>
      <w:tr w14:paraId="4827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88CDDDE">
            <w:pPr>
              <w:pStyle w:val="159"/>
              <w:rPr>
                <w:rFonts w:hAnsi="宋体"/>
              </w:rPr>
            </w:pPr>
            <w:r>
              <w:rPr>
                <w:rFonts w:hint="eastAsia"/>
              </w:rPr>
              <w:t>25.3</w:t>
            </w:r>
          </w:p>
        </w:tc>
        <w:tc>
          <w:tcPr>
            <w:tcW w:w="1122" w:type="pct"/>
            <w:vAlign w:val="center"/>
          </w:tcPr>
          <w:p w14:paraId="4C0B1B1C">
            <w:pPr>
              <w:pStyle w:val="159"/>
              <w:rPr>
                <w:rFonts w:hAnsi="宋体"/>
              </w:rPr>
            </w:pPr>
            <w:r>
              <w:rPr>
                <w:rFonts w:hint="eastAsia"/>
              </w:rPr>
              <w:t>22</w:t>
            </w:r>
          </w:p>
        </w:tc>
        <w:tc>
          <w:tcPr>
            <w:tcW w:w="1357" w:type="pct"/>
            <w:shd w:val="clear" w:color="auto" w:fill="auto"/>
            <w:noWrap/>
            <w:vAlign w:val="center"/>
          </w:tcPr>
          <w:p w14:paraId="4F288828">
            <w:pPr>
              <w:pStyle w:val="159"/>
              <w:rPr>
                <w:rFonts w:hAnsi="宋体"/>
              </w:rPr>
            </w:pPr>
            <w:r>
              <w:rPr>
                <w:rFonts w:hint="eastAsia"/>
              </w:rPr>
              <w:t xml:space="preserve">127.396 </w:t>
            </w:r>
          </w:p>
        </w:tc>
        <w:tc>
          <w:tcPr>
            <w:tcW w:w="1357" w:type="pct"/>
            <w:shd w:val="clear" w:color="auto" w:fill="auto"/>
            <w:noWrap/>
            <w:vAlign w:val="center"/>
          </w:tcPr>
          <w:p w14:paraId="60FC3FC5">
            <w:pPr>
              <w:pStyle w:val="159"/>
              <w:rPr>
                <w:rFonts w:hAnsi="宋体"/>
              </w:rPr>
            </w:pPr>
            <w:r>
              <w:rPr>
                <w:rFonts w:hint="eastAsia"/>
              </w:rPr>
              <w:t xml:space="preserve">1.135 </w:t>
            </w:r>
          </w:p>
        </w:tc>
      </w:tr>
      <w:tr w14:paraId="0289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2716EB57">
            <w:pPr>
              <w:pStyle w:val="159"/>
              <w:rPr>
                <w:rFonts w:hAnsi="宋体"/>
              </w:rPr>
            </w:pPr>
            <w:r>
              <w:rPr>
                <w:rFonts w:hint="eastAsia"/>
              </w:rPr>
              <w:t>26.3</w:t>
            </w:r>
          </w:p>
        </w:tc>
        <w:tc>
          <w:tcPr>
            <w:tcW w:w="1122" w:type="pct"/>
            <w:vAlign w:val="center"/>
          </w:tcPr>
          <w:p w14:paraId="048B5551">
            <w:pPr>
              <w:pStyle w:val="159"/>
              <w:rPr>
                <w:rFonts w:hAnsi="宋体"/>
              </w:rPr>
            </w:pPr>
            <w:r>
              <w:rPr>
                <w:rFonts w:hint="eastAsia"/>
              </w:rPr>
              <w:t>23</w:t>
            </w:r>
          </w:p>
        </w:tc>
        <w:tc>
          <w:tcPr>
            <w:tcW w:w="1357" w:type="pct"/>
            <w:shd w:val="clear" w:color="auto" w:fill="auto"/>
            <w:noWrap/>
            <w:vAlign w:val="center"/>
          </w:tcPr>
          <w:p w14:paraId="354F33D6">
            <w:pPr>
              <w:pStyle w:val="159"/>
              <w:rPr>
                <w:rFonts w:hAnsi="宋体"/>
              </w:rPr>
            </w:pPr>
            <w:r>
              <w:rPr>
                <w:rFonts w:hint="eastAsia"/>
              </w:rPr>
              <w:t xml:space="preserve">118.023 </w:t>
            </w:r>
          </w:p>
        </w:tc>
        <w:tc>
          <w:tcPr>
            <w:tcW w:w="1357" w:type="pct"/>
            <w:shd w:val="clear" w:color="auto" w:fill="auto"/>
            <w:noWrap/>
            <w:vAlign w:val="center"/>
          </w:tcPr>
          <w:p w14:paraId="3A845A4E">
            <w:pPr>
              <w:pStyle w:val="159"/>
              <w:rPr>
                <w:rFonts w:hAnsi="宋体"/>
              </w:rPr>
            </w:pPr>
            <w:r>
              <w:rPr>
                <w:rFonts w:hint="eastAsia"/>
              </w:rPr>
              <w:t xml:space="preserve">1.070 </w:t>
            </w:r>
          </w:p>
        </w:tc>
      </w:tr>
      <w:tr w14:paraId="666B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5778049">
            <w:pPr>
              <w:pStyle w:val="159"/>
              <w:rPr>
                <w:rFonts w:hAnsi="宋体"/>
              </w:rPr>
            </w:pPr>
            <w:r>
              <w:rPr>
                <w:rFonts w:hint="eastAsia"/>
              </w:rPr>
              <w:t>27.3</w:t>
            </w:r>
          </w:p>
        </w:tc>
        <w:tc>
          <w:tcPr>
            <w:tcW w:w="1122" w:type="pct"/>
            <w:vAlign w:val="center"/>
          </w:tcPr>
          <w:p w14:paraId="7EB81839">
            <w:pPr>
              <w:pStyle w:val="159"/>
              <w:rPr>
                <w:rFonts w:hAnsi="宋体"/>
              </w:rPr>
            </w:pPr>
            <w:r>
              <w:rPr>
                <w:rFonts w:hint="eastAsia"/>
              </w:rPr>
              <w:t>24</w:t>
            </w:r>
          </w:p>
        </w:tc>
        <w:tc>
          <w:tcPr>
            <w:tcW w:w="1357" w:type="pct"/>
            <w:shd w:val="clear" w:color="auto" w:fill="auto"/>
            <w:noWrap/>
            <w:vAlign w:val="center"/>
          </w:tcPr>
          <w:p w14:paraId="34815ED1">
            <w:pPr>
              <w:pStyle w:val="159"/>
              <w:rPr>
                <w:rFonts w:hAnsi="宋体"/>
              </w:rPr>
            </w:pPr>
            <w:r>
              <w:rPr>
                <w:rFonts w:hint="eastAsia"/>
              </w:rPr>
              <w:t xml:space="preserve">109.486 </w:t>
            </w:r>
          </w:p>
        </w:tc>
        <w:tc>
          <w:tcPr>
            <w:tcW w:w="1357" w:type="pct"/>
            <w:shd w:val="clear" w:color="auto" w:fill="auto"/>
            <w:noWrap/>
            <w:vAlign w:val="center"/>
          </w:tcPr>
          <w:p w14:paraId="621F50CA">
            <w:pPr>
              <w:pStyle w:val="159"/>
              <w:rPr>
                <w:rFonts w:hAnsi="宋体"/>
              </w:rPr>
            </w:pPr>
            <w:r>
              <w:rPr>
                <w:rFonts w:hint="eastAsia"/>
              </w:rPr>
              <w:t xml:space="preserve">1.010 </w:t>
            </w:r>
          </w:p>
        </w:tc>
      </w:tr>
      <w:tr w14:paraId="5E6D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3B721330">
            <w:pPr>
              <w:pStyle w:val="159"/>
              <w:rPr>
                <w:rFonts w:hAnsi="宋体"/>
              </w:rPr>
            </w:pPr>
            <w:r>
              <w:rPr>
                <w:rFonts w:hint="eastAsia"/>
              </w:rPr>
              <w:t>28.3</w:t>
            </w:r>
          </w:p>
        </w:tc>
        <w:tc>
          <w:tcPr>
            <w:tcW w:w="1122" w:type="pct"/>
            <w:vAlign w:val="center"/>
          </w:tcPr>
          <w:p w14:paraId="733AC7FA">
            <w:pPr>
              <w:pStyle w:val="159"/>
              <w:rPr>
                <w:rFonts w:hAnsi="宋体"/>
              </w:rPr>
            </w:pPr>
            <w:r>
              <w:rPr>
                <w:rFonts w:hint="eastAsia"/>
              </w:rPr>
              <w:t>25</w:t>
            </w:r>
          </w:p>
        </w:tc>
        <w:tc>
          <w:tcPr>
            <w:tcW w:w="1357" w:type="pct"/>
            <w:shd w:val="clear" w:color="auto" w:fill="auto"/>
            <w:noWrap/>
            <w:vAlign w:val="center"/>
          </w:tcPr>
          <w:p w14:paraId="2256E1CB">
            <w:pPr>
              <w:pStyle w:val="159"/>
              <w:rPr>
                <w:rFonts w:hAnsi="宋体"/>
              </w:rPr>
            </w:pPr>
            <w:r>
              <w:rPr>
                <w:rFonts w:hint="eastAsia"/>
              </w:rPr>
              <w:t xml:space="preserve">101.709 </w:t>
            </w:r>
          </w:p>
        </w:tc>
        <w:tc>
          <w:tcPr>
            <w:tcW w:w="1357" w:type="pct"/>
            <w:shd w:val="clear" w:color="auto" w:fill="auto"/>
            <w:noWrap/>
            <w:vAlign w:val="center"/>
          </w:tcPr>
          <w:p w14:paraId="7A20FBEA">
            <w:pPr>
              <w:pStyle w:val="159"/>
              <w:rPr>
                <w:rFonts w:hAnsi="宋体"/>
              </w:rPr>
            </w:pPr>
            <w:r>
              <w:rPr>
                <w:rFonts w:hint="eastAsia"/>
              </w:rPr>
              <w:t xml:space="preserve">0.955 </w:t>
            </w:r>
          </w:p>
        </w:tc>
      </w:tr>
      <w:tr w14:paraId="5B84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E178275">
            <w:pPr>
              <w:pStyle w:val="159"/>
              <w:rPr>
                <w:rFonts w:hAnsi="宋体"/>
              </w:rPr>
            </w:pPr>
            <w:r>
              <w:rPr>
                <w:rFonts w:hint="eastAsia"/>
              </w:rPr>
              <w:t>29.3</w:t>
            </w:r>
          </w:p>
        </w:tc>
        <w:tc>
          <w:tcPr>
            <w:tcW w:w="1122" w:type="pct"/>
            <w:vAlign w:val="center"/>
          </w:tcPr>
          <w:p w14:paraId="4FDC4069">
            <w:pPr>
              <w:pStyle w:val="159"/>
              <w:rPr>
                <w:rFonts w:hAnsi="宋体"/>
              </w:rPr>
            </w:pPr>
            <w:r>
              <w:rPr>
                <w:rFonts w:hint="eastAsia"/>
              </w:rPr>
              <w:t>26</w:t>
            </w:r>
          </w:p>
        </w:tc>
        <w:tc>
          <w:tcPr>
            <w:tcW w:w="1357" w:type="pct"/>
            <w:shd w:val="clear" w:color="auto" w:fill="auto"/>
            <w:noWrap/>
            <w:vAlign w:val="center"/>
          </w:tcPr>
          <w:p w14:paraId="06F4765C">
            <w:pPr>
              <w:pStyle w:val="159"/>
              <w:rPr>
                <w:rFonts w:hAnsi="宋体"/>
              </w:rPr>
            </w:pPr>
            <w:r>
              <w:rPr>
                <w:rFonts w:hint="eastAsia"/>
              </w:rPr>
              <w:t xml:space="preserve">94.622 </w:t>
            </w:r>
          </w:p>
        </w:tc>
        <w:tc>
          <w:tcPr>
            <w:tcW w:w="1357" w:type="pct"/>
            <w:shd w:val="clear" w:color="auto" w:fill="auto"/>
            <w:noWrap/>
            <w:vAlign w:val="center"/>
          </w:tcPr>
          <w:p w14:paraId="6B6D4F35">
            <w:pPr>
              <w:pStyle w:val="159"/>
              <w:rPr>
                <w:rFonts w:hAnsi="宋体"/>
              </w:rPr>
            </w:pPr>
            <w:r>
              <w:rPr>
                <w:rFonts w:hint="eastAsia"/>
              </w:rPr>
              <w:t xml:space="preserve">0.903 </w:t>
            </w:r>
          </w:p>
        </w:tc>
      </w:tr>
      <w:tr w14:paraId="36F5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77E32AC">
            <w:pPr>
              <w:pStyle w:val="159"/>
              <w:rPr>
                <w:rFonts w:hAnsi="宋体"/>
              </w:rPr>
            </w:pPr>
            <w:r>
              <w:rPr>
                <w:rFonts w:hint="eastAsia"/>
              </w:rPr>
              <w:t>30.3</w:t>
            </w:r>
          </w:p>
        </w:tc>
        <w:tc>
          <w:tcPr>
            <w:tcW w:w="1122" w:type="pct"/>
            <w:vAlign w:val="center"/>
          </w:tcPr>
          <w:p w14:paraId="430908E6">
            <w:pPr>
              <w:pStyle w:val="159"/>
              <w:rPr>
                <w:rFonts w:hAnsi="宋体"/>
              </w:rPr>
            </w:pPr>
            <w:r>
              <w:rPr>
                <w:rFonts w:hint="eastAsia"/>
              </w:rPr>
              <w:t>27</w:t>
            </w:r>
          </w:p>
        </w:tc>
        <w:tc>
          <w:tcPr>
            <w:tcW w:w="1357" w:type="pct"/>
            <w:shd w:val="clear" w:color="auto" w:fill="auto"/>
            <w:noWrap/>
            <w:vAlign w:val="center"/>
          </w:tcPr>
          <w:p w14:paraId="0F6A9235">
            <w:pPr>
              <w:pStyle w:val="159"/>
              <w:rPr>
                <w:rFonts w:hAnsi="宋体"/>
              </w:rPr>
            </w:pPr>
            <w:r>
              <w:rPr>
                <w:rFonts w:hint="eastAsia"/>
              </w:rPr>
              <w:t xml:space="preserve">88.160 </w:t>
            </w:r>
          </w:p>
        </w:tc>
        <w:tc>
          <w:tcPr>
            <w:tcW w:w="1357" w:type="pct"/>
            <w:shd w:val="clear" w:color="auto" w:fill="auto"/>
            <w:noWrap/>
            <w:vAlign w:val="center"/>
          </w:tcPr>
          <w:p w14:paraId="0677A4B1">
            <w:pPr>
              <w:pStyle w:val="159"/>
              <w:rPr>
                <w:rFonts w:hAnsi="宋体"/>
              </w:rPr>
            </w:pPr>
            <w:r>
              <w:rPr>
                <w:rFonts w:hint="eastAsia"/>
              </w:rPr>
              <w:t xml:space="preserve">0.856 </w:t>
            </w:r>
          </w:p>
        </w:tc>
      </w:tr>
      <w:tr w14:paraId="170D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1765F5A">
            <w:pPr>
              <w:pStyle w:val="159"/>
              <w:rPr>
                <w:rFonts w:hAnsi="宋体"/>
              </w:rPr>
            </w:pPr>
            <w:r>
              <w:rPr>
                <w:rFonts w:hint="eastAsia"/>
              </w:rPr>
              <w:t>31.3</w:t>
            </w:r>
          </w:p>
        </w:tc>
        <w:tc>
          <w:tcPr>
            <w:tcW w:w="1122" w:type="pct"/>
            <w:vAlign w:val="center"/>
          </w:tcPr>
          <w:p w14:paraId="45E18E68">
            <w:pPr>
              <w:pStyle w:val="159"/>
              <w:rPr>
                <w:rFonts w:hAnsi="宋体"/>
              </w:rPr>
            </w:pPr>
            <w:r>
              <w:rPr>
                <w:rFonts w:hint="eastAsia"/>
              </w:rPr>
              <w:t>28</w:t>
            </w:r>
          </w:p>
        </w:tc>
        <w:tc>
          <w:tcPr>
            <w:tcW w:w="1357" w:type="pct"/>
            <w:shd w:val="clear" w:color="auto" w:fill="auto"/>
            <w:noWrap/>
            <w:vAlign w:val="center"/>
          </w:tcPr>
          <w:p w14:paraId="0534C216">
            <w:pPr>
              <w:pStyle w:val="159"/>
              <w:rPr>
                <w:rFonts w:hAnsi="宋体"/>
              </w:rPr>
            </w:pPr>
            <w:r>
              <w:rPr>
                <w:rFonts w:hint="eastAsia"/>
              </w:rPr>
              <w:t xml:space="preserve">82.263 </w:t>
            </w:r>
          </w:p>
        </w:tc>
        <w:tc>
          <w:tcPr>
            <w:tcW w:w="1357" w:type="pct"/>
            <w:shd w:val="clear" w:color="auto" w:fill="auto"/>
            <w:noWrap/>
            <w:vAlign w:val="center"/>
          </w:tcPr>
          <w:p w14:paraId="540676EB">
            <w:pPr>
              <w:pStyle w:val="159"/>
              <w:rPr>
                <w:rFonts w:hAnsi="宋体"/>
              </w:rPr>
            </w:pPr>
            <w:r>
              <w:rPr>
                <w:rFonts w:hint="eastAsia"/>
              </w:rPr>
              <w:t xml:space="preserve">0.811 </w:t>
            </w:r>
          </w:p>
        </w:tc>
      </w:tr>
      <w:tr w14:paraId="5289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9C573CF">
            <w:pPr>
              <w:pStyle w:val="159"/>
              <w:rPr>
                <w:rFonts w:hAnsi="宋体"/>
              </w:rPr>
            </w:pPr>
            <w:r>
              <w:rPr>
                <w:rFonts w:hint="eastAsia"/>
              </w:rPr>
              <w:t>32.3</w:t>
            </w:r>
          </w:p>
        </w:tc>
        <w:tc>
          <w:tcPr>
            <w:tcW w:w="1122" w:type="pct"/>
            <w:vAlign w:val="center"/>
          </w:tcPr>
          <w:p w14:paraId="03E70AAB">
            <w:pPr>
              <w:pStyle w:val="159"/>
              <w:rPr>
                <w:rFonts w:hAnsi="宋体"/>
              </w:rPr>
            </w:pPr>
            <w:r>
              <w:rPr>
                <w:rFonts w:hint="eastAsia"/>
              </w:rPr>
              <w:t>29</w:t>
            </w:r>
          </w:p>
        </w:tc>
        <w:tc>
          <w:tcPr>
            <w:tcW w:w="1357" w:type="pct"/>
            <w:shd w:val="clear" w:color="auto" w:fill="auto"/>
            <w:noWrap/>
            <w:vAlign w:val="center"/>
          </w:tcPr>
          <w:p w14:paraId="56F8B40C">
            <w:pPr>
              <w:pStyle w:val="159"/>
              <w:rPr>
                <w:rFonts w:hAnsi="宋体"/>
              </w:rPr>
            </w:pPr>
            <w:r>
              <w:rPr>
                <w:rFonts w:hint="eastAsia"/>
              </w:rPr>
              <w:t xml:space="preserve">76.876 </w:t>
            </w:r>
          </w:p>
        </w:tc>
        <w:tc>
          <w:tcPr>
            <w:tcW w:w="1357" w:type="pct"/>
            <w:shd w:val="clear" w:color="auto" w:fill="auto"/>
            <w:noWrap/>
            <w:vAlign w:val="center"/>
          </w:tcPr>
          <w:p w14:paraId="1E202720">
            <w:pPr>
              <w:pStyle w:val="159"/>
              <w:rPr>
                <w:rFonts w:hAnsi="宋体"/>
              </w:rPr>
            </w:pPr>
            <w:r>
              <w:rPr>
                <w:rFonts w:hint="eastAsia"/>
              </w:rPr>
              <w:t xml:space="preserve">0.771 </w:t>
            </w:r>
          </w:p>
        </w:tc>
      </w:tr>
      <w:tr w14:paraId="545D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5BCDFB7">
            <w:pPr>
              <w:pStyle w:val="159"/>
              <w:rPr>
                <w:rFonts w:hAnsi="宋体"/>
              </w:rPr>
            </w:pPr>
            <w:r>
              <w:rPr>
                <w:rFonts w:hint="eastAsia"/>
              </w:rPr>
              <w:t>33.3</w:t>
            </w:r>
          </w:p>
        </w:tc>
        <w:tc>
          <w:tcPr>
            <w:tcW w:w="1122" w:type="pct"/>
            <w:vAlign w:val="center"/>
          </w:tcPr>
          <w:p w14:paraId="4266F207">
            <w:pPr>
              <w:pStyle w:val="159"/>
              <w:rPr>
                <w:rFonts w:hAnsi="宋体"/>
              </w:rPr>
            </w:pPr>
            <w:r>
              <w:rPr>
                <w:rFonts w:hint="eastAsia"/>
              </w:rPr>
              <w:t>30</w:t>
            </w:r>
          </w:p>
        </w:tc>
        <w:tc>
          <w:tcPr>
            <w:tcW w:w="1357" w:type="pct"/>
            <w:shd w:val="clear" w:color="auto" w:fill="auto"/>
            <w:noWrap/>
            <w:vAlign w:val="center"/>
          </w:tcPr>
          <w:p w14:paraId="39DF34DD">
            <w:pPr>
              <w:pStyle w:val="159"/>
              <w:rPr>
                <w:rFonts w:hAnsi="宋体"/>
              </w:rPr>
            </w:pPr>
            <w:r>
              <w:rPr>
                <w:rFonts w:hint="eastAsia"/>
              </w:rPr>
              <w:t xml:space="preserve">71.950 </w:t>
            </w:r>
          </w:p>
        </w:tc>
        <w:tc>
          <w:tcPr>
            <w:tcW w:w="1357" w:type="pct"/>
            <w:shd w:val="clear" w:color="auto" w:fill="auto"/>
            <w:noWrap/>
            <w:vAlign w:val="center"/>
          </w:tcPr>
          <w:p w14:paraId="42FBE3C4">
            <w:pPr>
              <w:pStyle w:val="159"/>
              <w:rPr>
                <w:rFonts w:hAnsi="宋体"/>
              </w:rPr>
            </w:pPr>
            <w:r>
              <w:rPr>
                <w:rFonts w:hint="eastAsia"/>
              </w:rPr>
              <w:t xml:space="preserve">0.732 </w:t>
            </w:r>
          </w:p>
        </w:tc>
      </w:tr>
    </w:tbl>
    <w:p w14:paraId="3DEE5B04">
      <w:pPr>
        <w:pStyle w:val="148"/>
      </w:pPr>
      <w:r>
        <w:br w:type="page"/>
      </w:r>
    </w:p>
    <w:p w14:paraId="127830A0">
      <w:pPr>
        <w:pStyle w:val="148"/>
      </w:pPr>
      <w:r>
        <w:rPr>
          <w:rFonts w:hint="eastAsia"/>
        </w:rPr>
        <w:t>表3</w:t>
      </w:r>
      <w:r>
        <w:t xml:space="preserve">.3-3 </w:t>
      </w:r>
      <w:r>
        <w:rPr>
          <w:bCs/>
        </w:rPr>
        <w:t xml:space="preserve"> </w:t>
      </w:r>
      <w:r>
        <w:rPr>
          <w:rFonts w:hint="eastAsia"/>
          <w:bCs/>
        </w:rPr>
        <w:t>本项目</w:t>
      </w:r>
      <w:r>
        <w:rPr>
          <w:rFonts w:hint="eastAsia"/>
        </w:rPr>
        <w:t>线路（典型杆塔）经过耕作、畜牧养殖及道路区域时工频电、磁场强度预测（</w:t>
      </w:r>
      <w:r>
        <w:t>20mm</w:t>
      </w:r>
      <w:r>
        <w:rPr>
          <w:rFonts w:hint="eastAsia"/>
        </w:rPr>
        <w:t>冰区）</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2084"/>
        <w:gridCol w:w="2520"/>
        <w:gridCol w:w="2521"/>
      </w:tblGrid>
      <w:tr w14:paraId="1BFA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64" w:type="pct"/>
            <w:shd w:val="clear" w:color="auto" w:fill="auto"/>
            <w:noWrap/>
            <w:vAlign w:val="center"/>
          </w:tcPr>
          <w:p w14:paraId="27EE1A3B">
            <w:pPr>
              <w:pStyle w:val="159"/>
            </w:pPr>
            <w:r>
              <w:t>距线路中心</w:t>
            </w:r>
          </w:p>
          <w:p w14:paraId="7471146F">
            <w:pPr>
              <w:pStyle w:val="159"/>
              <w:rPr>
                <w:sz w:val="22"/>
                <w:szCs w:val="22"/>
              </w:rPr>
            </w:pPr>
            <w:r>
              <w:t xml:space="preserve">距离（m） </w:t>
            </w:r>
          </w:p>
        </w:tc>
        <w:tc>
          <w:tcPr>
            <w:tcW w:w="1122" w:type="pct"/>
            <w:vAlign w:val="center"/>
          </w:tcPr>
          <w:p w14:paraId="3129DFB6">
            <w:pPr>
              <w:pStyle w:val="159"/>
            </w:pPr>
            <w:r>
              <w:t>距边导线</w:t>
            </w:r>
          </w:p>
          <w:p w14:paraId="2E78067C">
            <w:pPr>
              <w:pStyle w:val="159"/>
              <w:rPr>
                <w:sz w:val="22"/>
                <w:szCs w:val="22"/>
              </w:rPr>
            </w:pPr>
            <w:r>
              <w:t xml:space="preserve">距离（m） </w:t>
            </w:r>
          </w:p>
        </w:tc>
        <w:tc>
          <w:tcPr>
            <w:tcW w:w="1357" w:type="pct"/>
            <w:shd w:val="clear" w:color="auto" w:fill="auto"/>
            <w:noWrap/>
            <w:vAlign w:val="center"/>
          </w:tcPr>
          <w:p w14:paraId="4D9D93D2">
            <w:pPr>
              <w:pStyle w:val="159"/>
            </w:pPr>
            <w:r>
              <w:t>工频电场强度</w:t>
            </w:r>
          </w:p>
          <w:p w14:paraId="313CB1C9">
            <w:pPr>
              <w:pStyle w:val="159"/>
              <w:rPr>
                <w:sz w:val="22"/>
                <w:szCs w:val="22"/>
              </w:rPr>
            </w:pPr>
            <w:r>
              <w:t>（kV/m）</w:t>
            </w:r>
          </w:p>
        </w:tc>
        <w:tc>
          <w:tcPr>
            <w:tcW w:w="1357" w:type="pct"/>
            <w:shd w:val="clear" w:color="auto" w:fill="auto"/>
            <w:noWrap/>
            <w:vAlign w:val="center"/>
          </w:tcPr>
          <w:p w14:paraId="007D4557">
            <w:pPr>
              <w:pStyle w:val="159"/>
            </w:pPr>
            <w:r>
              <w:t>工频磁场强度</w:t>
            </w:r>
          </w:p>
          <w:p w14:paraId="60D9BB7F">
            <w:pPr>
              <w:pStyle w:val="159"/>
              <w:rPr>
                <w:sz w:val="22"/>
                <w:szCs w:val="22"/>
              </w:rPr>
            </w:pPr>
            <w:r>
              <w:t>（μT）</w:t>
            </w:r>
          </w:p>
        </w:tc>
      </w:tr>
      <w:tr w14:paraId="1F78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47152F2">
            <w:pPr>
              <w:pStyle w:val="159"/>
            </w:pPr>
            <w:r>
              <w:t>0</w:t>
            </w:r>
          </w:p>
        </w:tc>
        <w:tc>
          <w:tcPr>
            <w:tcW w:w="1122" w:type="pct"/>
            <w:vAlign w:val="center"/>
          </w:tcPr>
          <w:p w14:paraId="0A87C3F1">
            <w:pPr>
              <w:pStyle w:val="159"/>
            </w:pPr>
            <w:r>
              <w:t>线下</w:t>
            </w:r>
          </w:p>
        </w:tc>
        <w:tc>
          <w:tcPr>
            <w:tcW w:w="1357" w:type="pct"/>
            <w:shd w:val="clear" w:color="auto" w:fill="auto"/>
            <w:noWrap/>
            <w:vAlign w:val="center"/>
          </w:tcPr>
          <w:p w14:paraId="1574A69B">
            <w:pPr>
              <w:pStyle w:val="159"/>
            </w:pPr>
            <w:r>
              <w:rPr>
                <w:rFonts w:hint="eastAsia"/>
                <w:color w:val="000000"/>
                <w:sz w:val="22"/>
                <w:szCs w:val="22"/>
              </w:rPr>
              <w:t xml:space="preserve">190.938 </w:t>
            </w:r>
          </w:p>
        </w:tc>
        <w:tc>
          <w:tcPr>
            <w:tcW w:w="1357" w:type="pct"/>
            <w:shd w:val="clear" w:color="auto" w:fill="auto"/>
            <w:noWrap/>
            <w:vAlign w:val="center"/>
          </w:tcPr>
          <w:p w14:paraId="372848AC">
            <w:pPr>
              <w:pStyle w:val="159"/>
            </w:pPr>
            <w:r>
              <w:rPr>
                <w:rFonts w:hint="eastAsia"/>
                <w:color w:val="000000"/>
                <w:sz w:val="22"/>
                <w:szCs w:val="22"/>
              </w:rPr>
              <w:t xml:space="preserve">6.855 </w:t>
            </w:r>
          </w:p>
        </w:tc>
      </w:tr>
      <w:tr w14:paraId="2CB2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7D507E2">
            <w:pPr>
              <w:pStyle w:val="159"/>
            </w:pPr>
            <w:r>
              <w:t>1</w:t>
            </w:r>
          </w:p>
        </w:tc>
        <w:tc>
          <w:tcPr>
            <w:tcW w:w="1122" w:type="pct"/>
            <w:vAlign w:val="center"/>
          </w:tcPr>
          <w:p w14:paraId="429C5167">
            <w:pPr>
              <w:pStyle w:val="159"/>
            </w:pPr>
            <w:r>
              <w:t>线下</w:t>
            </w:r>
          </w:p>
        </w:tc>
        <w:tc>
          <w:tcPr>
            <w:tcW w:w="1357" w:type="pct"/>
            <w:shd w:val="clear" w:color="auto" w:fill="auto"/>
            <w:noWrap/>
            <w:vAlign w:val="center"/>
          </w:tcPr>
          <w:p w14:paraId="01EBB044">
            <w:pPr>
              <w:pStyle w:val="159"/>
            </w:pPr>
            <w:r>
              <w:rPr>
                <w:rFonts w:hint="eastAsia"/>
                <w:color w:val="000000"/>
                <w:sz w:val="22"/>
                <w:szCs w:val="22"/>
              </w:rPr>
              <w:t xml:space="preserve">208.113 </w:t>
            </w:r>
          </w:p>
        </w:tc>
        <w:tc>
          <w:tcPr>
            <w:tcW w:w="1357" w:type="pct"/>
            <w:shd w:val="clear" w:color="auto" w:fill="auto"/>
            <w:noWrap/>
            <w:vAlign w:val="center"/>
          </w:tcPr>
          <w:p w14:paraId="49D5DDFF">
            <w:pPr>
              <w:pStyle w:val="159"/>
            </w:pPr>
            <w:r>
              <w:rPr>
                <w:rFonts w:hint="eastAsia"/>
                <w:color w:val="000000"/>
                <w:sz w:val="22"/>
                <w:szCs w:val="22"/>
              </w:rPr>
              <w:t xml:space="preserve">6.760 </w:t>
            </w:r>
          </w:p>
        </w:tc>
      </w:tr>
      <w:tr w14:paraId="7080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EB861AC">
            <w:pPr>
              <w:pStyle w:val="159"/>
            </w:pPr>
            <w:r>
              <w:t>2</w:t>
            </w:r>
          </w:p>
        </w:tc>
        <w:tc>
          <w:tcPr>
            <w:tcW w:w="1122" w:type="pct"/>
            <w:vAlign w:val="center"/>
          </w:tcPr>
          <w:p w14:paraId="1287D35C">
            <w:pPr>
              <w:pStyle w:val="159"/>
            </w:pPr>
            <w:r>
              <w:t>线下</w:t>
            </w:r>
          </w:p>
        </w:tc>
        <w:tc>
          <w:tcPr>
            <w:tcW w:w="1357" w:type="pct"/>
            <w:shd w:val="clear" w:color="auto" w:fill="auto"/>
            <w:noWrap/>
            <w:vAlign w:val="center"/>
          </w:tcPr>
          <w:p w14:paraId="7FC43C05">
            <w:pPr>
              <w:pStyle w:val="159"/>
            </w:pPr>
            <w:r>
              <w:rPr>
                <w:rFonts w:hint="eastAsia"/>
                <w:color w:val="000000"/>
                <w:sz w:val="22"/>
                <w:szCs w:val="22"/>
              </w:rPr>
              <w:t xml:space="preserve">251.257 </w:t>
            </w:r>
          </w:p>
        </w:tc>
        <w:tc>
          <w:tcPr>
            <w:tcW w:w="1357" w:type="pct"/>
            <w:shd w:val="clear" w:color="auto" w:fill="auto"/>
            <w:noWrap/>
            <w:vAlign w:val="center"/>
          </w:tcPr>
          <w:p w14:paraId="263F9696">
            <w:pPr>
              <w:pStyle w:val="159"/>
            </w:pPr>
            <w:r>
              <w:rPr>
                <w:rFonts w:hint="eastAsia"/>
                <w:color w:val="000000"/>
                <w:sz w:val="22"/>
                <w:szCs w:val="22"/>
              </w:rPr>
              <w:t xml:space="preserve">6.626 </w:t>
            </w:r>
          </w:p>
        </w:tc>
      </w:tr>
      <w:tr w14:paraId="156B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59C8063">
            <w:pPr>
              <w:pStyle w:val="159"/>
            </w:pPr>
            <w:r>
              <w:t>3</w:t>
            </w:r>
          </w:p>
        </w:tc>
        <w:tc>
          <w:tcPr>
            <w:tcW w:w="1122" w:type="pct"/>
            <w:vAlign w:val="center"/>
          </w:tcPr>
          <w:p w14:paraId="2FF60C70">
            <w:pPr>
              <w:pStyle w:val="159"/>
            </w:pPr>
            <w:r>
              <w:t>线下</w:t>
            </w:r>
          </w:p>
        </w:tc>
        <w:tc>
          <w:tcPr>
            <w:tcW w:w="1357" w:type="pct"/>
            <w:shd w:val="clear" w:color="auto" w:fill="auto"/>
            <w:noWrap/>
            <w:vAlign w:val="center"/>
          </w:tcPr>
          <w:p w14:paraId="0D48008E">
            <w:pPr>
              <w:pStyle w:val="159"/>
            </w:pPr>
            <w:r>
              <w:rPr>
                <w:rFonts w:hint="eastAsia"/>
                <w:color w:val="000000"/>
                <w:sz w:val="22"/>
                <w:szCs w:val="22"/>
              </w:rPr>
              <w:t xml:space="preserve">306.180 </w:t>
            </w:r>
          </w:p>
        </w:tc>
        <w:tc>
          <w:tcPr>
            <w:tcW w:w="1357" w:type="pct"/>
            <w:shd w:val="clear" w:color="auto" w:fill="auto"/>
            <w:noWrap/>
            <w:vAlign w:val="center"/>
          </w:tcPr>
          <w:p w14:paraId="1E49EF3A">
            <w:pPr>
              <w:pStyle w:val="159"/>
            </w:pPr>
            <w:r>
              <w:rPr>
                <w:rFonts w:hint="eastAsia"/>
                <w:color w:val="000000"/>
                <w:sz w:val="22"/>
                <w:szCs w:val="22"/>
              </w:rPr>
              <w:t xml:space="preserve">6.456 </w:t>
            </w:r>
          </w:p>
        </w:tc>
      </w:tr>
      <w:tr w14:paraId="758A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DC021B6">
            <w:pPr>
              <w:pStyle w:val="159"/>
            </w:pPr>
            <w:r>
              <w:t>4</w:t>
            </w:r>
          </w:p>
        </w:tc>
        <w:tc>
          <w:tcPr>
            <w:tcW w:w="1122" w:type="pct"/>
            <w:vAlign w:val="center"/>
          </w:tcPr>
          <w:p w14:paraId="5EDA22E0">
            <w:pPr>
              <w:pStyle w:val="159"/>
            </w:pPr>
            <w:r>
              <w:t>线下</w:t>
            </w:r>
          </w:p>
        </w:tc>
        <w:tc>
          <w:tcPr>
            <w:tcW w:w="1357" w:type="pct"/>
            <w:shd w:val="clear" w:color="auto" w:fill="auto"/>
            <w:noWrap/>
            <w:vAlign w:val="center"/>
          </w:tcPr>
          <w:p w14:paraId="7178CA75">
            <w:pPr>
              <w:pStyle w:val="159"/>
            </w:pPr>
            <w:r>
              <w:rPr>
                <w:rFonts w:hint="eastAsia"/>
                <w:color w:val="000000"/>
                <w:sz w:val="22"/>
                <w:szCs w:val="22"/>
              </w:rPr>
              <w:t xml:space="preserve">362.991 </w:t>
            </w:r>
          </w:p>
        </w:tc>
        <w:tc>
          <w:tcPr>
            <w:tcW w:w="1357" w:type="pct"/>
            <w:shd w:val="clear" w:color="auto" w:fill="auto"/>
            <w:noWrap/>
            <w:vAlign w:val="center"/>
          </w:tcPr>
          <w:p w14:paraId="41FBD79A">
            <w:pPr>
              <w:pStyle w:val="159"/>
            </w:pPr>
            <w:r>
              <w:rPr>
                <w:rFonts w:hint="eastAsia"/>
                <w:color w:val="000000"/>
                <w:sz w:val="22"/>
                <w:szCs w:val="22"/>
              </w:rPr>
              <w:t xml:space="preserve">6.257 </w:t>
            </w:r>
          </w:p>
        </w:tc>
      </w:tr>
      <w:tr w14:paraId="535C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ECEFBDE">
            <w:pPr>
              <w:pStyle w:val="159"/>
            </w:pPr>
            <w:r>
              <w:t>5</w:t>
            </w:r>
          </w:p>
        </w:tc>
        <w:tc>
          <w:tcPr>
            <w:tcW w:w="1122" w:type="pct"/>
            <w:vAlign w:val="center"/>
          </w:tcPr>
          <w:p w14:paraId="15A15595">
            <w:pPr>
              <w:pStyle w:val="159"/>
            </w:pPr>
            <w:r>
              <w:t>线下</w:t>
            </w:r>
          </w:p>
        </w:tc>
        <w:tc>
          <w:tcPr>
            <w:tcW w:w="1357" w:type="pct"/>
            <w:shd w:val="clear" w:color="auto" w:fill="auto"/>
            <w:noWrap/>
            <w:vAlign w:val="center"/>
          </w:tcPr>
          <w:p w14:paraId="695CF830">
            <w:pPr>
              <w:pStyle w:val="159"/>
            </w:pPr>
            <w:r>
              <w:rPr>
                <w:rFonts w:hint="eastAsia"/>
                <w:color w:val="000000"/>
                <w:sz w:val="22"/>
                <w:szCs w:val="22"/>
              </w:rPr>
              <w:t xml:space="preserve">415.862 </w:t>
            </w:r>
          </w:p>
        </w:tc>
        <w:tc>
          <w:tcPr>
            <w:tcW w:w="1357" w:type="pct"/>
            <w:shd w:val="clear" w:color="auto" w:fill="auto"/>
            <w:noWrap/>
            <w:vAlign w:val="center"/>
          </w:tcPr>
          <w:p w14:paraId="2EAA3915">
            <w:pPr>
              <w:pStyle w:val="159"/>
            </w:pPr>
            <w:r>
              <w:rPr>
                <w:rFonts w:hint="eastAsia"/>
                <w:color w:val="000000"/>
                <w:sz w:val="22"/>
                <w:szCs w:val="22"/>
              </w:rPr>
              <w:t xml:space="preserve">6.031 </w:t>
            </w:r>
          </w:p>
        </w:tc>
      </w:tr>
      <w:tr w14:paraId="4793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247908CE">
            <w:pPr>
              <w:pStyle w:val="159"/>
            </w:pPr>
            <w:r>
              <w:t>6</w:t>
            </w:r>
          </w:p>
        </w:tc>
        <w:tc>
          <w:tcPr>
            <w:tcW w:w="1122" w:type="pct"/>
            <w:vAlign w:val="center"/>
          </w:tcPr>
          <w:p w14:paraId="52538EFE">
            <w:pPr>
              <w:pStyle w:val="159"/>
            </w:pPr>
            <w:r>
              <w:t>0</w:t>
            </w:r>
          </w:p>
        </w:tc>
        <w:tc>
          <w:tcPr>
            <w:tcW w:w="1357" w:type="pct"/>
            <w:shd w:val="clear" w:color="auto" w:fill="auto"/>
            <w:noWrap/>
            <w:vAlign w:val="center"/>
          </w:tcPr>
          <w:p w14:paraId="6AA17D0A">
            <w:pPr>
              <w:pStyle w:val="159"/>
            </w:pPr>
            <w:r>
              <w:rPr>
                <w:rFonts w:hint="eastAsia"/>
                <w:color w:val="000000"/>
                <w:sz w:val="22"/>
                <w:szCs w:val="22"/>
              </w:rPr>
              <w:t xml:space="preserve">461.282 </w:t>
            </w:r>
          </w:p>
        </w:tc>
        <w:tc>
          <w:tcPr>
            <w:tcW w:w="1357" w:type="pct"/>
            <w:shd w:val="clear" w:color="auto" w:fill="auto"/>
            <w:noWrap/>
            <w:vAlign w:val="center"/>
          </w:tcPr>
          <w:p w14:paraId="5046CF82">
            <w:pPr>
              <w:pStyle w:val="159"/>
            </w:pPr>
            <w:r>
              <w:rPr>
                <w:rFonts w:hint="eastAsia"/>
                <w:color w:val="000000"/>
                <w:sz w:val="22"/>
                <w:szCs w:val="22"/>
              </w:rPr>
              <w:t xml:space="preserve">5.785 </w:t>
            </w:r>
          </w:p>
        </w:tc>
      </w:tr>
      <w:tr w14:paraId="1DB5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4198BDB">
            <w:pPr>
              <w:pStyle w:val="159"/>
            </w:pPr>
            <w:r>
              <w:t>7</w:t>
            </w:r>
          </w:p>
        </w:tc>
        <w:tc>
          <w:tcPr>
            <w:tcW w:w="1122" w:type="pct"/>
            <w:vAlign w:val="center"/>
          </w:tcPr>
          <w:p w14:paraId="6317133E">
            <w:pPr>
              <w:pStyle w:val="159"/>
            </w:pPr>
            <w:r>
              <w:rPr>
                <w:color w:val="000000"/>
                <w:kern w:val="0"/>
              </w:rPr>
              <w:t>1</w:t>
            </w:r>
          </w:p>
        </w:tc>
        <w:tc>
          <w:tcPr>
            <w:tcW w:w="1357" w:type="pct"/>
            <w:shd w:val="clear" w:color="auto" w:fill="auto"/>
            <w:noWrap/>
            <w:vAlign w:val="center"/>
          </w:tcPr>
          <w:p w14:paraId="074A24B1">
            <w:pPr>
              <w:pStyle w:val="159"/>
            </w:pPr>
            <w:r>
              <w:rPr>
                <w:rFonts w:hint="eastAsia"/>
                <w:color w:val="000000"/>
                <w:sz w:val="22"/>
                <w:szCs w:val="22"/>
              </w:rPr>
              <w:t xml:space="preserve">497.183 </w:t>
            </w:r>
          </w:p>
        </w:tc>
        <w:tc>
          <w:tcPr>
            <w:tcW w:w="1357" w:type="pct"/>
            <w:shd w:val="clear" w:color="auto" w:fill="auto"/>
            <w:noWrap/>
            <w:vAlign w:val="center"/>
          </w:tcPr>
          <w:p w14:paraId="426E54BF">
            <w:pPr>
              <w:pStyle w:val="159"/>
            </w:pPr>
            <w:r>
              <w:rPr>
                <w:rFonts w:hint="eastAsia"/>
                <w:color w:val="000000"/>
                <w:sz w:val="22"/>
                <w:szCs w:val="22"/>
              </w:rPr>
              <w:t xml:space="preserve">5.522 </w:t>
            </w:r>
          </w:p>
        </w:tc>
      </w:tr>
      <w:tr w14:paraId="7AB7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7E900F3">
            <w:pPr>
              <w:pStyle w:val="159"/>
            </w:pPr>
            <w:r>
              <w:t>8</w:t>
            </w:r>
          </w:p>
        </w:tc>
        <w:tc>
          <w:tcPr>
            <w:tcW w:w="1122" w:type="pct"/>
            <w:vAlign w:val="center"/>
          </w:tcPr>
          <w:p w14:paraId="70D65B57">
            <w:pPr>
              <w:pStyle w:val="159"/>
            </w:pPr>
            <w:r>
              <w:rPr>
                <w:color w:val="000000"/>
                <w:kern w:val="0"/>
              </w:rPr>
              <w:t>2</w:t>
            </w:r>
          </w:p>
        </w:tc>
        <w:tc>
          <w:tcPr>
            <w:tcW w:w="1357" w:type="pct"/>
            <w:shd w:val="clear" w:color="auto" w:fill="auto"/>
            <w:noWrap/>
            <w:vAlign w:val="center"/>
          </w:tcPr>
          <w:p w14:paraId="6A7B1C7A">
            <w:pPr>
              <w:pStyle w:val="159"/>
            </w:pPr>
            <w:r>
              <w:rPr>
                <w:rFonts w:hint="eastAsia"/>
                <w:color w:val="000000"/>
                <w:sz w:val="22"/>
                <w:szCs w:val="22"/>
              </w:rPr>
              <w:t xml:space="preserve">522.581 </w:t>
            </w:r>
          </w:p>
        </w:tc>
        <w:tc>
          <w:tcPr>
            <w:tcW w:w="1357" w:type="pct"/>
            <w:shd w:val="clear" w:color="auto" w:fill="auto"/>
            <w:noWrap/>
            <w:vAlign w:val="center"/>
          </w:tcPr>
          <w:p w14:paraId="1000688A">
            <w:pPr>
              <w:pStyle w:val="159"/>
            </w:pPr>
            <w:r>
              <w:rPr>
                <w:rFonts w:hint="eastAsia"/>
                <w:color w:val="000000"/>
                <w:sz w:val="22"/>
                <w:szCs w:val="22"/>
              </w:rPr>
              <w:t xml:space="preserve">5.249 </w:t>
            </w:r>
          </w:p>
        </w:tc>
      </w:tr>
      <w:tr w14:paraId="027D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E2EC994">
            <w:pPr>
              <w:pStyle w:val="159"/>
            </w:pPr>
            <w:r>
              <w:t>9</w:t>
            </w:r>
          </w:p>
        </w:tc>
        <w:tc>
          <w:tcPr>
            <w:tcW w:w="1122" w:type="pct"/>
            <w:vAlign w:val="center"/>
          </w:tcPr>
          <w:p w14:paraId="43F811DA">
            <w:pPr>
              <w:pStyle w:val="159"/>
            </w:pPr>
            <w:r>
              <w:rPr>
                <w:color w:val="000000"/>
                <w:kern w:val="0"/>
              </w:rPr>
              <w:t>3</w:t>
            </w:r>
          </w:p>
        </w:tc>
        <w:tc>
          <w:tcPr>
            <w:tcW w:w="1357" w:type="pct"/>
            <w:shd w:val="clear" w:color="auto" w:fill="auto"/>
            <w:noWrap/>
            <w:vAlign w:val="center"/>
          </w:tcPr>
          <w:p w14:paraId="1ED19EEE">
            <w:pPr>
              <w:pStyle w:val="159"/>
            </w:pPr>
            <w:r>
              <w:rPr>
                <w:rFonts w:hint="eastAsia"/>
                <w:color w:val="000000"/>
                <w:sz w:val="22"/>
                <w:szCs w:val="22"/>
              </w:rPr>
              <w:t xml:space="preserve">537.382 </w:t>
            </w:r>
          </w:p>
        </w:tc>
        <w:tc>
          <w:tcPr>
            <w:tcW w:w="1357" w:type="pct"/>
            <w:shd w:val="clear" w:color="auto" w:fill="auto"/>
            <w:noWrap/>
            <w:vAlign w:val="center"/>
          </w:tcPr>
          <w:p w14:paraId="6ACAD5EB">
            <w:pPr>
              <w:pStyle w:val="159"/>
            </w:pPr>
            <w:r>
              <w:rPr>
                <w:rFonts w:hint="eastAsia"/>
                <w:color w:val="000000"/>
                <w:sz w:val="22"/>
                <w:szCs w:val="22"/>
              </w:rPr>
              <w:t xml:space="preserve">4.970 </w:t>
            </w:r>
          </w:p>
        </w:tc>
      </w:tr>
      <w:tr w14:paraId="13A9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23C3DA39">
            <w:pPr>
              <w:pStyle w:val="159"/>
            </w:pPr>
            <w:r>
              <w:t>10</w:t>
            </w:r>
          </w:p>
        </w:tc>
        <w:tc>
          <w:tcPr>
            <w:tcW w:w="1122" w:type="pct"/>
            <w:vAlign w:val="center"/>
          </w:tcPr>
          <w:p w14:paraId="2B977FB2">
            <w:pPr>
              <w:pStyle w:val="159"/>
            </w:pPr>
            <w:r>
              <w:rPr>
                <w:color w:val="000000"/>
                <w:kern w:val="0"/>
              </w:rPr>
              <w:t>4</w:t>
            </w:r>
          </w:p>
        </w:tc>
        <w:tc>
          <w:tcPr>
            <w:tcW w:w="1357" w:type="pct"/>
            <w:shd w:val="clear" w:color="auto" w:fill="auto"/>
            <w:noWrap/>
            <w:vAlign w:val="center"/>
          </w:tcPr>
          <w:p w14:paraId="6E0AA8FA">
            <w:pPr>
              <w:pStyle w:val="159"/>
            </w:pPr>
            <w:r>
              <w:rPr>
                <w:rFonts w:hint="eastAsia"/>
                <w:color w:val="000000"/>
                <w:sz w:val="22"/>
                <w:szCs w:val="22"/>
              </w:rPr>
              <w:t xml:space="preserve">542.208 </w:t>
            </w:r>
          </w:p>
        </w:tc>
        <w:tc>
          <w:tcPr>
            <w:tcW w:w="1357" w:type="pct"/>
            <w:shd w:val="clear" w:color="auto" w:fill="auto"/>
            <w:noWrap/>
            <w:vAlign w:val="center"/>
          </w:tcPr>
          <w:p w14:paraId="2A016C71">
            <w:pPr>
              <w:pStyle w:val="159"/>
            </w:pPr>
            <w:r>
              <w:rPr>
                <w:rFonts w:hint="eastAsia"/>
                <w:color w:val="000000"/>
                <w:sz w:val="22"/>
                <w:szCs w:val="22"/>
              </w:rPr>
              <w:t xml:space="preserve">4.690 </w:t>
            </w:r>
          </w:p>
        </w:tc>
      </w:tr>
      <w:tr w14:paraId="3DDD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B0F0191">
            <w:pPr>
              <w:pStyle w:val="159"/>
            </w:pPr>
            <w:r>
              <w:t>11</w:t>
            </w:r>
          </w:p>
        </w:tc>
        <w:tc>
          <w:tcPr>
            <w:tcW w:w="1122" w:type="pct"/>
            <w:vAlign w:val="center"/>
          </w:tcPr>
          <w:p w14:paraId="09BC1E53">
            <w:pPr>
              <w:pStyle w:val="159"/>
            </w:pPr>
            <w:r>
              <w:rPr>
                <w:color w:val="000000"/>
                <w:kern w:val="0"/>
              </w:rPr>
              <w:t>5</w:t>
            </w:r>
          </w:p>
        </w:tc>
        <w:tc>
          <w:tcPr>
            <w:tcW w:w="1357" w:type="pct"/>
            <w:shd w:val="clear" w:color="auto" w:fill="auto"/>
            <w:noWrap/>
            <w:vAlign w:val="center"/>
          </w:tcPr>
          <w:p w14:paraId="10E4195E">
            <w:pPr>
              <w:pStyle w:val="159"/>
            </w:pPr>
            <w:r>
              <w:rPr>
                <w:rFonts w:hint="eastAsia"/>
                <w:color w:val="000000"/>
                <w:sz w:val="22"/>
                <w:szCs w:val="22"/>
              </w:rPr>
              <w:t xml:space="preserve">538.196 </w:t>
            </w:r>
          </w:p>
        </w:tc>
        <w:tc>
          <w:tcPr>
            <w:tcW w:w="1357" w:type="pct"/>
            <w:shd w:val="clear" w:color="auto" w:fill="auto"/>
            <w:noWrap/>
            <w:vAlign w:val="center"/>
          </w:tcPr>
          <w:p w14:paraId="19ADDC01">
            <w:pPr>
              <w:pStyle w:val="159"/>
            </w:pPr>
            <w:r>
              <w:rPr>
                <w:rFonts w:hint="eastAsia"/>
                <w:color w:val="000000"/>
                <w:sz w:val="22"/>
                <w:szCs w:val="22"/>
              </w:rPr>
              <w:t xml:space="preserve">4.412 </w:t>
            </w:r>
          </w:p>
        </w:tc>
      </w:tr>
      <w:tr w14:paraId="4B6B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273FE54">
            <w:pPr>
              <w:pStyle w:val="159"/>
            </w:pPr>
            <w:r>
              <w:t>12</w:t>
            </w:r>
          </w:p>
        </w:tc>
        <w:tc>
          <w:tcPr>
            <w:tcW w:w="1122" w:type="pct"/>
            <w:vAlign w:val="center"/>
          </w:tcPr>
          <w:p w14:paraId="36F09DA1">
            <w:pPr>
              <w:pStyle w:val="159"/>
            </w:pPr>
            <w:r>
              <w:rPr>
                <w:color w:val="000000"/>
                <w:kern w:val="0"/>
              </w:rPr>
              <w:t>6</w:t>
            </w:r>
          </w:p>
        </w:tc>
        <w:tc>
          <w:tcPr>
            <w:tcW w:w="1357" w:type="pct"/>
            <w:shd w:val="clear" w:color="auto" w:fill="auto"/>
            <w:noWrap/>
            <w:vAlign w:val="center"/>
          </w:tcPr>
          <w:p w14:paraId="47DBFD69">
            <w:pPr>
              <w:pStyle w:val="159"/>
            </w:pPr>
            <w:r>
              <w:rPr>
                <w:rFonts w:hint="eastAsia"/>
                <w:color w:val="000000"/>
                <w:sz w:val="22"/>
                <w:szCs w:val="22"/>
              </w:rPr>
              <w:t xml:space="preserve">526.794 </w:t>
            </w:r>
          </w:p>
        </w:tc>
        <w:tc>
          <w:tcPr>
            <w:tcW w:w="1357" w:type="pct"/>
            <w:shd w:val="clear" w:color="auto" w:fill="auto"/>
            <w:noWrap/>
            <w:vAlign w:val="center"/>
          </w:tcPr>
          <w:p w14:paraId="5D958068">
            <w:pPr>
              <w:pStyle w:val="159"/>
            </w:pPr>
            <w:r>
              <w:rPr>
                <w:rFonts w:hint="eastAsia"/>
                <w:color w:val="000000"/>
                <w:sz w:val="22"/>
                <w:szCs w:val="22"/>
              </w:rPr>
              <w:t xml:space="preserve">4.141 </w:t>
            </w:r>
          </w:p>
        </w:tc>
      </w:tr>
      <w:tr w14:paraId="320F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83328A9">
            <w:pPr>
              <w:pStyle w:val="159"/>
            </w:pPr>
            <w:r>
              <w:t>13</w:t>
            </w:r>
          </w:p>
        </w:tc>
        <w:tc>
          <w:tcPr>
            <w:tcW w:w="1122" w:type="pct"/>
            <w:vAlign w:val="center"/>
          </w:tcPr>
          <w:p w14:paraId="2DAB8A60">
            <w:pPr>
              <w:pStyle w:val="159"/>
            </w:pPr>
            <w:r>
              <w:rPr>
                <w:color w:val="000000"/>
                <w:kern w:val="0"/>
              </w:rPr>
              <w:t>7</w:t>
            </w:r>
          </w:p>
        </w:tc>
        <w:tc>
          <w:tcPr>
            <w:tcW w:w="1357" w:type="pct"/>
            <w:shd w:val="clear" w:color="auto" w:fill="auto"/>
            <w:noWrap/>
            <w:vAlign w:val="center"/>
          </w:tcPr>
          <w:p w14:paraId="28E85A72">
            <w:pPr>
              <w:pStyle w:val="159"/>
            </w:pPr>
            <w:r>
              <w:rPr>
                <w:rFonts w:hint="eastAsia"/>
                <w:color w:val="000000"/>
                <w:sz w:val="22"/>
                <w:szCs w:val="22"/>
              </w:rPr>
              <w:t xml:space="preserve">509.569 </w:t>
            </w:r>
          </w:p>
        </w:tc>
        <w:tc>
          <w:tcPr>
            <w:tcW w:w="1357" w:type="pct"/>
            <w:shd w:val="clear" w:color="auto" w:fill="auto"/>
            <w:noWrap/>
            <w:vAlign w:val="center"/>
          </w:tcPr>
          <w:p w14:paraId="74E28B85">
            <w:pPr>
              <w:pStyle w:val="159"/>
            </w:pPr>
            <w:r>
              <w:rPr>
                <w:rFonts w:hint="eastAsia"/>
                <w:color w:val="000000"/>
                <w:sz w:val="22"/>
                <w:szCs w:val="22"/>
              </w:rPr>
              <w:t xml:space="preserve">3.880 </w:t>
            </w:r>
          </w:p>
        </w:tc>
      </w:tr>
      <w:tr w14:paraId="5E3C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58D319F">
            <w:pPr>
              <w:pStyle w:val="159"/>
            </w:pPr>
            <w:r>
              <w:t>14</w:t>
            </w:r>
          </w:p>
        </w:tc>
        <w:tc>
          <w:tcPr>
            <w:tcW w:w="1122" w:type="pct"/>
            <w:vAlign w:val="center"/>
          </w:tcPr>
          <w:p w14:paraId="64B54F11">
            <w:pPr>
              <w:pStyle w:val="159"/>
            </w:pPr>
            <w:r>
              <w:rPr>
                <w:color w:val="000000"/>
                <w:kern w:val="0"/>
              </w:rPr>
              <w:t>8</w:t>
            </w:r>
          </w:p>
        </w:tc>
        <w:tc>
          <w:tcPr>
            <w:tcW w:w="1357" w:type="pct"/>
            <w:shd w:val="clear" w:color="auto" w:fill="auto"/>
            <w:noWrap/>
            <w:vAlign w:val="center"/>
          </w:tcPr>
          <w:p w14:paraId="1AA722C2">
            <w:pPr>
              <w:pStyle w:val="159"/>
            </w:pPr>
            <w:r>
              <w:rPr>
                <w:rFonts w:hint="eastAsia"/>
                <w:color w:val="000000"/>
                <w:sz w:val="22"/>
                <w:szCs w:val="22"/>
              </w:rPr>
              <w:t xml:space="preserve">488.055 </w:t>
            </w:r>
          </w:p>
        </w:tc>
        <w:tc>
          <w:tcPr>
            <w:tcW w:w="1357" w:type="pct"/>
            <w:shd w:val="clear" w:color="auto" w:fill="auto"/>
            <w:noWrap/>
            <w:vAlign w:val="center"/>
          </w:tcPr>
          <w:p w14:paraId="18ED2F51">
            <w:pPr>
              <w:pStyle w:val="159"/>
            </w:pPr>
            <w:r>
              <w:rPr>
                <w:rFonts w:hint="eastAsia"/>
                <w:color w:val="000000"/>
                <w:sz w:val="22"/>
                <w:szCs w:val="22"/>
              </w:rPr>
              <w:t xml:space="preserve">3.630 </w:t>
            </w:r>
          </w:p>
        </w:tc>
      </w:tr>
      <w:tr w14:paraId="5E53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2089309">
            <w:pPr>
              <w:pStyle w:val="159"/>
            </w:pPr>
            <w:r>
              <w:t>15</w:t>
            </w:r>
          </w:p>
        </w:tc>
        <w:tc>
          <w:tcPr>
            <w:tcW w:w="1122" w:type="pct"/>
            <w:vAlign w:val="center"/>
          </w:tcPr>
          <w:p w14:paraId="7DFDB4EE">
            <w:pPr>
              <w:pStyle w:val="159"/>
            </w:pPr>
            <w:r>
              <w:rPr>
                <w:color w:val="000000"/>
                <w:kern w:val="0"/>
              </w:rPr>
              <w:t>9</w:t>
            </w:r>
          </w:p>
        </w:tc>
        <w:tc>
          <w:tcPr>
            <w:tcW w:w="1357" w:type="pct"/>
            <w:shd w:val="clear" w:color="auto" w:fill="auto"/>
            <w:noWrap/>
            <w:vAlign w:val="center"/>
          </w:tcPr>
          <w:p w14:paraId="0913078C">
            <w:pPr>
              <w:pStyle w:val="159"/>
            </w:pPr>
            <w:r>
              <w:rPr>
                <w:rFonts w:hint="eastAsia"/>
                <w:color w:val="000000"/>
                <w:sz w:val="22"/>
                <w:szCs w:val="22"/>
              </w:rPr>
              <w:t xml:space="preserve">463.644 </w:t>
            </w:r>
          </w:p>
        </w:tc>
        <w:tc>
          <w:tcPr>
            <w:tcW w:w="1357" w:type="pct"/>
            <w:shd w:val="clear" w:color="auto" w:fill="auto"/>
            <w:noWrap/>
            <w:vAlign w:val="center"/>
          </w:tcPr>
          <w:p w14:paraId="3A154DB7">
            <w:pPr>
              <w:pStyle w:val="159"/>
            </w:pPr>
            <w:r>
              <w:rPr>
                <w:rFonts w:hint="eastAsia"/>
                <w:color w:val="000000"/>
                <w:sz w:val="22"/>
                <w:szCs w:val="22"/>
              </w:rPr>
              <w:t xml:space="preserve">3.393 </w:t>
            </w:r>
          </w:p>
        </w:tc>
      </w:tr>
      <w:tr w14:paraId="2E35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3BCD91A9">
            <w:pPr>
              <w:pStyle w:val="159"/>
            </w:pPr>
            <w:r>
              <w:t>16</w:t>
            </w:r>
          </w:p>
        </w:tc>
        <w:tc>
          <w:tcPr>
            <w:tcW w:w="1122" w:type="pct"/>
            <w:vAlign w:val="center"/>
          </w:tcPr>
          <w:p w14:paraId="5859C16E">
            <w:pPr>
              <w:pStyle w:val="159"/>
            </w:pPr>
            <w:r>
              <w:rPr>
                <w:color w:val="000000"/>
                <w:kern w:val="0"/>
              </w:rPr>
              <w:t>10</w:t>
            </w:r>
          </w:p>
        </w:tc>
        <w:tc>
          <w:tcPr>
            <w:tcW w:w="1357" w:type="pct"/>
            <w:shd w:val="clear" w:color="auto" w:fill="auto"/>
            <w:noWrap/>
            <w:vAlign w:val="center"/>
          </w:tcPr>
          <w:p w14:paraId="065E8C48">
            <w:pPr>
              <w:pStyle w:val="159"/>
            </w:pPr>
            <w:r>
              <w:rPr>
                <w:rFonts w:hint="eastAsia"/>
                <w:color w:val="000000"/>
                <w:sz w:val="22"/>
                <w:szCs w:val="22"/>
              </w:rPr>
              <w:t xml:space="preserve">437.531 </w:t>
            </w:r>
          </w:p>
        </w:tc>
        <w:tc>
          <w:tcPr>
            <w:tcW w:w="1357" w:type="pct"/>
            <w:shd w:val="clear" w:color="auto" w:fill="auto"/>
            <w:noWrap/>
            <w:vAlign w:val="center"/>
          </w:tcPr>
          <w:p w14:paraId="7438482C">
            <w:pPr>
              <w:pStyle w:val="159"/>
            </w:pPr>
            <w:r>
              <w:rPr>
                <w:rFonts w:hint="eastAsia"/>
                <w:color w:val="000000"/>
                <w:sz w:val="22"/>
                <w:szCs w:val="22"/>
              </w:rPr>
              <w:t xml:space="preserve">3.171 </w:t>
            </w:r>
          </w:p>
        </w:tc>
      </w:tr>
      <w:tr w14:paraId="780F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C07269E">
            <w:pPr>
              <w:pStyle w:val="159"/>
            </w:pPr>
            <w:r>
              <w:t>17</w:t>
            </w:r>
          </w:p>
        </w:tc>
        <w:tc>
          <w:tcPr>
            <w:tcW w:w="1122" w:type="pct"/>
            <w:vAlign w:val="center"/>
          </w:tcPr>
          <w:p w14:paraId="19616C65">
            <w:pPr>
              <w:pStyle w:val="159"/>
            </w:pPr>
            <w:r>
              <w:rPr>
                <w:color w:val="000000"/>
                <w:kern w:val="0"/>
              </w:rPr>
              <w:t>11</w:t>
            </w:r>
          </w:p>
        </w:tc>
        <w:tc>
          <w:tcPr>
            <w:tcW w:w="1357" w:type="pct"/>
            <w:shd w:val="clear" w:color="auto" w:fill="auto"/>
            <w:noWrap/>
            <w:vAlign w:val="center"/>
          </w:tcPr>
          <w:p w14:paraId="49880EDF">
            <w:pPr>
              <w:pStyle w:val="159"/>
            </w:pPr>
            <w:r>
              <w:rPr>
                <w:rFonts w:hint="eastAsia"/>
                <w:color w:val="000000"/>
                <w:sz w:val="22"/>
                <w:szCs w:val="22"/>
              </w:rPr>
              <w:t xml:space="preserve">410.688 </w:t>
            </w:r>
          </w:p>
        </w:tc>
        <w:tc>
          <w:tcPr>
            <w:tcW w:w="1357" w:type="pct"/>
            <w:shd w:val="clear" w:color="auto" w:fill="auto"/>
            <w:noWrap/>
            <w:vAlign w:val="center"/>
          </w:tcPr>
          <w:p w14:paraId="03AF52FD">
            <w:pPr>
              <w:pStyle w:val="159"/>
            </w:pPr>
            <w:r>
              <w:rPr>
                <w:rFonts w:hint="eastAsia"/>
                <w:color w:val="000000"/>
                <w:sz w:val="22"/>
                <w:szCs w:val="22"/>
              </w:rPr>
              <w:t xml:space="preserve">2.962 </w:t>
            </w:r>
          </w:p>
        </w:tc>
      </w:tr>
      <w:tr w14:paraId="73AB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05A6586">
            <w:pPr>
              <w:pStyle w:val="159"/>
            </w:pPr>
            <w:r>
              <w:t>18</w:t>
            </w:r>
          </w:p>
        </w:tc>
        <w:tc>
          <w:tcPr>
            <w:tcW w:w="1122" w:type="pct"/>
            <w:vAlign w:val="center"/>
          </w:tcPr>
          <w:p w14:paraId="26F56C92">
            <w:pPr>
              <w:pStyle w:val="159"/>
            </w:pPr>
            <w:r>
              <w:rPr>
                <w:color w:val="000000"/>
                <w:kern w:val="0"/>
              </w:rPr>
              <w:t>12</w:t>
            </w:r>
          </w:p>
        </w:tc>
        <w:tc>
          <w:tcPr>
            <w:tcW w:w="1357" w:type="pct"/>
            <w:shd w:val="clear" w:color="auto" w:fill="auto"/>
            <w:noWrap/>
            <w:vAlign w:val="center"/>
          </w:tcPr>
          <w:p w14:paraId="3052DAEF">
            <w:pPr>
              <w:pStyle w:val="159"/>
            </w:pPr>
            <w:r>
              <w:rPr>
                <w:rFonts w:hint="eastAsia"/>
                <w:color w:val="000000"/>
                <w:sz w:val="22"/>
                <w:szCs w:val="22"/>
              </w:rPr>
              <w:t xml:space="preserve">383.871 </w:t>
            </w:r>
          </w:p>
        </w:tc>
        <w:tc>
          <w:tcPr>
            <w:tcW w:w="1357" w:type="pct"/>
            <w:shd w:val="clear" w:color="auto" w:fill="auto"/>
            <w:noWrap/>
            <w:vAlign w:val="center"/>
          </w:tcPr>
          <w:p w14:paraId="75A5C608">
            <w:pPr>
              <w:pStyle w:val="159"/>
            </w:pPr>
            <w:r>
              <w:rPr>
                <w:rFonts w:hint="eastAsia"/>
                <w:color w:val="000000"/>
                <w:sz w:val="22"/>
                <w:szCs w:val="22"/>
              </w:rPr>
              <w:t xml:space="preserve">2.769 </w:t>
            </w:r>
          </w:p>
        </w:tc>
      </w:tr>
      <w:tr w14:paraId="5973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6BD6560">
            <w:pPr>
              <w:pStyle w:val="159"/>
            </w:pPr>
            <w:r>
              <w:t>19</w:t>
            </w:r>
          </w:p>
        </w:tc>
        <w:tc>
          <w:tcPr>
            <w:tcW w:w="1122" w:type="pct"/>
            <w:vAlign w:val="center"/>
          </w:tcPr>
          <w:p w14:paraId="2AE6BDC3">
            <w:pPr>
              <w:pStyle w:val="159"/>
            </w:pPr>
            <w:r>
              <w:rPr>
                <w:color w:val="000000"/>
                <w:kern w:val="0"/>
              </w:rPr>
              <w:t>13</w:t>
            </w:r>
          </w:p>
        </w:tc>
        <w:tc>
          <w:tcPr>
            <w:tcW w:w="1357" w:type="pct"/>
            <w:shd w:val="clear" w:color="auto" w:fill="auto"/>
            <w:noWrap/>
            <w:vAlign w:val="center"/>
          </w:tcPr>
          <w:p w14:paraId="710AA9EB">
            <w:pPr>
              <w:pStyle w:val="159"/>
            </w:pPr>
            <w:r>
              <w:rPr>
                <w:rFonts w:hint="eastAsia"/>
                <w:color w:val="000000"/>
                <w:sz w:val="22"/>
                <w:szCs w:val="22"/>
              </w:rPr>
              <w:t xml:space="preserve">357.642 </w:t>
            </w:r>
          </w:p>
        </w:tc>
        <w:tc>
          <w:tcPr>
            <w:tcW w:w="1357" w:type="pct"/>
            <w:shd w:val="clear" w:color="auto" w:fill="auto"/>
            <w:noWrap/>
            <w:vAlign w:val="center"/>
          </w:tcPr>
          <w:p w14:paraId="41259289">
            <w:pPr>
              <w:pStyle w:val="159"/>
            </w:pPr>
            <w:r>
              <w:rPr>
                <w:rFonts w:hint="eastAsia"/>
                <w:color w:val="000000"/>
                <w:sz w:val="22"/>
                <w:szCs w:val="22"/>
              </w:rPr>
              <w:t xml:space="preserve">2.589 </w:t>
            </w:r>
          </w:p>
        </w:tc>
      </w:tr>
      <w:tr w14:paraId="6F9F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38C975D0">
            <w:pPr>
              <w:pStyle w:val="159"/>
            </w:pPr>
            <w:r>
              <w:t>20</w:t>
            </w:r>
          </w:p>
        </w:tc>
        <w:tc>
          <w:tcPr>
            <w:tcW w:w="1122" w:type="pct"/>
            <w:vAlign w:val="center"/>
          </w:tcPr>
          <w:p w14:paraId="23B99131">
            <w:pPr>
              <w:pStyle w:val="159"/>
            </w:pPr>
            <w:r>
              <w:rPr>
                <w:color w:val="000000"/>
                <w:kern w:val="0"/>
              </w:rPr>
              <w:t>14</w:t>
            </w:r>
          </w:p>
        </w:tc>
        <w:tc>
          <w:tcPr>
            <w:tcW w:w="1357" w:type="pct"/>
            <w:shd w:val="clear" w:color="auto" w:fill="auto"/>
            <w:noWrap/>
            <w:vAlign w:val="center"/>
          </w:tcPr>
          <w:p w14:paraId="2103DC78">
            <w:pPr>
              <w:pStyle w:val="159"/>
            </w:pPr>
            <w:r>
              <w:rPr>
                <w:rFonts w:hint="eastAsia"/>
                <w:color w:val="000000"/>
                <w:sz w:val="22"/>
                <w:szCs w:val="22"/>
              </w:rPr>
              <w:t xml:space="preserve">332.394 </w:t>
            </w:r>
          </w:p>
        </w:tc>
        <w:tc>
          <w:tcPr>
            <w:tcW w:w="1357" w:type="pct"/>
            <w:shd w:val="clear" w:color="auto" w:fill="auto"/>
            <w:noWrap/>
            <w:vAlign w:val="center"/>
          </w:tcPr>
          <w:p w14:paraId="2C2DAF00">
            <w:pPr>
              <w:pStyle w:val="159"/>
            </w:pPr>
            <w:r>
              <w:rPr>
                <w:rFonts w:hint="eastAsia"/>
                <w:color w:val="000000"/>
                <w:sz w:val="22"/>
                <w:szCs w:val="22"/>
              </w:rPr>
              <w:t xml:space="preserve">2.422 </w:t>
            </w:r>
          </w:p>
        </w:tc>
      </w:tr>
      <w:tr w14:paraId="597B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2B79EEC">
            <w:pPr>
              <w:pStyle w:val="159"/>
            </w:pPr>
            <w:r>
              <w:t>21</w:t>
            </w:r>
          </w:p>
        </w:tc>
        <w:tc>
          <w:tcPr>
            <w:tcW w:w="1122" w:type="pct"/>
            <w:vAlign w:val="center"/>
          </w:tcPr>
          <w:p w14:paraId="6958A8F6">
            <w:pPr>
              <w:pStyle w:val="159"/>
            </w:pPr>
            <w:r>
              <w:rPr>
                <w:color w:val="000000"/>
                <w:kern w:val="0"/>
              </w:rPr>
              <w:t>15</w:t>
            </w:r>
          </w:p>
        </w:tc>
        <w:tc>
          <w:tcPr>
            <w:tcW w:w="1357" w:type="pct"/>
            <w:shd w:val="clear" w:color="auto" w:fill="auto"/>
            <w:noWrap/>
            <w:vAlign w:val="center"/>
          </w:tcPr>
          <w:p w14:paraId="0956CE6C">
            <w:pPr>
              <w:pStyle w:val="159"/>
            </w:pPr>
            <w:r>
              <w:rPr>
                <w:rFonts w:hint="eastAsia"/>
                <w:color w:val="000000"/>
                <w:sz w:val="22"/>
                <w:szCs w:val="22"/>
              </w:rPr>
              <w:t xml:space="preserve">308.387 </w:t>
            </w:r>
          </w:p>
        </w:tc>
        <w:tc>
          <w:tcPr>
            <w:tcW w:w="1357" w:type="pct"/>
            <w:shd w:val="clear" w:color="auto" w:fill="auto"/>
            <w:noWrap/>
            <w:vAlign w:val="center"/>
          </w:tcPr>
          <w:p w14:paraId="6239ABAC">
            <w:pPr>
              <w:pStyle w:val="159"/>
            </w:pPr>
            <w:r>
              <w:rPr>
                <w:rFonts w:hint="eastAsia"/>
                <w:color w:val="000000"/>
                <w:sz w:val="22"/>
                <w:szCs w:val="22"/>
              </w:rPr>
              <w:t xml:space="preserve">2.268 </w:t>
            </w:r>
          </w:p>
        </w:tc>
      </w:tr>
      <w:tr w14:paraId="5C8A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7C72F8CB">
            <w:pPr>
              <w:pStyle w:val="159"/>
            </w:pPr>
            <w:r>
              <w:t>22</w:t>
            </w:r>
          </w:p>
        </w:tc>
        <w:tc>
          <w:tcPr>
            <w:tcW w:w="1122" w:type="pct"/>
            <w:vAlign w:val="center"/>
          </w:tcPr>
          <w:p w14:paraId="61BF83DF">
            <w:pPr>
              <w:pStyle w:val="159"/>
            </w:pPr>
            <w:r>
              <w:rPr>
                <w:color w:val="000000"/>
                <w:kern w:val="0"/>
              </w:rPr>
              <w:t>16</w:t>
            </w:r>
          </w:p>
        </w:tc>
        <w:tc>
          <w:tcPr>
            <w:tcW w:w="1357" w:type="pct"/>
            <w:shd w:val="clear" w:color="auto" w:fill="auto"/>
            <w:noWrap/>
            <w:vAlign w:val="center"/>
          </w:tcPr>
          <w:p w14:paraId="0B32F33B">
            <w:pPr>
              <w:pStyle w:val="159"/>
            </w:pPr>
            <w:r>
              <w:rPr>
                <w:rFonts w:hint="eastAsia"/>
                <w:color w:val="000000"/>
                <w:sz w:val="22"/>
                <w:szCs w:val="22"/>
              </w:rPr>
              <w:t xml:space="preserve">285.775 </w:t>
            </w:r>
          </w:p>
        </w:tc>
        <w:tc>
          <w:tcPr>
            <w:tcW w:w="1357" w:type="pct"/>
            <w:shd w:val="clear" w:color="auto" w:fill="auto"/>
            <w:noWrap/>
            <w:vAlign w:val="center"/>
          </w:tcPr>
          <w:p w14:paraId="3CA9E385">
            <w:pPr>
              <w:pStyle w:val="159"/>
            </w:pPr>
            <w:r>
              <w:rPr>
                <w:rFonts w:hint="eastAsia"/>
                <w:color w:val="000000"/>
                <w:sz w:val="22"/>
                <w:szCs w:val="22"/>
              </w:rPr>
              <w:t xml:space="preserve">2.126 </w:t>
            </w:r>
          </w:p>
        </w:tc>
      </w:tr>
      <w:tr w14:paraId="490F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3B9D961F">
            <w:pPr>
              <w:pStyle w:val="159"/>
            </w:pPr>
            <w:r>
              <w:t>23</w:t>
            </w:r>
          </w:p>
        </w:tc>
        <w:tc>
          <w:tcPr>
            <w:tcW w:w="1122" w:type="pct"/>
            <w:vAlign w:val="center"/>
          </w:tcPr>
          <w:p w14:paraId="2794FCCE">
            <w:pPr>
              <w:pStyle w:val="159"/>
            </w:pPr>
            <w:r>
              <w:rPr>
                <w:color w:val="000000"/>
                <w:kern w:val="0"/>
              </w:rPr>
              <w:t>17</w:t>
            </w:r>
          </w:p>
        </w:tc>
        <w:tc>
          <w:tcPr>
            <w:tcW w:w="1357" w:type="pct"/>
            <w:shd w:val="clear" w:color="auto" w:fill="auto"/>
            <w:noWrap/>
            <w:vAlign w:val="center"/>
          </w:tcPr>
          <w:p w14:paraId="19B320A3">
            <w:pPr>
              <w:pStyle w:val="159"/>
            </w:pPr>
            <w:r>
              <w:rPr>
                <w:rFonts w:hint="eastAsia"/>
                <w:color w:val="000000"/>
                <w:sz w:val="22"/>
                <w:szCs w:val="22"/>
              </w:rPr>
              <w:t xml:space="preserve">264.631 </w:t>
            </w:r>
          </w:p>
        </w:tc>
        <w:tc>
          <w:tcPr>
            <w:tcW w:w="1357" w:type="pct"/>
            <w:shd w:val="clear" w:color="auto" w:fill="auto"/>
            <w:noWrap/>
            <w:vAlign w:val="center"/>
          </w:tcPr>
          <w:p w14:paraId="07F7D0BB">
            <w:pPr>
              <w:pStyle w:val="159"/>
            </w:pPr>
            <w:r>
              <w:rPr>
                <w:rFonts w:hint="eastAsia"/>
                <w:color w:val="000000"/>
                <w:sz w:val="22"/>
                <w:szCs w:val="22"/>
              </w:rPr>
              <w:t xml:space="preserve">1.995 </w:t>
            </w:r>
          </w:p>
        </w:tc>
      </w:tr>
      <w:tr w14:paraId="4AE5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8890972">
            <w:pPr>
              <w:pStyle w:val="159"/>
            </w:pPr>
            <w:r>
              <w:t>24</w:t>
            </w:r>
          </w:p>
        </w:tc>
        <w:tc>
          <w:tcPr>
            <w:tcW w:w="1122" w:type="pct"/>
            <w:vAlign w:val="center"/>
          </w:tcPr>
          <w:p w14:paraId="6C3C5272">
            <w:pPr>
              <w:pStyle w:val="159"/>
            </w:pPr>
            <w:r>
              <w:rPr>
                <w:color w:val="000000"/>
                <w:kern w:val="0"/>
              </w:rPr>
              <w:t>18</w:t>
            </w:r>
          </w:p>
        </w:tc>
        <w:tc>
          <w:tcPr>
            <w:tcW w:w="1357" w:type="pct"/>
            <w:shd w:val="clear" w:color="auto" w:fill="auto"/>
            <w:noWrap/>
            <w:vAlign w:val="center"/>
          </w:tcPr>
          <w:p w14:paraId="6133DF2A">
            <w:pPr>
              <w:pStyle w:val="159"/>
            </w:pPr>
            <w:r>
              <w:rPr>
                <w:rFonts w:hint="eastAsia"/>
                <w:color w:val="000000"/>
                <w:sz w:val="22"/>
                <w:szCs w:val="22"/>
              </w:rPr>
              <w:t xml:space="preserve">244.971 </w:t>
            </w:r>
          </w:p>
        </w:tc>
        <w:tc>
          <w:tcPr>
            <w:tcW w:w="1357" w:type="pct"/>
            <w:shd w:val="clear" w:color="auto" w:fill="auto"/>
            <w:noWrap/>
            <w:vAlign w:val="center"/>
          </w:tcPr>
          <w:p w14:paraId="1E0542EC">
            <w:pPr>
              <w:pStyle w:val="159"/>
            </w:pPr>
            <w:r>
              <w:rPr>
                <w:rFonts w:hint="eastAsia"/>
                <w:color w:val="000000"/>
                <w:sz w:val="22"/>
                <w:szCs w:val="22"/>
              </w:rPr>
              <w:t xml:space="preserve">1.874 </w:t>
            </w:r>
          </w:p>
        </w:tc>
      </w:tr>
      <w:tr w14:paraId="2AE9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49A925C">
            <w:pPr>
              <w:pStyle w:val="159"/>
            </w:pPr>
            <w:r>
              <w:t>25</w:t>
            </w:r>
          </w:p>
        </w:tc>
        <w:tc>
          <w:tcPr>
            <w:tcW w:w="1122" w:type="pct"/>
            <w:vAlign w:val="center"/>
          </w:tcPr>
          <w:p w14:paraId="48EDB4AE">
            <w:pPr>
              <w:pStyle w:val="159"/>
            </w:pPr>
            <w:r>
              <w:rPr>
                <w:color w:val="000000"/>
                <w:kern w:val="0"/>
              </w:rPr>
              <w:t>19</w:t>
            </w:r>
          </w:p>
        </w:tc>
        <w:tc>
          <w:tcPr>
            <w:tcW w:w="1357" w:type="pct"/>
            <w:shd w:val="clear" w:color="auto" w:fill="auto"/>
            <w:noWrap/>
            <w:vAlign w:val="center"/>
          </w:tcPr>
          <w:p w14:paraId="62394835">
            <w:pPr>
              <w:pStyle w:val="159"/>
            </w:pPr>
            <w:r>
              <w:rPr>
                <w:rFonts w:hint="eastAsia"/>
                <w:color w:val="000000"/>
                <w:sz w:val="22"/>
                <w:szCs w:val="22"/>
              </w:rPr>
              <w:t xml:space="preserve">226.768 </w:t>
            </w:r>
          </w:p>
        </w:tc>
        <w:tc>
          <w:tcPr>
            <w:tcW w:w="1357" w:type="pct"/>
            <w:shd w:val="clear" w:color="auto" w:fill="auto"/>
            <w:noWrap/>
            <w:vAlign w:val="center"/>
          </w:tcPr>
          <w:p w14:paraId="4A9400A8">
            <w:pPr>
              <w:pStyle w:val="159"/>
            </w:pPr>
            <w:r>
              <w:rPr>
                <w:rFonts w:hint="eastAsia"/>
                <w:color w:val="000000"/>
                <w:sz w:val="22"/>
                <w:szCs w:val="22"/>
              </w:rPr>
              <w:t xml:space="preserve">1.763 </w:t>
            </w:r>
          </w:p>
        </w:tc>
      </w:tr>
      <w:tr w14:paraId="0933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6D2800ED">
            <w:pPr>
              <w:pStyle w:val="159"/>
            </w:pPr>
            <w:r>
              <w:t>26</w:t>
            </w:r>
          </w:p>
        </w:tc>
        <w:tc>
          <w:tcPr>
            <w:tcW w:w="1122" w:type="pct"/>
            <w:vAlign w:val="center"/>
          </w:tcPr>
          <w:p w14:paraId="32B86FC5">
            <w:pPr>
              <w:pStyle w:val="159"/>
            </w:pPr>
            <w:r>
              <w:rPr>
                <w:color w:val="000000"/>
                <w:kern w:val="0"/>
              </w:rPr>
              <w:t>20</w:t>
            </w:r>
          </w:p>
        </w:tc>
        <w:tc>
          <w:tcPr>
            <w:tcW w:w="1357" w:type="pct"/>
            <w:shd w:val="clear" w:color="auto" w:fill="auto"/>
            <w:noWrap/>
            <w:vAlign w:val="center"/>
          </w:tcPr>
          <w:p w14:paraId="68A4B327">
            <w:pPr>
              <w:pStyle w:val="159"/>
            </w:pPr>
            <w:r>
              <w:rPr>
                <w:rFonts w:hint="eastAsia"/>
                <w:color w:val="000000"/>
                <w:sz w:val="22"/>
                <w:szCs w:val="22"/>
              </w:rPr>
              <w:t xml:space="preserve">209.968 </w:t>
            </w:r>
          </w:p>
        </w:tc>
        <w:tc>
          <w:tcPr>
            <w:tcW w:w="1357" w:type="pct"/>
            <w:shd w:val="clear" w:color="auto" w:fill="auto"/>
            <w:noWrap/>
            <w:vAlign w:val="center"/>
          </w:tcPr>
          <w:p w14:paraId="1179D02A">
            <w:pPr>
              <w:pStyle w:val="159"/>
            </w:pPr>
            <w:r>
              <w:rPr>
                <w:rFonts w:hint="eastAsia"/>
                <w:color w:val="000000"/>
                <w:sz w:val="22"/>
                <w:szCs w:val="22"/>
              </w:rPr>
              <w:t xml:space="preserve">1.660 </w:t>
            </w:r>
          </w:p>
        </w:tc>
      </w:tr>
      <w:tr w14:paraId="0D1D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97919A9">
            <w:pPr>
              <w:pStyle w:val="159"/>
            </w:pPr>
            <w:r>
              <w:t>27</w:t>
            </w:r>
          </w:p>
        </w:tc>
        <w:tc>
          <w:tcPr>
            <w:tcW w:w="1122" w:type="pct"/>
            <w:vAlign w:val="center"/>
          </w:tcPr>
          <w:p w14:paraId="55DA374B">
            <w:pPr>
              <w:pStyle w:val="159"/>
            </w:pPr>
            <w:r>
              <w:rPr>
                <w:color w:val="000000"/>
                <w:kern w:val="0"/>
              </w:rPr>
              <w:t>21</w:t>
            </w:r>
          </w:p>
        </w:tc>
        <w:tc>
          <w:tcPr>
            <w:tcW w:w="1357" w:type="pct"/>
            <w:shd w:val="clear" w:color="auto" w:fill="auto"/>
            <w:noWrap/>
            <w:vAlign w:val="center"/>
          </w:tcPr>
          <w:p w14:paraId="2F881C5A">
            <w:pPr>
              <w:pStyle w:val="159"/>
            </w:pPr>
            <w:r>
              <w:rPr>
                <w:rFonts w:hint="eastAsia"/>
                <w:color w:val="000000"/>
                <w:sz w:val="22"/>
                <w:szCs w:val="22"/>
              </w:rPr>
              <w:t xml:space="preserve">194.500 </w:t>
            </w:r>
          </w:p>
        </w:tc>
        <w:tc>
          <w:tcPr>
            <w:tcW w:w="1357" w:type="pct"/>
            <w:shd w:val="clear" w:color="auto" w:fill="auto"/>
            <w:noWrap/>
            <w:vAlign w:val="center"/>
          </w:tcPr>
          <w:p w14:paraId="13B475F3">
            <w:pPr>
              <w:pStyle w:val="159"/>
            </w:pPr>
            <w:r>
              <w:rPr>
                <w:rFonts w:hint="eastAsia"/>
                <w:color w:val="000000"/>
                <w:sz w:val="22"/>
                <w:szCs w:val="22"/>
              </w:rPr>
              <w:t xml:space="preserve">1.565 </w:t>
            </w:r>
          </w:p>
        </w:tc>
      </w:tr>
      <w:tr w14:paraId="7A11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5EFB1CF">
            <w:pPr>
              <w:pStyle w:val="159"/>
            </w:pPr>
            <w:r>
              <w:t>28</w:t>
            </w:r>
          </w:p>
        </w:tc>
        <w:tc>
          <w:tcPr>
            <w:tcW w:w="1122" w:type="pct"/>
            <w:vAlign w:val="center"/>
          </w:tcPr>
          <w:p w14:paraId="17852E37">
            <w:pPr>
              <w:pStyle w:val="159"/>
            </w:pPr>
            <w:r>
              <w:rPr>
                <w:color w:val="000000"/>
                <w:kern w:val="0"/>
              </w:rPr>
              <w:t>22</w:t>
            </w:r>
          </w:p>
        </w:tc>
        <w:tc>
          <w:tcPr>
            <w:tcW w:w="1357" w:type="pct"/>
            <w:shd w:val="clear" w:color="auto" w:fill="auto"/>
            <w:noWrap/>
            <w:vAlign w:val="center"/>
          </w:tcPr>
          <w:p w14:paraId="6B4AA98D">
            <w:pPr>
              <w:pStyle w:val="159"/>
            </w:pPr>
            <w:r>
              <w:rPr>
                <w:rFonts w:hint="eastAsia"/>
                <w:color w:val="000000"/>
                <w:sz w:val="22"/>
                <w:szCs w:val="22"/>
              </w:rPr>
              <w:t xml:space="preserve">180.282 </w:t>
            </w:r>
          </w:p>
        </w:tc>
        <w:tc>
          <w:tcPr>
            <w:tcW w:w="1357" w:type="pct"/>
            <w:shd w:val="clear" w:color="auto" w:fill="auto"/>
            <w:noWrap/>
            <w:vAlign w:val="center"/>
          </w:tcPr>
          <w:p w14:paraId="2A57818E">
            <w:pPr>
              <w:pStyle w:val="159"/>
            </w:pPr>
            <w:r>
              <w:rPr>
                <w:rFonts w:hint="eastAsia"/>
                <w:color w:val="000000"/>
                <w:sz w:val="22"/>
                <w:szCs w:val="22"/>
              </w:rPr>
              <w:t xml:space="preserve">1.477 </w:t>
            </w:r>
          </w:p>
        </w:tc>
      </w:tr>
      <w:tr w14:paraId="755E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F436E4E">
            <w:pPr>
              <w:pStyle w:val="159"/>
            </w:pPr>
            <w:r>
              <w:t>29</w:t>
            </w:r>
          </w:p>
        </w:tc>
        <w:tc>
          <w:tcPr>
            <w:tcW w:w="1122" w:type="pct"/>
            <w:vAlign w:val="center"/>
          </w:tcPr>
          <w:p w14:paraId="78EB7A7A">
            <w:pPr>
              <w:pStyle w:val="159"/>
            </w:pPr>
            <w:r>
              <w:rPr>
                <w:color w:val="000000"/>
                <w:kern w:val="0"/>
              </w:rPr>
              <w:t>23</w:t>
            </w:r>
          </w:p>
        </w:tc>
        <w:tc>
          <w:tcPr>
            <w:tcW w:w="1357" w:type="pct"/>
            <w:shd w:val="clear" w:color="auto" w:fill="auto"/>
            <w:noWrap/>
            <w:vAlign w:val="center"/>
          </w:tcPr>
          <w:p w14:paraId="7CC699D8">
            <w:pPr>
              <w:pStyle w:val="159"/>
            </w:pPr>
            <w:r>
              <w:rPr>
                <w:rFonts w:hint="eastAsia"/>
                <w:color w:val="000000"/>
                <w:sz w:val="22"/>
                <w:szCs w:val="22"/>
              </w:rPr>
              <w:t xml:space="preserve">167.227 </w:t>
            </w:r>
          </w:p>
        </w:tc>
        <w:tc>
          <w:tcPr>
            <w:tcW w:w="1357" w:type="pct"/>
            <w:shd w:val="clear" w:color="auto" w:fill="auto"/>
            <w:noWrap/>
            <w:vAlign w:val="center"/>
          </w:tcPr>
          <w:p w14:paraId="6A08F9AA">
            <w:pPr>
              <w:pStyle w:val="159"/>
            </w:pPr>
            <w:r>
              <w:rPr>
                <w:rFonts w:hint="eastAsia"/>
                <w:color w:val="000000"/>
                <w:sz w:val="22"/>
                <w:szCs w:val="22"/>
              </w:rPr>
              <w:t xml:space="preserve">1.396 </w:t>
            </w:r>
          </w:p>
        </w:tc>
      </w:tr>
      <w:tr w14:paraId="3A85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5219D20B">
            <w:pPr>
              <w:pStyle w:val="159"/>
            </w:pPr>
            <w:r>
              <w:t>30</w:t>
            </w:r>
          </w:p>
        </w:tc>
        <w:tc>
          <w:tcPr>
            <w:tcW w:w="1122" w:type="pct"/>
            <w:vAlign w:val="center"/>
          </w:tcPr>
          <w:p w14:paraId="439BD839">
            <w:pPr>
              <w:pStyle w:val="159"/>
            </w:pPr>
            <w:r>
              <w:rPr>
                <w:color w:val="000000"/>
                <w:kern w:val="0"/>
              </w:rPr>
              <w:t>24</w:t>
            </w:r>
          </w:p>
        </w:tc>
        <w:tc>
          <w:tcPr>
            <w:tcW w:w="1357" w:type="pct"/>
            <w:shd w:val="clear" w:color="auto" w:fill="auto"/>
            <w:noWrap/>
            <w:vAlign w:val="center"/>
          </w:tcPr>
          <w:p w14:paraId="4CC2CF95">
            <w:pPr>
              <w:pStyle w:val="159"/>
            </w:pPr>
            <w:r>
              <w:rPr>
                <w:rFonts w:hint="eastAsia"/>
                <w:color w:val="000000"/>
                <w:sz w:val="22"/>
                <w:szCs w:val="22"/>
              </w:rPr>
              <w:t xml:space="preserve">155.248 </w:t>
            </w:r>
          </w:p>
        </w:tc>
        <w:tc>
          <w:tcPr>
            <w:tcW w:w="1357" w:type="pct"/>
            <w:shd w:val="clear" w:color="auto" w:fill="auto"/>
            <w:noWrap/>
            <w:vAlign w:val="center"/>
          </w:tcPr>
          <w:p w14:paraId="68A26EE7">
            <w:pPr>
              <w:pStyle w:val="159"/>
            </w:pPr>
            <w:r>
              <w:rPr>
                <w:rFonts w:hint="eastAsia"/>
                <w:color w:val="000000"/>
                <w:sz w:val="22"/>
                <w:szCs w:val="22"/>
              </w:rPr>
              <w:t xml:space="preserve">1.321 </w:t>
            </w:r>
          </w:p>
        </w:tc>
      </w:tr>
      <w:tr w14:paraId="4063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2F1AB742">
            <w:pPr>
              <w:pStyle w:val="159"/>
            </w:pPr>
            <w:r>
              <w:t>31</w:t>
            </w:r>
          </w:p>
        </w:tc>
        <w:tc>
          <w:tcPr>
            <w:tcW w:w="1122" w:type="pct"/>
            <w:vAlign w:val="center"/>
          </w:tcPr>
          <w:p w14:paraId="2EF52629">
            <w:pPr>
              <w:pStyle w:val="159"/>
            </w:pPr>
            <w:r>
              <w:rPr>
                <w:color w:val="000000"/>
                <w:kern w:val="0"/>
              </w:rPr>
              <w:t>25</w:t>
            </w:r>
          </w:p>
        </w:tc>
        <w:tc>
          <w:tcPr>
            <w:tcW w:w="1357" w:type="pct"/>
            <w:shd w:val="clear" w:color="auto" w:fill="auto"/>
            <w:noWrap/>
            <w:vAlign w:val="center"/>
          </w:tcPr>
          <w:p w14:paraId="0DC5BBCE">
            <w:pPr>
              <w:pStyle w:val="159"/>
            </w:pPr>
            <w:r>
              <w:rPr>
                <w:rFonts w:hint="eastAsia"/>
                <w:color w:val="000000"/>
                <w:sz w:val="22"/>
                <w:szCs w:val="22"/>
              </w:rPr>
              <w:t xml:space="preserve">144.261 </w:t>
            </w:r>
          </w:p>
        </w:tc>
        <w:tc>
          <w:tcPr>
            <w:tcW w:w="1357" w:type="pct"/>
            <w:shd w:val="clear" w:color="auto" w:fill="auto"/>
            <w:noWrap/>
            <w:vAlign w:val="center"/>
          </w:tcPr>
          <w:p w14:paraId="75C27732">
            <w:pPr>
              <w:pStyle w:val="159"/>
            </w:pPr>
            <w:r>
              <w:rPr>
                <w:rFonts w:hint="eastAsia"/>
                <w:color w:val="000000"/>
                <w:sz w:val="22"/>
                <w:szCs w:val="22"/>
              </w:rPr>
              <w:t xml:space="preserve">1.251 </w:t>
            </w:r>
          </w:p>
        </w:tc>
      </w:tr>
      <w:tr w14:paraId="4222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48924D86">
            <w:pPr>
              <w:pStyle w:val="159"/>
            </w:pPr>
            <w:r>
              <w:t>32</w:t>
            </w:r>
          </w:p>
        </w:tc>
        <w:tc>
          <w:tcPr>
            <w:tcW w:w="1122" w:type="pct"/>
            <w:vAlign w:val="center"/>
          </w:tcPr>
          <w:p w14:paraId="2FB4D6A9">
            <w:pPr>
              <w:pStyle w:val="159"/>
            </w:pPr>
            <w:r>
              <w:rPr>
                <w:color w:val="000000"/>
                <w:kern w:val="0"/>
              </w:rPr>
              <w:t>26</w:t>
            </w:r>
          </w:p>
        </w:tc>
        <w:tc>
          <w:tcPr>
            <w:tcW w:w="1357" w:type="pct"/>
            <w:shd w:val="clear" w:color="auto" w:fill="auto"/>
            <w:noWrap/>
            <w:vAlign w:val="center"/>
          </w:tcPr>
          <w:p w14:paraId="479BE816">
            <w:pPr>
              <w:pStyle w:val="159"/>
            </w:pPr>
            <w:r>
              <w:rPr>
                <w:rFonts w:hint="eastAsia"/>
                <w:color w:val="000000"/>
                <w:sz w:val="22"/>
                <w:szCs w:val="22"/>
              </w:rPr>
              <w:t xml:space="preserve">134.183 </w:t>
            </w:r>
          </w:p>
        </w:tc>
        <w:tc>
          <w:tcPr>
            <w:tcW w:w="1357" w:type="pct"/>
            <w:shd w:val="clear" w:color="auto" w:fill="auto"/>
            <w:noWrap/>
            <w:vAlign w:val="center"/>
          </w:tcPr>
          <w:p w14:paraId="432373E7">
            <w:pPr>
              <w:pStyle w:val="159"/>
            </w:pPr>
            <w:r>
              <w:rPr>
                <w:rFonts w:hint="eastAsia"/>
                <w:color w:val="000000"/>
                <w:sz w:val="22"/>
                <w:szCs w:val="22"/>
              </w:rPr>
              <w:t xml:space="preserve">1.187 </w:t>
            </w:r>
          </w:p>
        </w:tc>
      </w:tr>
      <w:tr w14:paraId="40BF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33EE8B42">
            <w:pPr>
              <w:pStyle w:val="159"/>
            </w:pPr>
            <w:r>
              <w:t>33</w:t>
            </w:r>
          </w:p>
        </w:tc>
        <w:tc>
          <w:tcPr>
            <w:tcW w:w="1122" w:type="pct"/>
            <w:vAlign w:val="center"/>
          </w:tcPr>
          <w:p w14:paraId="6161292F">
            <w:pPr>
              <w:pStyle w:val="159"/>
            </w:pPr>
            <w:r>
              <w:rPr>
                <w:color w:val="000000"/>
                <w:kern w:val="0"/>
              </w:rPr>
              <w:t>27</w:t>
            </w:r>
          </w:p>
        </w:tc>
        <w:tc>
          <w:tcPr>
            <w:tcW w:w="1357" w:type="pct"/>
            <w:shd w:val="clear" w:color="auto" w:fill="auto"/>
            <w:noWrap/>
            <w:vAlign w:val="center"/>
          </w:tcPr>
          <w:p w14:paraId="6775D17B">
            <w:pPr>
              <w:pStyle w:val="159"/>
            </w:pPr>
            <w:r>
              <w:rPr>
                <w:rFonts w:hint="eastAsia"/>
                <w:color w:val="000000"/>
                <w:sz w:val="22"/>
                <w:szCs w:val="22"/>
              </w:rPr>
              <w:t xml:space="preserve">124.937 </w:t>
            </w:r>
          </w:p>
        </w:tc>
        <w:tc>
          <w:tcPr>
            <w:tcW w:w="1357" w:type="pct"/>
            <w:shd w:val="clear" w:color="auto" w:fill="auto"/>
            <w:noWrap/>
            <w:vAlign w:val="center"/>
          </w:tcPr>
          <w:p w14:paraId="2DF23A9F">
            <w:pPr>
              <w:pStyle w:val="159"/>
            </w:pPr>
            <w:r>
              <w:rPr>
                <w:rFonts w:hint="eastAsia"/>
                <w:color w:val="000000"/>
                <w:sz w:val="22"/>
                <w:szCs w:val="22"/>
              </w:rPr>
              <w:t xml:space="preserve">1.127 </w:t>
            </w:r>
          </w:p>
        </w:tc>
      </w:tr>
      <w:tr w14:paraId="3C18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232A1A7">
            <w:pPr>
              <w:pStyle w:val="159"/>
            </w:pPr>
            <w:r>
              <w:t>34</w:t>
            </w:r>
          </w:p>
        </w:tc>
        <w:tc>
          <w:tcPr>
            <w:tcW w:w="1122" w:type="pct"/>
            <w:vAlign w:val="center"/>
          </w:tcPr>
          <w:p w14:paraId="3B704502">
            <w:pPr>
              <w:pStyle w:val="159"/>
            </w:pPr>
            <w:r>
              <w:rPr>
                <w:color w:val="000000"/>
                <w:kern w:val="0"/>
              </w:rPr>
              <w:t>28</w:t>
            </w:r>
          </w:p>
        </w:tc>
        <w:tc>
          <w:tcPr>
            <w:tcW w:w="1357" w:type="pct"/>
            <w:shd w:val="clear" w:color="auto" w:fill="auto"/>
            <w:noWrap/>
            <w:vAlign w:val="center"/>
          </w:tcPr>
          <w:p w14:paraId="5D142030">
            <w:pPr>
              <w:pStyle w:val="159"/>
            </w:pPr>
            <w:r>
              <w:rPr>
                <w:rFonts w:hint="eastAsia"/>
                <w:color w:val="000000"/>
                <w:sz w:val="22"/>
                <w:szCs w:val="22"/>
              </w:rPr>
              <w:t xml:space="preserve">116.451 </w:t>
            </w:r>
          </w:p>
        </w:tc>
        <w:tc>
          <w:tcPr>
            <w:tcW w:w="1357" w:type="pct"/>
            <w:shd w:val="clear" w:color="auto" w:fill="auto"/>
            <w:noWrap/>
            <w:vAlign w:val="center"/>
          </w:tcPr>
          <w:p w14:paraId="6823AFB2">
            <w:pPr>
              <w:pStyle w:val="159"/>
            </w:pPr>
            <w:r>
              <w:rPr>
                <w:rFonts w:hint="eastAsia"/>
                <w:color w:val="000000"/>
                <w:sz w:val="22"/>
                <w:szCs w:val="22"/>
              </w:rPr>
              <w:t xml:space="preserve">1.071 </w:t>
            </w:r>
          </w:p>
        </w:tc>
      </w:tr>
      <w:tr w14:paraId="4029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067CDA2C">
            <w:pPr>
              <w:pStyle w:val="159"/>
            </w:pPr>
            <w:r>
              <w:t>35</w:t>
            </w:r>
          </w:p>
        </w:tc>
        <w:tc>
          <w:tcPr>
            <w:tcW w:w="1122" w:type="pct"/>
            <w:vAlign w:val="center"/>
          </w:tcPr>
          <w:p w14:paraId="7ECA87F2">
            <w:pPr>
              <w:pStyle w:val="159"/>
            </w:pPr>
            <w:r>
              <w:rPr>
                <w:color w:val="000000"/>
                <w:kern w:val="0"/>
              </w:rPr>
              <w:t>29</w:t>
            </w:r>
          </w:p>
        </w:tc>
        <w:tc>
          <w:tcPr>
            <w:tcW w:w="1357" w:type="pct"/>
            <w:shd w:val="clear" w:color="auto" w:fill="auto"/>
            <w:noWrap/>
            <w:vAlign w:val="center"/>
          </w:tcPr>
          <w:p w14:paraId="3ACE576F">
            <w:pPr>
              <w:pStyle w:val="159"/>
            </w:pPr>
            <w:r>
              <w:rPr>
                <w:rFonts w:hint="eastAsia"/>
                <w:color w:val="000000"/>
                <w:sz w:val="22"/>
                <w:szCs w:val="22"/>
              </w:rPr>
              <w:t xml:space="preserve">108.659 </w:t>
            </w:r>
          </w:p>
        </w:tc>
        <w:tc>
          <w:tcPr>
            <w:tcW w:w="1357" w:type="pct"/>
            <w:shd w:val="clear" w:color="auto" w:fill="auto"/>
            <w:noWrap/>
            <w:vAlign w:val="center"/>
          </w:tcPr>
          <w:p w14:paraId="18FD155E">
            <w:pPr>
              <w:pStyle w:val="159"/>
            </w:pPr>
            <w:r>
              <w:rPr>
                <w:rFonts w:hint="eastAsia"/>
                <w:color w:val="000000"/>
                <w:sz w:val="22"/>
                <w:szCs w:val="22"/>
              </w:rPr>
              <w:t xml:space="preserve">1.019 </w:t>
            </w:r>
          </w:p>
        </w:tc>
      </w:tr>
      <w:tr w14:paraId="363C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pct"/>
            <w:shd w:val="clear" w:color="auto" w:fill="auto"/>
            <w:noWrap/>
            <w:vAlign w:val="center"/>
          </w:tcPr>
          <w:p w14:paraId="1261D17A">
            <w:pPr>
              <w:pStyle w:val="159"/>
            </w:pPr>
            <w:r>
              <w:t>36</w:t>
            </w:r>
          </w:p>
        </w:tc>
        <w:tc>
          <w:tcPr>
            <w:tcW w:w="1122" w:type="pct"/>
            <w:vAlign w:val="center"/>
          </w:tcPr>
          <w:p w14:paraId="4DADFA8E">
            <w:pPr>
              <w:pStyle w:val="159"/>
            </w:pPr>
            <w:r>
              <w:rPr>
                <w:color w:val="000000"/>
                <w:kern w:val="0"/>
              </w:rPr>
              <w:t>30</w:t>
            </w:r>
          </w:p>
        </w:tc>
        <w:tc>
          <w:tcPr>
            <w:tcW w:w="1357" w:type="pct"/>
            <w:shd w:val="clear" w:color="auto" w:fill="auto"/>
            <w:noWrap/>
            <w:vAlign w:val="center"/>
          </w:tcPr>
          <w:p w14:paraId="2671ED22">
            <w:pPr>
              <w:pStyle w:val="159"/>
            </w:pPr>
            <w:r>
              <w:rPr>
                <w:rFonts w:hint="eastAsia"/>
                <w:color w:val="000000"/>
                <w:sz w:val="22"/>
                <w:szCs w:val="22"/>
              </w:rPr>
              <w:t xml:space="preserve">101.498 </w:t>
            </w:r>
          </w:p>
        </w:tc>
        <w:tc>
          <w:tcPr>
            <w:tcW w:w="1357" w:type="pct"/>
            <w:shd w:val="clear" w:color="auto" w:fill="auto"/>
            <w:noWrap/>
            <w:vAlign w:val="center"/>
          </w:tcPr>
          <w:p w14:paraId="7BA2F921">
            <w:pPr>
              <w:pStyle w:val="159"/>
            </w:pPr>
            <w:r>
              <w:rPr>
                <w:rFonts w:hint="eastAsia"/>
                <w:color w:val="000000"/>
                <w:sz w:val="22"/>
                <w:szCs w:val="22"/>
              </w:rPr>
              <w:t xml:space="preserve">0.970 </w:t>
            </w:r>
          </w:p>
        </w:tc>
      </w:tr>
    </w:tbl>
    <w:p w14:paraId="00EAF843">
      <w:pPr>
        <w:pStyle w:val="159"/>
      </w:pPr>
      <w:r>
        <w:drawing>
          <wp:inline distT="0" distB="0" distL="0" distR="0">
            <wp:extent cx="4749165" cy="3302635"/>
            <wp:effectExtent l="0" t="0" r="13335" b="12065"/>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E614041">
      <w:pPr>
        <w:pStyle w:val="148"/>
      </w:pPr>
      <w:r>
        <w:rPr>
          <w:rFonts w:hint="eastAsia"/>
        </w:rPr>
        <w:t>图3</w:t>
      </w:r>
      <w:r>
        <w:t xml:space="preserve">.3-5 </w:t>
      </w:r>
      <w:r>
        <w:rPr>
          <w:bCs/>
        </w:rPr>
        <w:t xml:space="preserve"> </w:t>
      </w:r>
      <w:r>
        <w:rPr>
          <w:rFonts w:hint="eastAsia"/>
          <w:bCs/>
        </w:rPr>
        <w:t>本项目</w:t>
      </w:r>
      <w:r>
        <w:rPr>
          <w:rFonts w:hint="eastAsia"/>
        </w:rPr>
        <w:t>线路（典型杆塔、</w:t>
      </w:r>
      <w:r>
        <w:t>15mm</w:t>
      </w:r>
      <w:r>
        <w:rPr>
          <w:rFonts w:hint="eastAsia"/>
        </w:rPr>
        <w:t>冰区）经过耕作、畜牧养殖及道路区域时工频电场强度分布曲线</w:t>
      </w:r>
    </w:p>
    <w:p w14:paraId="00578821">
      <w:pPr>
        <w:pStyle w:val="3"/>
        <w:ind w:firstLine="480"/>
      </w:pPr>
      <w:r>
        <w:drawing>
          <wp:inline distT="0" distB="0" distL="0" distR="0">
            <wp:extent cx="4834890" cy="3293110"/>
            <wp:effectExtent l="0" t="0" r="3810" b="254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D8F7EC">
      <w:pPr>
        <w:pStyle w:val="148"/>
      </w:pPr>
      <w:r>
        <w:rPr>
          <w:rFonts w:hint="eastAsia"/>
        </w:rPr>
        <w:t>图3</w:t>
      </w:r>
      <w:r>
        <w:t xml:space="preserve">.3-6 </w:t>
      </w:r>
      <w:r>
        <w:rPr>
          <w:bCs/>
        </w:rPr>
        <w:t xml:space="preserve"> </w:t>
      </w:r>
      <w:r>
        <w:rPr>
          <w:rFonts w:hint="eastAsia"/>
          <w:bCs/>
        </w:rPr>
        <w:t>本项目</w:t>
      </w:r>
      <w:r>
        <w:rPr>
          <w:rFonts w:hint="eastAsia"/>
        </w:rPr>
        <w:t>线路（典型杆塔、</w:t>
      </w:r>
      <w:r>
        <w:t>15mm</w:t>
      </w:r>
      <w:r>
        <w:rPr>
          <w:rFonts w:hint="eastAsia"/>
        </w:rPr>
        <w:t>冰区）经过耕作、畜牧养殖及道路区域时工频磁场强度分布曲线</w:t>
      </w:r>
    </w:p>
    <w:p w14:paraId="1045AB26">
      <w:pPr>
        <w:pStyle w:val="159"/>
      </w:pPr>
      <w:r>
        <w:drawing>
          <wp:inline distT="0" distB="0" distL="0" distR="0">
            <wp:extent cx="5687695" cy="3529330"/>
            <wp:effectExtent l="0" t="0" r="825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9"/>
                    <a:stretch>
                      <a:fillRect/>
                    </a:stretch>
                  </pic:blipFill>
                  <pic:spPr>
                    <a:xfrm>
                      <a:off x="0" y="0"/>
                      <a:ext cx="5687695" cy="3529330"/>
                    </a:xfrm>
                    <a:prstGeom prst="rect">
                      <a:avLst/>
                    </a:prstGeom>
                  </pic:spPr>
                </pic:pic>
              </a:graphicData>
            </a:graphic>
          </wp:inline>
        </w:drawing>
      </w:r>
    </w:p>
    <w:p w14:paraId="415DBC92">
      <w:pPr>
        <w:pStyle w:val="148"/>
      </w:pPr>
      <w:r>
        <w:rPr>
          <w:rFonts w:hint="eastAsia"/>
        </w:rPr>
        <w:t>图3</w:t>
      </w:r>
      <w:r>
        <w:t xml:space="preserve">.3-7 </w:t>
      </w:r>
      <w:r>
        <w:rPr>
          <w:bCs/>
        </w:rPr>
        <w:t xml:space="preserve"> </w:t>
      </w:r>
      <w:r>
        <w:rPr>
          <w:rFonts w:hint="eastAsia"/>
          <w:bCs/>
        </w:rPr>
        <w:t>本项目</w:t>
      </w:r>
      <w:r>
        <w:rPr>
          <w:rFonts w:hint="eastAsia"/>
        </w:rPr>
        <w:t>线路（典型杆塔、</w:t>
      </w:r>
      <w:r>
        <w:t>20mm</w:t>
      </w:r>
      <w:r>
        <w:rPr>
          <w:rFonts w:hint="eastAsia"/>
        </w:rPr>
        <w:t>冰区）经过耕作、畜牧养殖及道路区域时工频磁场强度分布曲线</w:t>
      </w:r>
    </w:p>
    <w:p w14:paraId="764BCB81">
      <w:pPr>
        <w:pStyle w:val="159"/>
      </w:pPr>
      <w:r>
        <w:drawing>
          <wp:inline distT="0" distB="0" distL="0" distR="0">
            <wp:extent cx="5687695" cy="2907030"/>
            <wp:effectExtent l="0" t="0" r="8255"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0"/>
                    <a:stretch>
                      <a:fillRect/>
                    </a:stretch>
                  </pic:blipFill>
                  <pic:spPr>
                    <a:xfrm>
                      <a:off x="0" y="0"/>
                      <a:ext cx="5687695" cy="2907030"/>
                    </a:xfrm>
                    <a:prstGeom prst="rect">
                      <a:avLst/>
                    </a:prstGeom>
                  </pic:spPr>
                </pic:pic>
              </a:graphicData>
            </a:graphic>
          </wp:inline>
        </w:drawing>
      </w:r>
    </w:p>
    <w:p w14:paraId="328DC1A8">
      <w:pPr>
        <w:pStyle w:val="148"/>
      </w:pPr>
      <w:r>
        <w:rPr>
          <w:rFonts w:hint="eastAsia"/>
        </w:rPr>
        <w:t>图3</w:t>
      </w:r>
      <w:r>
        <w:t xml:space="preserve">.3-8 </w:t>
      </w:r>
      <w:r>
        <w:rPr>
          <w:bCs/>
        </w:rPr>
        <w:t xml:space="preserve"> </w:t>
      </w:r>
      <w:r>
        <w:rPr>
          <w:rFonts w:hint="eastAsia"/>
          <w:bCs/>
        </w:rPr>
        <w:t>本项目</w:t>
      </w:r>
      <w:r>
        <w:rPr>
          <w:rFonts w:hint="eastAsia"/>
        </w:rPr>
        <w:t>线路（典型杆塔、</w:t>
      </w:r>
      <w:r>
        <w:t>20mm</w:t>
      </w:r>
      <w:r>
        <w:rPr>
          <w:rFonts w:hint="eastAsia"/>
        </w:rPr>
        <w:t>冰区）经过耕作、畜牧养殖及道路区域时工频磁场强度分布曲线</w:t>
      </w:r>
    </w:p>
    <w:p w14:paraId="0C47B982">
      <w:pPr>
        <w:pStyle w:val="3"/>
        <w:ind w:firstLine="480"/>
      </w:pPr>
      <w:r>
        <w:rPr>
          <w:rFonts w:hint="eastAsia"/>
        </w:rPr>
        <w:t>本期线路在1</w:t>
      </w:r>
      <w:r>
        <w:t>5mm</w:t>
      </w:r>
      <w:r>
        <w:rPr>
          <w:rFonts w:hint="eastAsia"/>
        </w:rPr>
        <w:t>冰区地带通过耕作、畜牧养殖及道路区域时，导线最小对地高度1</w:t>
      </w:r>
      <w:r>
        <w:t>5m</w:t>
      </w:r>
      <w:r>
        <w:rPr>
          <w:rFonts w:hint="eastAsia"/>
        </w:rPr>
        <w:t>，在距地面高度</w:t>
      </w:r>
      <w:r>
        <w:t>1.5m</w:t>
      </w:r>
      <w:r>
        <w:rPr>
          <w:rFonts w:hint="eastAsia"/>
        </w:rPr>
        <w:t>高度处，工频电场和工频磁场强度最大值分别为</w:t>
      </w:r>
      <w:r>
        <w:t>418.543V/m</w:t>
      </w:r>
      <w:r>
        <w:rPr>
          <w:rFonts w:hint="eastAsia"/>
        </w:rPr>
        <w:t>、</w:t>
      </w:r>
      <w:r>
        <w:t>4.997</w:t>
      </w:r>
      <w:r>
        <w:rPr>
          <w:rFonts w:hint="eastAsia"/>
        </w:rPr>
        <w:t>μ</w:t>
      </w:r>
      <w:r>
        <w:t>T</w:t>
      </w:r>
      <w:r>
        <w:rPr>
          <w:rFonts w:hint="eastAsia"/>
        </w:rPr>
        <w:t>，均满足《电磁环境控制限值》（</w:t>
      </w:r>
      <w:r>
        <w:t>GB8702-2014</w:t>
      </w:r>
      <w:r>
        <w:rPr>
          <w:rFonts w:hint="eastAsia"/>
        </w:rPr>
        <w:t>）规定的</w:t>
      </w:r>
      <w:r>
        <w:t>4000V/m</w:t>
      </w:r>
      <w:r>
        <w:rPr>
          <w:rFonts w:hint="eastAsia"/>
        </w:rPr>
        <w:t>和</w:t>
      </w:r>
      <w:r>
        <w:t>100</w:t>
      </w:r>
      <w:r>
        <w:rPr>
          <w:rFonts w:hint="eastAsia"/>
        </w:rPr>
        <w:t>μ</w:t>
      </w:r>
      <w:r>
        <w:t>T</w:t>
      </w:r>
      <w:r>
        <w:rPr>
          <w:rFonts w:hint="eastAsia"/>
        </w:rPr>
        <w:t>的控制限值。</w:t>
      </w:r>
    </w:p>
    <w:p w14:paraId="36A46401">
      <w:pPr>
        <w:pStyle w:val="3"/>
        <w:ind w:firstLine="480"/>
      </w:pPr>
      <w:r>
        <w:rPr>
          <w:rFonts w:hint="eastAsia"/>
        </w:rPr>
        <w:t>本期线路在</w:t>
      </w:r>
      <w:r>
        <w:t>200mm</w:t>
      </w:r>
      <w:r>
        <w:rPr>
          <w:rFonts w:hint="eastAsia"/>
        </w:rPr>
        <w:t>冰区地带通过居民区时，导线最小对地高度1</w:t>
      </w:r>
      <w:r>
        <w:t>5m</w:t>
      </w:r>
      <w:r>
        <w:rPr>
          <w:rFonts w:hint="eastAsia"/>
        </w:rPr>
        <w:t>，在距地面高度</w:t>
      </w:r>
      <w:r>
        <w:t>1.5m</w:t>
      </w:r>
      <w:r>
        <w:rPr>
          <w:rFonts w:hint="eastAsia"/>
        </w:rPr>
        <w:t>高度处，工频电场和工频磁场强度最大值分别为</w:t>
      </w:r>
      <w:r>
        <w:t>542.208V/m</w:t>
      </w:r>
      <w:r>
        <w:rPr>
          <w:rFonts w:hint="eastAsia"/>
        </w:rPr>
        <w:t>、</w:t>
      </w:r>
      <w:r>
        <w:t>6.911</w:t>
      </w:r>
      <w:r>
        <w:rPr>
          <w:rFonts w:hint="eastAsia"/>
        </w:rPr>
        <w:t>μ</w:t>
      </w:r>
      <w:r>
        <w:t>T</w:t>
      </w:r>
      <w:r>
        <w:rPr>
          <w:rFonts w:hint="eastAsia"/>
        </w:rPr>
        <w:t>，均满足《电磁环境控制限值》（</w:t>
      </w:r>
      <w:r>
        <w:t>GB8702-2014</w:t>
      </w:r>
      <w:r>
        <w:rPr>
          <w:rFonts w:hint="eastAsia"/>
        </w:rPr>
        <w:t>）规定的</w:t>
      </w:r>
      <w:r>
        <w:t>4000V/m</w:t>
      </w:r>
      <w:r>
        <w:rPr>
          <w:rFonts w:hint="eastAsia"/>
        </w:rPr>
        <w:t>和</w:t>
      </w:r>
      <w:r>
        <w:t>100</w:t>
      </w:r>
      <w:r>
        <w:rPr>
          <w:rFonts w:hint="eastAsia"/>
        </w:rPr>
        <w:t>μ</w:t>
      </w:r>
      <w:r>
        <w:t>T</w:t>
      </w:r>
      <w:r>
        <w:rPr>
          <w:rFonts w:hint="eastAsia"/>
        </w:rPr>
        <w:t>的控制限值。</w:t>
      </w:r>
    </w:p>
    <w:p w14:paraId="76E16D52">
      <w:pPr>
        <w:pStyle w:val="3"/>
        <w:ind w:firstLine="480"/>
      </w:pPr>
      <w:r>
        <w:rPr>
          <w:rFonts w:hint="eastAsia"/>
        </w:rPr>
        <w:t>b）线路经过居民区时工频电场强度预测</w:t>
      </w:r>
    </w:p>
    <w:p w14:paraId="3202E479">
      <w:pPr>
        <w:pStyle w:val="3"/>
        <w:ind w:firstLine="480"/>
        <w:rPr>
          <w:bCs/>
        </w:rPr>
      </w:pPr>
      <w:r>
        <w:rPr>
          <w:rFonts w:hint="eastAsia"/>
        </w:rPr>
        <w:t>本项目线路经过居民区时运行产生的工频电场强度、工频磁场强度预测值见表3</w:t>
      </w:r>
      <w:r>
        <w:t>.3-4</w:t>
      </w:r>
      <w:r>
        <w:rPr>
          <w:rFonts w:hint="eastAsia"/>
        </w:rPr>
        <w:t>、3</w:t>
      </w:r>
      <w:r>
        <w:t>.3-5</w:t>
      </w:r>
      <w:r>
        <w:rPr>
          <w:rFonts w:hint="eastAsia"/>
        </w:rPr>
        <w:t>所示。</w:t>
      </w:r>
    </w:p>
    <w:p w14:paraId="7BB1169C">
      <w:pPr>
        <w:pStyle w:val="148"/>
      </w:pPr>
      <w:r>
        <w:rPr>
          <w:rFonts w:hint="eastAsia"/>
        </w:rPr>
        <w:t>表3</w:t>
      </w:r>
      <w:r>
        <w:t xml:space="preserve">.3-4 </w:t>
      </w:r>
      <w:r>
        <w:rPr>
          <w:bCs/>
        </w:rPr>
        <w:t xml:space="preserve"> </w:t>
      </w:r>
      <w:r>
        <w:rPr>
          <w:rFonts w:hint="eastAsia"/>
          <w:bCs/>
        </w:rPr>
        <w:t>本项目</w:t>
      </w:r>
      <w:r>
        <w:rPr>
          <w:rFonts w:hint="eastAsia"/>
        </w:rPr>
        <w:t>线路（典型杆塔）经过居民区时工频电、磁场强度预测（1</w:t>
      </w:r>
      <w:r>
        <w:t>5mm</w:t>
      </w:r>
      <w:r>
        <w:rPr>
          <w:rFonts w:hint="eastAsia"/>
        </w:rPr>
        <w:t>冰区）</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432"/>
        <w:gridCol w:w="1062"/>
        <w:gridCol w:w="1062"/>
        <w:gridCol w:w="1062"/>
        <w:gridCol w:w="1062"/>
        <w:gridCol w:w="1063"/>
        <w:gridCol w:w="1058"/>
      </w:tblGrid>
      <w:tr w14:paraId="2140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blHeader/>
          <w:jc w:val="center"/>
        </w:trPr>
        <w:tc>
          <w:tcPr>
            <w:tcW w:w="800" w:type="pct"/>
            <w:vMerge w:val="restart"/>
            <w:shd w:val="clear" w:color="auto" w:fill="auto"/>
            <w:noWrap/>
            <w:vAlign w:val="center"/>
          </w:tcPr>
          <w:p w14:paraId="53BD6445">
            <w:pPr>
              <w:pStyle w:val="159"/>
            </w:pPr>
            <w:r>
              <w:t>距线路中心</w:t>
            </w:r>
          </w:p>
          <w:p w14:paraId="23BC7FD0">
            <w:pPr>
              <w:pStyle w:val="159"/>
              <w:rPr>
                <w:sz w:val="22"/>
                <w:szCs w:val="22"/>
              </w:rPr>
            </w:pPr>
            <w:r>
              <w:t xml:space="preserve">距离（m） </w:t>
            </w:r>
          </w:p>
        </w:tc>
        <w:tc>
          <w:tcPr>
            <w:tcW w:w="771" w:type="pct"/>
            <w:vMerge w:val="restart"/>
            <w:vAlign w:val="center"/>
          </w:tcPr>
          <w:p w14:paraId="118012C0">
            <w:pPr>
              <w:pStyle w:val="159"/>
            </w:pPr>
            <w:r>
              <w:t>距边导线</w:t>
            </w:r>
          </w:p>
          <w:p w14:paraId="795C0E76">
            <w:pPr>
              <w:pStyle w:val="159"/>
              <w:rPr>
                <w:sz w:val="22"/>
                <w:szCs w:val="22"/>
              </w:rPr>
            </w:pPr>
            <w:r>
              <w:t xml:space="preserve">距离（m） </w:t>
            </w:r>
          </w:p>
        </w:tc>
        <w:tc>
          <w:tcPr>
            <w:tcW w:w="1716" w:type="pct"/>
            <w:gridSpan w:val="3"/>
            <w:shd w:val="clear" w:color="auto" w:fill="auto"/>
            <w:noWrap/>
            <w:vAlign w:val="center"/>
          </w:tcPr>
          <w:p w14:paraId="56BECE81">
            <w:pPr>
              <w:pStyle w:val="159"/>
            </w:pPr>
            <w:r>
              <w:t>工频电场强度</w:t>
            </w:r>
          </w:p>
          <w:p w14:paraId="5D920F52">
            <w:pPr>
              <w:pStyle w:val="159"/>
            </w:pPr>
            <w:r>
              <w:t>（kV/m）</w:t>
            </w:r>
          </w:p>
        </w:tc>
        <w:tc>
          <w:tcPr>
            <w:tcW w:w="1713" w:type="pct"/>
            <w:gridSpan w:val="3"/>
            <w:shd w:val="clear" w:color="auto" w:fill="auto"/>
            <w:noWrap/>
            <w:vAlign w:val="center"/>
          </w:tcPr>
          <w:p w14:paraId="526BF42C">
            <w:pPr>
              <w:pStyle w:val="159"/>
            </w:pPr>
            <w:r>
              <w:t>工频磁场强度</w:t>
            </w:r>
          </w:p>
          <w:p w14:paraId="1C843216">
            <w:pPr>
              <w:pStyle w:val="159"/>
            </w:pPr>
            <w:r>
              <w:t>（μT）</w:t>
            </w:r>
          </w:p>
        </w:tc>
      </w:tr>
      <w:tr w14:paraId="5AA5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800" w:type="pct"/>
            <w:vMerge w:val="continue"/>
            <w:shd w:val="clear" w:color="auto" w:fill="auto"/>
            <w:noWrap/>
            <w:vAlign w:val="center"/>
          </w:tcPr>
          <w:p w14:paraId="283414EF">
            <w:pPr>
              <w:pStyle w:val="159"/>
            </w:pPr>
          </w:p>
        </w:tc>
        <w:tc>
          <w:tcPr>
            <w:tcW w:w="771" w:type="pct"/>
            <w:vMerge w:val="continue"/>
            <w:vAlign w:val="center"/>
          </w:tcPr>
          <w:p w14:paraId="7113D69C">
            <w:pPr>
              <w:pStyle w:val="159"/>
            </w:pPr>
          </w:p>
        </w:tc>
        <w:tc>
          <w:tcPr>
            <w:tcW w:w="572" w:type="pct"/>
            <w:shd w:val="clear" w:color="auto" w:fill="auto"/>
            <w:noWrap/>
            <w:vAlign w:val="center"/>
          </w:tcPr>
          <w:p w14:paraId="211D0AF2">
            <w:pPr>
              <w:pStyle w:val="159"/>
            </w:pPr>
            <w:r>
              <w:t>1.5m高</w:t>
            </w:r>
          </w:p>
        </w:tc>
        <w:tc>
          <w:tcPr>
            <w:tcW w:w="572" w:type="pct"/>
            <w:vAlign w:val="center"/>
          </w:tcPr>
          <w:p w14:paraId="7239AB85">
            <w:pPr>
              <w:pStyle w:val="159"/>
            </w:pPr>
            <w:r>
              <w:t>4.5m高</w:t>
            </w:r>
          </w:p>
        </w:tc>
        <w:tc>
          <w:tcPr>
            <w:tcW w:w="572" w:type="pct"/>
            <w:vAlign w:val="center"/>
          </w:tcPr>
          <w:p w14:paraId="297603B4">
            <w:pPr>
              <w:pStyle w:val="159"/>
            </w:pPr>
            <w:r>
              <w:t>7.5m高</w:t>
            </w:r>
          </w:p>
        </w:tc>
        <w:tc>
          <w:tcPr>
            <w:tcW w:w="572" w:type="pct"/>
            <w:shd w:val="clear" w:color="auto" w:fill="auto"/>
            <w:noWrap/>
            <w:vAlign w:val="center"/>
          </w:tcPr>
          <w:p w14:paraId="2F78E9EE">
            <w:pPr>
              <w:pStyle w:val="159"/>
            </w:pPr>
            <w:r>
              <w:t>1.5m高</w:t>
            </w:r>
          </w:p>
        </w:tc>
        <w:tc>
          <w:tcPr>
            <w:tcW w:w="572" w:type="pct"/>
            <w:vAlign w:val="center"/>
          </w:tcPr>
          <w:p w14:paraId="4CB32B9F">
            <w:pPr>
              <w:pStyle w:val="159"/>
            </w:pPr>
            <w:r>
              <w:t>4.5m高</w:t>
            </w:r>
          </w:p>
        </w:tc>
        <w:tc>
          <w:tcPr>
            <w:tcW w:w="569" w:type="pct"/>
            <w:vAlign w:val="center"/>
          </w:tcPr>
          <w:p w14:paraId="109D5CA3">
            <w:pPr>
              <w:pStyle w:val="159"/>
            </w:pPr>
            <w:r>
              <w:t>7.5m高</w:t>
            </w:r>
          </w:p>
        </w:tc>
      </w:tr>
      <w:tr w14:paraId="52F6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4BB91014">
            <w:pPr>
              <w:pStyle w:val="159"/>
            </w:pPr>
            <w:r>
              <w:t>-33.7</w:t>
            </w:r>
          </w:p>
        </w:tc>
        <w:tc>
          <w:tcPr>
            <w:tcW w:w="771" w:type="pct"/>
            <w:vAlign w:val="center"/>
          </w:tcPr>
          <w:p w14:paraId="15AAA9A2">
            <w:pPr>
              <w:pStyle w:val="159"/>
            </w:pPr>
            <w:r>
              <w:t>-30</w:t>
            </w:r>
          </w:p>
        </w:tc>
        <w:tc>
          <w:tcPr>
            <w:tcW w:w="572" w:type="pct"/>
            <w:shd w:val="clear" w:color="auto" w:fill="auto"/>
            <w:noWrap/>
            <w:vAlign w:val="center"/>
          </w:tcPr>
          <w:p w14:paraId="4F3A6193">
            <w:pPr>
              <w:pStyle w:val="159"/>
            </w:pPr>
            <w:r>
              <w:rPr>
                <w:color w:val="000000"/>
                <w:kern w:val="0"/>
                <w:sz w:val="22"/>
                <w:szCs w:val="22"/>
              </w:rPr>
              <w:t xml:space="preserve">75.230 </w:t>
            </w:r>
          </w:p>
        </w:tc>
        <w:tc>
          <w:tcPr>
            <w:tcW w:w="572" w:type="pct"/>
            <w:vAlign w:val="center"/>
          </w:tcPr>
          <w:p w14:paraId="41274204">
            <w:pPr>
              <w:pStyle w:val="159"/>
            </w:pPr>
            <w:r>
              <w:rPr>
                <w:color w:val="000000"/>
                <w:kern w:val="0"/>
                <w:sz w:val="22"/>
                <w:szCs w:val="22"/>
              </w:rPr>
              <w:t xml:space="preserve">73.670 </w:t>
            </w:r>
          </w:p>
        </w:tc>
        <w:tc>
          <w:tcPr>
            <w:tcW w:w="572" w:type="pct"/>
            <w:vAlign w:val="center"/>
          </w:tcPr>
          <w:p w14:paraId="30F0B9D8">
            <w:pPr>
              <w:pStyle w:val="159"/>
            </w:pPr>
            <w:r>
              <w:rPr>
                <w:color w:val="000000"/>
                <w:kern w:val="0"/>
                <w:sz w:val="22"/>
                <w:szCs w:val="22"/>
              </w:rPr>
              <w:t xml:space="preserve">73.242 </w:t>
            </w:r>
          </w:p>
        </w:tc>
        <w:tc>
          <w:tcPr>
            <w:tcW w:w="572" w:type="pct"/>
            <w:shd w:val="clear" w:color="auto" w:fill="auto"/>
            <w:noWrap/>
            <w:vAlign w:val="center"/>
          </w:tcPr>
          <w:p w14:paraId="0DBE2750">
            <w:pPr>
              <w:pStyle w:val="159"/>
            </w:pPr>
            <w:r>
              <w:rPr>
                <w:color w:val="000000"/>
                <w:kern w:val="0"/>
                <w:sz w:val="22"/>
                <w:szCs w:val="22"/>
              </w:rPr>
              <w:t xml:space="preserve">0.752 </w:t>
            </w:r>
          </w:p>
        </w:tc>
        <w:tc>
          <w:tcPr>
            <w:tcW w:w="572" w:type="pct"/>
            <w:vAlign w:val="center"/>
          </w:tcPr>
          <w:p w14:paraId="0680C335">
            <w:pPr>
              <w:pStyle w:val="159"/>
            </w:pPr>
            <w:r>
              <w:rPr>
                <w:color w:val="000000"/>
                <w:kern w:val="0"/>
                <w:sz w:val="22"/>
                <w:szCs w:val="22"/>
              </w:rPr>
              <w:t xml:space="preserve">0.796 </w:t>
            </w:r>
          </w:p>
        </w:tc>
        <w:tc>
          <w:tcPr>
            <w:tcW w:w="569" w:type="pct"/>
            <w:vAlign w:val="center"/>
          </w:tcPr>
          <w:p w14:paraId="14CD87B9">
            <w:pPr>
              <w:pStyle w:val="159"/>
            </w:pPr>
            <w:r>
              <w:rPr>
                <w:color w:val="000000"/>
                <w:kern w:val="0"/>
                <w:sz w:val="22"/>
                <w:szCs w:val="22"/>
              </w:rPr>
              <w:t xml:space="preserve">0.846 </w:t>
            </w:r>
          </w:p>
        </w:tc>
      </w:tr>
      <w:tr w14:paraId="46FB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61F81E52">
            <w:pPr>
              <w:pStyle w:val="159"/>
            </w:pPr>
            <w:r>
              <w:t>-32.7</w:t>
            </w:r>
          </w:p>
        </w:tc>
        <w:tc>
          <w:tcPr>
            <w:tcW w:w="771" w:type="pct"/>
            <w:vAlign w:val="center"/>
          </w:tcPr>
          <w:p w14:paraId="06B02B5A">
            <w:pPr>
              <w:pStyle w:val="159"/>
            </w:pPr>
            <w:r>
              <w:t>-29</w:t>
            </w:r>
          </w:p>
        </w:tc>
        <w:tc>
          <w:tcPr>
            <w:tcW w:w="572" w:type="pct"/>
            <w:shd w:val="clear" w:color="auto" w:fill="auto"/>
            <w:noWrap/>
            <w:vAlign w:val="center"/>
          </w:tcPr>
          <w:p w14:paraId="2F7BBCF7">
            <w:pPr>
              <w:pStyle w:val="159"/>
            </w:pPr>
            <w:r>
              <w:rPr>
                <w:color w:val="000000"/>
                <w:kern w:val="0"/>
                <w:sz w:val="22"/>
                <w:szCs w:val="22"/>
              </w:rPr>
              <w:t xml:space="preserve">80.057 </w:t>
            </w:r>
          </w:p>
        </w:tc>
        <w:tc>
          <w:tcPr>
            <w:tcW w:w="572" w:type="pct"/>
            <w:vAlign w:val="center"/>
          </w:tcPr>
          <w:p w14:paraId="4E40B770">
            <w:pPr>
              <w:pStyle w:val="159"/>
            </w:pPr>
            <w:r>
              <w:rPr>
                <w:color w:val="000000"/>
                <w:kern w:val="0"/>
                <w:sz w:val="22"/>
                <w:szCs w:val="22"/>
              </w:rPr>
              <w:t xml:space="preserve">78.410 </w:t>
            </w:r>
          </w:p>
        </w:tc>
        <w:tc>
          <w:tcPr>
            <w:tcW w:w="572" w:type="pct"/>
            <w:vAlign w:val="center"/>
          </w:tcPr>
          <w:p w14:paraId="5CAE89E8">
            <w:pPr>
              <w:pStyle w:val="159"/>
            </w:pPr>
            <w:r>
              <w:rPr>
                <w:color w:val="000000"/>
                <w:kern w:val="0"/>
                <w:sz w:val="22"/>
                <w:szCs w:val="22"/>
              </w:rPr>
              <w:t xml:space="preserve">78.014 </w:t>
            </w:r>
          </w:p>
        </w:tc>
        <w:tc>
          <w:tcPr>
            <w:tcW w:w="572" w:type="pct"/>
            <w:shd w:val="clear" w:color="auto" w:fill="auto"/>
            <w:noWrap/>
            <w:vAlign w:val="center"/>
          </w:tcPr>
          <w:p w14:paraId="390D1C15">
            <w:pPr>
              <w:pStyle w:val="159"/>
            </w:pPr>
            <w:r>
              <w:rPr>
                <w:color w:val="000000"/>
                <w:kern w:val="0"/>
                <w:sz w:val="22"/>
                <w:szCs w:val="22"/>
              </w:rPr>
              <w:t xml:space="preserve">0.789 </w:t>
            </w:r>
          </w:p>
        </w:tc>
        <w:tc>
          <w:tcPr>
            <w:tcW w:w="572" w:type="pct"/>
            <w:vAlign w:val="center"/>
          </w:tcPr>
          <w:p w14:paraId="15ADDEB3">
            <w:pPr>
              <w:pStyle w:val="159"/>
            </w:pPr>
            <w:r>
              <w:rPr>
                <w:color w:val="000000"/>
                <w:kern w:val="0"/>
                <w:sz w:val="22"/>
                <w:szCs w:val="22"/>
              </w:rPr>
              <w:t xml:space="preserve">0.838 </w:t>
            </w:r>
          </w:p>
        </w:tc>
        <w:tc>
          <w:tcPr>
            <w:tcW w:w="569" w:type="pct"/>
            <w:vAlign w:val="center"/>
          </w:tcPr>
          <w:p w14:paraId="4A452A68">
            <w:pPr>
              <w:pStyle w:val="159"/>
            </w:pPr>
            <w:r>
              <w:rPr>
                <w:color w:val="000000"/>
                <w:kern w:val="0"/>
                <w:sz w:val="22"/>
                <w:szCs w:val="22"/>
              </w:rPr>
              <w:t xml:space="preserve">0.894 </w:t>
            </w:r>
          </w:p>
        </w:tc>
      </w:tr>
      <w:tr w14:paraId="5625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2D468630">
            <w:pPr>
              <w:pStyle w:val="159"/>
            </w:pPr>
            <w:r>
              <w:t>-31.7</w:t>
            </w:r>
          </w:p>
        </w:tc>
        <w:tc>
          <w:tcPr>
            <w:tcW w:w="771" w:type="pct"/>
            <w:vAlign w:val="center"/>
          </w:tcPr>
          <w:p w14:paraId="0596B6F5">
            <w:pPr>
              <w:pStyle w:val="159"/>
            </w:pPr>
            <w:r>
              <w:t>-28</w:t>
            </w:r>
          </w:p>
        </w:tc>
        <w:tc>
          <w:tcPr>
            <w:tcW w:w="572" w:type="pct"/>
            <w:shd w:val="clear" w:color="auto" w:fill="auto"/>
            <w:noWrap/>
            <w:vAlign w:val="center"/>
          </w:tcPr>
          <w:p w14:paraId="01F58E7A">
            <w:pPr>
              <w:pStyle w:val="159"/>
            </w:pPr>
            <w:r>
              <w:rPr>
                <w:color w:val="000000"/>
                <w:kern w:val="0"/>
                <w:sz w:val="22"/>
                <w:szCs w:val="22"/>
              </w:rPr>
              <w:t xml:space="preserve">85.274 </w:t>
            </w:r>
          </w:p>
        </w:tc>
        <w:tc>
          <w:tcPr>
            <w:tcW w:w="572" w:type="pct"/>
            <w:vAlign w:val="center"/>
          </w:tcPr>
          <w:p w14:paraId="1B295DBC">
            <w:pPr>
              <w:pStyle w:val="159"/>
            </w:pPr>
            <w:r>
              <w:rPr>
                <w:color w:val="000000"/>
                <w:kern w:val="0"/>
                <w:sz w:val="22"/>
                <w:szCs w:val="22"/>
              </w:rPr>
              <w:t xml:space="preserve">83.542 </w:t>
            </w:r>
          </w:p>
        </w:tc>
        <w:tc>
          <w:tcPr>
            <w:tcW w:w="572" w:type="pct"/>
            <w:vAlign w:val="center"/>
          </w:tcPr>
          <w:p w14:paraId="647368C2">
            <w:pPr>
              <w:pStyle w:val="159"/>
            </w:pPr>
            <w:r>
              <w:rPr>
                <w:color w:val="000000"/>
                <w:kern w:val="0"/>
                <w:sz w:val="22"/>
                <w:szCs w:val="22"/>
              </w:rPr>
              <w:t xml:space="preserve">83.197 </w:t>
            </w:r>
          </w:p>
        </w:tc>
        <w:tc>
          <w:tcPr>
            <w:tcW w:w="572" w:type="pct"/>
            <w:shd w:val="clear" w:color="auto" w:fill="auto"/>
            <w:noWrap/>
            <w:vAlign w:val="center"/>
          </w:tcPr>
          <w:p w14:paraId="44679E02">
            <w:pPr>
              <w:pStyle w:val="159"/>
            </w:pPr>
            <w:r>
              <w:rPr>
                <w:color w:val="000000"/>
                <w:kern w:val="0"/>
                <w:sz w:val="22"/>
                <w:szCs w:val="22"/>
              </w:rPr>
              <w:t xml:space="preserve">0.829 </w:t>
            </w:r>
          </w:p>
        </w:tc>
        <w:tc>
          <w:tcPr>
            <w:tcW w:w="572" w:type="pct"/>
            <w:vAlign w:val="center"/>
          </w:tcPr>
          <w:p w14:paraId="32461C72">
            <w:pPr>
              <w:pStyle w:val="159"/>
            </w:pPr>
            <w:r>
              <w:rPr>
                <w:color w:val="000000"/>
                <w:kern w:val="0"/>
                <w:sz w:val="22"/>
                <w:szCs w:val="22"/>
              </w:rPr>
              <w:t xml:space="preserve">0.884 </w:t>
            </w:r>
          </w:p>
        </w:tc>
        <w:tc>
          <w:tcPr>
            <w:tcW w:w="569" w:type="pct"/>
            <w:vAlign w:val="center"/>
          </w:tcPr>
          <w:p w14:paraId="46BDFCAF">
            <w:pPr>
              <w:pStyle w:val="159"/>
            </w:pPr>
            <w:r>
              <w:rPr>
                <w:color w:val="000000"/>
                <w:kern w:val="0"/>
                <w:sz w:val="22"/>
                <w:szCs w:val="22"/>
              </w:rPr>
              <w:t xml:space="preserve">0.947 </w:t>
            </w:r>
          </w:p>
        </w:tc>
      </w:tr>
      <w:tr w14:paraId="7D0A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BD32539">
            <w:pPr>
              <w:pStyle w:val="159"/>
            </w:pPr>
            <w:r>
              <w:t>-30.7</w:t>
            </w:r>
          </w:p>
        </w:tc>
        <w:tc>
          <w:tcPr>
            <w:tcW w:w="771" w:type="pct"/>
            <w:vAlign w:val="center"/>
          </w:tcPr>
          <w:p w14:paraId="6E47FDEE">
            <w:pPr>
              <w:pStyle w:val="159"/>
            </w:pPr>
            <w:r>
              <w:t>-27</w:t>
            </w:r>
          </w:p>
        </w:tc>
        <w:tc>
          <w:tcPr>
            <w:tcW w:w="572" w:type="pct"/>
            <w:shd w:val="clear" w:color="auto" w:fill="auto"/>
            <w:noWrap/>
            <w:vAlign w:val="center"/>
          </w:tcPr>
          <w:p w14:paraId="5AE587F9">
            <w:pPr>
              <w:pStyle w:val="159"/>
            </w:pPr>
            <w:r>
              <w:rPr>
                <w:color w:val="000000"/>
                <w:kern w:val="0"/>
                <w:sz w:val="22"/>
                <w:szCs w:val="22"/>
              </w:rPr>
              <w:t xml:space="preserve">90.912 </w:t>
            </w:r>
          </w:p>
        </w:tc>
        <w:tc>
          <w:tcPr>
            <w:tcW w:w="572" w:type="pct"/>
            <w:vAlign w:val="center"/>
          </w:tcPr>
          <w:p w14:paraId="4DFADAAA">
            <w:pPr>
              <w:pStyle w:val="159"/>
            </w:pPr>
            <w:r>
              <w:rPr>
                <w:color w:val="000000"/>
                <w:kern w:val="0"/>
                <w:sz w:val="22"/>
                <w:szCs w:val="22"/>
              </w:rPr>
              <w:t xml:space="preserve">89.100 </w:t>
            </w:r>
          </w:p>
        </w:tc>
        <w:tc>
          <w:tcPr>
            <w:tcW w:w="572" w:type="pct"/>
            <w:vAlign w:val="center"/>
          </w:tcPr>
          <w:p w14:paraId="60B9EB51">
            <w:pPr>
              <w:pStyle w:val="159"/>
            </w:pPr>
            <w:r>
              <w:rPr>
                <w:color w:val="000000"/>
                <w:kern w:val="0"/>
                <w:sz w:val="22"/>
                <w:szCs w:val="22"/>
              </w:rPr>
              <w:t xml:space="preserve">88.834 </w:t>
            </w:r>
          </w:p>
        </w:tc>
        <w:tc>
          <w:tcPr>
            <w:tcW w:w="572" w:type="pct"/>
            <w:shd w:val="clear" w:color="auto" w:fill="auto"/>
            <w:noWrap/>
            <w:vAlign w:val="center"/>
          </w:tcPr>
          <w:p w14:paraId="329E46AE">
            <w:pPr>
              <w:pStyle w:val="159"/>
            </w:pPr>
            <w:r>
              <w:rPr>
                <w:color w:val="000000"/>
                <w:kern w:val="0"/>
                <w:sz w:val="22"/>
                <w:szCs w:val="22"/>
              </w:rPr>
              <w:t xml:space="preserve">0.872 </w:t>
            </w:r>
          </w:p>
        </w:tc>
        <w:tc>
          <w:tcPr>
            <w:tcW w:w="572" w:type="pct"/>
            <w:vAlign w:val="center"/>
          </w:tcPr>
          <w:p w14:paraId="7E21B924">
            <w:pPr>
              <w:pStyle w:val="159"/>
            </w:pPr>
            <w:r>
              <w:rPr>
                <w:color w:val="000000"/>
                <w:kern w:val="0"/>
                <w:sz w:val="22"/>
                <w:szCs w:val="22"/>
              </w:rPr>
              <w:t xml:space="preserve">0.934 </w:t>
            </w:r>
          </w:p>
        </w:tc>
        <w:tc>
          <w:tcPr>
            <w:tcW w:w="569" w:type="pct"/>
            <w:vAlign w:val="center"/>
          </w:tcPr>
          <w:p w14:paraId="6EC882B7">
            <w:pPr>
              <w:pStyle w:val="159"/>
            </w:pPr>
            <w:r>
              <w:rPr>
                <w:color w:val="000000"/>
                <w:kern w:val="0"/>
                <w:sz w:val="22"/>
                <w:szCs w:val="22"/>
              </w:rPr>
              <w:t xml:space="preserve">1.004 </w:t>
            </w:r>
          </w:p>
        </w:tc>
      </w:tr>
      <w:tr w14:paraId="772A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0E9782F">
            <w:pPr>
              <w:pStyle w:val="159"/>
            </w:pPr>
            <w:r>
              <w:t>-29.7</w:t>
            </w:r>
          </w:p>
        </w:tc>
        <w:tc>
          <w:tcPr>
            <w:tcW w:w="771" w:type="pct"/>
            <w:vAlign w:val="center"/>
          </w:tcPr>
          <w:p w14:paraId="67B45533">
            <w:pPr>
              <w:pStyle w:val="159"/>
            </w:pPr>
            <w:r>
              <w:t>-26</w:t>
            </w:r>
          </w:p>
        </w:tc>
        <w:tc>
          <w:tcPr>
            <w:tcW w:w="572" w:type="pct"/>
            <w:shd w:val="clear" w:color="auto" w:fill="auto"/>
            <w:noWrap/>
            <w:vAlign w:val="center"/>
          </w:tcPr>
          <w:p w14:paraId="0C35733A">
            <w:pPr>
              <w:pStyle w:val="159"/>
            </w:pPr>
            <w:r>
              <w:rPr>
                <w:color w:val="000000"/>
                <w:kern w:val="0"/>
                <w:sz w:val="22"/>
                <w:szCs w:val="22"/>
              </w:rPr>
              <w:t xml:space="preserve">97.003 </w:t>
            </w:r>
          </w:p>
        </w:tc>
        <w:tc>
          <w:tcPr>
            <w:tcW w:w="572" w:type="pct"/>
            <w:vAlign w:val="center"/>
          </w:tcPr>
          <w:p w14:paraId="3D263AC9">
            <w:pPr>
              <w:pStyle w:val="159"/>
            </w:pPr>
            <w:r>
              <w:rPr>
                <w:color w:val="000000"/>
                <w:kern w:val="0"/>
                <w:sz w:val="22"/>
                <w:szCs w:val="22"/>
              </w:rPr>
              <w:t xml:space="preserve">95.122 </w:t>
            </w:r>
          </w:p>
        </w:tc>
        <w:tc>
          <w:tcPr>
            <w:tcW w:w="572" w:type="pct"/>
            <w:vAlign w:val="center"/>
          </w:tcPr>
          <w:p w14:paraId="31F7F0F6">
            <w:pPr>
              <w:pStyle w:val="159"/>
            </w:pPr>
            <w:r>
              <w:rPr>
                <w:color w:val="000000"/>
                <w:kern w:val="0"/>
                <w:sz w:val="22"/>
                <w:szCs w:val="22"/>
              </w:rPr>
              <w:t xml:space="preserve">94.968 </w:t>
            </w:r>
          </w:p>
        </w:tc>
        <w:tc>
          <w:tcPr>
            <w:tcW w:w="572" w:type="pct"/>
            <w:shd w:val="clear" w:color="auto" w:fill="auto"/>
            <w:noWrap/>
            <w:vAlign w:val="center"/>
          </w:tcPr>
          <w:p w14:paraId="7992288C">
            <w:pPr>
              <w:pStyle w:val="159"/>
            </w:pPr>
            <w:r>
              <w:rPr>
                <w:color w:val="000000"/>
                <w:kern w:val="0"/>
                <w:sz w:val="22"/>
                <w:szCs w:val="22"/>
              </w:rPr>
              <w:t xml:space="preserve">0.918 </w:t>
            </w:r>
          </w:p>
        </w:tc>
        <w:tc>
          <w:tcPr>
            <w:tcW w:w="572" w:type="pct"/>
            <w:vAlign w:val="center"/>
          </w:tcPr>
          <w:p w14:paraId="1A2475F2">
            <w:pPr>
              <w:pStyle w:val="159"/>
            </w:pPr>
            <w:r>
              <w:rPr>
                <w:color w:val="000000"/>
                <w:kern w:val="0"/>
                <w:sz w:val="22"/>
                <w:szCs w:val="22"/>
              </w:rPr>
              <w:t xml:space="preserve">0.987 </w:t>
            </w:r>
          </w:p>
        </w:tc>
        <w:tc>
          <w:tcPr>
            <w:tcW w:w="569" w:type="pct"/>
            <w:vAlign w:val="center"/>
          </w:tcPr>
          <w:p w14:paraId="03CD8847">
            <w:pPr>
              <w:pStyle w:val="159"/>
            </w:pPr>
            <w:r>
              <w:rPr>
                <w:color w:val="000000"/>
                <w:kern w:val="0"/>
                <w:sz w:val="22"/>
                <w:szCs w:val="22"/>
              </w:rPr>
              <w:t xml:space="preserve">1.066 </w:t>
            </w:r>
          </w:p>
        </w:tc>
      </w:tr>
      <w:tr w14:paraId="5387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2328E52">
            <w:pPr>
              <w:pStyle w:val="159"/>
            </w:pPr>
            <w:r>
              <w:t>-28.7</w:t>
            </w:r>
          </w:p>
        </w:tc>
        <w:tc>
          <w:tcPr>
            <w:tcW w:w="771" w:type="pct"/>
            <w:vAlign w:val="center"/>
          </w:tcPr>
          <w:p w14:paraId="588AAD0A">
            <w:pPr>
              <w:pStyle w:val="159"/>
            </w:pPr>
            <w:r>
              <w:t>-25</w:t>
            </w:r>
          </w:p>
        </w:tc>
        <w:tc>
          <w:tcPr>
            <w:tcW w:w="572" w:type="pct"/>
            <w:shd w:val="clear" w:color="auto" w:fill="auto"/>
            <w:noWrap/>
            <w:vAlign w:val="center"/>
          </w:tcPr>
          <w:p w14:paraId="5B1D3CE3">
            <w:pPr>
              <w:pStyle w:val="159"/>
            </w:pPr>
            <w:r>
              <w:rPr>
                <w:color w:val="000000"/>
                <w:kern w:val="0"/>
                <w:sz w:val="22"/>
                <w:szCs w:val="22"/>
              </w:rPr>
              <w:t xml:space="preserve">103.581 </w:t>
            </w:r>
          </w:p>
        </w:tc>
        <w:tc>
          <w:tcPr>
            <w:tcW w:w="572" w:type="pct"/>
            <w:vAlign w:val="center"/>
          </w:tcPr>
          <w:p w14:paraId="5D55613F">
            <w:pPr>
              <w:pStyle w:val="159"/>
            </w:pPr>
            <w:r>
              <w:rPr>
                <w:color w:val="000000"/>
                <w:kern w:val="0"/>
                <w:sz w:val="22"/>
                <w:szCs w:val="22"/>
              </w:rPr>
              <w:t xml:space="preserve">101.647 </w:t>
            </w:r>
          </w:p>
        </w:tc>
        <w:tc>
          <w:tcPr>
            <w:tcW w:w="572" w:type="pct"/>
            <w:vAlign w:val="center"/>
          </w:tcPr>
          <w:p w14:paraId="35F2E4E0">
            <w:pPr>
              <w:pStyle w:val="159"/>
            </w:pPr>
            <w:r>
              <w:rPr>
                <w:color w:val="000000"/>
                <w:kern w:val="0"/>
                <w:sz w:val="22"/>
                <w:szCs w:val="22"/>
              </w:rPr>
              <w:t xml:space="preserve">101.648 </w:t>
            </w:r>
          </w:p>
        </w:tc>
        <w:tc>
          <w:tcPr>
            <w:tcW w:w="572" w:type="pct"/>
            <w:shd w:val="clear" w:color="auto" w:fill="auto"/>
            <w:noWrap/>
            <w:vAlign w:val="center"/>
          </w:tcPr>
          <w:p w14:paraId="0BB5ABA8">
            <w:pPr>
              <w:pStyle w:val="159"/>
            </w:pPr>
            <w:r>
              <w:rPr>
                <w:color w:val="000000"/>
                <w:kern w:val="0"/>
                <w:sz w:val="22"/>
                <w:szCs w:val="22"/>
              </w:rPr>
              <w:t xml:space="preserve">0.968 </w:t>
            </w:r>
          </w:p>
        </w:tc>
        <w:tc>
          <w:tcPr>
            <w:tcW w:w="572" w:type="pct"/>
            <w:vAlign w:val="center"/>
          </w:tcPr>
          <w:p w14:paraId="14DD209E">
            <w:pPr>
              <w:pStyle w:val="159"/>
            </w:pPr>
            <w:r>
              <w:rPr>
                <w:color w:val="000000"/>
                <w:kern w:val="0"/>
                <w:sz w:val="22"/>
                <w:szCs w:val="22"/>
              </w:rPr>
              <w:t xml:space="preserve">1.045 </w:t>
            </w:r>
          </w:p>
        </w:tc>
        <w:tc>
          <w:tcPr>
            <w:tcW w:w="569" w:type="pct"/>
            <w:vAlign w:val="center"/>
          </w:tcPr>
          <w:p w14:paraId="02390E71">
            <w:pPr>
              <w:pStyle w:val="159"/>
            </w:pPr>
            <w:r>
              <w:rPr>
                <w:color w:val="000000"/>
                <w:kern w:val="0"/>
                <w:sz w:val="22"/>
                <w:szCs w:val="22"/>
              </w:rPr>
              <w:t xml:space="preserve">1.134 </w:t>
            </w:r>
          </w:p>
        </w:tc>
      </w:tr>
      <w:tr w14:paraId="1178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D584C25">
            <w:pPr>
              <w:pStyle w:val="159"/>
            </w:pPr>
            <w:r>
              <w:t>-27.7</w:t>
            </w:r>
          </w:p>
        </w:tc>
        <w:tc>
          <w:tcPr>
            <w:tcW w:w="771" w:type="pct"/>
            <w:vAlign w:val="center"/>
          </w:tcPr>
          <w:p w14:paraId="3F6E22C6">
            <w:pPr>
              <w:pStyle w:val="159"/>
            </w:pPr>
            <w:r>
              <w:t>-24</w:t>
            </w:r>
          </w:p>
        </w:tc>
        <w:tc>
          <w:tcPr>
            <w:tcW w:w="572" w:type="pct"/>
            <w:shd w:val="clear" w:color="auto" w:fill="auto"/>
            <w:noWrap/>
            <w:vAlign w:val="center"/>
          </w:tcPr>
          <w:p w14:paraId="7F38DF2A">
            <w:pPr>
              <w:pStyle w:val="159"/>
            </w:pPr>
            <w:r>
              <w:rPr>
                <w:color w:val="000000"/>
                <w:kern w:val="0"/>
                <w:sz w:val="22"/>
                <w:szCs w:val="22"/>
              </w:rPr>
              <w:t xml:space="preserve">110.679 </w:t>
            </w:r>
          </w:p>
        </w:tc>
        <w:tc>
          <w:tcPr>
            <w:tcW w:w="572" w:type="pct"/>
            <w:vAlign w:val="center"/>
          </w:tcPr>
          <w:p w14:paraId="732E21DB">
            <w:pPr>
              <w:pStyle w:val="159"/>
            </w:pPr>
            <w:r>
              <w:rPr>
                <w:color w:val="000000"/>
                <w:kern w:val="0"/>
                <w:sz w:val="22"/>
                <w:szCs w:val="22"/>
              </w:rPr>
              <w:t xml:space="preserve">108.714 </w:t>
            </w:r>
          </w:p>
        </w:tc>
        <w:tc>
          <w:tcPr>
            <w:tcW w:w="572" w:type="pct"/>
            <w:vAlign w:val="center"/>
          </w:tcPr>
          <w:p w14:paraId="25CF15D5">
            <w:pPr>
              <w:pStyle w:val="159"/>
            </w:pPr>
            <w:r>
              <w:rPr>
                <w:color w:val="000000"/>
                <w:kern w:val="0"/>
                <w:sz w:val="22"/>
                <w:szCs w:val="22"/>
              </w:rPr>
              <w:t xml:space="preserve">108.930 </w:t>
            </w:r>
          </w:p>
        </w:tc>
        <w:tc>
          <w:tcPr>
            <w:tcW w:w="572" w:type="pct"/>
            <w:shd w:val="clear" w:color="auto" w:fill="auto"/>
            <w:noWrap/>
            <w:vAlign w:val="center"/>
          </w:tcPr>
          <w:p w14:paraId="43D65B46">
            <w:pPr>
              <w:pStyle w:val="159"/>
            </w:pPr>
            <w:r>
              <w:rPr>
                <w:color w:val="000000"/>
                <w:kern w:val="0"/>
                <w:sz w:val="22"/>
                <w:szCs w:val="22"/>
              </w:rPr>
              <w:t xml:space="preserve">1.020 </w:t>
            </w:r>
          </w:p>
        </w:tc>
        <w:tc>
          <w:tcPr>
            <w:tcW w:w="572" w:type="pct"/>
            <w:vAlign w:val="center"/>
          </w:tcPr>
          <w:p w14:paraId="778E0BAD">
            <w:pPr>
              <w:pStyle w:val="159"/>
            </w:pPr>
            <w:r>
              <w:rPr>
                <w:color w:val="000000"/>
                <w:kern w:val="0"/>
                <w:sz w:val="22"/>
                <w:szCs w:val="22"/>
              </w:rPr>
              <w:t xml:space="preserve">1.107 </w:t>
            </w:r>
          </w:p>
        </w:tc>
        <w:tc>
          <w:tcPr>
            <w:tcW w:w="569" w:type="pct"/>
            <w:vAlign w:val="center"/>
          </w:tcPr>
          <w:p w14:paraId="1F62E3A9">
            <w:pPr>
              <w:pStyle w:val="159"/>
            </w:pPr>
            <w:r>
              <w:rPr>
                <w:color w:val="000000"/>
                <w:kern w:val="0"/>
                <w:sz w:val="22"/>
                <w:szCs w:val="22"/>
              </w:rPr>
              <w:t xml:space="preserve">1.208 </w:t>
            </w:r>
          </w:p>
        </w:tc>
      </w:tr>
      <w:tr w14:paraId="7E77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21DC091">
            <w:pPr>
              <w:pStyle w:val="159"/>
            </w:pPr>
            <w:r>
              <w:t>-26.7</w:t>
            </w:r>
          </w:p>
        </w:tc>
        <w:tc>
          <w:tcPr>
            <w:tcW w:w="771" w:type="pct"/>
            <w:vAlign w:val="center"/>
          </w:tcPr>
          <w:p w14:paraId="5A715A5C">
            <w:pPr>
              <w:pStyle w:val="159"/>
            </w:pPr>
            <w:r>
              <w:t>-23</w:t>
            </w:r>
          </w:p>
        </w:tc>
        <w:tc>
          <w:tcPr>
            <w:tcW w:w="572" w:type="pct"/>
            <w:shd w:val="clear" w:color="auto" w:fill="auto"/>
            <w:noWrap/>
            <w:vAlign w:val="center"/>
          </w:tcPr>
          <w:p w14:paraId="49A4538A">
            <w:pPr>
              <w:pStyle w:val="159"/>
            </w:pPr>
            <w:r>
              <w:rPr>
                <w:color w:val="000000"/>
                <w:kern w:val="0"/>
                <w:sz w:val="22"/>
                <w:szCs w:val="22"/>
              </w:rPr>
              <w:t xml:space="preserve">118.329 </w:t>
            </w:r>
          </w:p>
        </w:tc>
        <w:tc>
          <w:tcPr>
            <w:tcW w:w="572" w:type="pct"/>
            <w:vAlign w:val="center"/>
          </w:tcPr>
          <w:p w14:paraId="64D71BAC">
            <w:pPr>
              <w:pStyle w:val="159"/>
            </w:pPr>
            <w:r>
              <w:rPr>
                <w:color w:val="000000"/>
                <w:kern w:val="0"/>
                <w:sz w:val="22"/>
                <w:szCs w:val="22"/>
              </w:rPr>
              <w:t xml:space="preserve">116.366 </w:t>
            </w:r>
          </w:p>
        </w:tc>
        <w:tc>
          <w:tcPr>
            <w:tcW w:w="572" w:type="pct"/>
            <w:vAlign w:val="center"/>
          </w:tcPr>
          <w:p w14:paraId="58203885">
            <w:pPr>
              <w:pStyle w:val="159"/>
            </w:pPr>
            <w:r>
              <w:rPr>
                <w:color w:val="000000"/>
                <w:kern w:val="0"/>
                <w:sz w:val="22"/>
                <w:szCs w:val="22"/>
              </w:rPr>
              <w:t xml:space="preserve">116.871 </w:t>
            </w:r>
          </w:p>
        </w:tc>
        <w:tc>
          <w:tcPr>
            <w:tcW w:w="572" w:type="pct"/>
            <w:shd w:val="clear" w:color="auto" w:fill="auto"/>
            <w:noWrap/>
            <w:vAlign w:val="center"/>
          </w:tcPr>
          <w:p w14:paraId="40259FFD">
            <w:pPr>
              <w:pStyle w:val="159"/>
            </w:pPr>
            <w:r>
              <w:rPr>
                <w:color w:val="000000"/>
                <w:kern w:val="0"/>
                <w:sz w:val="22"/>
                <w:szCs w:val="22"/>
              </w:rPr>
              <w:t xml:space="preserve">1.077 </w:t>
            </w:r>
          </w:p>
        </w:tc>
        <w:tc>
          <w:tcPr>
            <w:tcW w:w="572" w:type="pct"/>
            <w:vAlign w:val="center"/>
          </w:tcPr>
          <w:p w14:paraId="63205308">
            <w:pPr>
              <w:pStyle w:val="159"/>
            </w:pPr>
            <w:r>
              <w:rPr>
                <w:color w:val="000000"/>
                <w:kern w:val="0"/>
                <w:sz w:val="22"/>
                <w:szCs w:val="22"/>
              </w:rPr>
              <w:t xml:space="preserve">1.175 </w:t>
            </w:r>
          </w:p>
        </w:tc>
        <w:tc>
          <w:tcPr>
            <w:tcW w:w="569" w:type="pct"/>
            <w:vAlign w:val="center"/>
          </w:tcPr>
          <w:p w14:paraId="6A1E572F">
            <w:pPr>
              <w:pStyle w:val="159"/>
            </w:pPr>
            <w:r>
              <w:rPr>
                <w:color w:val="000000"/>
                <w:kern w:val="0"/>
                <w:sz w:val="22"/>
                <w:szCs w:val="22"/>
              </w:rPr>
              <w:t xml:space="preserve">1.289 </w:t>
            </w:r>
          </w:p>
        </w:tc>
      </w:tr>
      <w:tr w14:paraId="3C1E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475D093F">
            <w:pPr>
              <w:pStyle w:val="159"/>
            </w:pPr>
            <w:r>
              <w:t>-25.7</w:t>
            </w:r>
          </w:p>
        </w:tc>
        <w:tc>
          <w:tcPr>
            <w:tcW w:w="771" w:type="pct"/>
            <w:vAlign w:val="center"/>
          </w:tcPr>
          <w:p w14:paraId="573885FC">
            <w:pPr>
              <w:pStyle w:val="159"/>
            </w:pPr>
            <w:r>
              <w:t>-22</w:t>
            </w:r>
          </w:p>
        </w:tc>
        <w:tc>
          <w:tcPr>
            <w:tcW w:w="572" w:type="pct"/>
            <w:shd w:val="clear" w:color="auto" w:fill="auto"/>
            <w:noWrap/>
            <w:vAlign w:val="center"/>
          </w:tcPr>
          <w:p w14:paraId="2E78F50E">
            <w:pPr>
              <w:pStyle w:val="159"/>
            </w:pPr>
            <w:r>
              <w:rPr>
                <w:color w:val="000000"/>
                <w:kern w:val="0"/>
                <w:sz w:val="22"/>
                <w:szCs w:val="22"/>
              </w:rPr>
              <w:t xml:space="preserve">126.560 </w:t>
            </w:r>
          </w:p>
        </w:tc>
        <w:tc>
          <w:tcPr>
            <w:tcW w:w="572" w:type="pct"/>
            <w:vAlign w:val="center"/>
          </w:tcPr>
          <w:p w14:paraId="5535EF01">
            <w:pPr>
              <w:pStyle w:val="159"/>
            </w:pPr>
            <w:r>
              <w:rPr>
                <w:color w:val="000000"/>
                <w:kern w:val="0"/>
                <w:sz w:val="22"/>
                <w:szCs w:val="22"/>
              </w:rPr>
              <w:t xml:space="preserve">124.645 </w:t>
            </w:r>
          </w:p>
        </w:tc>
        <w:tc>
          <w:tcPr>
            <w:tcW w:w="572" w:type="pct"/>
            <w:vAlign w:val="center"/>
          </w:tcPr>
          <w:p w14:paraId="19C4C860">
            <w:pPr>
              <w:pStyle w:val="159"/>
            </w:pPr>
            <w:r>
              <w:rPr>
                <w:color w:val="000000"/>
                <w:kern w:val="0"/>
                <w:sz w:val="22"/>
                <w:szCs w:val="22"/>
              </w:rPr>
              <w:t xml:space="preserve">125.535 </w:t>
            </w:r>
          </w:p>
        </w:tc>
        <w:tc>
          <w:tcPr>
            <w:tcW w:w="572" w:type="pct"/>
            <w:shd w:val="clear" w:color="auto" w:fill="auto"/>
            <w:noWrap/>
            <w:vAlign w:val="center"/>
          </w:tcPr>
          <w:p w14:paraId="715DF220">
            <w:pPr>
              <w:pStyle w:val="159"/>
            </w:pPr>
            <w:r>
              <w:rPr>
                <w:color w:val="000000"/>
                <w:kern w:val="0"/>
                <w:sz w:val="22"/>
                <w:szCs w:val="22"/>
              </w:rPr>
              <w:t xml:space="preserve">1.137 </w:t>
            </w:r>
          </w:p>
        </w:tc>
        <w:tc>
          <w:tcPr>
            <w:tcW w:w="572" w:type="pct"/>
            <w:vAlign w:val="center"/>
          </w:tcPr>
          <w:p w14:paraId="339EA63D">
            <w:pPr>
              <w:pStyle w:val="159"/>
            </w:pPr>
            <w:r>
              <w:rPr>
                <w:color w:val="000000"/>
                <w:kern w:val="0"/>
                <w:sz w:val="22"/>
                <w:szCs w:val="22"/>
              </w:rPr>
              <w:t xml:space="preserve">1.248 </w:t>
            </w:r>
          </w:p>
        </w:tc>
        <w:tc>
          <w:tcPr>
            <w:tcW w:w="569" w:type="pct"/>
            <w:vAlign w:val="center"/>
          </w:tcPr>
          <w:p w14:paraId="685C542A">
            <w:pPr>
              <w:pStyle w:val="159"/>
            </w:pPr>
            <w:r>
              <w:rPr>
                <w:color w:val="000000"/>
                <w:kern w:val="0"/>
                <w:sz w:val="22"/>
                <w:szCs w:val="22"/>
              </w:rPr>
              <w:t xml:space="preserve">1.378 </w:t>
            </w:r>
          </w:p>
        </w:tc>
      </w:tr>
      <w:tr w14:paraId="0A2D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DE81DBA">
            <w:pPr>
              <w:pStyle w:val="159"/>
            </w:pPr>
            <w:r>
              <w:t>-24.7</w:t>
            </w:r>
          </w:p>
        </w:tc>
        <w:tc>
          <w:tcPr>
            <w:tcW w:w="771" w:type="pct"/>
            <w:vAlign w:val="center"/>
          </w:tcPr>
          <w:p w14:paraId="4CC9621B">
            <w:pPr>
              <w:pStyle w:val="159"/>
            </w:pPr>
            <w:r>
              <w:t>-21</w:t>
            </w:r>
          </w:p>
        </w:tc>
        <w:tc>
          <w:tcPr>
            <w:tcW w:w="572" w:type="pct"/>
            <w:shd w:val="clear" w:color="auto" w:fill="auto"/>
            <w:noWrap/>
            <w:vAlign w:val="center"/>
          </w:tcPr>
          <w:p w14:paraId="64C57142">
            <w:pPr>
              <w:pStyle w:val="159"/>
            </w:pPr>
            <w:r>
              <w:rPr>
                <w:color w:val="000000"/>
                <w:kern w:val="0"/>
                <w:sz w:val="22"/>
                <w:szCs w:val="22"/>
              </w:rPr>
              <w:t xml:space="preserve">135.397 </w:t>
            </w:r>
          </w:p>
        </w:tc>
        <w:tc>
          <w:tcPr>
            <w:tcW w:w="572" w:type="pct"/>
            <w:vAlign w:val="center"/>
          </w:tcPr>
          <w:p w14:paraId="677C5958">
            <w:pPr>
              <w:pStyle w:val="159"/>
            </w:pPr>
            <w:r>
              <w:rPr>
                <w:color w:val="000000"/>
                <w:kern w:val="0"/>
                <w:sz w:val="22"/>
                <w:szCs w:val="22"/>
              </w:rPr>
              <w:t xml:space="preserve">133.592 </w:t>
            </w:r>
          </w:p>
        </w:tc>
        <w:tc>
          <w:tcPr>
            <w:tcW w:w="572" w:type="pct"/>
            <w:vAlign w:val="center"/>
          </w:tcPr>
          <w:p w14:paraId="33CE9AD6">
            <w:pPr>
              <w:pStyle w:val="159"/>
            </w:pPr>
            <w:r>
              <w:rPr>
                <w:color w:val="000000"/>
                <w:kern w:val="0"/>
                <w:sz w:val="22"/>
                <w:szCs w:val="22"/>
              </w:rPr>
              <w:t xml:space="preserve">134.991 </w:t>
            </w:r>
          </w:p>
        </w:tc>
        <w:tc>
          <w:tcPr>
            <w:tcW w:w="572" w:type="pct"/>
            <w:shd w:val="clear" w:color="auto" w:fill="auto"/>
            <w:noWrap/>
            <w:vAlign w:val="center"/>
          </w:tcPr>
          <w:p w14:paraId="0596EDD0">
            <w:pPr>
              <w:pStyle w:val="159"/>
            </w:pPr>
            <w:r>
              <w:rPr>
                <w:color w:val="000000"/>
                <w:kern w:val="0"/>
                <w:sz w:val="22"/>
                <w:szCs w:val="22"/>
              </w:rPr>
              <w:t xml:space="preserve">1.202 </w:t>
            </w:r>
          </w:p>
        </w:tc>
        <w:tc>
          <w:tcPr>
            <w:tcW w:w="572" w:type="pct"/>
            <w:vAlign w:val="center"/>
          </w:tcPr>
          <w:p w14:paraId="06D8DDB5">
            <w:pPr>
              <w:pStyle w:val="159"/>
            </w:pPr>
            <w:r>
              <w:rPr>
                <w:color w:val="000000"/>
                <w:kern w:val="0"/>
                <w:sz w:val="22"/>
                <w:szCs w:val="22"/>
              </w:rPr>
              <w:t xml:space="preserve">1.328 </w:t>
            </w:r>
          </w:p>
        </w:tc>
        <w:tc>
          <w:tcPr>
            <w:tcW w:w="569" w:type="pct"/>
            <w:vAlign w:val="center"/>
          </w:tcPr>
          <w:p w14:paraId="48BE0DEB">
            <w:pPr>
              <w:pStyle w:val="159"/>
            </w:pPr>
            <w:r>
              <w:rPr>
                <w:color w:val="000000"/>
                <w:kern w:val="0"/>
                <w:sz w:val="22"/>
                <w:szCs w:val="22"/>
              </w:rPr>
              <w:t xml:space="preserve">1.475 </w:t>
            </w:r>
          </w:p>
        </w:tc>
      </w:tr>
      <w:tr w14:paraId="2DC6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E5842EA">
            <w:pPr>
              <w:pStyle w:val="159"/>
            </w:pPr>
            <w:r>
              <w:t>-23.7</w:t>
            </w:r>
          </w:p>
        </w:tc>
        <w:tc>
          <w:tcPr>
            <w:tcW w:w="771" w:type="pct"/>
            <w:vAlign w:val="center"/>
          </w:tcPr>
          <w:p w14:paraId="3B0BC860">
            <w:pPr>
              <w:pStyle w:val="159"/>
            </w:pPr>
            <w:r>
              <w:t>-20</w:t>
            </w:r>
          </w:p>
        </w:tc>
        <w:tc>
          <w:tcPr>
            <w:tcW w:w="572" w:type="pct"/>
            <w:shd w:val="clear" w:color="auto" w:fill="auto"/>
            <w:noWrap/>
            <w:vAlign w:val="center"/>
          </w:tcPr>
          <w:p w14:paraId="4E12DBA6">
            <w:pPr>
              <w:pStyle w:val="159"/>
            </w:pPr>
            <w:r>
              <w:rPr>
                <w:color w:val="000000"/>
                <w:kern w:val="0"/>
                <w:sz w:val="22"/>
                <w:szCs w:val="22"/>
              </w:rPr>
              <w:t xml:space="preserve">144.858 </w:t>
            </w:r>
          </w:p>
        </w:tc>
        <w:tc>
          <w:tcPr>
            <w:tcW w:w="572" w:type="pct"/>
            <w:vAlign w:val="center"/>
          </w:tcPr>
          <w:p w14:paraId="4930BBA2">
            <w:pPr>
              <w:pStyle w:val="159"/>
            </w:pPr>
            <w:r>
              <w:rPr>
                <w:color w:val="000000"/>
                <w:kern w:val="0"/>
                <w:sz w:val="22"/>
                <w:szCs w:val="22"/>
              </w:rPr>
              <w:t xml:space="preserve">143.246 </w:t>
            </w:r>
          </w:p>
        </w:tc>
        <w:tc>
          <w:tcPr>
            <w:tcW w:w="572" w:type="pct"/>
            <w:vAlign w:val="center"/>
          </w:tcPr>
          <w:p w14:paraId="3C909938">
            <w:pPr>
              <w:pStyle w:val="159"/>
            </w:pPr>
            <w:r>
              <w:rPr>
                <w:color w:val="000000"/>
                <w:kern w:val="0"/>
                <w:sz w:val="22"/>
                <w:szCs w:val="22"/>
              </w:rPr>
              <w:t xml:space="preserve">145.313 </w:t>
            </w:r>
          </w:p>
        </w:tc>
        <w:tc>
          <w:tcPr>
            <w:tcW w:w="572" w:type="pct"/>
            <w:shd w:val="clear" w:color="auto" w:fill="auto"/>
            <w:noWrap/>
            <w:vAlign w:val="center"/>
          </w:tcPr>
          <w:p w14:paraId="448141CD">
            <w:pPr>
              <w:pStyle w:val="159"/>
            </w:pPr>
            <w:r>
              <w:rPr>
                <w:color w:val="000000"/>
                <w:kern w:val="0"/>
                <w:sz w:val="22"/>
                <w:szCs w:val="22"/>
              </w:rPr>
              <w:t xml:space="preserve">1.271 </w:t>
            </w:r>
          </w:p>
        </w:tc>
        <w:tc>
          <w:tcPr>
            <w:tcW w:w="572" w:type="pct"/>
            <w:vAlign w:val="center"/>
          </w:tcPr>
          <w:p w14:paraId="5AA30A06">
            <w:pPr>
              <w:pStyle w:val="159"/>
            </w:pPr>
            <w:r>
              <w:rPr>
                <w:color w:val="000000"/>
                <w:kern w:val="0"/>
                <w:sz w:val="22"/>
                <w:szCs w:val="22"/>
              </w:rPr>
              <w:t xml:space="preserve">1.414 </w:t>
            </w:r>
          </w:p>
        </w:tc>
        <w:tc>
          <w:tcPr>
            <w:tcW w:w="569" w:type="pct"/>
            <w:vAlign w:val="center"/>
          </w:tcPr>
          <w:p w14:paraId="3BC46863">
            <w:pPr>
              <w:pStyle w:val="159"/>
            </w:pPr>
            <w:r>
              <w:rPr>
                <w:color w:val="000000"/>
                <w:kern w:val="0"/>
                <w:sz w:val="22"/>
                <w:szCs w:val="22"/>
              </w:rPr>
              <w:t xml:space="preserve">1.583 </w:t>
            </w:r>
          </w:p>
        </w:tc>
      </w:tr>
      <w:tr w14:paraId="462B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26FDC2A4">
            <w:pPr>
              <w:pStyle w:val="159"/>
            </w:pPr>
            <w:r>
              <w:t>-22.7</w:t>
            </w:r>
          </w:p>
        </w:tc>
        <w:tc>
          <w:tcPr>
            <w:tcW w:w="771" w:type="pct"/>
            <w:vAlign w:val="center"/>
          </w:tcPr>
          <w:p w14:paraId="7020DD73">
            <w:pPr>
              <w:pStyle w:val="159"/>
            </w:pPr>
            <w:r>
              <w:t>-19</w:t>
            </w:r>
          </w:p>
        </w:tc>
        <w:tc>
          <w:tcPr>
            <w:tcW w:w="572" w:type="pct"/>
            <w:shd w:val="clear" w:color="auto" w:fill="auto"/>
            <w:noWrap/>
            <w:vAlign w:val="center"/>
          </w:tcPr>
          <w:p w14:paraId="37DC76BE">
            <w:pPr>
              <w:pStyle w:val="159"/>
            </w:pPr>
            <w:r>
              <w:rPr>
                <w:color w:val="000000"/>
                <w:kern w:val="0"/>
                <w:sz w:val="22"/>
                <w:szCs w:val="22"/>
              </w:rPr>
              <w:t xml:space="preserve">154.952 </w:t>
            </w:r>
          </w:p>
        </w:tc>
        <w:tc>
          <w:tcPr>
            <w:tcW w:w="572" w:type="pct"/>
            <w:vAlign w:val="center"/>
          </w:tcPr>
          <w:p w14:paraId="72E651C0">
            <w:pPr>
              <w:pStyle w:val="159"/>
            </w:pPr>
            <w:r>
              <w:rPr>
                <w:color w:val="000000"/>
                <w:kern w:val="0"/>
                <w:sz w:val="22"/>
                <w:szCs w:val="22"/>
              </w:rPr>
              <w:t xml:space="preserve">153.640 </w:t>
            </w:r>
          </w:p>
        </w:tc>
        <w:tc>
          <w:tcPr>
            <w:tcW w:w="572" w:type="pct"/>
            <w:vAlign w:val="center"/>
          </w:tcPr>
          <w:p w14:paraId="0FC43502">
            <w:pPr>
              <w:pStyle w:val="159"/>
            </w:pPr>
            <w:r>
              <w:rPr>
                <w:color w:val="000000"/>
                <w:kern w:val="0"/>
                <w:sz w:val="22"/>
                <w:szCs w:val="22"/>
              </w:rPr>
              <w:t xml:space="preserve">156.577 </w:t>
            </w:r>
          </w:p>
        </w:tc>
        <w:tc>
          <w:tcPr>
            <w:tcW w:w="572" w:type="pct"/>
            <w:shd w:val="clear" w:color="auto" w:fill="auto"/>
            <w:noWrap/>
            <w:vAlign w:val="center"/>
          </w:tcPr>
          <w:p w14:paraId="1FC43B81">
            <w:pPr>
              <w:pStyle w:val="159"/>
            </w:pPr>
            <w:r>
              <w:rPr>
                <w:color w:val="000000"/>
                <w:kern w:val="0"/>
                <w:sz w:val="22"/>
                <w:szCs w:val="22"/>
              </w:rPr>
              <w:t xml:space="preserve">1.345 </w:t>
            </w:r>
          </w:p>
        </w:tc>
        <w:tc>
          <w:tcPr>
            <w:tcW w:w="572" w:type="pct"/>
            <w:vAlign w:val="center"/>
          </w:tcPr>
          <w:p w14:paraId="0C0CAF16">
            <w:pPr>
              <w:pStyle w:val="159"/>
            </w:pPr>
            <w:r>
              <w:rPr>
                <w:color w:val="000000"/>
                <w:kern w:val="0"/>
                <w:sz w:val="22"/>
                <w:szCs w:val="22"/>
              </w:rPr>
              <w:t xml:space="preserve">1.508 </w:t>
            </w:r>
          </w:p>
        </w:tc>
        <w:tc>
          <w:tcPr>
            <w:tcW w:w="569" w:type="pct"/>
            <w:vAlign w:val="center"/>
          </w:tcPr>
          <w:p w14:paraId="5DA599E2">
            <w:pPr>
              <w:pStyle w:val="159"/>
            </w:pPr>
            <w:r>
              <w:rPr>
                <w:color w:val="000000"/>
                <w:kern w:val="0"/>
                <w:sz w:val="22"/>
                <w:szCs w:val="22"/>
              </w:rPr>
              <w:t xml:space="preserve">1.701 </w:t>
            </w:r>
          </w:p>
        </w:tc>
      </w:tr>
      <w:tr w14:paraId="7202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0FE3CFDF">
            <w:pPr>
              <w:pStyle w:val="159"/>
            </w:pPr>
            <w:r>
              <w:t>-21.7</w:t>
            </w:r>
          </w:p>
        </w:tc>
        <w:tc>
          <w:tcPr>
            <w:tcW w:w="771" w:type="pct"/>
            <w:vAlign w:val="center"/>
          </w:tcPr>
          <w:p w14:paraId="31AA54B6">
            <w:pPr>
              <w:pStyle w:val="159"/>
            </w:pPr>
            <w:r>
              <w:t>-18</w:t>
            </w:r>
          </w:p>
        </w:tc>
        <w:tc>
          <w:tcPr>
            <w:tcW w:w="572" w:type="pct"/>
            <w:shd w:val="clear" w:color="auto" w:fill="auto"/>
            <w:noWrap/>
            <w:vAlign w:val="center"/>
          </w:tcPr>
          <w:p w14:paraId="6E809485">
            <w:pPr>
              <w:pStyle w:val="159"/>
            </w:pPr>
            <w:r>
              <w:rPr>
                <w:color w:val="000000"/>
                <w:kern w:val="0"/>
                <w:sz w:val="22"/>
                <w:szCs w:val="22"/>
              </w:rPr>
              <w:t xml:space="preserve">165.670 </w:t>
            </w:r>
          </w:p>
        </w:tc>
        <w:tc>
          <w:tcPr>
            <w:tcW w:w="572" w:type="pct"/>
            <w:vAlign w:val="center"/>
          </w:tcPr>
          <w:p w14:paraId="5C7DC98A">
            <w:pPr>
              <w:pStyle w:val="159"/>
            </w:pPr>
            <w:r>
              <w:rPr>
                <w:color w:val="000000"/>
                <w:kern w:val="0"/>
                <w:sz w:val="22"/>
                <w:szCs w:val="22"/>
              </w:rPr>
              <w:t xml:space="preserve">164.800 </w:t>
            </w:r>
          </w:p>
        </w:tc>
        <w:tc>
          <w:tcPr>
            <w:tcW w:w="572" w:type="pct"/>
            <w:vAlign w:val="center"/>
          </w:tcPr>
          <w:p w14:paraId="2280CAA3">
            <w:pPr>
              <w:pStyle w:val="159"/>
            </w:pPr>
            <w:r>
              <w:rPr>
                <w:color w:val="000000"/>
                <w:kern w:val="0"/>
                <w:sz w:val="22"/>
                <w:szCs w:val="22"/>
              </w:rPr>
              <w:t xml:space="preserve">168.865 </w:t>
            </w:r>
          </w:p>
        </w:tc>
        <w:tc>
          <w:tcPr>
            <w:tcW w:w="572" w:type="pct"/>
            <w:shd w:val="clear" w:color="auto" w:fill="auto"/>
            <w:noWrap/>
            <w:vAlign w:val="center"/>
          </w:tcPr>
          <w:p w14:paraId="55CE9A51">
            <w:pPr>
              <w:pStyle w:val="159"/>
            </w:pPr>
            <w:r>
              <w:rPr>
                <w:color w:val="000000"/>
                <w:kern w:val="0"/>
                <w:sz w:val="22"/>
                <w:szCs w:val="22"/>
              </w:rPr>
              <w:t xml:space="preserve">1.425 </w:t>
            </w:r>
          </w:p>
        </w:tc>
        <w:tc>
          <w:tcPr>
            <w:tcW w:w="572" w:type="pct"/>
            <w:vAlign w:val="center"/>
          </w:tcPr>
          <w:p w14:paraId="2441DC05">
            <w:pPr>
              <w:pStyle w:val="159"/>
            </w:pPr>
            <w:r>
              <w:rPr>
                <w:color w:val="000000"/>
                <w:kern w:val="0"/>
                <w:sz w:val="22"/>
                <w:szCs w:val="22"/>
              </w:rPr>
              <w:t xml:space="preserve">1.610 </w:t>
            </w:r>
          </w:p>
        </w:tc>
        <w:tc>
          <w:tcPr>
            <w:tcW w:w="569" w:type="pct"/>
            <w:vAlign w:val="center"/>
          </w:tcPr>
          <w:p w14:paraId="0DA27433">
            <w:pPr>
              <w:pStyle w:val="159"/>
            </w:pPr>
            <w:r>
              <w:rPr>
                <w:color w:val="000000"/>
                <w:kern w:val="0"/>
                <w:sz w:val="22"/>
                <w:szCs w:val="22"/>
              </w:rPr>
              <w:t xml:space="preserve">1.832 </w:t>
            </w:r>
          </w:p>
        </w:tc>
      </w:tr>
      <w:tr w14:paraId="62D8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64E4D9D">
            <w:pPr>
              <w:pStyle w:val="159"/>
            </w:pPr>
            <w:r>
              <w:t>-20.7</w:t>
            </w:r>
          </w:p>
        </w:tc>
        <w:tc>
          <w:tcPr>
            <w:tcW w:w="771" w:type="pct"/>
            <w:vAlign w:val="center"/>
          </w:tcPr>
          <w:p w14:paraId="35046EDB">
            <w:pPr>
              <w:pStyle w:val="159"/>
            </w:pPr>
            <w:r>
              <w:t>-17</w:t>
            </w:r>
          </w:p>
        </w:tc>
        <w:tc>
          <w:tcPr>
            <w:tcW w:w="572" w:type="pct"/>
            <w:shd w:val="clear" w:color="auto" w:fill="auto"/>
            <w:noWrap/>
            <w:vAlign w:val="center"/>
          </w:tcPr>
          <w:p w14:paraId="061D93EA">
            <w:pPr>
              <w:pStyle w:val="159"/>
            </w:pPr>
            <w:r>
              <w:rPr>
                <w:color w:val="000000"/>
                <w:kern w:val="0"/>
                <w:sz w:val="22"/>
                <w:szCs w:val="22"/>
              </w:rPr>
              <w:t xml:space="preserve">176.988 </w:t>
            </w:r>
          </w:p>
        </w:tc>
        <w:tc>
          <w:tcPr>
            <w:tcW w:w="572" w:type="pct"/>
            <w:vAlign w:val="center"/>
          </w:tcPr>
          <w:p w14:paraId="683528B7">
            <w:pPr>
              <w:pStyle w:val="159"/>
            </w:pPr>
            <w:r>
              <w:rPr>
                <w:color w:val="000000"/>
                <w:kern w:val="0"/>
                <w:sz w:val="22"/>
                <w:szCs w:val="22"/>
              </w:rPr>
              <w:t xml:space="preserve">176.739 </w:t>
            </w:r>
          </w:p>
        </w:tc>
        <w:tc>
          <w:tcPr>
            <w:tcW w:w="572" w:type="pct"/>
            <w:vAlign w:val="center"/>
          </w:tcPr>
          <w:p w14:paraId="5DA18697">
            <w:pPr>
              <w:pStyle w:val="159"/>
            </w:pPr>
            <w:r>
              <w:rPr>
                <w:color w:val="000000"/>
                <w:kern w:val="0"/>
                <w:sz w:val="22"/>
                <w:szCs w:val="22"/>
              </w:rPr>
              <w:t xml:space="preserve">182.255 </w:t>
            </w:r>
          </w:p>
        </w:tc>
        <w:tc>
          <w:tcPr>
            <w:tcW w:w="572" w:type="pct"/>
            <w:shd w:val="clear" w:color="auto" w:fill="auto"/>
            <w:noWrap/>
            <w:vAlign w:val="center"/>
          </w:tcPr>
          <w:p w14:paraId="37C02F02">
            <w:pPr>
              <w:pStyle w:val="159"/>
            </w:pPr>
            <w:r>
              <w:rPr>
                <w:color w:val="000000"/>
                <w:kern w:val="0"/>
                <w:sz w:val="22"/>
                <w:szCs w:val="22"/>
              </w:rPr>
              <w:t xml:space="preserve">1.509 </w:t>
            </w:r>
          </w:p>
        </w:tc>
        <w:tc>
          <w:tcPr>
            <w:tcW w:w="572" w:type="pct"/>
            <w:vAlign w:val="center"/>
          </w:tcPr>
          <w:p w14:paraId="1BC818A4">
            <w:pPr>
              <w:pStyle w:val="159"/>
            </w:pPr>
            <w:r>
              <w:rPr>
                <w:color w:val="000000"/>
                <w:kern w:val="0"/>
                <w:sz w:val="22"/>
                <w:szCs w:val="22"/>
              </w:rPr>
              <w:t xml:space="preserve">1.721 </w:t>
            </w:r>
          </w:p>
        </w:tc>
        <w:tc>
          <w:tcPr>
            <w:tcW w:w="569" w:type="pct"/>
            <w:vAlign w:val="center"/>
          </w:tcPr>
          <w:p w14:paraId="6665FFE0">
            <w:pPr>
              <w:pStyle w:val="159"/>
            </w:pPr>
            <w:r>
              <w:rPr>
                <w:color w:val="000000"/>
                <w:kern w:val="0"/>
                <w:sz w:val="22"/>
                <w:szCs w:val="22"/>
              </w:rPr>
              <w:t xml:space="preserve">1.978 </w:t>
            </w:r>
          </w:p>
        </w:tc>
      </w:tr>
      <w:tr w14:paraId="4127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842AE19">
            <w:pPr>
              <w:pStyle w:val="159"/>
            </w:pPr>
            <w:r>
              <w:t>-19.7</w:t>
            </w:r>
          </w:p>
        </w:tc>
        <w:tc>
          <w:tcPr>
            <w:tcW w:w="771" w:type="pct"/>
            <w:vAlign w:val="center"/>
          </w:tcPr>
          <w:p w14:paraId="511DAE8D">
            <w:pPr>
              <w:pStyle w:val="159"/>
            </w:pPr>
            <w:r>
              <w:t>-16</w:t>
            </w:r>
          </w:p>
        </w:tc>
        <w:tc>
          <w:tcPr>
            <w:tcW w:w="572" w:type="pct"/>
            <w:shd w:val="clear" w:color="auto" w:fill="auto"/>
            <w:noWrap/>
            <w:vAlign w:val="center"/>
          </w:tcPr>
          <w:p w14:paraId="7ABE3D46">
            <w:pPr>
              <w:pStyle w:val="159"/>
            </w:pPr>
            <w:r>
              <w:rPr>
                <w:color w:val="000000"/>
                <w:kern w:val="0"/>
                <w:sz w:val="22"/>
                <w:szCs w:val="22"/>
              </w:rPr>
              <w:t xml:space="preserve">188.854 </w:t>
            </w:r>
          </w:p>
        </w:tc>
        <w:tc>
          <w:tcPr>
            <w:tcW w:w="572" w:type="pct"/>
            <w:vAlign w:val="center"/>
          </w:tcPr>
          <w:p w14:paraId="5EF7E834">
            <w:pPr>
              <w:pStyle w:val="159"/>
            </w:pPr>
            <w:r>
              <w:rPr>
                <w:color w:val="000000"/>
                <w:kern w:val="0"/>
                <w:sz w:val="22"/>
                <w:szCs w:val="22"/>
              </w:rPr>
              <w:t xml:space="preserve">189.454 </w:t>
            </w:r>
          </w:p>
        </w:tc>
        <w:tc>
          <w:tcPr>
            <w:tcW w:w="572" w:type="pct"/>
            <w:vAlign w:val="center"/>
          </w:tcPr>
          <w:p w14:paraId="7BFAA2E6">
            <w:pPr>
              <w:pStyle w:val="159"/>
            </w:pPr>
            <w:r>
              <w:rPr>
                <w:color w:val="000000"/>
                <w:kern w:val="0"/>
                <w:sz w:val="22"/>
                <w:szCs w:val="22"/>
              </w:rPr>
              <w:t xml:space="preserve">196.830 </w:t>
            </w:r>
          </w:p>
        </w:tc>
        <w:tc>
          <w:tcPr>
            <w:tcW w:w="572" w:type="pct"/>
            <w:shd w:val="clear" w:color="auto" w:fill="auto"/>
            <w:noWrap/>
            <w:vAlign w:val="center"/>
          </w:tcPr>
          <w:p w14:paraId="6F418F67">
            <w:pPr>
              <w:pStyle w:val="159"/>
            </w:pPr>
            <w:r>
              <w:rPr>
                <w:color w:val="000000"/>
                <w:kern w:val="0"/>
                <w:sz w:val="22"/>
                <w:szCs w:val="22"/>
              </w:rPr>
              <w:t xml:space="preserve">1.599 </w:t>
            </w:r>
          </w:p>
        </w:tc>
        <w:tc>
          <w:tcPr>
            <w:tcW w:w="572" w:type="pct"/>
            <w:vAlign w:val="center"/>
          </w:tcPr>
          <w:p w14:paraId="0A3F991C">
            <w:pPr>
              <w:pStyle w:val="159"/>
            </w:pPr>
            <w:r>
              <w:rPr>
                <w:color w:val="000000"/>
                <w:kern w:val="0"/>
                <w:sz w:val="22"/>
                <w:szCs w:val="22"/>
              </w:rPr>
              <w:t xml:space="preserve">1.841 </w:t>
            </w:r>
          </w:p>
        </w:tc>
        <w:tc>
          <w:tcPr>
            <w:tcW w:w="569" w:type="pct"/>
            <w:vAlign w:val="center"/>
          </w:tcPr>
          <w:p w14:paraId="44E16C30">
            <w:pPr>
              <w:pStyle w:val="159"/>
            </w:pPr>
            <w:r>
              <w:rPr>
                <w:color w:val="000000"/>
                <w:kern w:val="0"/>
                <w:sz w:val="22"/>
                <w:szCs w:val="22"/>
              </w:rPr>
              <w:t xml:space="preserve">2.138 </w:t>
            </w:r>
          </w:p>
        </w:tc>
      </w:tr>
      <w:tr w14:paraId="4EB0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C02A1E9">
            <w:pPr>
              <w:pStyle w:val="159"/>
            </w:pPr>
            <w:r>
              <w:t>-18.7</w:t>
            </w:r>
          </w:p>
        </w:tc>
        <w:tc>
          <w:tcPr>
            <w:tcW w:w="771" w:type="pct"/>
            <w:vAlign w:val="center"/>
          </w:tcPr>
          <w:p w14:paraId="2C0A37AB">
            <w:pPr>
              <w:pStyle w:val="159"/>
            </w:pPr>
            <w:r>
              <w:t>-15</w:t>
            </w:r>
          </w:p>
        </w:tc>
        <w:tc>
          <w:tcPr>
            <w:tcW w:w="572" w:type="pct"/>
            <w:shd w:val="clear" w:color="auto" w:fill="auto"/>
            <w:noWrap/>
            <w:vAlign w:val="center"/>
          </w:tcPr>
          <w:p w14:paraId="1F0674AA">
            <w:pPr>
              <w:pStyle w:val="159"/>
            </w:pPr>
            <w:r>
              <w:rPr>
                <w:color w:val="000000"/>
                <w:kern w:val="0"/>
                <w:sz w:val="22"/>
                <w:szCs w:val="22"/>
              </w:rPr>
              <w:t xml:space="preserve">201.185 </w:t>
            </w:r>
          </w:p>
        </w:tc>
        <w:tc>
          <w:tcPr>
            <w:tcW w:w="572" w:type="pct"/>
            <w:vAlign w:val="center"/>
          </w:tcPr>
          <w:p w14:paraId="351243E3">
            <w:pPr>
              <w:pStyle w:val="159"/>
            </w:pPr>
            <w:r>
              <w:rPr>
                <w:color w:val="000000"/>
                <w:kern w:val="0"/>
                <w:sz w:val="22"/>
                <w:szCs w:val="22"/>
              </w:rPr>
              <w:t xml:space="preserve">202.916 </w:t>
            </w:r>
          </w:p>
        </w:tc>
        <w:tc>
          <w:tcPr>
            <w:tcW w:w="572" w:type="pct"/>
            <w:vAlign w:val="center"/>
          </w:tcPr>
          <w:p w14:paraId="43E5EEB6">
            <w:pPr>
              <w:pStyle w:val="159"/>
            </w:pPr>
            <w:r>
              <w:rPr>
                <w:color w:val="000000"/>
                <w:kern w:val="0"/>
                <w:sz w:val="22"/>
                <w:szCs w:val="22"/>
              </w:rPr>
              <w:t xml:space="preserve">212.660 </w:t>
            </w:r>
          </w:p>
        </w:tc>
        <w:tc>
          <w:tcPr>
            <w:tcW w:w="572" w:type="pct"/>
            <w:shd w:val="clear" w:color="auto" w:fill="auto"/>
            <w:noWrap/>
            <w:vAlign w:val="center"/>
          </w:tcPr>
          <w:p w14:paraId="55B6538E">
            <w:pPr>
              <w:pStyle w:val="159"/>
            </w:pPr>
            <w:r>
              <w:rPr>
                <w:color w:val="000000"/>
                <w:kern w:val="0"/>
                <w:sz w:val="22"/>
                <w:szCs w:val="22"/>
              </w:rPr>
              <w:t xml:space="preserve">1.695 </w:t>
            </w:r>
          </w:p>
        </w:tc>
        <w:tc>
          <w:tcPr>
            <w:tcW w:w="572" w:type="pct"/>
            <w:vAlign w:val="center"/>
          </w:tcPr>
          <w:p w14:paraId="38AFD9B6">
            <w:pPr>
              <w:pStyle w:val="159"/>
            </w:pPr>
            <w:r>
              <w:rPr>
                <w:color w:val="000000"/>
                <w:kern w:val="0"/>
                <w:sz w:val="22"/>
                <w:szCs w:val="22"/>
              </w:rPr>
              <w:t xml:space="preserve">1.972 </w:t>
            </w:r>
          </w:p>
        </w:tc>
        <w:tc>
          <w:tcPr>
            <w:tcW w:w="569" w:type="pct"/>
            <w:vAlign w:val="center"/>
          </w:tcPr>
          <w:p w14:paraId="4D3FDC14">
            <w:pPr>
              <w:pStyle w:val="159"/>
            </w:pPr>
            <w:r>
              <w:rPr>
                <w:color w:val="000000"/>
                <w:kern w:val="0"/>
                <w:sz w:val="22"/>
                <w:szCs w:val="22"/>
              </w:rPr>
              <w:t xml:space="preserve">2.317 </w:t>
            </w:r>
          </w:p>
        </w:tc>
      </w:tr>
      <w:tr w14:paraId="1850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E3E7398">
            <w:pPr>
              <w:pStyle w:val="159"/>
            </w:pPr>
            <w:r>
              <w:t>-17.7</w:t>
            </w:r>
          </w:p>
        </w:tc>
        <w:tc>
          <w:tcPr>
            <w:tcW w:w="771" w:type="pct"/>
            <w:vAlign w:val="center"/>
          </w:tcPr>
          <w:p w14:paraId="1CE5680F">
            <w:pPr>
              <w:pStyle w:val="159"/>
            </w:pPr>
            <w:r>
              <w:t>-14</w:t>
            </w:r>
          </w:p>
        </w:tc>
        <w:tc>
          <w:tcPr>
            <w:tcW w:w="572" w:type="pct"/>
            <w:shd w:val="clear" w:color="auto" w:fill="auto"/>
            <w:noWrap/>
            <w:vAlign w:val="center"/>
          </w:tcPr>
          <w:p w14:paraId="27D5D91F">
            <w:pPr>
              <w:pStyle w:val="159"/>
            </w:pPr>
            <w:r>
              <w:rPr>
                <w:color w:val="000000"/>
                <w:kern w:val="0"/>
                <w:sz w:val="22"/>
                <w:szCs w:val="22"/>
              </w:rPr>
              <w:t xml:space="preserve">213.857 </w:t>
            </w:r>
          </w:p>
        </w:tc>
        <w:tc>
          <w:tcPr>
            <w:tcW w:w="572" w:type="pct"/>
            <w:vAlign w:val="center"/>
          </w:tcPr>
          <w:p w14:paraId="10238E14">
            <w:pPr>
              <w:pStyle w:val="159"/>
            </w:pPr>
            <w:r>
              <w:rPr>
                <w:color w:val="000000"/>
                <w:kern w:val="0"/>
                <w:sz w:val="22"/>
                <w:szCs w:val="22"/>
              </w:rPr>
              <w:t xml:space="preserve">217.068 </w:t>
            </w:r>
          </w:p>
        </w:tc>
        <w:tc>
          <w:tcPr>
            <w:tcW w:w="572" w:type="pct"/>
            <w:vAlign w:val="center"/>
          </w:tcPr>
          <w:p w14:paraId="0DAB600D">
            <w:pPr>
              <w:pStyle w:val="159"/>
            </w:pPr>
            <w:r>
              <w:rPr>
                <w:color w:val="000000"/>
                <w:kern w:val="0"/>
                <w:sz w:val="22"/>
                <w:szCs w:val="22"/>
              </w:rPr>
              <w:t xml:space="preserve">229.809 </w:t>
            </w:r>
          </w:p>
        </w:tc>
        <w:tc>
          <w:tcPr>
            <w:tcW w:w="572" w:type="pct"/>
            <w:shd w:val="clear" w:color="auto" w:fill="auto"/>
            <w:noWrap/>
            <w:vAlign w:val="center"/>
          </w:tcPr>
          <w:p w14:paraId="51F753A7">
            <w:pPr>
              <w:pStyle w:val="159"/>
            </w:pPr>
            <w:r>
              <w:rPr>
                <w:color w:val="000000"/>
                <w:kern w:val="0"/>
                <w:sz w:val="22"/>
                <w:szCs w:val="22"/>
              </w:rPr>
              <w:t xml:space="preserve">1.797 </w:t>
            </w:r>
          </w:p>
        </w:tc>
        <w:tc>
          <w:tcPr>
            <w:tcW w:w="572" w:type="pct"/>
            <w:vAlign w:val="center"/>
          </w:tcPr>
          <w:p w14:paraId="6AC36911">
            <w:pPr>
              <w:pStyle w:val="159"/>
            </w:pPr>
            <w:r>
              <w:rPr>
                <w:color w:val="000000"/>
                <w:kern w:val="0"/>
                <w:sz w:val="22"/>
                <w:szCs w:val="22"/>
              </w:rPr>
              <w:t xml:space="preserve">2.113 </w:t>
            </w:r>
          </w:p>
        </w:tc>
        <w:tc>
          <w:tcPr>
            <w:tcW w:w="569" w:type="pct"/>
            <w:vAlign w:val="center"/>
          </w:tcPr>
          <w:p w14:paraId="65A28F35">
            <w:pPr>
              <w:pStyle w:val="159"/>
            </w:pPr>
            <w:r>
              <w:rPr>
                <w:color w:val="000000"/>
                <w:kern w:val="0"/>
                <w:sz w:val="22"/>
                <w:szCs w:val="22"/>
              </w:rPr>
              <w:t xml:space="preserve">2.515 </w:t>
            </w:r>
          </w:p>
        </w:tc>
      </w:tr>
      <w:tr w14:paraId="04E1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5DC4BF1">
            <w:pPr>
              <w:pStyle w:val="159"/>
            </w:pPr>
            <w:r>
              <w:t>-16.7</w:t>
            </w:r>
          </w:p>
        </w:tc>
        <w:tc>
          <w:tcPr>
            <w:tcW w:w="771" w:type="pct"/>
            <w:vAlign w:val="center"/>
          </w:tcPr>
          <w:p w14:paraId="1F5A4EE5">
            <w:pPr>
              <w:pStyle w:val="159"/>
            </w:pPr>
            <w:r>
              <w:t>-13</w:t>
            </w:r>
          </w:p>
        </w:tc>
        <w:tc>
          <w:tcPr>
            <w:tcW w:w="572" w:type="pct"/>
            <w:shd w:val="clear" w:color="auto" w:fill="auto"/>
            <w:noWrap/>
            <w:vAlign w:val="center"/>
          </w:tcPr>
          <w:p w14:paraId="669161DC">
            <w:pPr>
              <w:pStyle w:val="159"/>
            </w:pPr>
            <w:r>
              <w:rPr>
                <w:color w:val="000000"/>
                <w:kern w:val="0"/>
                <w:sz w:val="22"/>
                <w:szCs w:val="22"/>
              </w:rPr>
              <w:t xml:space="preserve">226.699 </w:t>
            </w:r>
          </w:p>
        </w:tc>
        <w:tc>
          <w:tcPr>
            <w:tcW w:w="572" w:type="pct"/>
            <w:vAlign w:val="center"/>
          </w:tcPr>
          <w:p w14:paraId="20A7E29B">
            <w:pPr>
              <w:pStyle w:val="159"/>
            </w:pPr>
            <w:r>
              <w:rPr>
                <w:color w:val="000000"/>
                <w:kern w:val="0"/>
                <w:sz w:val="22"/>
                <w:szCs w:val="22"/>
              </w:rPr>
              <w:t xml:space="preserve">231.809 </w:t>
            </w:r>
          </w:p>
        </w:tc>
        <w:tc>
          <w:tcPr>
            <w:tcW w:w="572" w:type="pct"/>
            <w:vAlign w:val="center"/>
          </w:tcPr>
          <w:p w14:paraId="00C35E50">
            <w:pPr>
              <w:pStyle w:val="159"/>
            </w:pPr>
            <w:r>
              <w:rPr>
                <w:color w:val="000000"/>
                <w:kern w:val="0"/>
                <w:sz w:val="22"/>
                <w:szCs w:val="22"/>
              </w:rPr>
              <w:t xml:space="preserve">248.317 </w:t>
            </w:r>
          </w:p>
        </w:tc>
        <w:tc>
          <w:tcPr>
            <w:tcW w:w="572" w:type="pct"/>
            <w:shd w:val="clear" w:color="auto" w:fill="auto"/>
            <w:noWrap/>
            <w:vAlign w:val="center"/>
          </w:tcPr>
          <w:p w14:paraId="72641760">
            <w:pPr>
              <w:pStyle w:val="159"/>
            </w:pPr>
            <w:r>
              <w:rPr>
                <w:color w:val="000000"/>
                <w:kern w:val="0"/>
                <w:sz w:val="22"/>
                <w:szCs w:val="22"/>
              </w:rPr>
              <w:t xml:space="preserve">1.904 </w:t>
            </w:r>
          </w:p>
        </w:tc>
        <w:tc>
          <w:tcPr>
            <w:tcW w:w="572" w:type="pct"/>
            <w:vAlign w:val="center"/>
          </w:tcPr>
          <w:p w14:paraId="4BF29E08">
            <w:pPr>
              <w:pStyle w:val="159"/>
            </w:pPr>
            <w:r>
              <w:rPr>
                <w:color w:val="000000"/>
                <w:kern w:val="0"/>
                <w:sz w:val="22"/>
                <w:szCs w:val="22"/>
              </w:rPr>
              <w:t xml:space="preserve">2.267 </w:t>
            </w:r>
          </w:p>
        </w:tc>
        <w:tc>
          <w:tcPr>
            <w:tcW w:w="569" w:type="pct"/>
            <w:vAlign w:val="center"/>
          </w:tcPr>
          <w:p w14:paraId="35A585A1">
            <w:pPr>
              <w:pStyle w:val="159"/>
            </w:pPr>
            <w:r>
              <w:rPr>
                <w:color w:val="000000"/>
                <w:kern w:val="0"/>
                <w:sz w:val="22"/>
                <w:szCs w:val="22"/>
              </w:rPr>
              <w:t xml:space="preserve">2.735 </w:t>
            </w:r>
          </w:p>
        </w:tc>
      </w:tr>
      <w:tr w14:paraId="03D9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6168AC7B">
            <w:pPr>
              <w:pStyle w:val="159"/>
            </w:pPr>
            <w:r>
              <w:t>-15.7</w:t>
            </w:r>
          </w:p>
        </w:tc>
        <w:tc>
          <w:tcPr>
            <w:tcW w:w="771" w:type="pct"/>
            <w:vAlign w:val="center"/>
          </w:tcPr>
          <w:p w14:paraId="07ADC49A">
            <w:pPr>
              <w:pStyle w:val="159"/>
            </w:pPr>
            <w:r>
              <w:t>-12</w:t>
            </w:r>
          </w:p>
        </w:tc>
        <w:tc>
          <w:tcPr>
            <w:tcW w:w="572" w:type="pct"/>
            <w:shd w:val="clear" w:color="auto" w:fill="auto"/>
            <w:noWrap/>
            <w:vAlign w:val="center"/>
          </w:tcPr>
          <w:p w14:paraId="305BFA39">
            <w:pPr>
              <w:pStyle w:val="159"/>
            </w:pPr>
            <w:r>
              <w:rPr>
                <w:color w:val="000000"/>
                <w:kern w:val="0"/>
                <w:sz w:val="22"/>
                <w:szCs w:val="22"/>
              </w:rPr>
              <w:t xml:space="preserve">239.484 </w:t>
            </w:r>
          </w:p>
        </w:tc>
        <w:tc>
          <w:tcPr>
            <w:tcW w:w="572" w:type="pct"/>
            <w:vAlign w:val="center"/>
          </w:tcPr>
          <w:p w14:paraId="01388E60">
            <w:pPr>
              <w:pStyle w:val="159"/>
            </w:pPr>
            <w:r>
              <w:rPr>
                <w:color w:val="000000"/>
                <w:kern w:val="0"/>
                <w:sz w:val="22"/>
                <w:szCs w:val="22"/>
              </w:rPr>
              <w:t xml:space="preserve">246.991 </w:t>
            </w:r>
          </w:p>
        </w:tc>
        <w:tc>
          <w:tcPr>
            <w:tcW w:w="572" w:type="pct"/>
            <w:vAlign w:val="center"/>
          </w:tcPr>
          <w:p w14:paraId="12389502">
            <w:pPr>
              <w:pStyle w:val="159"/>
            </w:pPr>
            <w:r>
              <w:rPr>
                <w:color w:val="000000"/>
                <w:kern w:val="0"/>
                <w:sz w:val="22"/>
                <w:szCs w:val="22"/>
              </w:rPr>
              <w:t xml:space="preserve">268.194 </w:t>
            </w:r>
          </w:p>
        </w:tc>
        <w:tc>
          <w:tcPr>
            <w:tcW w:w="572" w:type="pct"/>
            <w:shd w:val="clear" w:color="auto" w:fill="auto"/>
            <w:noWrap/>
            <w:vAlign w:val="center"/>
          </w:tcPr>
          <w:p w14:paraId="539B31F9">
            <w:pPr>
              <w:pStyle w:val="159"/>
            </w:pPr>
            <w:r>
              <w:rPr>
                <w:color w:val="000000"/>
                <w:kern w:val="0"/>
                <w:sz w:val="22"/>
                <w:szCs w:val="22"/>
              </w:rPr>
              <w:t xml:space="preserve">2.017 </w:t>
            </w:r>
          </w:p>
        </w:tc>
        <w:tc>
          <w:tcPr>
            <w:tcW w:w="572" w:type="pct"/>
            <w:vAlign w:val="center"/>
          </w:tcPr>
          <w:p w14:paraId="6A99A46D">
            <w:pPr>
              <w:pStyle w:val="159"/>
            </w:pPr>
            <w:r>
              <w:rPr>
                <w:color w:val="000000"/>
                <w:kern w:val="0"/>
                <w:sz w:val="22"/>
                <w:szCs w:val="22"/>
              </w:rPr>
              <w:t xml:space="preserve">2.432 </w:t>
            </w:r>
          </w:p>
        </w:tc>
        <w:tc>
          <w:tcPr>
            <w:tcW w:w="569" w:type="pct"/>
            <w:vAlign w:val="center"/>
          </w:tcPr>
          <w:p w14:paraId="2345D69F">
            <w:pPr>
              <w:pStyle w:val="159"/>
            </w:pPr>
            <w:r>
              <w:rPr>
                <w:color w:val="000000"/>
                <w:kern w:val="0"/>
                <w:sz w:val="22"/>
                <w:szCs w:val="22"/>
              </w:rPr>
              <w:t xml:space="preserve">2.980 </w:t>
            </w:r>
          </w:p>
        </w:tc>
      </w:tr>
      <w:tr w14:paraId="051D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9A48177">
            <w:pPr>
              <w:pStyle w:val="159"/>
            </w:pPr>
            <w:r>
              <w:t>-14.7</w:t>
            </w:r>
          </w:p>
        </w:tc>
        <w:tc>
          <w:tcPr>
            <w:tcW w:w="771" w:type="pct"/>
            <w:vAlign w:val="center"/>
          </w:tcPr>
          <w:p w14:paraId="77078FF6">
            <w:pPr>
              <w:pStyle w:val="159"/>
            </w:pPr>
            <w:r>
              <w:t>-11</w:t>
            </w:r>
          </w:p>
        </w:tc>
        <w:tc>
          <w:tcPr>
            <w:tcW w:w="572" w:type="pct"/>
            <w:shd w:val="clear" w:color="auto" w:fill="auto"/>
            <w:noWrap/>
            <w:vAlign w:val="center"/>
          </w:tcPr>
          <w:p w14:paraId="782AD97C">
            <w:pPr>
              <w:pStyle w:val="159"/>
            </w:pPr>
            <w:r>
              <w:rPr>
                <w:color w:val="000000"/>
                <w:kern w:val="0"/>
                <w:sz w:val="22"/>
                <w:szCs w:val="22"/>
              </w:rPr>
              <w:t xml:space="preserve">251.925 </w:t>
            </w:r>
          </w:p>
        </w:tc>
        <w:tc>
          <w:tcPr>
            <w:tcW w:w="572" w:type="pct"/>
            <w:vAlign w:val="center"/>
          </w:tcPr>
          <w:p w14:paraId="2102AF6A">
            <w:pPr>
              <w:pStyle w:val="159"/>
            </w:pPr>
            <w:r>
              <w:rPr>
                <w:color w:val="000000"/>
                <w:kern w:val="0"/>
                <w:sz w:val="22"/>
                <w:szCs w:val="22"/>
              </w:rPr>
              <w:t xml:space="preserve">262.401 </w:t>
            </w:r>
          </w:p>
        </w:tc>
        <w:tc>
          <w:tcPr>
            <w:tcW w:w="572" w:type="pct"/>
            <w:vAlign w:val="center"/>
          </w:tcPr>
          <w:p w14:paraId="1C3E7970">
            <w:pPr>
              <w:pStyle w:val="159"/>
            </w:pPr>
            <w:r>
              <w:rPr>
                <w:color w:val="000000"/>
                <w:kern w:val="0"/>
                <w:sz w:val="22"/>
                <w:szCs w:val="22"/>
              </w:rPr>
              <w:t xml:space="preserve">289.403 </w:t>
            </w:r>
          </w:p>
        </w:tc>
        <w:tc>
          <w:tcPr>
            <w:tcW w:w="572" w:type="pct"/>
            <w:shd w:val="clear" w:color="auto" w:fill="auto"/>
            <w:noWrap/>
            <w:vAlign w:val="center"/>
          </w:tcPr>
          <w:p w14:paraId="1EE65379">
            <w:pPr>
              <w:pStyle w:val="159"/>
            </w:pPr>
            <w:r>
              <w:rPr>
                <w:color w:val="000000"/>
                <w:kern w:val="0"/>
                <w:sz w:val="22"/>
                <w:szCs w:val="22"/>
              </w:rPr>
              <w:t xml:space="preserve">2.134 </w:t>
            </w:r>
          </w:p>
        </w:tc>
        <w:tc>
          <w:tcPr>
            <w:tcW w:w="572" w:type="pct"/>
            <w:vAlign w:val="center"/>
          </w:tcPr>
          <w:p w14:paraId="28D9C0B3">
            <w:pPr>
              <w:pStyle w:val="159"/>
            </w:pPr>
            <w:r>
              <w:rPr>
                <w:color w:val="000000"/>
                <w:kern w:val="0"/>
                <w:sz w:val="22"/>
                <w:szCs w:val="22"/>
              </w:rPr>
              <w:t xml:space="preserve">2.609 </w:t>
            </w:r>
          </w:p>
        </w:tc>
        <w:tc>
          <w:tcPr>
            <w:tcW w:w="569" w:type="pct"/>
            <w:vAlign w:val="center"/>
          </w:tcPr>
          <w:p w14:paraId="44C24B99">
            <w:pPr>
              <w:pStyle w:val="159"/>
            </w:pPr>
            <w:r>
              <w:rPr>
                <w:color w:val="000000"/>
                <w:kern w:val="0"/>
                <w:sz w:val="22"/>
                <w:szCs w:val="22"/>
              </w:rPr>
              <w:t xml:space="preserve">3.250 </w:t>
            </w:r>
          </w:p>
        </w:tc>
      </w:tr>
      <w:tr w14:paraId="39A9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47545A3C">
            <w:pPr>
              <w:pStyle w:val="159"/>
            </w:pPr>
            <w:r>
              <w:t>-13.7</w:t>
            </w:r>
          </w:p>
        </w:tc>
        <w:tc>
          <w:tcPr>
            <w:tcW w:w="771" w:type="pct"/>
            <w:vAlign w:val="center"/>
          </w:tcPr>
          <w:p w14:paraId="0A167B1A">
            <w:pPr>
              <w:pStyle w:val="159"/>
            </w:pPr>
            <w:r>
              <w:t>-10</w:t>
            </w:r>
          </w:p>
        </w:tc>
        <w:tc>
          <w:tcPr>
            <w:tcW w:w="572" w:type="pct"/>
            <w:shd w:val="clear" w:color="auto" w:fill="auto"/>
            <w:noWrap/>
            <w:vAlign w:val="center"/>
          </w:tcPr>
          <w:p w14:paraId="1B7D5CFA">
            <w:pPr>
              <w:pStyle w:val="159"/>
            </w:pPr>
            <w:r>
              <w:rPr>
                <w:color w:val="000000"/>
                <w:kern w:val="0"/>
                <w:sz w:val="22"/>
                <w:szCs w:val="22"/>
              </w:rPr>
              <w:t xml:space="preserve">263.667 </w:t>
            </w:r>
          </w:p>
        </w:tc>
        <w:tc>
          <w:tcPr>
            <w:tcW w:w="572" w:type="pct"/>
            <w:vAlign w:val="center"/>
          </w:tcPr>
          <w:p w14:paraId="2CC43D68">
            <w:pPr>
              <w:pStyle w:val="159"/>
            </w:pPr>
            <w:r>
              <w:rPr>
                <w:color w:val="000000"/>
                <w:kern w:val="0"/>
                <w:sz w:val="22"/>
                <w:szCs w:val="22"/>
              </w:rPr>
              <w:t xml:space="preserve">277.760 </w:t>
            </w:r>
          </w:p>
        </w:tc>
        <w:tc>
          <w:tcPr>
            <w:tcW w:w="572" w:type="pct"/>
            <w:vAlign w:val="center"/>
          </w:tcPr>
          <w:p w14:paraId="67E3D1D1">
            <w:pPr>
              <w:pStyle w:val="159"/>
            </w:pPr>
            <w:r>
              <w:rPr>
                <w:color w:val="000000"/>
                <w:kern w:val="0"/>
                <w:sz w:val="22"/>
                <w:szCs w:val="22"/>
              </w:rPr>
              <w:t xml:space="preserve">311.840 </w:t>
            </w:r>
          </w:p>
        </w:tc>
        <w:tc>
          <w:tcPr>
            <w:tcW w:w="572" w:type="pct"/>
            <w:shd w:val="clear" w:color="auto" w:fill="auto"/>
            <w:noWrap/>
            <w:vAlign w:val="center"/>
          </w:tcPr>
          <w:p w14:paraId="3364B611">
            <w:pPr>
              <w:pStyle w:val="159"/>
            </w:pPr>
            <w:r>
              <w:rPr>
                <w:color w:val="000000"/>
                <w:kern w:val="0"/>
                <w:sz w:val="22"/>
                <w:szCs w:val="22"/>
              </w:rPr>
              <w:t xml:space="preserve">2.257 </w:t>
            </w:r>
          </w:p>
        </w:tc>
        <w:tc>
          <w:tcPr>
            <w:tcW w:w="572" w:type="pct"/>
            <w:vAlign w:val="center"/>
          </w:tcPr>
          <w:p w14:paraId="7DA5B1FB">
            <w:pPr>
              <w:pStyle w:val="159"/>
            </w:pPr>
            <w:r>
              <w:rPr>
                <w:color w:val="000000"/>
                <w:kern w:val="0"/>
                <w:sz w:val="22"/>
                <w:szCs w:val="22"/>
              </w:rPr>
              <w:t xml:space="preserve">2.798 </w:t>
            </w:r>
          </w:p>
        </w:tc>
        <w:tc>
          <w:tcPr>
            <w:tcW w:w="569" w:type="pct"/>
            <w:vAlign w:val="center"/>
          </w:tcPr>
          <w:p w14:paraId="58A9D9FA">
            <w:pPr>
              <w:pStyle w:val="159"/>
            </w:pPr>
            <w:r>
              <w:rPr>
                <w:color w:val="000000"/>
                <w:kern w:val="0"/>
                <w:sz w:val="22"/>
                <w:szCs w:val="22"/>
              </w:rPr>
              <w:t xml:space="preserve">3.549 </w:t>
            </w:r>
          </w:p>
        </w:tc>
      </w:tr>
      <w:tr w14:paraId="6A9D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6180C30">
            <w:pPr>
              <w:pStyle w:val="159"/>
            </w:pPr>
            <w:r>
              <w:t>-12.7</w:t>
            </w:r>
          </w:p>
        </w:tc>
        <w:tc>
          <w:tcPr>
            <w:tcW w:w="771" w:type="pct"/>
            <w:vAlign w:val="center"/>
          </w:tcPr>
          <w:p w14:paraId="5398610E">
            <w:pPr>
              <w:pStyle w:val="159"/>
            </w:pPr>
            <w:r>
              <w:t>-9</w:t>
            </w:r>
          </w:p>
        </w:tc>
        <w:tc>
          <w:tcPr>
            <w:tcW w:w="572" w:type="pct"/>
            <w:shd w:val="clear" w:color="auto" w:fill="auto"/>
            <w:noWrap/>
            <w:vAlign w:val="center"/>
          </w:tcPr>
          <w:p w14:paraId="17D04B34">
            <w:pPr>
              <w:pStyle w:val="159"/>
            </w:pPr>
            <w:r>
              <w:rPr>
                <w:color w:val="000000"/>
                <w:kern w:val="0"/>
                <w:sz w:val="22"/>
                <w:szCs w:val="22"/>
              </w:rPr>
              <w:t xml:space="preserve">274.297 </w:t>
            </w:r>
          </w:p>
        </w:tc>
        <w:tc>
          <w:tcPr>
            <w:tcW w:w="572" w:type="pct"/>
            <w:vAlign w:val="center"/>
          </w:tcPr>
          <w:p w14:paraId="348BFA67">
            <w:pPr>
              <w:pStyle w:val="159"/>
            </w:pPr>
            <w:r>
              <w:rPr>
                <w:color w:val="000000"/>
                <w:kern w:val="0"/>
                <w:sz w:val="22"/>
                <w:szCs w:val="22"/>
              </w:rPr>
              <w:t xml:space="preserve">292.708 </w:t>
            </w:r>
          </w:p>
        </w:tc>
        <w:tc>
          <w:tcPr>
            <w:tcW w:w="572" w:type="pct"/>
            <w:vAlign w:val="center"/>
          </w:tcPr>
          <w:p w14:paraId="3DE0250D">
            <w:pPr>
              <w:pStyle w:val="159"/>
            </w:pPr>
            <w:r>
              <w:rPr>
                <w:color w:val="000000"/>
                <w:kern w:val="0"/>
                <w:sz w:val="22"/>
                <w:szCs w:val="22"/>
              </w:rPr>
              <w:t xml:space="preserve">335.314 </w:t>
            </w:r>
          </w:p>
        </w:tc>
        <w:tc>
          <w:tcPr>
            <w:tcW w:w="572" w:type="pct"/>
            <w:shd w:val="clear" w:color="auto" w:fill="auto"/>
            <w:noWrap/>
            <w:vAlign w:val="center"/>
          </w:tcPr>
          <w:p w14:paraId="2CE1B9B2">
            <w:pPr>
              <w:pStyle w:val="159"/>
            </w:pPr>
            <w:r>
              <w:rPr>
                <w:color w:val="000000"/>
                <w:kern w:val="0"/>
                <w:sz w:val="22"/>
                <w:szCs w:val="22"/>
              </w:rPr>
              <w:t xml:space="preserve">2.382 </w:t>
            </w:r>
          </w:p>
        </w:tc>
        <w:tc>
          <w:tcPr>
            <w:tcW w:w="572" w:type="pct"/>
            <w:vAlign w:val="center"/>
          </w:tcPr>
          <w:p w14:paraId="51EC8B21">
            <w:pPr>
              <w:pStyle w:val="159"/>
            </w:pPr>
            <w:r>
              <w:rPr>
                <w:color w:val="000000"/>
                <w:kern w:val="0"/>
                <w:sz w:val="22"/>
                <w:szCs w:val="22"/>
              </w:rPr>
              <w:t xml:space="preserve">2.998 </w:t>
            </w:r>
          </w:p>
        </w:tc>
        <w:tc>
          <w:tcPr>
            <w:tcW w:w="569" w:type="pct"/>
            <w:vAlign w:val="center"/>
          </w:tcPr>
          <w:p w14:paraId="7AA240B5">
            <w:pPr>
              <w:pStyle w:val="159"/>
            </w:pPr>
            <w:r>
              <w:rPr>
                <w:color w:val="000000"/>
                <w:kern w:val="0"/>
                <w:sz w:val="22"/>
                <w:szCs w:val="22"/>
              </w:rPr>
              <w:t xml:space="preserve">3.878 </w:t>
            </w:r>
          </w:p>
        </w:tc>
      </w:tr>
      <w:tr w14:paraId="329D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F885D09">
            <w:pPr>
              <w:pStyle w:val="159"/>
            </w:pPr>
            <w:r>
              <w:t>-11.7</w:t>
            </w:r>
          </w:p>
        </w:tc>
        <w:tc>
          <w:tcPr>
            <w:tcW w:w="771" w:type="pct"/>
            <w:vAlign w:val="center"/>
          </w:tcPr>
          <w:p w14:paraId="6D660480">
            <w:pPr>
              <w:pStyle w:val="159"/>
            </w:pPr>
            <w:r>
              <w:t>-8</w:t>
            </w:r>
          </w:p>
        </w:tc>
        <w:tc>
          <w:tcPr>
            <w:tcW w:w="572" w:type="pct"/>
            <w:shd w:val="clear" w:color="auto" w:fill="auto"/>
            <w:noWrap/>
            <w:vAlign w:val="center"/>
          </w:tcPr>
          <w:p w14:paraId="7DC7815B">
            <w:pPr>
              <w:pStyle w:val="159"/>
            </w:pPr>
            <w:r>
              <w:rPr>
                <w:color w:val="000000"/>
                <w:kern w:val="0"/>
                <w:sz w:val="22"/>
                <w:szCs w:val="22"/>
              </w:rPr>
              <w:t xml:space="preserve">283.349 </w:t>
            </w:r>
          </w:p>
        </w:tc>
        <w:tc>
          <w:tcPr>
            <w:tcW w:w="572" w:type="pct"/>
            <w:vAlign w:val="center"/>
          </w:tcPr>
          <w:p w14:paraId="46FD0107">
            <w:pPr>
              <w:pStyle w:val="159"/>
            </w:pPr>
            <w:r>
              <w:rPr>
                <w:color w:val="000000"/>
                <w:kern w:val="0"/>
                <w:sz w:val="22"/>
                <w:szCs w:val="22"/>
              </w:rPr>
              <w:t xml:space="preserve">306.808 </w:t>
            </w:r>
          </w:p>
        </w:tc>
        <w:tc>
          <w:tcPr>
            <w:tcW w:w="572" w:type="pct"/>
            <w:vAlign w:val="center"/>
          </w:tcPr>
          <w:p w14:paraId="4E6E9F98">
            <w:pPr>
              <w:pStyle w:val="159"/>
            </w:pPr>
            <w:r>
              <w:rPr>
                <w:color w:val="000000"/>
                <w:kern w:val="0"/>
                <w:sz w:val="22"/>
                <w:szCs w:val="22"/>
              </w:rPr>
              <w:t xml:space="preserve">359.516 </w:t>
            </w:r>
          </w:p>
        </w:tc>
        <w:tc>
          <w:tcPr>
            <w:tcW w:w="572" w:type="pct"/>
            <w:shd w:val="clear" w:color="auto" w:fill="auto"/>
            <w:noWrap/>
            <w:vAlign w:val="center"/>
          </w:tcPr>
          <w:p w14:paraId="69BA7EC3">
            <w:pPr>
              <w:pStyle w:val="159"/>
            </w:pPr>
            <w:r>
              <w:rPr>
                <w:color w:val="000000"/>
                <w:kern w:val="0"/>
                <w:sz w:val="22"/>
                <w:szCs w:val="22"/>
              </w:rPr>
              <w:t xml:space="preserve">2.510 </w:t>
            </w:r>
          </w:p>
        </w:tc>
        <w:tc>
          <w:tcPr>
            <w:tcW w:w="572" w:type="pct"/>
            <w:vAlign w:val="center"/>
          </w:tcPr>
          <w:p w14:paraId="654EE63C">
            <w:pPr>
              <w:pStyle w:val="159"/>
            </w:pPr>
            <w:r>
              <w:rPr>
                <w:color w:val="000000"/>
                <w:kern w:val="0"/>
                <w:sz w:val="22"/>
                <w:szCs w:val="22"/>
              </w:rPr>
              <w:t xml:space="preserve">3.209 </w:t>
            </w:r>
          </w:p>
        </w:tc>
        <w:tc>
          <w:tcPr>
            <w:tcW w:w="569" w:type="pct"/>
            <w:vAlign w:val="center"/>
          </w:tcPr>
          <w:p w14:paraId="1EE388DB">
            <w:pPr>
              <w:pStyle w:val="159"/>
            </w:pPr>
            <w:r>
              <w:rPr>
                <w:color w:val="000000"/>
                <w:kern w:val="0"/>
                <w:sz w:val="22"/>
                <w:szCs w:val="22"/>
              </w:rPr>
              <w:t xml:space="preserve">4.237 </w:t>
            </w:r>
          </w:p>
        </w:tc>
      </w:tr>
      <w:tr w14:paraId="271C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6D745289">
            <w:pPr>
              <w:pStyle w:val="159"/>
            </w:pPr>
            <w:r>
              <w:t>-10.7</w:t>
            </w:r>
          </w:p>
        </w:tc>
        <w:tc>
          <w:tcPr>
            <w:tcW w:w="771" w:type="pct"/>
            <w:vAlign w:val="center"/>
          </w:tcPr>
          <w:p w14:paraId="228F3ABF">
            <w:pPr>
              <w:pStyle w:val="159"/>
            </w:pPr>
            <w:r>
              <w:t>-7</w:t>
            </w:r>
          </w:p>
        </w:tc>
        <w:tc>
          <w:tcPr>
            <w:tcW w:w="572" w:type="pct"/>
            <w:shd w:val="clear" w:color="auto" w:fill="auto"/>
            <w:noWrap/>
            <w:vAlign w:val="center"/>
          </w:tcPr>
          <w:p w14:paraId="6BCD774B">
            <w:pPr>
              <w:pStyle w:val="159"/>
            </w:pPr>
            <w:r>
              <w:rPr>
                <w:color w:val="000000"/>
                <w:kern w:val="0"/>
                <w:sz w:val="22"/>
                <w:szCs w:val="22"/>
              </w:rPr>
              <w:t xml:space="preserve">290.328 </w:t>
            </w:r>
          </w:p>
        </w:tc>
        <w:tc>
          <w:tcPr>
            <w:tcW w:w="572" w:type="pct"/>
            <w:vAlign w:val="center"/>
          </w:tcPr>
          <w:p w14:paraId="4497D94F">
            <w:pPr>
              <w:pStyle w:val="159"/>
            </w:pPr>
            <w:r>
              <w:rPr>
                <w:color w:val="000000"/>
                <w:kern w:val="0"/>
                <w:sz w:val="22"/>
                <w:szCs w:val="22"/>
              </w:rPr>
              <w:t xml:space="preserve">319.555 </w:t>
            </w:r>
          </w:p>
        </w:tc>
        <w:tc>
          <w:tcPr>
            <w:tcW w:w="572" w:type="pct"/>
            <w:vAlign w:val="center"/>
          </w:tcPr>
          <w:p w14:paraId="2352378B">
            <w:pPr>
              <w:pStyle w:val="159"/>
            </w:pPr>
            <w:r>
              <w:rPr>
                <w:color w:val="000000"/>
                <w:kern w:val="0"/>
                <w:sz w:val="22"/>
                <w:szCs w:val="22"/>
              </w:rPr>
              <w:t xml:space="preserve">384.001 </w:t>
            </w:r>
          </w:p>
        </w:tc>
        <w:tc>
          <w:tcPr>
            <w:tcW w:w="572" w:type="pct"/>
            <w:shd w:val="clear" w:color="auto" w:fill="auto"/>
            <w:noWrap/>
            <w:vAlign w:val="center"/>
          </w:tcPr>
          <w:p w14:paraId="44666425">
            <w:pPr>
              <w:pStyle w:val="159"/>
            </w:pPr>
            <w:r>
              <w:rPr>
                <w:color w:val="000000"/>
                <w:kern w:val="0"/>
                <w:sz w:val="22"/>
                <w:szCs w:val="22"/>
              </w:rPr>
              <w:t xml:space="preserve">2.638 </w:t>
            </w:r>
          </w:p>
        </w:tc>
        <w:tc>
          <w:tcPr>
            <w:tcW w:w="572" w:type="pct"/>
            <w:vAlign w:val="center"/>
          </w:tcPr>
          <w:p w14:paraId="0F79CF16">
            <w:pPr>
              <w:pStyle w:val="159"/>
            </w:pPr>
            <w:r>
              <w:rPr>
                <w:color w:val="000000"/>
                <w:kern w:val="0"/>
                <w:sz w:val="22"/>
                <w:szCs w:val="22"/>
              </w:rPr>
              <w:t xml:space="preserve">3.427 </w:t>
            </w:r>
          </w:p>
        </w:tc>
        <w:tc>
          <w:tcPr>
            <w:tcW w:w="569" w:type="pct"/>
            <w:vAlign w:val="center"/>
          </w:tcPr>
          <w:p w14:paraId="4F0A4559">
            <w:pPr>
              <w:pStyle w:val="159"/>
            </w:pPr>
            <w:r>
              <w:rPr>
                <w:color w:val="000000"/>
                <w:kern w:val="0"/>
                <w:sz w:val="22"/>
                <w:szCs w:val="22"/>
              </w:rPr>
              <w:t xml:space="preserve">4.626 </w:t>
            </w:r>
          </w:p>
        </w:tc>
      </w:tr>
      <w:tr w14:paraId="0879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178EDCD">
            <w:pPr>
              <w:pStyle w:val="159"/>
            </w:pPr>
            <w:r>
              <w:t>-9.7</w:t>
            </w:r>
          </w:p>
        </w:tc>
        <w:tc>
          <w:tcPr>
            <w:tcW w:w="771" w:type="pct"/>
            <w:vAlign w:val="center"/>
          </w:tcPr>
          <w:p w14:paraId="674786E5">
            <w:pPr>
              <w:pStyle w:val="159"/>
            </w:pPr>
            <w:r>
              <w:t>-6</w:t>
            </w:r>
          </w:p>
        </w:tc>
        <w:tc>
          <w:tcPr>
            <w:tcW w:w="572" w:type="pct"/>
            <w:shd w:val="clear" w:color="auto" w:fill="auto"/>
            <w:noWrap/>
            <w:vAlign w:val="center"/>
          </w:tcPr>
          <w:p w14:paraId="3E0EEC96">
            <w:pPr>
              <w:pStyle w:val="159"/>
            </w:pPr>
            <w:r>
              <w:rPr>
                <w:color w:val="000000"/>
                <w:kern w:val="0"/>
                <w:sz w:val="22"/>
                <w:szCs w:val="22"/>
              </w:rPr>
              <w:t xml:space="preserve">294.747 </w:t>
            </w:r>
          </w:p>
        </w:tc>
        <w:tc>
          <w:tcPr>
            <w:tcW w:w="572" w:type="pct"/>
            <w:vAlign w:val="center"/>
          </w:tcPr>
          <w:p w14:paraId="79CD5AA1">
            <w:pPr>
              <w:pStyle w:val="159"/>
            </w:pPr>
            <w:r>
              <w:rPr>
                <w:color w:val="000000"/>
                <w:kern w:val="0"/>
                <w:sz w:val="22"/>
                <w:szCs w:val="22"/>
              </w:rPr>
              <w:t xml:space="preserve">330.399 </w:t>
            </w:r>
          </w:p>
        </w:tc>
        <w:tc>
          <w:tcPr>
            <w:tcW w:w="572" w:type="pct"/>
            <w:vAlign w:val="center"/>
          </w:tcPr>
          <w:p w14:paraId="6BA5CD2E">
            <w:pPr>
              <w:pStyle w:val="159"/>
            </w:pPr>
            <w:r>
              <w:rPr>
                <w:color w:val="000000"/>
                <w:kern w:val="0"/>
                <w:sz w:val="22"/>
                <w:szCs w:val="22"/>
              </w:rPr>
              <w:t xml:space="preserve">408.165 </w:t>
            </w:r>
          </w:p>
        </w:tc>
        <w:tc>
          <w:tcPr>
            <w:tcW w:w="572" w:type="pct"/>
            <w:shd w:val="clear" w:color="auto" w:fill="auto"/>
            <w:noWrap/>
            <w:vAlign w:val="center"/>
          </w:tcPr>
          <w:p w14:paraId="5D9717D3">
            <w:pPr>
              <w:pStyle w:val="159"/>
            </w:pPr>
            <w:r>
              <w:rPr>
                <w:color w:val="000000"/>
                <w:kern w:val="0"/>
                <w:sz w:val="22"/>
                <w:szCs w:val="22"/>
              </w:rPr>
              <w:t xml:space="preserve">2.765 </w:t>
            </w:r>
          </w:p>
        </w:tc>
        <w:tc>
          <w:tcPr>
            <w:tcW w:w="572" w:type="pct"/>
            <w:vAlign w:val="center"/>
          </w:tcPr>
          <w:p w14:paraId="50D4EB0A">
            <w:pPr>
              <w:pStyle w:val="159"/>
            </w:pPr>
            <w:r>
              <w:rPr>
                <w:color w:val="000000"/>
                <w:kern w:val="0"/>
                <w:sz w:val="22"/>
                <w:szCs w:val="22"/>
              </w:rPr>
              <w:t xml:space="preserve">3.651 </w:t>
            </w:r>
          </w:p>
        </w:tc>
        <w:tc>
          <w:tcPr>
            <w:tcW w:w="569" w:type="pct"/>
            <w:vAlign w:val="center"/>
          </w:tcPr>
          <w:p w14:paraId="1349CBA8">
            <w:pPr>
              <w:pStyle w:val="159"/>
            </w:pPr>
            <w:r>
              <w:rPr>
                <w:color w:val="000000"/>
                <w:kern w:val="0"/>
                <w:sz w:val="22"/>
                <w:szCs w:val="22"/>
              </w:rPr>
              <w:t xml:space="preserve">5.040 </w:t>
            </w:r>
          </w:p>
        </w:tc>
      </w:tr>
      <w:tr w14:paraId="591C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446B7DAE">
            <w:pPr>
              <w:pStyle w:val="159"/>
            </w:pPr>
            <w:r>
              <w:t>-8.7</w:t>
            </w:r>
          </w:p>
        </w:tc>
        <w:tc>
          <w:tcPr>
            <w:tcW w:w="771" w:type="pct"/>
            <w:vAlign w:val="center"/>
          </w:tcPr>
          <w:p w14:paraId="6AC14989">
            <w:pPr>
              <w:pStyle w:val="159"/>
            </w:pPr>
            <w:r>
              <w:t>-5</w:t>
            </w:r>
          </w:p>
        </w:tc>
        <w:tc>
          <w:tcPr>
            <w:tcW w:w="572" w:type="pct"/>
            <w:shd w:val="clear" w:color="auto" w:fill="auto"/>
            <w:noWrap/>
            <w:vAlign w:val="center"/>
          </w:tcPr>
          <w:p w14:paraId="142EF7FF">
            <w:pPr>
              <w:pStyle w:val="159"/>
            </w:pPr>
            <w:r>
              <w:rPr>
                <w:color w:val="000000"/>
                <w:kern w:val="0"/>
                <w:sz w:val="22"/>
                <w:szCs w:val="22"/>
              </w:rPr>
              <w:t xml:space="preserve">296.179 </w:t>
            </w:r>
          </w:p>
        </w:tc>
        <w:tc>
          <w:tcPr>
            <w:tcW w:w="572" w:type="pct"/>
            <w:vAlign w:val="center"/>
          </w:tcPr>
          <w:p w14:paraId="5EF1D7F5">
            <w:pPr>
              <w:pStyle w:val="159"/>
            </w:pPr>
            <w:r>
              <w:rPr>
                <w:color w:val="000000"/>
                <w:kern w:val="0"/>
                <w:sz w:val="22"/>
                <w:szCs w:val="22"/>
              </w:rPr>
              <w:t xml:space="preserve">338.787 </w:t>
            </w:r>
          </w:p>
        </w:tc>
        <w:tc>
          <w:tcPr>
            <w:tcW w:w="572" w:type="pct"/>
            <w:vAlign w:val="center"/>
          </w:tcPr>
          <w:p w14:paraId="45C00C11">
            <w:pPr>
              <w:pStyle w:val="159"/>
            </w:pPr>
            <w:r>
              <w:rPr>
                <w:color w:val="000000"/>
                <w:kern w:val="0"/>
                <w:sz w:val="22"/>
                <w:szCs w:val="22"/>
              </w:rPr>
              <w:t xml:space="preserve">431.249 </w:t>
            </w:r>
          </w:p>
        </w:tc>
        <w:tc>
          <w:tcPr>
            <w:tcW w:w="572" w:type="pct"/>
            <w:shd w:val="clear" w:color="auto" w:fill="auto"/>
            <w:noWrap/>
            <w:vAlign w:val="center"/>
          </w:tcPr>
          <w:p w14:paraId="68ECA257">
            <w:pPr>
              <w:pStyle w:val="159"/>
            </w:pPr>
            <w:r>
              <w:rPr>
                <w:color w:val="000000"/>
                <w:kern w:val="0"/>
                <w:sz w:val="22"/>
                <w:szCs w:val="22"/>
              </w:rPr>
              <w:t xml:space="preserve">2.888 </w:t>
            </w:r>
          </w:p>
        </w:tc>
        <w:tc>
          <w:tcPr>
            <w:tcW w:w="572" w:type="pct"/>
            <w:vAlign w:val="center"/>
          </w:tcPr>
          <w:p w14:paraId="52C791DF">
            <w:pPr>
              <w:pStyle w:val="159"/>
            </w:pPr>
            <w:r>
              <w:rPr>
                <w:color w:val="000000"/>
                <w:kern w:val="0"/>
                <w:sz w:val="22"/>
                <w:szCs w:val="22"/>
              </w:rPr>
              <w:t xml:space="preserve">3.875 </w:t>
            </w:r>
          </w:p>
        </w:tc>
        <w:tc>
          <w:tcPr>
            <w:tcW w:w="569" w:type="pct"/>
            <w:vAlign w:val="center"/>
          </w:tcPr>
          <w:p w14:paraId="4D33F6F2">
            <w:pPr>
              <w:pStyle w:val="159"/>
            </w:pPr>
            <w:r>
              <w:rPr>
                <w:color w:val="000000"/>
                <w:kern w:val="0"/>
                <w:sz w:val="22"/>
                <w:szCs w:val="22"/>
              </w:rPr>
              <w:t xml:space="preserve">5.474 </w:t>
            </w:r>
          </w:p>
        </w:tc>
      </w:tr>
      <w:tr w14:paraId="4B27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EFE4BB0">
            <w:pPr>
              <w:pStyle w:val="159"/>
            </w:pPr>
            <w:r>
              <w:t>-7.7</w:t>
            </w:r>
          </w:p>
        </w:tc>
        <w:tc>
          <w:tcPr>
            <w:tcW w:w="771" w:type="pct"/>
            <w:vAlign w:val="center"/>
          </w:tcPr>
          <w:p w14:paraId="3CAA85AA">
            <w:pPr>
              <w:pStyle w:val="159"/>
            </w:pPr>
            <w:r>
              <w:t>-4</w:t>
            </w:r>
          </w:p>
        </w:tc>
        <w:tc>
          <w:tcPr>
            <w:tcW w:w="572" w:type="pct"/>
            <w:shd w:val="clear" w:color="auto" w:fill="auto"/>
            <w:noWrap/>
            <w:vAlign w:val="center"/>
          </w:tcPr>
          <w:p w14:paraId="74D6A5B8">
            <w:pPr>
              <w:pStyle w:val="159"/>
            </w:pPr>
            <w:r>
              <w:rPr>
                <w:color w:val="000000"/>
                <w:kern w:val="0"/>
                <w:sz w:val="22"/>
                <w:szCs w:val="22"/>
              </w:rPr>
              <w:t xml:space="preserve">294.328 </w:t>
            </w:r>
          </w:p>
        </w:tc>
        <w:tc>
          <w:tcPr>
            <w:tcW w:w="572" w:type="pct"/>
            <w:vAlign w:val="center"/>
          </w:tcPr>
          <w:p w14:paraId="5CB77AC3">
            <w:pPr>
              <w:pStyle w:val="159"/>
            </w:pPr>
            <w:r>
              <w:rPr>
                <w:color w:val="000000"/>
                <w:kern w:val="0"/>
                <w:sz w:val="22"/>
                <w:szCs w:val="22"/>
              </w:rPr>
              <w:t xml:space="preserve">344.235 </w:t>
            </w:r>
          </w:p>
        </w:tc>
        <w:tc>
          <w:tcPr>
            <w:tcW w:w="572" w:type="pct"/>
            <w:vAlign w:val="center"/>
          </w:tcPr>
          <w:p w14:paraId="3B37F090">
            <w:pPr>
              <w:pStyle w:val="159"/>
            </w:pPr>
            <w:r>
              <w:rPr>
                <w:color w:val="000000"/>
                <w:kern w:val="0"/>
                <w:sz w:val="22"/>
                <w:szCs w:val="22"/>
              </w:rPr>
              <w:t xml:space="preserve">452.382 </w:t>
            </w:r>
          </w:p>
        </w:tc>
        <w:tc>
          <w:tcPr>
            <w:tcW w:w="572" w:type="pct"/>
            <w:shd w:val="clear" w:color="auto" w:fill="auto"/>
            <w:noWrap/>
            <w:vAlign w:val="center"/>
          </w:tcPr>
          <w:p w14:paraId="69A07150">
            <w:pPr>
              <w:pStyle w:val="159"/>
            </w:pPr>
            <w:r>
              <w:rPr>
                <w:color w:val="000000"/>
                <w:kern w:val="0"/>
                <w:sz w:val="22"/>
                <w:szCs w:val="22"/>
              </w:rPr>
              <w:t xml:space="preserve">3.005 </w:t>
            </w:r>
          </w:p>
        </w:tc>
        <w:tc>
          <w:tcPr>
            <w:tcW w:w="572" w:type="pct"/>
            <w:vAlign w:val="center"/>
          </w:tcPr>
          <w:p w14:paraId="5C1692A5">
            <w:pPr>
              <w:pStyle w:val="159"/>
            </w:pPr>
            <w:r>
              <w:rPr>
                <w:color w:val="000000"/>
                <w:kern w:val="0"/>
                <w:sz w:val="22"/>
                <w:szCs w:val="22"/>
              </w:rPr>
              <w:t xml:space="preserve">4.096 </w:t>
            </w:r>
          </w:p>
        </w:tc>
        <w:tc>
          <w:tcPr>
            <w:tcW w:w="569" w:type="pct"/>
            <w:vAlign w:val="center"/>
          </w:tcPr>
          <w:p w14:paraId="6904ACC4">
            <w:pPr>
              <w:pStyle w:val="159"/>
            </w:pPr>
            <w:r>
              <w:rPr>
                <w:color w:val="000000"/>
                <w:kern w:val="0"/>
                <w:sz w:val="22"/>
                <w:szCs w:val="22"/>
              </w:rPr>
              <w:t xml:space="preserve">5.918 </w:t>
            </w:r>
          </w:p>
        </w:tc>
      </w:tr>
      <w:tr w14:paraId="2828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68C8D80">
            <w:pPr>
              <w:pStyle w:val="159"/>
            </w:pPr>
            <w:r>
              <w:t>-6.7</w:t>
            </w:r>
          </w:p>
        </w:tc>
        <w:tc>
          <w:tcPr>
            <w:tcW w:w="771" w:type="pct"/>
            <w:vAlign w:val="center"/>
          </w:tcPr>
          <w:p w14:paraId="691D4708">
            <w:pPr>
              <w:pStyle w:val="159"/>
            </w:pPr>
            <w:r>
              <w:t>-3</w:t>
            </w:r>
          </w:p>
        </w:tc>
        <w:tc>
          <w:tcPr>
            <w:tcW w:w="572" w:type="pct"/>
            <w:shd w:val="clear" w:color="auto" w:fill="auto"/>
            <w:noWrap/>
            <w:vAlign w:val="center"/>
          </w:tcPr>
          <w:p w14:paraId="233AEE73">
            <w:pPr>
              <w:pStyle w:val="159"/>
            </w:pPr>
            <w:r>
              <w:rPr>
                <w:color w:val="000000"/>
                <w:kern w:val="0"/>
                <w:sz w:val="22"/>
                <w:szCs w:val="22"/>
              </w:rPr>
              <w:t xml:space="preserve">289.110 </w:t>
            </w:r>
          </w:p>
        </w:tc>
        <w:tc>
          <w:tcPr>
            <w:tcW w:w="572" w:type="pct"/>
            <w:vAlign w:val="center"/>
          </w:tcPr>
          <w:p w14:paraId="020518D0">
            <w:pPr>
              <w:pStyle w:val="159"/>
            </w:pPr>
            <w:r>
              <w:rPr>
                <w:color w:val="000000"/>
                <w:kern w:val="0"/>
                <w:sz w:val="22"/>
                <w:szCs w:val="22"/>
              </w:rPr>
              <w:t xml:space="preserve">346.414 </w:t>
            </w:r>
          </w:p>
        </w:tc>
        <w:tc>
          <w:tcPr>
            <w:tcW w:w="572" w:type="pct"/>
            <w:vAlign w:val="center"/>
          </w:tcPr>
          <w:p w14:paraId="6D7FD5C9">
            <w:pPr>
              <w:pStyle w:val="159"/>
            </w:pPr>
            <w:r>
              <w:rPr>
                <w:color w:val="000000"/>
                <w:kern w:val="0"/>
                <w:sz w:val="22"/>
                <w:szCs w:val="22"/>
              </w:rPr>
              <w:t xml:space="preserve">470.669 </w:t>
            </w:r>
          </w:p>
        </w:tc>
        <w:tc>
          <w:tcPr>
            <w:tcW w:w="572" w:type="pct"/>
            <w:shd w:val="clear" w:color="auto" w:fill="auto"/>
            <w:noWrap/>
            <w:vAlign w:val="center"/>
          </w:tcPr>
          <w:p w14:paraId="26DA84E0">
            <w:pPr>
              <w:pStyle w:val="159"/>
            </w:pPr>
            <w:r>
              <w:rPr>
                <w:color w:val="000000"/>
                <w:kern w:val="0"/>
                <w:sz w:val="22"/>
                <w:szCs w:val="22"/>
              </w:rPr>
              <w:t xml:space="preserve">3.114 </w:t>
            </w:r>
          </w:p>
        </w:tc>
        <w:tc>
          <w:tcPr>
            <w:tcW w:w="572" w:type="pct"/>
            <w:vAlign w:val="center"/>
          </w:tcPr>
          <w:p w14:paraId="7DFF3922">
            <w:pPr>
              <w:pStyle w:val="159"/>
            </w:pPr>
            <w:r>
              <w:rPr>
                <w:color w:val="000000"/>
                <w:kern w:val="0"/>
                <w:sz w:val="22"/>
                <w:szCs w:val="22"/>
              </w:rPr>
              <w:t xml:space="preserve">4.307 </w:t>
            </w:r>
          </w:p>
        </w:tc>
        <w:tc>
          <w:tcPr>
            <w:tcW w:w="569" w:type="pct"/>
            <w:vAlign w:val="center"/>
          </w:tcPr>
          <w:p w14:paraId="433FB8B9">
            <w:pPr>
              <w:pStyle w:val="159"/>
            </w:pPr>
            <w:r>
              <w:rPr>
                <w:color w:val="000000"/>
                <w:kern w:val="0"/>
                <w:sz w:val="22"/>
                <w:szCs w:val="22"/>
              </w:rPr>
              <w:t xml:space="preserve">6.359 </w:t>
            </w:r>
          </w:p>
        </w:tc>
      </w:tr>
      <w:tr w14:paraId="3465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2CA097C5">
            <w:pPr>
              <w:pStyle w:val="159"/>
            </w:pPr>
            <w:r>
              <w:t>-5.7</w:t>
            </w:r>
          </w:p>
        </w:tc>
        <w:tc>
          <w:tcPr>
            <w:tcW w:w="771" w:type="pct"/>
            <w:vAlign w:val="center"/>
          </w:tcPr>
          <w:p w14:paraId="27EB3370">
            <w:pPr>
              <w:pStyle w:val="159"/>
            </w:pPr>
            <w:r>
              <w:t>-2</w:t>
            </w:r>
          </w:p>
        </w:tc>
        <w:tc>
          <w:tcPr>
            <w:tcW w:w="572" w:type="pct"/>
            <w:shd w:val="clear" w:color="auto" w:fill="auto"/>
            <w:noWrap/>
            <w:vAlign w:val="center"/>
          </w:tcPr>
          <w:p w14:paraId="0521257C">
            <w:pPr>
              <w:pStyle w:val="159"/>
            </w:pPr>
            <w:r>
              <w:rPr>
                <w:color w:val="000000"/>
                <w:kern w:val="0"/>
                <w:sz w:val="22"/>
                <w:szCs w:val="22"/>
              </w:rPr>
              <w:t xml:space="preserve">280.753 </w:t>
            </w:r>
          </w:p>
        </w:tc>
        <w:tc>
          <w:tcPr>
            <w:tcW w:w="572" w:type="pct"/>
            <w:vAlign w:val="center"/>
          </w:tcPr>
          <w:p w14:paraId="3FCFD54A">
            <w:pPr>
              <w:pStyle w:val="159"/>
            </w:pPr>
            <w:r>
              <w:rPr>
                <w:color w:val="000000"/>
                <w:kern w:val="0"/>
                <w:sz w:val="22"/>
                <w:szCs w:val="22"/>
              </w:rPr>
              <w:t xml:space="preserve">345.264 </w:t>
            </w:r>
          </w:p>
        </w:tc>
        <w:tc>
          <w:tcPr>
            <w:tcW w:w="572" w:type="pct"/>
            <w:vAlign w:val="center"/>
          </w:tcPr>
          <w:p w14:paraId="2491611D">
            <w:pPr>
              <w:pStyle w:val="159"/>
            </w:pPr>
            <w:r>
              <w:rPr>
                <w:color w:val="000000"/>
                <w:kern w:val="0"/>
                <w:sz w:val="22"/>
                <w:szCs w:val="22"/>
              </w:rPr>
              <w:t xml:space="preserve">485.334 </w:t>
            </w:r>
          </w:p>
        </w:tc>
        <w:tc>
          <w:tcPr>
            <w:tcW w:w="572" w:type="pct"/>
            <w:shd w:val="clear" w:color="auto" w:fill="auto"/>
            <w:noWrap/>
            <w:vAlign w:val="center"/>
          </w:tcPr>
          <w:p w14:paraId="63A7B8B2">
            <w:pPr>
              <w:pStyle w:val="159"/>
            </w:pPr>
            <w:r>
              <w:rPr>
                <w:color w:val="000000"/>
                <w:kern w:val="0"/>
                <w:sz w:val="22"/>
                <w:szCs w:val="22"/>
              </w:rPr>
              <w:t xml:space="preserve">3.210 </w:t>
            </w:r>
          </w:p>
        </w:tc>
        <w:tc>
          <w:tcPr>
            <w:tcW w:w="572" w:type="pct"/>
            <w:vAlign w:val="center"/>
          </w:tcPr>
          <w:p w14:paraId="6C7480E5">
            <w:pPr>
              <w:pStyle w:val="159"/>
            </w:pPr>
            <w:r>
              <w:rPr>
                <w:color w:val="000000"/>
                <w:kern w:val="0"/>
                <w:sz w:val="22"/>
                <w:szCs w:val="22"/>
              </w:rPr>
              <w:t xml:space="preserve">4.501 </w:t>
            </w:r>
          </w:p>
        </w:tc>
        <w:tc>
          <w:tcPr>
            <w:tcW w:w="569" w:type="pct"/>
            <w:vAlign w:val="center"/>
          </w:tcPr>
          <w:p w14:paraId="4C81B140">
            <w:pPr>
              <w:pStyle w:val="159"/>
            </w:pPr>
            <w:r>
              <w:rPr>
                <w:color w:val="000000"/>
                <w:kern w:val="0"/>
                <w:sz w:val="22"/>
                <w:szCs w:val="22"/>
              </w:rPr>
              <w:t xml:space="preserve">6.779 </w:t>
            </w:r>
          </w:p>
        </w:tc>
      </w:tr>
      <w:tr w14:paraId="0EAA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470984A">
            <w:pPr>
              <w:pStyle w:val="159"/>
            </w:pPr>
            <w:r>
              <w:t>-4.7</w:t>
            </w:r>
          </w:p>
        </w:tc>
        <w:tc>
          <w:tcPr>
            <w:tcW w:w="771" w:type="pct"/>
            <w:vAlign w:val="center"/>
          </w:tcPr>
          <w:p w14:paraId="5E8F18FC">
            <w:pPr>
              <w:pStyle w:val="159"/>
            </w:pPr>
            <w:r>
              <w:t>-1</w:t>
            </w:r>
          </w:p>
        </w:tc>
        <w:tc>
          <w:tcPr>
            <w:tcW w:w="572" w:type="pct"/>
            <w:shd w:val="clear" w:color="auto" w:fill="auto"/>
            <w:noWrap/>
            <w:vAlign w:val="center"/>
          </w:tcPr>
          <w:p w14:paraId="32BE6E0A">
            <w:pPr>
              <w:pStyle w:val="159"/>
            </w:pPr>
            <w:r>
              <w:rPr>
                <w:color w:val="000000"/>
                <w:kern w:val="0"/>
                <w:sz w:val="22"/>
                <w:szCs w:val="22"/>
              </w:rPr>
              <w:t xml:space="preserve">269.885 </w:t>
            </w:r>
          </w:p>
        </w:tc>
        <w:tc>
          <w:tcPr>
            <w:tcW w:w="572" w:type="pct"/>
            <w:vAlign w:val="center"/>
          </w:tcPr>
          <w:p w14:paraId="72D93B2F">
            <w:pPr>
              <w:pStyle w:val="159"/>
            </w:pPr>
            <w:r>
              <w:rPr>
                <w:color w:val="000000"/>
                <w:kern w:val="0"/>
                <w:sz w:val="22"/>
                <w:szCs w:val="22"/>
              </w:rPr>
              <w:t xml:space="preserve">341.091 </w:t>
            </w:r>
          </w:p>
        </w:tc>
        <w:tc>
          <w:tcPr>
            <w:tcW w:w="572" w:type="pct"/>
            <w:vAlign w:val="center"/>
          </w:tcPr>
          <w:p w14:paraId="61FF674E">
            <w:pPr>
              <w:pStyle w:val="159"/>
            </w:pPr>
            <w:r>
              <w:rPr>
                <w:color w:val="000000"/>
                <w:kern w:val="0"/>
                <w:sz w:val="22"/>
                <w:szCs w:val="22"/>
              </w:rPr>
              <w:t xml:space="preserve">495.912 </w:t>
            </w:r>
          </w:p>
        </w:tc>
        <w:tc>
          <w:tcPr>
            <w:tcW w:w="572" w:type="pct"/>
            <w:shd w:val="clear" w:color="auto" w:fill="auto"/>
            <w:noWrap/>
            <w:vAlign w:val="center"/>
          </w:tcPr>
          <w:p w14:paraId="4E903E17">
            <w:pPr>
              <w:pStyle w:val="159"/>
            </w:pPr>
            <w:r>
              <w:rPr>
                <w:color w:val="000000"/>
                <w:kern w:val="0"/>
                <w:sz w:val="22"/>
                <w:szCs w:val="22"/>
              </w:rPr>
              <w:t xml:space="preserve">3.292 </w:t>
            </w:r>
          </w:p>
        </w:tc>
        <w:tc>
          <w:tcPr>
            <w:tcW w:w="572" w:type="pct"/>
            <w:vAlign w:val="center"/>
          </w:tcPr>
          <w:p w14:paraId="6836A75D">
            <w:pPr>
              <w:pStyle w:val="159"/>
            </w:pPr>
            <w:r>
              <w:rPr>
                <w:color w:val="000000"/>
                <w:kern w:val="0"/>
                <w:sz w:val="22"/>
                <w:szCs w:val="22"/>
              </w:rPr>
              <w:t xml:space="preserve">4.672 </w:t>
            </w:r>
          </w:p>
        </w:tc>
        <w:tc>
          <w:tcPr>
            <w:tcW w:w="569" w:type="pct"/>
            <w:vAlign w:val="center"/>
          </w:tcPr>
          <w:p w14:paraId="13BF9C44">
            <w:pPr>
              <w:pStyle w:val="159"/>
            </w:pPr>
            <w:r>
              <w:rPr>
                <w:color w:val="000000"/>
                <w:kern w:val="0"/>
                <w:sz w:val="22"/>
                <w:szCs w:val="22"/>
              </w:rPr>
              <w:t xml:space="preserve">7.158 </w:t>
            </w:r>
          </w:p>
        </w:tc>
      </w:tr>
      <w:tr w14:paraId="438B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4846513E">
            <w:pPr>
              <w:pStyle w:val="159"/>
            </w:pPr>
            <w:r>
              <w:t>-3.7</w:t>
            </w:r>
          </w:p>
        </w:tc>
        <w:tc>
          <w:tcPr>
            <w:tcW w:w="771" w:type="pct"/>
            <w:vAlign w:val="center"/>
          </w:tcPr>
          <w:p w14:paraId="4CA7A1EC">
            <w:pPr>
              <w:pStyle w:val="159"/>
            </w:pPr>
            <w:r>
              <w:t>线下</w:t>
            </w:r>
          </w:p>
        </w:tc>
        <w:tc>
          <w:tcPr>
            <w:tcW w:w="572" w:type="pct"/>
            <w:shd w:val="clear" w:color="auto" w:fill="auto"/>
            <w:noWrap/>
            <w:vAlign w:val="center"/>
          </w:tcPr>
          <w:p w14:paraId="55FBB1E0">
            <w:pPr>
              <w:pStyle w:val="159"/>
            </w:pPr>
            <w:r>
              <w:rPr>
                <w:color w:val="000000"/>
                <w:kern w:val="0"/>
                <w:sz w:val="22"/>
                <w:szCs w:val="22"/>
              </w:rPr>
              <w:t xml:space="preserve">257.601 </w:t>
            </w:r>
          </w:p>
        </w:tc>
        <w:tc>
          <w:tcPr>
            <w:tcW w:w="572" w:type="pct"/>
            <w:vAlign w:val="center"/>
          </w:tcPr>
          <w:p w14:paraId="792ED4DB">
            <w:pPr>
              <w:pStyle w:val="159"/>
            </w:pPr>
            <w:r>
              <w:rPr>
                <w:color w:val="000000"/>
                <w:kern w:val="0"/>
                <w:sz w:val="22"/>
                <w:szCs w:val="22"/>
              </w:rPr>
              <w:t xml:space="preserve">334.649 </w:t>
            </w:r>
          </w:p>
        </w:tc>
        <w:tc>
          <w:tcPr>
            <w:tcW w:w="572" w:type="pct"/>
            <w:vAlign w:val="center"/>
          </w:tcPr>
          <w:p w14:paraId="70C1D461">
            <w:pPr>
              <w:pStyle w:val="159"/>
            </w:pPr>
            <w:r>
              <w:rPr>
                <w:color w:val="000000"/>
                <w:kern w:val="0"/>
                <w:sz w:val="22"/>
                <w:szCs w:val="22"/>
              </w:rPr>
              <w:t xml:space="preserve">502.419 </w:t>
            </w:r>
          </w:p>
        </w:tc>
        <w:tc>
          <w:tcPr>
            <w:tcW w:w="572" w:type="pct"/>
            <w:shd w:val="clear" w:color="auto" w:fill="auto"/>
            <w:noWrap/>
            <w:vAlign w:val="center"/>
          </w:tcPr>
          <w:p w14:paraId="33E3C1BB">
            <w:pPr>
              <w:pStyle w:val="159"/>
            </w:pPr>
            <w:r>
              <w:rPr>
                <w:color w:val="000000"/>
                <w:kern w:val="0"/>
                <w:sz w:val="22"/>
                <w:szCs w:val="22"/>
              </w:rPr>
              <w:t xml:space="preserve">3.356 </w:t>
            </w:r>
          </w:p>
        </w:tc>
        <w:tc>
          <w:tcPr>
            <w:tcW w:w="572" w:type="pct"/>
            <w:vAlign w:val="center"/>
          </w:tcPr>
          <w:p w14:paraId="3C993DFD">
            <w:pPr>
              <w:pStyle w:val="159"/>
            </w:pPr>
            <w:r>
              <w:rPr>
                <w:color w:val="000000"/>
                <w:kern w:val="0"/>
                <w:sz w:val="22"/>
                <w:szCs w:val="22"/>
              </w:rPr>
              <w:t xml:space="preserve">4.812 </w:t>
            </w:r>
          </w:p>
        </w:tc>
        <w:tc>
          <w:tcPr>
            <w:tcW w:w="569" w:type="pct"/>
            <w:vAlign w:val="center"/>
          </w:tcPr>
          <w:p w14:paraId="5DEBEF85">
            <w:pPr>
              <w:pStyle w:val="159"/>
            </w:pPr>
            <w:r>
              <w:rPr>
                <w:color w:val="000000"/>
                <w:kern w:val="0"/>
                <w:sz w:val="22"/>
                <w:szCs w:val="22"/>
              </w:rPr>
              <w:t xml:space="preserve">7.476 </w:t>
            </w:r>
          </w:p>
        </w:tc>
      </w:tr>
      <w:tr w14:paraId="48E1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6B98532B">
            <w:pPr>
              <w:pStyle w:val="159"/>
            </w:pPr>
            <w:r>
              <w:t>-2.7</w:t>
            </w:r>
          </w:p>
        </w:tc>
        <w:tc>
          <w:tcPr>
            <w:tcW w:w="771" w:type="pct"/>
            <w:vAlign w:val="center"/>
          </w:tcPr>
          <w:p w14:paraId="4DBB966D">
            <w:pPr>
              <w:pStyle w:val="159"/>
            </w:pPr>
            <w:r>
              <w:t>线下</w:t>
            </w:r>
          </w:p>
        </w:tc>
        <w:tc>
          <w:tcPr>
            <w:tcW w:w="572" w:type="pct"/>
            <w:shd w:val="clear" w:color="auto" w:fill="auto"/>
            <w:noWrap/>
            <w:vAlign w:val="center"/>
          </w:tcPr>
          <w:p w14:paraId="3086AC8A">
            <w:pPr>
              <w:pStyle w:val="159"/>
            </w:pPr>
            <w:r>
              <w:rPr>
                <w:color w:val="000000"/>
                <w:kern w:val="0"/>
                <w:sz w:val="22"/>
                <w:szCs w:val="22"/>
              </w:rPr>
              <w:t xml:space="preserve">245.458 </w:t>
            </w:r>
          </w:p>
        </w:tc>
        <w:tc>
          <w:tcPr>
            <w:tcW w:w="572" w:type="pct"/>
            <w:vAlign w:val="center"/>
          </w:tcPr>
          <w:p w14:paraId="2A5A1FF8">
            <w:pPr>
              <w:pStyle w:val="159"/>
            </w:pPr>
            <w:r>
              <w:rPr>
                <w:color w:val="000000"/>
                <w:kern w:val="0"/>
                <w:sz w:val="22"/>
                <w:szCs w:val="22"/>
              </w:rPr>
              <w:t xml:space="preserve">327.127 </w:t>
            </w:r>
          </w:p>
        </w:tc>
        <w:tc>
          <w:tcPr>
            <w:tcW w:w="572" w:type="pct"/>
            <w:vAlign w:val="center"/>
          </w:tcPr>
          <w:p w14:paraId="56E60848">
            <w:pPr>
              <w:pStyle w:val="159"/>
            </w:pPr>
            <w:r>
              <w:rPr>
                <w:color w:val="000000"/>
                <w:kern w:val="0"/>
                <w:sz w:val="22"/>
                <w:szCs w:val="22"/>
              </w:rPr>
              <w:t xml:space="preserve">505.430 </w:t>
            </w:r>
          </w:p>
        </w:tc>
        <w:tc>
          <w:tcPr>
            <w:tcW w:w="572" w:type="pct"/>
            <w:shd w:val="clear" w:color="auto" w:fill="auto"/>
            <w:noWrap/>
            <w:vAlign w:val="center"/>
          </w:tcPr>
          <w:p w14:paraId="3995F4E9">
            <w:pPr>
              <w:pStyle w:val="159"/>
            </w:pPr>
            <w:r>
              <w:rPr>
                <w:color w:val="000000"/>
                <w:kern w:val="0"/>
                <w:sz w:val="22"/>
                <w:szCs w:val="22"/>
              </w:rPr>
              <w:t xml:space="preserve">3.402 </w:t>
            </w:r>
          </w:p>
        </w:tc>
        <w:tc>
          <w:tcPr>
            <w:tcW w:w="572" w:type="pct"/>
            <w:vAlign w:val="center"/>
          </w:tcPr>
          <w:p w14:paraId="190672DB">
            <w:pPr>
              <w:pStyle w:val="159"/>
            </w:pPr>
            <w:r>
              <w:rPr>
                <w:color w:val="000000"/>
                <w:kern w:val="0"/>
                <w:sz w:val="22"/>
                <w:szCs w:val="22"/>
              </w:rPr>
              <w:t xml:space="preserve">4.916 </w:t>
            </w:r>
          </w:p>
        </w:tc>
        <w:tc>
          <w:tcPr>
            <w:tcW w:w="569" w:type="pct"/>
            <w:vAlign w:val="center"/>
          </w:tcPr>
          <w:p w14:paraId="2770F81A">
            <w:pPr>
              <w:pStyle w:val="159"/>
            </w:pPr>
            <w:r>
              <w:rPr>
                <w:color w:val="000000"/>
                <w:kern w:val="0"/>
                <w:sz w:val="22"/>
                <w:szCs w:val="22"/>
              </w:rPr>
              <w:t xml:space="preserve">7.715 </w:t>
            </w:r>
          </w:p>
        </w:tc>
      </w:tr>
      <w:tr w14:paraId="07C5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0C0A5C5C">
            <w:pPr>
              <w:pStyle w:val="159"/>
            </w:pPr>
            <w:r>
              <w:t>-1.7</w:t>
            </w:r>
          </w:p>
        </w:tc>
        <w:tc>
          <w:tcPr>
            <w:tcW w:w="771" w:type="pct"/>
            <w:vAlign w:val="center"/>
          </w:tcPr>
          <w:p w14:paraId="0485DEB6">
            <w:pPr>
              <w:pStyle w:val="159"/>
            </w:pPr>
            <w:r>
              <w:t>线下</w:t>
            </w:r>
          </w:p>
        </w:tc>
        <w:tc>
          <w:tcPr>
            <w:tcW w:w="572" w:type="pct"/>
            <w:shd w:val="clear" w:color="auto" w:fill="auto"/>
            <w:noWrap/>
            <w:vAlign w:val="center"/>
          </w:tcPr>
          <w:p w14:paraId="1EBDA2D1">
            <w:pPr>
              <w:pStyle w:val="159"/>
            </w:pPr>
            <w:r>
              <w:rPr>
                <w:color w:val="000000"/>
                <w:kern w:val="0"/>
                <w:sz w:val="22"/>
                <w:szCs w:val="22"/>
              </w:rPr>
              <w:t xml:space="preserve">235.326 </w:t>
            </w:r>
          </w:p>
        </w:tc>
        <w:tc>
          <w:tcPr>
            <w:tcW w:w="572" w:type="pct"/>
            <w:vAlign w:val="center"/>
          </w:tcPr>
          <w:p w14:paraId="4EF2645B">
            <w:pPr>
              <w:pStyle w:val="159"/>
            </w:pPr>
            <w:r>
              <w:rPr>
                <w:color w:val="000000"/>
                <w:kern w:val="0"/>
                <w:sz w:val="22"/>
                <w:szCs w:val="22"/>
              </w:rPr>
              <w:t xml:space="preserve">320.021 </w:t>
            </w:r>
          </w:p>
        </w:tc>
        <w:tc>
          <w:tcPr>
            <w:tcW w:w="572" w:type="pct"/>
            <w:vAlign w:val="center"/>
          </w:tcPr>
          <w:p w14:paraId="7CA799FC">
            <w:pPr>
              <w:pStyle w:val="159"/>
            </w:pPr>
            <w:r>
              <w:rPr>
                <w:color w:val="000000"/>
                <w:kern w:val="0"/>
                <w:sz w:val="22"/>
                <w:szCs w:val="22"/>
              </w:rPr>
              <w:t xml:space="preserve">505.977 </w:t>
            </w:r>
          </w:p>
        </w:tc>
        <w:tc>
          <w:tcPr>
            <w:tcW w:w="572" w:type="pct"/>
            <w:shd w:val="clear" w:color="auto" w:fill="auto"/>
            <w:noWrap/>
            <w:vAlign w:val="center"/>
          </w:tcPr>
          <w:p w14:paraId="6C1BF654">
            <w:pPr>
              <w:pStyle w:val="159"/>
            </w:pPr>
            <w:r>
              <w:rPr>
                <w:color w:val="000000"/>
                <w:kern w:val="0"/>
                <w:sz w:val="22"/>
                <w:szCs w:val="22"/>
              </w:rPr>
              <w:t xml:space="preserve">3.426 </w:t>
            </w:r>
          </w:p>
        </w:tc>
        <w:tc>
          <w:tcPr>
            <w:tcW w:w="572" w:type="pct"/>
            <w:vAlign w:val="center"/>
          </w:tcPr>
          <w:p w14:paraId="559DD74F">
            <w:pPr>
              <w:pStyle w:val="159"/>
            </w:pPr>
            <w:r>
              <w:rPr>
                <w:color w:val="000000"/>
                <w:kern w:val="0"/>
                <w:sz w:val="22"/>
                <w:szCs w:val="22"/>
              </w:rPr>
              <w:t xml:space="preserve">4.980 </w:t>
            </w:r>
          </w:p>
        </w:tc>
        <w:tc>
          <w:tcPr>
            <w:tcW w:w="569" w:type="pct"/>
            <w:vAlign w:val="center"/>
          </w:tcPr>
          <w:p w14:paraId="2359DFB2">
            <w:pPr>
              <w:pStyle w:val="159"/>
            </w:pPr>
            <w:r>
              <w:rPr>
                <w:color w:val="000000"/>
                <w:kern w:val="0"/>
                <w:sz w:val="22"/>
                <w:szCs w:val="22"/>
              </w:rPr>
              <w:t xml:space="preserve">7.860 </w:t>
            </w:r>
          </w:p>
        </w:tc>
      </w:tr>
      <w:tr w14:paraId="2360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4CA9924A">
            <w:pPr>
              <w:pStyle w:val="159"/>
            </w:pPr>
            <w:r>
              <w:t>-0.7</w:t>
            </w:r>
          </w:p>
        </w:tc>
        <w:tc>
          <w:tcPr>
            <w:tcW w:w="771" w:type="pct"/>
            <w:vAlign w:val="center"/>
          </w:tcPr>
          <w:p w14:paraId="205DEEA9">
            <w:pPr>
              <w:pStyle w:val="159"/>
            </w:pPr>
            <w:r>
              <w:t>线下</w:t>
            </w:r>
          </w:p>
        </w:tc>
        <w:tc>
          <w:tcPr>
            <w:tcW w:w="572" w:type="pct"/>
            <w:shd w:val="clear" w:color="auto" w:fill="auto"/>
            <w:noWrap/>
            <w:vAlign w:val="center"/>
          </w:tcPr>
          <w:p w14:paraId="4E9991B3">
            <w:pPr>
              <w:pStyle w:val="159"/>
            </w:pPr>
            <w:r>
              <w:rPr>
                <w:color w:val="000000"/>
                <w:kern w:val="0"/>
                <w:sz w:val="22"/>
                <w:szCs w:val="22"/>
              </w:rPr>
              <w:t xml:space="preserve">229.024 </w:t>
            </w:r>
          </w:p>
        </w:tc>
        <w:tc>
          <w:tcPr>
            <w:tcW w:w="572" w:type="pct"/>
            <w:vAlign w:val="center"/>
          </w:tcPr>
          <w:p w14:paraId="6EB9B4F5">
            <w:pPr>
              <w:pStyle w:val="159"/>
            </w:pPr>
            <w:r>
              <w:rPr>
                <w:color w:val="000000"/>
                <w:kern w:val="0"/>
                <w:sz w:val="22"/>
                <w:szCs w:val="22"/>
              </w:rPr>
              <w:t xml:space="preserve">314.839 </w:t>
            </w:r>
          </w:p>
        </w:tc>
        <w:tc>
          <w:tcPr>
            <w:tcW w:w="572" w:type="pct"/>
            <w:vAlign w:val="center"/>
          </w:tcPr>
          <w:p w14:paraId="47A87477">
            <w:pPr>
              <w:pStyle w:val="159"/>
            </w:pPr>
            <w:r>
              <w:rPr>
                <w:color w:val="000000"/>
                <w:kern w:val="0"/>
                <w:sz w:val="22"/>
                <w:szCs w:val="22"/>
              </w:rPr>
              <w:t xml:space="preserve">505.248 </w:t>
            </w:r>
          </w:p>
        </w:tc>
        <w:tc>
          <w:tcPr>
            <w:tcW w:w="572" w:type="pct"/>
            <w:shd w:val="clear" w:color="auto" w:fill="auto"/>
            <w:noWrap/>
            <w:vAlign w:val="center"/>
          </w:tcPr>
          <w:p w14:paraId="747764BA">
            <w:pPr>
              <w:pStyle w:val="159"/>
            </w:pPr>
            <w:r>
              <w:rPr>
                <w:color w:val="000000"/>
                <w:kern w:val="0"/>
                <w:sz w:val="22"/>
                <w:szCs w:val="22"/>
              </w:rPr>
              <w:t xml:space="preserve">3.429 </w:t>
            </w:r>
          </w:p>
        </w:tc>
        <w:tc>
          <w:tcPr>
            <w:tcW w:w="572" w:type="pct"/>
            <w:vAlign w:val="center"/>
          </w:tcPr>
          <w:p w14:paraId="5FE04BD7">
            <w:pPr>
              <w:pStyle w:val="159"/>
            </w:pPr>
            <w:r>
              <w:rPr>
                <w:color w:val="000000"/>
                <w:kern w:val="0"/>
                <w:sz w:val="22"/>
                <w:szCs w:val="22"/>
              </w:rPr>
              <w:t xml:space="preserve">4.999 </w:t>
            </w:r>
          </w:p>
        </w:tc>
        <w:tc>
          <w:tcPr>
            <w:tcW w:w="569" w:type="pct"/>
            <w:vAlign w:val="center"/>
          </w:tcPr>
          <w:p w14:paraId="3ACA4E9F">
            <w:pPr>
              <w:pStyle w:val="159"/>
            </w:pPr>
            <w:r>
              <w:rPr>
                <w:color w:val="000000"/>
                <w:kern w:val="0"/>
                <w:sz w:val="22"/>
                <w:szCs w:val="22"/>
              </w:rPr>
              <w:t xml:space="preserve">7.904 </w:t>
            </w:r>
          </w:p>
        </w:tc>
      </w:tr>
      <w:tr w14:paraId="5A36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D66FC66">
            <w:pPr>
              <w:pStyle w:val="159"/>
            </w:pPr>
            <w:r>
              <w:t>0</w:t>
            </w:r>
          </w:p>
        </w:tc>
        <w:tc>
          <w:tcPr>
            <w:tcW w:w="771" w:type="pct"/>
            <w:vAlign w:val="center"/>
          </w:tcPr>
          <w:p w14:paraId="32EDBA36">
            <w:pPr>
              <w:pStyle w:val="159"/>
            </w:pPr>
            <w:r>
              <w:t>线下</w:t>
            </w:r>
          </w:p>
        </w:tc>
        <w:tc>
          <w:tcPr>
            <w:tcW w:w="572" w:type="pct"/>
            <w:shd w:val="clear" w:color="auto" w:fill="auto"/>
            <w:noWrap/>
            <w:vAlign w:val="center"/>
          </w:tcPr>
          <w:p w14:paraId="650D6555">
            <w:pPr>
              <w:pStyle w:val="159"/>
            </w:pPr>
            <w:r>
              <w:rPr>
                <w:color w:val="000000"/>
                <w:kern w:val="0"/>
                <w:sz w:val="22"/>
                <w:szCs w:val="22"/>
              </w:rPr>
              <w:t xml:space="preserve">227.585 </w:t>
            </w:r>
          </w:p>
        </w:tc>
        <w:tc>
          <w:tcPr>
            <w:tcW w:w="572" w:type="pct"/>
            <w:vAlign w:val="center"/>
          </w:tcPr>
          <w:p w14:paraId="2FCD56EF">
            <w:pPr>
              <w:pStyle w:val="159"/>
            </w:pPr>
            <w:r>
              <w:rPr>
                <w:color w:val="000000"/>
                <w:kern w:val="0"/>
                <w:sz w:val="22"/>
                <w:szCs w:val="22"/>
              </w:rPr>
              <w:t xml:space="preserve">312.696 </w:t>
            </w:r>
          </w:p>
        </w:tc>
        <w:tc>
          <w:tcPr>
            <w:tcW w:w="572" w:type="pct"/>
            <w:vAlign w:val="center"/>
          </w:tcPr>
          <w:p w14:paraId="311BBF72">
            <w:pPr>
              <w:pStyle w:val="159"/>
            </w:pPr>
            <w:r>
              <w:rPr>
                <w:color w:val="000000"/>
                <w:kern w:val="0"/>
                <w:sz w:val="22"/>
                <w:szCs w:val="22"/>
              </w:rPr>
              <w:t xml:space="preserve">504.169 </w:t>
            </w:r>
          </w:p>
        </w:tc>
        <w:tc>
          <w:tcPr>
            <w:tcW w:w="572" w:type="pct"/>
            <w:shd w:val="clear" w:color="auto" w:fill="auto"/>
            <w:noWrap/>
            <w:vAlign w:val="center"/>
          </w:tcPr>
          <w:p w14:paraId="4DF5652A">
            <w:pPr>
              <w:pStyle w:val="159"/>
            </w:pPr>
            <w:r>
              <w:rPr>
                <w:color w:val="000000"/>
                <w:kern w:val="0"/>
                <w:sz w:val="22"/>
                <w:szCs w:val="22"/>
              </w:rPr>
              <w:t xml:space="preserve">3.419 </w:t>
            </w:r>
          </w:p>
        </w:tc>
        <w:tc>
          <w:tcPr>
            <w:tcW w:w="572" w:type="pct"/>
            <w:vAlign w:val="center"/>
          </w:tcPr>
          <w:p w14:paraId="34962A31">
            <w:pPr>
              <w:pStyle w:val="159"/>
            </w:pPr>
            <w:r>
              <w:rPr>
                <w:color w:val="000000"/>
                <w:kern w:val="0"/>
                <w:sz w:val="22"/>
                <w:szCs w:val="22"/>
              </w:rPr>
              <w:t xml:space="preserve">4.975 </w:t>
            </w:r>
          </w:p>
        </w:tc>
        <w:tc>
          <w:tcPr>
            <w:tcW w:w="569" w:type="pct"/>
            <w:vAlign w:val="center"/>
          </w:tcPr>
          <w:p w14:paraId="7FDD6D91">
            <w:pPr>
              <w:pStyle w:val="159"/>
            </w:pPr>
            <w:r>
              <w:rPr>
                <w:color w:val="000000"/>
                <w:kern w:val="0"/>
                <w:sz w:val="22"/>
                <w:szCs w:val="22"/>
              </w:rPr>
              <w:t xml:space="preserve">7.845 </w:t>
            </w:r>
          </w:p>
        </w:tc>
      </w:tr>
      <w:tr w14:paraId="687F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05BD4361">
            <w:pPr>
              <w:pStyle w:val="159"/>
            </w:pPr>
            <w:r>
              <w:t>1.3</w:t>
            </w:r>
          </w:p>
        </w:tc>
        <w:tc>
          <w:tcPr>
            <w:tcW w:w="771" w:type="pct"/>
            <w:vAlign w:val="center"/>
          </w:tcPr>
          <w:p w14:paraId="48CE81E2">
            <w:pPr>
              <w:pStyle w:val="159"/>
            </w:pPr>
            <w:r>
              <w:t>线下</w:t>
            </w:r>
          </w:p>
        </w:tc>
        <w:tc>
          <w:tcPr>
            <w:tcW w:w="572" w:type="pct"/>
            <w:shd w:val="clear" w:color="auto" w:fill="auto"/>
            <w:noWrap/>
            <w:vAlign w:val="center"/>
          </w:tcPr>
          <w:p w14:paraId="355983EF">
            <w:pPr>
              <w:pStyle w:val="159"/>
            </w:pPr>
            <w:r>
              <w:rPr>
                <w:color w:val="000000"/>
                <w:kern w:val="0"/>
                <w:sz w:val="22"/>
                <w:szCs w:val="22"/>
              </w:rPr>
              <w:t xml:space="preserve">231.707 </w:t>
            </w:r>
          </w:p>
        </w:tc>
        <w:tc>
          <w:tcPr>
            <w:tcW w:w="572" w:type="pct"/>
            <w:vAlign w:val="center"/>
          </w:tcPr>
          <w:p w14:paraId="7F95B5A0">
            <w:pPr>
              <w:pStyle w:val="159"/>
            </w:pPr>
            <w:r>
              <w:rPr>
                <w:color w:val="000000"/>
                <w:kern w:val="0"/>
                <w:sz w:val="22"/>
                <w:szCs w:val="22"/>
              </w:rPr>
              <w:t xml:space="preserve">313.953 </w:t>
            </w:r>
          </w:p>
        </w:tc>
        <w:tc>
          <w:tcPr>
            <w:tcW w:w="572" w:type="pct"/>
            <w:vAlign w:val="center"/>
          </w:tcPr>
          <w:p w14:paraId="6DB5ED67">
            <w:pPr>
              <w:pStyle w:val="159"/>
            </w:pPr>
            <w:r>
              <w:rPr>
                <w:color w:val="000000"/>
                <w:kern w:val="0"/>
                <w:sz w:val="22"/>
                <w:szCs w:val="22"/>
              </w:rPr>
              <w:t xml:space="preserve">503.041 </w:t>
            </w:r>
          </w:p>
        </w:tc>
        <w:tc>
          <w:tcPr>
            <w:tcW w:w="572" w:type="pct"/>
            <w:shd w:val="clear" w:color="auto" w:fill="auto"/>
            <w:noWrap/>
            <w:vAlign w:val="center"/>
          </w:tcPr>
          <w:p w14:paraId="46273094">
            <w:pPr>
              <w:pStyle w:val="159"/>
            </w:pPr>
            <w:r>
              <w:rPr>
                <w:color w:val="000000"/>
                <w:kern w:val="0"/>
                <w:sz w:val="22"/>
                <w:szCs w:val="22"/>
              </w:rPr>
              <w:t xml:space="preserve">3.371 </w:t>
            </w:r>
          </w:p>
        </w:tc>
        <w:tc>
          <w:tcPr>
            <w:tcW w:w="572" w:type="pct"/>
            <w:vAlign w:val="center"/>
          </w:tcPr>
          <w:p w14:paraId="4CE21D53">
            <w:pPr>
              <w:pStyle w:val="159"/>
            </w:pPr>
            <w:r>
              <w:rPr>
                <w:color w:val="000000"/>
                <w:kern w:val="0"/>
                <w:sz w:val="22"/>
                <w:szCs w:val="22"/>
              </w:rPr>
              <w:t xml:space="preserve">4.907 </w:t>
            </w:r>
          </w:p>
        </w:tc>
        <w:tc>
          <w:tcPr>
            <w:tcW w:w="569" w:type="pct"/>
            <w:vAlign w:val="center"/>
          </w:tcPr>
          <w:p w14:paraId="198BD877">
            <w:pPr>
              <w:pStyle w:val="159"/>
            </w:pPr>
            <w:r>
              <w:rPr>
                <w:color w:val="000000"/>
                <w:kern w:val="0"/>
                <w:sz w:val="22"/>
                <w:szCs w:val="22"/>
              </w:rPr>
              <w:t xml:space="preserve">7.688 </w:t>
            </w:r>
          </w:p>
        </w:tc>
      </w:tr>
      <w:tr w14:paraId="61D9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F414E47">
            <w:pPr>
              <w:pStyle w:val="159"/>
            </w:pPr>
            <w:r>
              <w:t>2.3</w:t>
            </w:r>
          </w:p>
        </w:tc>
        <w:tc>
          <w:tcPr>
            <w:tcW w:w="771" w:type="pct"/>
            <w:vAlign w:val="center"/>
          </w:tcPr>
          <w:p w14:paraId="0764E5B2">
            <w:pPr>
              <w:pStyle w:val="159"/>
            </w:pPr>
            <w:r>
              <w:t>线下</w:t>
            </w:r>
          </w:p>
        </w:tc>
        <w:tc>
          <w:tcPr>
            <w:tcW w:w="572" w:type="pct"/>
            <w:shd w:val="clear" w:color="auto" w:fill="auto"/>
            <w:noWrap/>
            <w:vAlign w:val="center"/>
          </w:tcPr>
          <w:p w14:paraId="44CC805B">
            <w:pPr>
              <w:pStyle w:val="159"/>
            </w:pPr>
            <w:r>
              <w:rPr>
                <w:color w:val="000000"/>
                <w:kern w:val="0"/>
                <w:sz w:val="22"/>
                <w:szCs w:val="22"/>
              </w:rPr>
              <w:t xml:space="preserve">239.834 </w:t>
            </w:r>
          </w:p>
        </w:tc>
        <w:tc>
          <w:tcPr>
            <w:tcW w:w="572" w:type="pct"/>
            <w:vAlign w:val="center"/>
          </w:tcPr>
          <w:p w14:paraId="31C2236C">
            <w:pPr>
              <w:pStyle w:val="159"/>
            </w:pPr>
            <w:r>
              <w:rPr>
                <w:color w:val="000000"/>
                <w:kern w:val="0"/>
                <w:sz w:val="22"/>
                <w:szCs w:val="22"/>
              </w:rPr>
              <w:t xml:space="preserve">318.091 </w:t>
            </w:r>
          </w:p>
        </w:tc>
        <w:tc>
          <w:tcPr>
            <w:tcW w:w="572" w:type="pct"/>
            <w:vAlign w:val="center"/>
          </w:tcPr>
          <w:p w14:paraId="6F9E5D4D">
            <w:pPr>
              <w:pStyle w:val="159"/>
            </w:pPr>
            <w:r>
              <w:rPr>
                <w:color w:val="000000"/>
                <w:kern w:val="0"/>
                <w:sz w:val="22"/>
                <w:szCs w:val="22"/>
              </w:rPr>
              <w:t xml:space="preserve">501.434 </w:t>
            </w:r>
          </w:p>
        </w:tc>
        <w:tc>
          <w:tcPr>
            <w:tcW w:w="572" w:type="pct"/>
            <w:shd w:val="clear" w:color="auto" w:fill="auto"/>
            <w:noWrap/>
            <w:vAlign w:val="center"/>
          </w:tcPr>
          <w:p w14:paraId="746500B7">
            <w:pPr>
              <w:pStyle w:val="159"/>
            </w:pPr>
            <w:r>
              <w:rPr>
                <w:color w:val="000000"/>
                <w:kern w:val="0"/>
                <w:sz w:val="22"/>
                <w:szCs w:val="22"/>
              </w:rPr>
              <w:t xml:space="preserve">3.312 </w:t>
            </w:r>
          </w:p>
        </w:tc>
        <w:tc>
          <w:tcPr>
            <w:tcW w:w="572" w:type="pct"/>
            <w:vAlign w:val="center"/>
          </w:tcPr>
          <w:p w14:paraId="52DBA95D">
            <w:pPr>
              <w:pStyle w:val="159"/>
            </w:pPr>
            <w:r>
              <w:rPr>
                <w:color w:val="000000"/>
                <w:kern w:val="0"/>
                <w:sz w:val="22"/>
                <w:szCs w:val="22"/>
              </w:rPr>
              <w:t xml:space="preserve">4.799 </w:t>
            </w:r>
          </w:p>
        </w:tc>
        <w:tc>
          <w:tcPr>
            <w:tcW w:w="569" w:type="pct"/>
            <w:vAlign w:val="center"/>
          </w:tcPr>
          <w:p w14:paraId="4FFD2C13">
            <w:pPr>
              <w:pStyle w:val="159"/>
            </w:pPr>
            <w:r>
              <w:rPr>
                <w:color w:val="000000"/>
                <w:kern w:val="0"/>
                <w:sz w:val="22"/>
                <w:szCs w:val="22"/>
              </w:rPr>
              <w:t xml:space="preserve">7.442 </w:t>
            </w:r>
          </w:p>
        </w:tc>
      </w:tr>
      <w:tr w14:paraId="4E6B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6D7603F5">
            <w:pPr>
              <w:pStyle w:val="159"/>
            </w:pPr>
            <w:r>
              <w:t>3.3</w:t>
            </w:r>
          </w:p>
        </w:tc>
        <w:tc>
          <w:tcPr>
            <w:tcW w:w="771" w:type="pct"/>
            <w:vAlign w:val="center"/>
          </w:tcPr>
          <w:p w14:paraId="6382B64D">
            <w:pPr>
              <w:pStyle w:val="159"/>
            </w:pPr>
            <w:r>
              <w:t>0</w:t>
            </w:r>
          </w:p>
        </w:tc>
        <w:tc>
          <w:tcPr>
            <w:tcW w:w="572" w:type="pct"/>
            <w:shd w:val="clear" w:color="auto" w:fill="auto"/>
            <w:noWrap/>
            <w:vAlign w:val="center"/>
          </w:tcPr>
          <w:p w14:paraId="2898A22F">
            <w:pPr>
              <w:pStyle w:val="159"/>
            </w:pPr>
            <w:r>
              <w:rPr>
                <w:color w:val="000000"/>
                <w:kern w:val="0"/>
                <w:sz w:val="22"/>
                <w:szCs w:val="22"/>
              </w:rPr>
              <w:t xml:space="preserve">250.426 </w:t>
            </w:r>
          </w:p>
        </w:tc>
        <w:tc>
          <w:tcPr>
            <w:tcW w:w="572" w:type="pct"/>
            <w:vAlign w:val="center"/>
          </w:tcPr>
          <w:p w14:paraId="42007B12">
            <w:pPr>
              <w:pStyle w:val="159"/>
            </w:pPr>
            <w:r>
              <w:rPr>
                <w:color w:val="000000"/>
                <w:kern w:val="0"/>
                <w:sz w:val="22"/>
                <w:szCs w:val="22"/>
              </w:rPr>
              <w:t xml:space="preserve">323.903 </w:t>
            </w:r>
          </w:p>
        </w:tc>
        <w:tc>
          <w:tcPr>
            <w:tcW w:w="572" w:type="pct"/>
            <w:vAlign w:val="center"/>
          </w:tcPr>
          <w:p w14:paraId="086E379E">
            <w:pPr>
              <w:pStyle w:val="159"/>
            </w:pPr>
            <w:r>
              <w:rPr>
                <w:color w:val="000000"/>
                <w:kern w:val="0"/>
                <w:sz w:val="22"/>
                <w:szCs w:val="22"/>
              </w:rPr>
              <w:t xml:space="preserve">498.376 </w:t>
            </w:r>
          </w:p>
        </w:tc>
        <w:tc>
          <w:tcPr>
            <w:tcW w:w="572" w:type="pct"/>
            <w:shd w:val="clear" w:color="auto" w:fill="auto"/>
            <w:noWrap/>
            <w:vAlign w:val="center"/>
          </w:tcPr>
          <w:p w14:paraId="0292A25F">
            <w:pPr>
              <w:pStyle w:val="159"/>
            </w:pPr>
            <w:r>
              <w:rPr>
                <w:color w:val="000000"/>
                <w:kern w:val="0"/>
                <w:sz w:val="22"/>
                <w:szCs w:val="22"/>
              </w:rPr>
              <w:t xml:space="preserve">3.234 </w:t>
            </w:r>
          </w:p>
        </w:tc>
        <w:tc>
          <w:tcPr>
            <w:tcW w:w="572" w:type="pct"/>
            <w:vAlign w:val="center"/>
          </w:tcPr>
          <w:p w14:paraId="30497DD5">
            <w:pPr>
              <w:pStyle w:val="159"/>
            </w:pPr>
            <w:r>
              <w:rPr>
                <w:color w:val="000000"/>
                <w:kern w:val="0"/>
                <w:sz w:val="22"/>
                <w:szCs w:val="22"/>
              </w:rPr>
              <w:t xml:space="preserve">4.655 </w:t>
            </w:r>
          </w:p>
        </w:tc>
        <w:tc>
          <w:tcPr>
            <w:tcW w:w="569" w:type="pct"/>
            <w:vAlign w:val="center"/>
          </w:tcPr>
          <w:p w14:paraId="0E6D24C8">
            <w:pPr>
              <w:pStyle w:val="159"/>
            </w:pPr>
            <w:r>
              <w:rPr>
                <w:color w:val="000000"/>
                <w:kern w:val="0"/>
                <w:sz w:val="22"/>
                <w:szCs w:val="22"/>
              </w:rPr>
              <w:t xml:space="preserve">7.121 </w:t>
            </w:r>
          </w:p>
        </w:tc>
      </w:tr>
      <w:tr w14:paraId="157C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5C99C43">
            <w:pPr>
              <w:pStyle w:val="159"/>
            </w:pPr>
            <w:r>
              <w:t>4.3</w:t>
            </w:r>
          </w:p>
        </w:tc>
        <w:tc>
          <w:tcPr>
            <w:tcW w:w="771" w:type="pct"/>
            <w:vAlign w:val="center"/>
          </w:tcPr>
          <w:p w14:paraId="727C7FEB">
            <w:pPr>
              <w:pStyle w:val="159"/>
            </w:pPr>
            <w:r>
              <w:t>1</w:t>
            </w:r>
          </w:p>
        </w:tc>
        <w:tc>
          <w:tcPr>
            <w:tcW w:w="572" w:type="pct"/>
            <w:shd w:val="clear" w:color="auto" w:fill="auto"/>
            <w:noWrap/>
            <w:vAlign w:val="center"/>
          </w:tcPr>
          <w:p w14:paraId="2D444273">
            <w:pPr>
              <w:pStyle w:val="159"/>
            </w:pPr>
            <w:r>
              <w:rPr>
                <w:color w:val="000000"/>
                <w:kern w:val="0"/>
                <w:sz w:val="22"/>
                <w:szCs w:val="22"/>
              </w:rPr>
              <w:t xml:space="preserve">261.599 </w:t>
            </w:r>
          </w:p>
        </w:tc>
        <w:tc>
          <w:tcPr>
            <w:tcW w:w="572" w:type="pct"/>
            <w:vAlign w:val="center"/>
          </w:tcPr>
          <w:p w14:paraId="324B37CE">
            <w:pPr>
              <w:pStyle w:val="159"/>
            </w:pPr>
            <w:r>
              <w:rPr>
                <w:color w:val="000000"/>
                <w:kern w:val="0"/>
                <w:sz w:val="22"/>
                <w:szCs w:val="22"/>
              </w:rPr>
              <w:t xml:space="preserve">329.882 </w:t>
            </w:r>
          </w:p>
        </w:tc>
        <w:tc>
          <w:tcPr>
            <w:tcW w:w="572" w:type="pct"/>
            <w:vAlign w:val="center"/>
          </w:tcPr>
          <w:p w14:paraId="617C2C8F">
            <w:pPr>
              <w:pStyle w:val="159"/>
            </w:pPr>
            <w:r>
              <w:rPr>
                <w:color w:val="000000"/>
                <w:kern w:val="0"/>
                <w:sz w:val="22"/>
                <w:szCs w:val="22"/>
              </w:rPr>
              <w:t xml:space="preserve">492.750 </w:t>
            </w:r>
          </w:p>
        </w:tc>
        <w:tc>
          <w:tcPr>
            <w:tcW w:w="572" w:type="pct"/>
            <w:shd w:val="clear" w:color="auto" w:fill="auto"/>
            <w:noWrap/>
            <w:vAlign w:val="center"/>
          </w:tcPr>
          <w:p w14:paraId="2EB5F4CB">
            <w:pPr>
              <w:pStyle w:val="159"/>
            </w:pPr>
            <w:r>
              <w:rPr>
                <w:color w:val="000000"/>
                <w:kern w:val="0"/>
                <w:sz w:val="22"/>
                <w:szCs w:val="22"/>
              </w:rPr>
              <w:t xml:space="preserve">3.142 </w:t>
            </w:r>
          </w:p>
        </w:tc>
        <w:tc>
          <w:tcPr>
            <w:tcW w:w="572" w:type="pct"/>
            <w:vAlign w:val="center"/>
          </w:tcPr>
          <w:p w14:paraId="03036926">
            <w:pPr>
              <w:pStyle w:val="159"/>
            </w:pPr>
            <w:r>
              <w:rPr>
                <w:color w:val="000000"/>
                <w:kern w:val="0"/>
                <w:sz w:val="22"/>
                <w:szCs w:val="22"/>
              </w:rPr>
              <w:t xml:space="preserve">4.482 </w:t>
            </w:r>
          </w:p>
        </w:tc>
        <w:tc>
          <w:tcPr>
            <w:tcW w:w="569" w:type="pct"/>
            <w:vAlign w:val="center"/>
          </w:tcPr>
          <w:p w14:paraId="34E591ED">
            <w:pPr>
              <w:pStyle w:val="159"/>
            </w:pPr>
            <w:r>
              <w:rPr>
                <w:color w:val="000000"/>
                <w:kern w:val="0"/>
                <w:sz w:val="22"/>
                <w:szCs w:val="22"/>
              </w:rPr>
              <w:t xml:space="preserve">6.742 </w:t>
            </w:r>
          </w:p>
        </w:tc>
      </w:tr>
      <w:tr w14:paraId="6AE9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2B86111">
            <w:pPr>
              <w:pStyle w:val="159"/>
            </w:pPr>
            <w:r>
              <w:t>5.3</w:t>
            </w:r>
          </w:p>
        </w:tc>
        <w:tc>
          <w:tcPr>
            <w:tcW w:w="771" w:type="pct"/>
            <w:vAlign w:val="center"/>
          </w:tcPr>
          <w:p w14:paraId="2670D119">
            <w:pPr>
              <w:pStyle w:val="159"/>
            </w:pPr>
            <w:r>
              <w:t>2</w:t>
            </w:r>
          </w:p>
        </w:tc>
        <w:tc>
          <w:tcPr>
            <w:tcW w:w="572" w:type="pct"/>
            <w:shd w:val="clear" w:color="auto" w:fill="auto"/>
            <w:noWrap/>
            <w:vAlign w:val="center"/>
          </w:tcPr>
          <w:p w14:paraId="511272BD">
            <w:pPr>
              <w:pStyle w:val="159"/>
            </w:pPr>
            <w:r>
              <w:rPr>
                <w:color w:val="000000"/>
                <w:kern w:val="0"/>
                <w:sz w:val="22"/>
                <w:szCs w:val="22"/>
              </w:rPr>
              <w:t xml:space="preserve">271.729 </w:t>
            </w:r>
          </w:p>
        </w:tc>
        <w:tc>
          <w:tcPr>
            <w:tcW w:w="572" w:type="pct"/>
            <w:vAlign w:val="center"/>
          </w:tcPr>
          <w:p w14:paraId="04B708E3">
            <w:pPr>
              <w:pStyle w:val="159"/>
            </w:pPr>
            <w:r>
              <w:rPr>
                <w:color w:val="000000"/>
                <w:kern w:val="0"/>
                <w:sz w:val="22"/>
                <w:szCs w:val="22"/>
              </w:rPr>
              <w:t xml:space="preserve">334.615 </w:t>
            </w:r>
          </w:p>
        </w:tc>
        <w:tc>
          <w:tcPr>
            <w:tcW w:w="572" w:type="pct"/>
            <w:vAlign w:val="center"/>
          </w:tcPr>
          <w:p w14:paraId="1831CD69">
            <w:pPr>
              <w:pStyle w:val="159"/>
            </w:pPr>
            <w:r>
              <w:rPr>
                <w:color w:val="000000"/>
                <w:kern w:val="0"/>
                <w:sz w:val="22"/>
                <w:szCs w:val="22"/>
              </w:rPr>
              <w:t xml:space="preserve">483.687 </w:t>
            </w:r>
          </w:p>
        </w:tc>
        <w:tc>
          <w:tcPr>
            <w:tcW w:w="572" w:type="pct"/>
            <w:shd w:val="clear" w:color="auto" w:fill="auto"/>
            <w:noWrap/>
            <w:vAlign w:val="center"/>
          </w:tcPr>
          <w:p w14:paraId="4BC8A183">
            <w:pPr>
              <w:pStyle w:val="159"/>
            </w:pPr>
            <w:r>
              <w:rPr>
                <w:color w:val="000000"/>
                <w:kern w:val="0"/>
                <w:sz w:val="22"/>
                <w:szCs w:val="22"/>
              </w:rPr>
              <w:t xml:space="preserve">3.036 </w:t>
            </w:r>
          </w:p>
        </w:tc>
        <w:tc>
          <w:tcPr>
            <w:tcW w:w="572" w:type="pct"/>
            <w:vAlign w:val="center"/>
          </w:tcPr>
          <w:p w14:paraId="5FE39BFC">
            <w:pPr>
              <w:pStyle w:val="159"/>
            </w:pPr>
            <w:r>
              <w:rPr>
                <w:color w:val="000000"/>
                <w:kern w:val="0"/>
                <w:sz w:val="22"/>
                <w:szCs w:val="22"/>
              </w:rPr>
              <w:t xml:space="preserve">4.286 </w:t>
            </w:r>
          </w:p>
        </w:tc>
        <w:tc>
          <w:tcPr>
            <w:tcW w:w="569" w:type="pct"/>
            <w:vAlign w:val="center"/>
          </w:tcPr>
          <w:p w14:paraId="39E3F78D">
            <w:pPr>
              <w:pStyle w:val="159"/>
            </w:pPr>
            <w:r>
              <w:rPr>
                <w:color w:val="000000"/>
                <w:kern w:val="0"/>
                <w:sz w:val="22"/>
                <w:szCs w:val="22"/>
              </w:rPr>
              <w:t xml:space="preserve">6.324 </w:t>
            </w:r>
          </w:p>
        </w:tc>
      </w:tr>
      <w:tr w14:paraId="6A21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095E054E">
            <w:pPr>
              <w:pStyle w:val="159"/>
            </w:pPr>
            <w:r>
              <w:t>6.3</w:t>
            </w:r>
          </w:p>
        </w:tc>
        <w:tc>
          <w:tcPr>
            <w:tcW w:w="771" w:type="pct"/>
            <w:vAlign w:val="center"/>
          </w:tcPr>
          <w:p w14:paraId="76FE39E7">
            <w:pPr>
              <w:pStyle w:val="159"/>
            </w:pPr>
            <w:r>
              <w:t>3</w:t>
            </w:r>
          </w:p>
        </w:tc>
        <w:tc>
          <w:tcPr>
            <w:tcW w:w="572" w:type="pct"/>
            <w:shd w:val="clear" w:color="auto" w:fill="auto"/>
            <w:noWrap/>
            <w:vAlign w:val="center"/>
          </w:tcPr>
          <w:p w14:paraId="12005871">
            <w:pPr>
              <w:pStyle w:val="159"/>
            </w:pPr>
            <w:r>
              <w:rPr>
                <w:color w:val="000000"/>
                <w:kern w:val="0"/>
                <w:sz w:val="22"/>
                <w:szCs w:val="22"/>
              </w:rPr>
              <w:t xml:space="preserve">279.648 </w:t>
            </w:r>
          </w:p>
        </w:tc>
        <w:tc>
          <w:tcPr>
            <w:tcW w:w="572" w:type="pct"/>
            <w:vAlign w:val="center"/>
          </w:tcPr>
          <w:p w14:paraId="35AEC0B5">
            <w:pPr>
              <w:pStyle w:val="159"/>
            </w:pPr>
            <w:r>
              <w:rPr>
                <w:color w:val="000000"/>
                <w:kern w:val="0"/>
                <w:sz w:val="22"/>
                <w:szCs w:val="22"/>
              </w:rPr>
              <w:t xml:space="preserve">337.037 </w:t>
            </w:r>
          </w:p>
        </w:tc>
        <w:tc>
          <w:tcPr>
            <w:tcW w:w="572" w:type="pct"/>
            <w:vAlign w:val="center"/>
          </w:tcPr>
          <w:p w14:paraId="6600CF6E">
            <w:pPr>
              <w:pStyle w:val="159"/>
            </w:pPr>
            <w:r>
              <w:rPr>
                <w:color w:val="000000"/>
                <w:kern w:val="0"/>
                <w:sz w:val="22"/>
                <w:szCs w:val="22"/>
              </w:rPr>
              <w:t xml:space="preserve">470.809 </w:t>
            </w:r>
          </w:p>
        </w:tc>
        <w:tc>
          <w:tcPr>
            <w:tcW w:w="572" w:type="pct"/>
            <w:shd w:val="clear" w:color="auto" w:fill="auto"/>
            <w:noWrap/>
            <w:vAlign w:val="center"/>
          </w:tcPr>
          <w:p w14:paraId="324DB4E7">
            <w:pPr>
              <w:pStyle w:val="159"/>
            </w:pPr>
            <w:r>
              <w:rPr>
                <w:color w:val="000000"/>
                <w:kern w:val="0"/>
                <w:sz w:val="22"/>
                <w:szCs w:val="22"/>
              </w:rPr>
              <w:t xml:space="preserve">2.921 </w:t>
            </w:r>
          </w:p>
        </w:tc>
        <w:tc>
          <w:tcPr>
            <w:tcW w:w="572" w:type="pct"/>
            <w:vAlign w:val="center"/>
          </w:tcPr>
          <w:p w14:paraId="6D51DFE5">
            <w:pPr>
              <w:pStyle w:val="159"/>
            </w:pPr>
            <w:r>
              <w:rPr>
                <w:color w:val="000000"/>
                <w:kern w:val="0"/>
                <w:sz w:val="22"/>
                <w:szCs w:val="22"/>
              </w:rPr>
              <w:t xml:space="preserve">4.074 </w:t>
            </w:r>
          </w:p>
        </w:tc>
        <w:tc>
          <w:tcPr>
            <w:tcW w:w="569" w:type="pct"/>
            <w:vAlign w:val="center"/>
          </w:tcPr>
          <w:p w14:paraId="79073A3E">
            <w:pPr>
              <w:pStyle w:val="159"/>
            </w:pPr>
            <w:r>
              <w:rPr>
                <w:color w:val="000000"/>
                <w:kern w:val="0"/>
                <w:sz w:val="22"/>
                <w:szCs w:val="22"/>
              </w:rPr>
              <w:t xml:space="preserve">5.885 </w:t>
            </w:r>
          </w:p>
        </w:tc>
      </w:tr>
      <w:tr w14:paraId="3BA0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2E632562">
            <w:pPr>
              <w:pStyle w:val="159"/>
            </w:pPr>
            <w:r>
              <w:t>7.3</w:t>
            </w:r>
          </w:p>
        </w:tc>
        <w:tc>
          <w:tcPr>
            <w:tcW w:w="771" w:type="pct"/>
            <w:vAlign w:val="center"/>
          </w:tcPr>
          <w:p w14:paraId="2C9DFF9D">
            <w:pPr>
              <w:pStyle w:val="159"/>
            </w:pPr>
            <w:r>
              <w:t>4</w:t>
            </w:r>
          </w:p>
        </w:tc>
        <w:tc>
          <w:tcPr>
            <w:tcW w:w="572" w:type="pct"/>
            <w:shd w:val="clear" w:color="auto" w:fill="auto"/>
            <w:noWrap/>
            <w:vAlign w:val="center"/>
          </w:tcPr>
          <w:p w14:paraId="4463E9CD">
            <w:pPr>
              <w:pStyle w:val="159"/>
            </w:pPr>
            <w:r>
              <w:rPr>
                <w:color w:val="000000"/>
                <w:kern w:val="0"/>
                <w:sz w:val="22"/>
                <w:szCs w:val="22"/>
              </w:rPr>
              <w:t xml:space="preserve">284.659 </w:t>
            </w:r>
          </w:p>
        </w:tc>
        <w:tc>
          <w:tcPr>
            <w:tcW w:w="572" w:type="pct"/>
            <w:vAlign w:val="center"/>
          </w:tcPr>
          <w:p w14:paraId="51B64C57">
            <w:pPr>
              <w:pStyle w:val="159"/>
            </w:pPr>
            <w:r>
              <w:rPr>
                <w:color w:val="000000"/>
                <w:kern w:val="0"/>
                <w:sz w:val="22"/>
                <w:szCs w:val="22"/>
              </w:rPr>
              <w:t xml:space="preserve">336.524 </w:t>
            </w:r>
          </w:p>
        </w:tc>
        <w:tc>
          <w:tcPr>
            <w:tcW w:w="572" w:type="pct"/>
            <w:vAlign w:val="center"/>
          </w:tcPr>
          <w:p w14:paraId="7048ADBF">
            <w:pPr>
              <w:pStyle w:val="159"/>
            </w:pPr>
            <w:r>
              <w:rPr>
                <w:color w:val="000000"/>
                <w:kern w:val="0"/>
                <w:sz w:val="22"/>
                <w:szCs w:val="22"/>
              </w:rPr>
              <w:t xml:space="preserve">454.262 </w:t>
            </w:r>
          </w:p>
        </w:tc>
        <w:tc>
          <w:tcPr>
            <w:tcW w:w="572" w:type="pct"/>
            <w:shd w:val="clear" w:color="auto" w:fill="auto"/>
            <w:noWrap/>
            <w:vAlign w:val="center"/>
          </w:tcPr>
          <w:p w14:paraId="480D270D">
            <w:pPr>
              <w:pStyle w:val="159"/>
            </w:pPr>
            <w:r>
              <w:rPr>
                <w:color w:val="000000"/>
                <w:kern w:val="0"/>
                <w:sz w:val="22"/>
                <w:szCs w:val="22"/>
              </w:rPr>
              <w:t xml:space="preserve">2.799 </w:t>
            </w:r>
          </w:p>
        </w:tc>
        <w:tc>
          <w:tcPr>
            <w:tcW w:w="572" w:type="pct"/>
            <w:vAlign w:val="center"/>
          </w:tcPr>
          <w:p w14:paraId="16062676">
            <w:pPr>
              <w:pStyle w:val="159"/>
            </w:pPr>
            <w:r>
              <w:rPr>
                <w:color w:val="000000"/>
                <w:kern w:val="0"/>
                <w:sz w:val="22"/>
                <w:szCs w:val="22"/>
              </w:rPr>
              <w:t xml:space="preserve">3.852 </w:t>
            </w:r>
          </w:p>
        </w:tc>
        <w:tc>
          <w:tcPr>
            <w:tcW w:w="569" w:type="pct"/>
            <w:vAlign w:val="center"/>
          </w:tcPr>
          <w:p w14:paraId="04FE46AD">
            <w:pPr>
              <w:pStyle w:val="159"/>
            </w:pPr>
            <w:r>
              <w:rPr>
                <w:color w:val="000000"/>
                <w:kern w:val="0"/>
                <w:sz w:val="22"/>
                <w:szCs w:val="22"/>
              </w:rPr>
              <w:t xml:space="preserve">5.441 </w:t>
            </w:r>
          </w:p>
        </w:tc>
      </w:tr>
      <w:tr w14:paraId="1A07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050B486B">
            <w:pPr>
              <w:pStyle w:val="159"/>
            </w:pPr>
            <w:r>
              <w:t>8.3</w:t>
            </w:r>
          </w:p>
        </w:tc>
        <w:tc>
          <w:tcPr>
            <w:tcW w:w="771" w:type="pct"/>
            <w:vAlign w:val="center"/>
          </w:tcPr>
          <w:p w14:paraId="1CE5D42A">
            <w:pPr>
              <w:pStyle w:val="159"/>
            </w:pPr>
            <w:r>
              <w:t>5</w:t>
            </w:r>
          </w:p>
        </w:tc>
        <w:tc>
          <w:tcPr>
            <w:tcW w:w="572" w:type="pct"/>
            <w:shd w:val="clear" w:color="auto" w:fill="auto"/>
            <w:noWrap/>
            <w:vAlign w:val="center"/>
          </w:tcPr>
          <w:p w14:paraId="380917F0">
            <w:pPr>
              <w:pStyle w:val="159"/>
            </w:pPr>
            <w:r>
              <w:rPr>
                <w:color w:val="000000"/>
                <w:kern w:val="0"/>
                <w:sz w:val="22"/>
                <w:szCs w:val="22"/>
              </w:rPr>
              <w:t xml:space="preserve">286.481 </w:t>
            </w:r>
          </w:p>
        </w:tc>
        <w:tc>
          <w:tcPr>
            <w:tcW w:w="572" w:type="pct"/>
            <w:vAlign w:val="center"/>
          </w:tcPr>
          <w:p w14:paraId="3BBA5E01">
            <w:pPr>
              <w:pStyle w:val="159"/>
            </w:pPr>
            <w:r>
              <w:rPr>
                <w:color w:val="000000"/>
                <w:kern w:val="0"/>
                <w:sz w:val="22"/>
                <w:szCs w:val="22"/>
              </w:rPr>
              <w:t xml:space="preserve">332.877 </w:t>
            </w:r>
          </w:p>
        </w:tc>
        <w:tc>
          <w:tcPr>
            <w:tcW w:w="572" w:type="pct"/>
            <w:vAlign w:val="center"/>
          </w:tcPr>
          <w:p w14:paraId="06D3B694">
            <w:pPr>
              <w:pStyle w:val="159"/>
            </w:pPr>
            <w:r>
              <w:rPr>
                <w:color w:val="000000"/>
                <w:kern w:val="0"/>
                <w:sz w:val="22"/>
                <w:szCs w:val="22"/>
              </w:rPr>
              <w:t xml:space="preserve">434.610 </w:t>
            </w:r>
          </w:p>
        </w:tc>
        <w:tc>
          <w:tcPr>
            <w:tcW w:w="572" w:type="pct"/>
            <w:shd w:val="clear" w:color="auto" w:fill="auto"/>
            <w:noWrap/>
            <w:vAlign w:val="center"/>
          </w:tcPr>
          <w:p w14:paraId="4FE8335E">
            <w:pPr>
              <w:pStyle w:val="159"/>
            </w:pPr>
            <w:r>
              <w:rPr>
                <w:color w:val="000000"/>
                <w:kern w:val="0"/>
                <w:sz w:val="22"/>
                <w:szCs w:val="22"/>
              </w:rPr>
              <w:t xml:space="preserve">2.672 </w:t>
            </w:r>
          </w:p>
        </w:tc>
        <w:tc>
          <w:tcPr>
            <w:tcW w:w="572" w:type="pct"/>
            <w:vAlign w:val="center"/>
          </w:tcPr>
          <w:p w14:paraId="544649BE">
            <w:pPr>
              <w:pStyle w:val="159"/>
            </w:pPr>
            <w:r>
              <w:rPr>
                <w:color w:val="000000"/>
                <w:kern w:val="0"/>
                <w:sz w:val="22"/>
                <w:szCs w:val="22"/>
              </w:rPr>
              <w:t xml:space="preserve">3.626 </w:t>
            </w:r>
          </w:p>
        </w:tc>
        <w:tc>
          <w:tcPr>
            <w:tcW w:w="569" w:type="pct"/>
            <w:vAlign w:val="center"/>
          </w:tcPr>
          <w:p w14:paraId="2787E281">
            <w:pPr>
              <w:pStyle w:val="159"/>
            </w:pPr>
            <w:r>
              <w:rPr>
                <w:color w:val="000000"/>
                <w:kern w:val="0"/>
                <w:sz w:val="22"/>
                <w:szCs w:val="22"/>
              </w:rPr>
              <w:t xml:space="preserve">5.007 </w:t>
            </w:r>
          </w:p>
        </w:tc>
      </w:tr>
      <w:tr w14:paraId="2ED9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2ECDD2A8">
            <w:pPr>
              <w:pStyle w:val="159"/>
            </w:pPr>
            <w:r>
              <w:t>9.3</w:t>
            </w:r>
          </w:p>
        </w:tc>
        <w:tc>
          <w:tcPr>
            <w:tcW w:w="771" w:type="pct"/>
            <w:vAlign w:val="center"/>
          </w:tcPr>
          <w:p w14:paraId="2917439C">
            <w:pPr>
              <w:pStyle w:val="159"/>
            </w:pPr>
            <w:r>
              <w:t>6</w:t>
            </w:r>
          </w:p>
        </w:tc>
        <w:tc>
          <w:tcPr>
            <w:tcW w:w="572" w:type="pct"/>
            <w:shd w:val="clear" w:color="auto" w:fill="auto"/>
            <w:noWrap/>
            <w:vAlign w:val="center"/>
          </w:tcPr>
          <w:p w14:paraId="7C898392">
            <w:pPr>
              <w:pStyle w:val="159"/>
            </w:pPr>
            <w:r>
              <w:rPr>
                <w:color w:val="000000"/>
                <w:kern w:val="0"/>
                <w:sz w:val="22"/>
                <w:szCs w:val="22"/>
              </w:rPr>
              <w:t xml:space="preserve">285.155 </w:t>
            </w:r>
          </w:p>
        </w:tc>
        <w:tc>
          <w:tcPr>
            <w:tcW w:w="572" w:type="pct"/>
            <w:vAlign w:val="center"/>
          </w:tcPr>
          <w:p w14:paraId="78D58999">
            <w:pPr>
              <w:pStyle w:val="159"/>
            </w:pPr>
            <w:r>
              <w:rPr>
                <w:color w:val="000000"/>
                <w:kern w:val="0"/>
                <w:sz w:val="22"/>
                <w:szCs w:val="22"/>
              </w:rPr>
              <w:t xml:space="preserve">326.234 </w:t>
            </w:r>
          </w:p>
        </w:tc>
        <w:tc>
          <w:tcPr>
            <w:tcW w:w="572" w:type="pct"/>
            <w:vAlign w:val="center"/>
          </w:tcPr>
          <w:p w14:paraId="15FC7381">
            <w:pPr>
              <w:pStyle w:val="159"/>
            </w:pPr>
            <w:r>
              <w:rPr>
                <w:color w:val="000000"/>
                <w:kern w:val="0"/>
                <w:sz w:val="22"/>
                <w:szCs w:val="22"/>
              </w:rPr>
              <w:t xml:space="preserve">412.646 </w:t>
            </w:r>
          </w:p>
        </w:tc>
        <w:tc>
          <w:tcPr>
            <w:tcW w:w="572" w:type="pct"/>
            <w:shd w:val="clear" w:color="auto" w:fill="auto"/>
            <w:noWrap/>
            <w:vAlign w:val="center"/>
          </w:tcPr>
          <w:p w14:paraId="42897851">
            <w:pPr>
              <w:pStyle w:val="159"/>
            </w:pPr>
            <w:r>
              <w:rPr>
                <w:color w:val="000000"/>
                <w:kern w:val="0"/>
                <w:sz w:val="22"/>
                <w:szCs w:val="22"/>
              </w:rPr>
              <w:t xml:space="preserve">2.543 </w:t>
            </w:r>
          </w:p>
        </w:tc>
        <w:tc>
          <w:tcPr>
            <w:tcW w:w="572" w:type="pct"/>
            <w:vAlign w:val="center"/>
          </w:tcPr>
          <w:p w14:paraId="57F497B5">
            <w:pPr>
              <w:pStyle w:val="159"/>
            </w:pPr>
            <w:r>
              <w:rPr>
                <w:color w:val="000000"/>
                <w:kern w:val="0"/>
                <w:sz w:val="22"/>
                <w:szCs w:val="22"/>
              </w:rPr>
              <w:t xml:space="preserve">3.402 </w:t>
            </w:r>
          </w:p>
        </w:tc>
        <w:tc>
          <w:tcPr>
            <w:tcW w:w="569" w:type="pct"/>
            <w:vAlign w:val="center"/>
          </w:tcPr>
          <w:p w14:paraId="5D6CEB85">
            <w:pPr>
              <w:pStyle w:val="159"/>
            </w:pPr>
            <w:r>
              <w:rPr>
                <w:color w:val="000000"/>
                <w:kern w:val="0"/>
                <w:sz w:val="22"/>
                <w:szCs w:val="22"/>
              </w:rPr>
              <w:t xml:space="preserve">4.591 </w:t>
            </w:r>
          </w:p>
        </w:tc>
      </w:tr>
      <w:tr w14:paraId="2683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6C122571">
            <w:pPr>
              <w:pStyle w:val="159"/>
            </w:pPr>
            <w:r>
              <w:t>10.3</w:t>
            </w:r>
          </w:p>
        </w:tc>
        <w:tc>
          <w:tcPr>
            <w:tcW w:w="771" w:type="pct"/>
            <w:vAlign w:val="center"/>
          </w:tcPr>
          <w:p w14:paraId="0F335504">
            <w:pPr>
              <w:pStyle w:val="159"/>
            </w:pPr>
            <w:r>
              <w:t>7</w:t>
            </w:r>
          </w:p>
        </w:tc>
        <w:tc>
          <w:tcPr>
            <w:tcW w:w="572" w:type="pct"/>
            <w:shd w:val="clear" w:color="auto" w:fill="auto"/>
            <w:noWrap/>
            <w:vAlign w:val="center"/>
          </w:tcPr>
          <w:p w14:paraId="3F5142C2">
            <w:pPr>
              <w:pStyle w:val="159"/>
            </w:pPr>
            <w:r>
              <w:rPr>
                <w:color w:val="000000"/>
                <w:kern w:val="0"/>
                <w:sz w:val="22"/>
                <w:szCs w:val="22"/>
              </w:rPr>
              <w:t xml:space="preserve">280.945 </w:t>
            </w:r>
          </w:p>
        </w:tc>
        <w:tc>
          <w:tcPr>
            <w:tcW w:w="572" w:type="pct"/>
            <w:vAlign w:val="center"/>
          </w:tcPr>
          <w:p w14:paraId="07E629C6">
            <w:pPr>
              <w:pStyle w:val="159"/>
            </w:pPr>
            <w:r>
              <w:rPr>
                <w:color w:val="000000"/>
                <w:kern w:val="0"/>
                <w:sz w:val="22"/>
                <w:szCs w:val="22"/>
              </w:rPr>
              <w:t xml:space="preserve">316.960 </w:t>
            </w:r>
          </w:p>
        </w:tc>
        <w:tc>
          <w:tcPr>
            <w:tcW w:w="572" w:type="pct"/>
            <w:vAlign w:val="center"/>
          </w:tcPr>
          <w:p w14:paraId="27328EFB">
            <w:pPr>
              <w:pStyle w:val="159"/>
            </w:pPr>
            <w:r>
              <w:rPr>
                <w:color w:val="000000"/>
                <w:kern w:val="0"/>
                <w:sz w:val="22"/>
                <w:szCs w:val="22"/>
              </w:rPr>
              <w:t xml:space="preserve">389.227 </w:t>
            </w:r>
          </w:p>
        </w:tc>
        <w:tc>
          <w:tcPr>
            <w:tcW w:w="572" w:type="pct"/>
            <w:shd w:val="clear" w:color="auto" w:fill="auto"/>
            <w:noWrap/>
            <w:vAlign w:val="center"/>
          </w:tcPr>
          <w:p w14:paraId="2B7AF12F">
            <w:pPr>
              <w:pStyle w:val="159"/>
            </w:pPr>
            <w:r>
              <w:rPr>
                <w:color w:val="000000"/>
                <w:kern w:val="0"/>
                <w:sz w:val="22"/>
                <w:szCs w:val="22"/>
              </w:rPr>
              <w:t xml:space="preserve">2.414 </w:t>
            </w:r>
          </w:p>
        </w:tc>
        <w:tc>
          <w:tcPr>
            <w:tcW w:w="572" w:type="pct"/>
            <w:vAlign w:val="center"/>
          </w:tcPr>
          <w:p w14:paraId="79E4009D">
            <w:pPr>
              <w:pStyle w:val="159"/>
            </w:pPr>
            <w:r>
              <w:rPr>
                <w:color w:val="000000"/>
                <w:kern w:val="0"/>
                <w:sz w:val="22"/>
                <w:szCs w:val="22"/>
              </w:rPr>
              <w:t xml:space="preserve">3.182 </w:t>
            </w:r>
          </w:p>
        </w:tc>
        <w:tc>
          <w:tcPr>
            <w:tcW w:w="569" w:type="pct"/>
            <w:vAlign w:val="center"/>
          </w:tcPr>
          <w:p w14:paraId="3AF875DB">
            <w:pPr>
              <w:pStyle w:val="159"/>
            </w:pPr>
            <w:r>
              <w:rPr>
                <w:color w:val="000000"/>
                <w:kern w:val="0"/>
                <w:sz w:val="22"/>
                <w:szCs w:val="22"/>
              </w:rPr>
              <w:t xml:space="preserve">4.201 </w:t>
            </w:r>
          </w:p>
        </w:tc>
      </w:tr>
      <w:tr w14:paraId="30CB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6AE299F">
            <w:pPr>
              <w:pStyle w:val="159"/>
            </w:pPr>
            <w:r>
              <w:t>11.3</w:t>
            </w:r>
          </w:p>
        </w:tc>
        <w:tc>
          <w:tcPr>
            <w:tcW w:w="771" w:type="pct"/>
            <w:vAlign w:val="center"/>
          </w:tcPr>
          <w:p w14:paraId="327F7096">
            <w:pPr>
              <w:pStyle w:val="159"/>
            </w:pPr>
            <w:r>
              <w:t>8</w:t>
            </w:r>
          </w:p>
        </w:tc>
        <w:tc>
          <w:tcPr>
            <w:tcW w:w="572" w:type="pct"/>
            <w:shd w:val="clear" w:color="auto" w:fill="auto"/>
            <w:noWrap/>
            <w:vAlign w:val="center"/>
          </w:tcPr>
          <w:p w14:paraId="5E0EEA54">
            <w:pPr>
              <w:pStyle w:val="159"/>
            </w:pPr>
            <w:r>
              <w:rPr>
                <w:color w:val="000000"/>
                <w:kern w:val="0"/>
                <w:sz w:val="22"/>
                <w:szCs w:val="22"/>
              </w:rPr>
              <w:t xml:space="preserve">274.253 </w:t>
            </w:r>
          </w:p>
        </w:tc>
        <w:tc>
          <w:tcPr>
            <w:tcW w:w="572" w:type="pct"/>
            <w:vAlign w:val="center"/>
          </w:tcPr>
          <w:p w14:paraId="7876D3E4">
            <w:pPr>
              <w:pStyle w:val="159"/>
            </w:pPr>
            <w:r>
              <w:rPr>
                <w:color w:val="000000"/>
                <w:kern w:val="0"/>
                <w:sz w:val="22"/>
                <w:szCs w:val="22"/>
              </w:rPr>
              <w:t xml:space="preserve">305.544 </w:t>
            </w:r>
          </w:p>
        </w:tc>
        <w:tc>
          <w:tcPr>
            <w:tcW w:w="572" w:type="pct"/>
            <w:vAlign w:val="center"/>
          </w:tcPr>
          <w:p w14:paraId="047ABD88">
            <w:pPr>
              <w:pStyle w:val="159"/>
            </w:pPr>
            <w:r>
              <w:rPr>
                <w:color w:val="000000"/>
                <w:kern w:val="0"/>
                <w:sz w:val="22"/>
                <w:szCs w:val="22"/>
              </w:rPr>
              <w:t xml:space="preserve">365.152 </w:t>
            </w:r>
          </w:p>
        </w:tc>
        <w:tc>
          <w:tcPr>
            <w:tcW w:w="572" w:type="pct"/>
            <w:shd w:val="clear" w:color="auto" w:fill="auto"/>
            <w:noWrap/>
            <w:vAlign w:val="center"/>
          </w:tcPr>
          <w:p w14:paraId="7D408F6C">
            <w:pPr>
              <w:pStyle w:val="159"/>
            </w:pPr>
            <w:r>
              <w:rPr>
                <w:color w:val="000000"/>
                <w:kern w:val="0"/>
                <w:sz w:val="22"/>
                <w:szCs w:val="22"/>
              </w:rPr>
              <w:t xml:space="preserve">2.287 </w:t>
            </w:r>
          </w:p>
        </w:tc>
        <w:tc>
          <w:tcPr>
            <w:tcW w:w="572" w:type="pct"/>
            <w:vAlign w:val="center"/>
          </w:tcPr>
          <w:p w14:paraId="6B1442A3">
            <w:pPr>
              <w:pStyle w:val="159"/>
            </w:pPr>
            <w:r>
              <w:rPr>
                <w:color w:val="000000"/>
                <w:kern w:val="0"/>
                <w:sz w:val="22"/>
                <w:szCs w:val="22"/>
              </w:rPr>
              <w:t xml:space="preserve">2.971 </w:t>
            </w:r>
          </w:p>
        </w:tc>
        <w:tc>
          <w:tcPr>
            <w:tcW w:w="569" w:type="pct"/>
            <w:vAlign w:val="center"/>
          </w:tcPr>
          <w:p w14:paraId="034D6519">
            <w:pPr>
              <w:pStyle w:val="159"/>
            </w:pPr>
            <w:r>
              <w:rPr>
                <w:color w:val="000000"/>
                <w:kern w:val="0"/>
                <w:sz w:val="22"/>
                <w:szCs w:val="22"/>
              </w:rPr>
              <w:t xml:space="preserve">3.840 </w:t>
            </w:r>
          </w:p>
        </w:tc>
      </w:tr>
      <w:tr w14:paraId="2690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D79030C">
            <w:pPr>
              <w:pStyle w:val="159"/>
            </w:pPr>
            <w:r>
              <w:t>12.3</w:t>
            </w:r>
          </w:p>
        </w:tc>
        <w:tc>
          <w:tcPr>
            <w:tcW w:w="771" w:type="pct"/>
            <w:vAlign w:val="center"/>
          </w:tcPr>
          <w:p w14:paraId="2676DDCB">
            <w:pPr>
              <w:pStyle w:val="159"/>
            </w:pPr>
            <w:r>
              <w:t>9</w:t>
            </w:r>
          </w:p>
        </w:tc>
        <w:tc>
          <w:tcPr>
            <w:tcW w:w="572" w:type="pct"/>
            <w:shd w:val="clear" w:color="auto" w:fill="auto"/>
            <w:noWrap/>
            <w:vAlign w:val="center"/>
          </w:tcPr>
          <w:p w14:paraId="39278718">
            <w:pPr>
              <w:pStyle w:val="159"/>
            </w:pPr>
            <w:r>
              <w:rPr>
                <w:color w:val="000000"/>
                <w:kern w:val="0"/>
                <w:sz w:val="22"/>
                <w:szCs w:val="22"/>
              </w:rPr>
              <w:t xml:space="preserve">265.545 </w:t>
            </w:r>
          </w:p>
        </w:tc>
        <w:tc>
          <w:tcPr>
            <w:tcW w:w="572" w:type="pct"/>
            <w:vAlign w:val="center"/>
          </w:tcPr>
          <w:p w14:paraId="39519B4F">
            <w:pPr>
              <w:pStyle w:val="159"/>
            </w:pPr>
            <w:r>
              <w:rPr>
                <w:color w:val="000000"/>
                <w:kern w:val="0"/>
                <w:sz w:val="22"/>
                <w:szCs w:val="22"/>
              </w:rPr>
              <w:t xml:space="preserve">292.519 </w:t>
            </w:r>
          </w:p>
        </w:tc>
        <w:tc>
          <w:tcPr>
            <w:tcW w:w="572" w:type="pct"/>
            <w:vAlign w:val="center"/>
          </w:tcPr>
          <w:p w14:paraId="014978DA">
            <w:pPr>
              <w:pStyle w:val="159"/>
            </w:pPr>
            <w:r>
              <w:rPr>
                <w:color w:val="000000"/>
                <w:kern w:val="0"/>
                <w:sz w:val="22"/>
                <w:szCs w:val="22"/>
              </w:rPr>
              <w:t xml:space="preserve">341.086 </w:t>
            </w:r>
          </w:p>
        </w:tc>
        <w:tc>
          <w:tcPr>
            <w:tcW w:w="572" w:type="pct"/>
            <w:shd w:val="clear" w:color="auto" w:fill="auto"/>
            <w:noWrap/>
            <w:vAlign w:val="center"/>
          </w:tcPr>
          <w:p w14:paraId="3C766F19">
            <w:pPr>
              <w:pStyle w:val="159"/>
            </w:pPr>
            <w:r>
              <w:rPr>
                <w:color w:val="000000"/>
                <w:kern w:val="0"/>
                <w:sz w:val="22"/>
                <w:szCs w:val="22"/>
              </w:rPr>
              <w:t xml:space="preserve">2.163 </w:t>
            </w:r>
          </w:p>
        </w:tc>
        <w:tc>
          <w:tcPr>
            <w:tcW w:w="572" w:type="pct"/>
            <w:vAlign w:val="center"/>
          </w:tcPr>
          <w:p w14:paraId="3A6F3968">
            <w:pPr>
              <w:pStyle w:val="159"/>
            </w:pPr>
            <w:r>
              <w:rPr>
                <w:color w:val="000000"/>
                <w:kern w:val="0"/>
                <w:sz w:val="22"/>
                <w:szCs w:val="22"/>
              </w:rPr>
              <w:t xml:space="preserve">2.770 </w:t>
            </w:r>
          </w:p>
        </w:tc>
        <w:tc>
          <w:tcPr>
            <w:tcW w:w="569" w:type="pct"/>
            <w:vAlign w:val="center"/>
          </w:tcPr>
          <w:p w14:paraId="57FA2DE9">
            <w:pPr>
              <w:pStyle w:val="159"/>
            </w:pPr>
            <w:r>
              <w:rPr>
                <w:color w:val="000000"/>
                <w:kern w:val="0"/>
                <w:sz w:val="22"/>
                <w:szCs w:val="22"/>
              </w:rPr>
              <w:t xml:space="preserve">3.510 </w:t>
            </w:r>
          </w:p>
        </w:tc>
      </w:tr>
      <w:tr w14:paraId="3E0F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F2AE041">
            <w:pPr>
              <w:pStyle w:val="159"/>
            </w:pPr>
            <w:r>
              <w:t>13.3</w:t>
            </w:r>
          </w:p>
        </w:tc>
        <w:tc>
          <w:tcPr>
            <w:tcW w:w="771" w:type="pct"/>
            <w:vAlign w:val="center"/>
          </w:tcPr>
          <w:p w14:paraId="4AE9F042">
            <w:pPr>
              <w:pStyle w:val="159"/>
            </w:pPr>
            <w:r>
              <w:t>10</w:t>
            </w:r>
          </w:p>
        </w:tc>
        <w:tc>
          <w:tcPr>
            <w:tcW w:w="572" w:type="pct"/>
            <w:shd w:val="clear" w:color="auto" w:fill="auto"/>
            <w:noWrap/>
            <w:vAlign w:val="center"/>
          </w:tcPr>
          <w:p w14:paraId="0BB2FB3B">
            <w:pPr>
              <w:pStyle w:val="159"/>
            </w:pPr>
            <w:r>
              <w:rPr>
                <w:color w:val="000000"/>
                <w:kern w:val="0"/>
                <w:sz w:val="22"/>
                <w:szCs w:val="22"/>
              </w:rPr>
              <w:t xml:space="preserve">255.300 </w:t>
            </w:r>
          </w:p>
        </w:tc>
        <w:tc>
          <w:tcPr>
            <w:tcW w:w="572" w:type="pct"/>
            <w:vAlign w:val="center"/>
          </w:tcPr>
          <w:p w14:paraId="02A15AFA">
            <w:pPr>
              <w:pStyle w:val="159"/>
            </w:pPr>
            <w:r>
              <w:rPr>
                <w:color w:val="000000"/>
                <w:kern w:val="0"/>
                <w:sz w:val="22"/>
                <w:szCs w:val="22"/>
              </w:rPr>
              <w:t xml:space="preserve">278.400 </w:t>
            </w:r>
          </w:p>
        </w:tc>
        <w:tc>
          <w:tcPr>
            <w:tcW w:w="572" w:type="pct"/>
            <w:vAlign w:val="center"/>
          </w:tcPr>
          <w:p w14:paraId="7CC08E78">
            <w:pPr>
              <w:pStyle w:val="159"/>
            </w:pPr>
            <w:r>
              <w:rPr>
                <w:color w:val="000000"/>
                <w:kern w:val="0"/>
                <w:sz w:val="22"/>
                <w:szCs w:val="22"/>
              </w:rPr>
              <w:t xml:space="preserve">317.546 </w:t>
            </w:r>
          </w:p>
        </w:tc>
        <w:tc>
          <w:tcPr>
            <w:tcW w:w="572" w:type="pct"/>
            <w:shd w:val="clear" w:color="auto" w:fill="auto"/>
            <w:noWrap/>
            <w:vAlign w:val="center"/>
          </w:tcPr>
          <w:p w14:paraId="6C5CC572">
            <w:pPr>
              <w:pStyle w:val="159"/>
            </w:pPr>
            <w:r>
              <w:rPr>
                <w:color w:val="000000"/>
                <w:kern w:val="0"/>
                <w:sz w:val="22"/>
                <w:szCs w:val="22"/>
              </w:rPr>
              <w:t xml:space="preserve">2.043 </w:t>
            </w:r>
          </w:p>
        </w:tc>
        <w:tc>
          <w:tcPr>
            <w:tcW w:w="572" w:type="pct"/>
            <w:vAlign w:val="center"/>
          </w:tcPr>
          <w:p w14:paraId="36B003D9">
            <w:pPr>
              <w:pStyle w:val="159"/>
            </w:pPr>
            <w:r>
              <w:rPr>
                <w:color w:val="000000"/>
                <w:kern w:val="0"/>
                <w:sz w:val="22"/>
                <w:szCs w:val="22"/>
              </w:rPr>
              <w:t xml:space="preserve">2.581 </w:t>
            </w:r>
          </w:p>
        </w:tc>
        <w:tc>
          <w:tcPr>
            <w:tcW w:w="569" w:type="pct"/>
            <w:vAlign w:val="center"/>
          </w:tcPr>
          <w:p w14:paraId="19907F44">
            <w:pPr>
              <w:pStyle w:val="159"/>
            </w:pPr>
            <w:r>
              <w:rPr>
                <w:color w:val="000000"/>
                <w:kern w:val="0"/>
                <w:sz w:val="22"/>
                <w:szCs w:val="22"/>
              </w:rPr>
              <w:t xml:space="preserve">3.210 </w:t>
            </w:r>
          </w:p>
        </w:tc>
      </w:tr>
      <w:tr w14:paraId="4103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8163CF9">
            <w:pPr>
              <w:pStyle w:val="159"/>
            </w:pPr>
            <w:r>
              <w:t>14.3</w:t>
            </w:r>
          </w:p>
        </w:tc>
        <w:tc>
          <w:tcPr>
            <w:tcW w:w="771" w:type="pct"/>
            <w:vAlign w:val="center"/>
          </w:tcPr>
          <w:p w14:paraId="082E2461">
            <w:pPr>
              <w:pStyle w:val="159"/>
            </w:pPr>
            <w:r>
              <w:t>11</w:t>
            </w:r>
          </w:p>
        </w:tc>
        <w:tc>
          <w:tcPr>
            <w:tcW w:w="572" w:type="pct"/>
            <w:shd w:val="clear" w:color="auto" w:fill="auto"/>
            <w:noWrap/>
            <w:vAlign w:val="center"/>
          </w:tcPr>
          <w:p w14:paraId="6D3663E5">
            <w:pPr>
              <w:pStyle w:val="159"/>
            </w:pPr>
            <w:r>
              <w:rPr>
                <w:color w:val="000000"/>
                <w:kern w:val="0"/>
                <w:sz w:val="22"/>
                <w:szCs w:val="22"/>
              </w:rPr>
              <w:t xml:space="preserve">243.969 </w:t>
            </w:r>
          </w:p>
        </w:tc>
        <w:tc>
          <w:tcPr>
            <w:tcW w:w="572" w:type="pct"/>
            <w:vAlign w:val="center"/>
          </w:tcPr>
          <w:p w14:paraId="431133E8">
            <w:pPr>
              <w:pStyle w:val="159"/>
            </w:pPr>
            <w:r>
              <w:rPr>
                <w:color w:val="000000"/>
                <w:kern w:val="0"/>
                <w:sz w:val="22"/>
                <w:szCs w:val="22"/>
              </w:rPr>
              <w:t xml:space="preserve">263.651 </w:t>
            </w:r>
          </w:p>
        </w:tc>
        <w:tc>
          <w:tcPr>
            <w:tcW w:w="572" w:type="pct"/>
            <w:vAlign w:val="center"/>
          </w:tcPr>
          <w:p w14:paraId="19BD3300">
            <w:pPr>
              <w:pStyle w:val="159"/>
            </w:pPr>
            <w:r>
              <w:rPr>
                <w:color w:val="000000"/>
                <w:kern w:val="0"/>
                <w:sz w:val="22"/>
                <w:szCs w:val="22"/>
              </w:rPr>
              <w:t xml:space="preserve">294.900 </w:t>
            </w:r>
          </w:p>
        </w:tc>
        <w:tc>
          <w:tcPr>
            <w:tcW w:w="572" w:type="pct"/>
            <w:shd w:val="clear" w:color="auto" w:fill="auto"/>
            <w:noWrap/>
            <w:vAlign w:val="center"/>
          </w:tcPr>
          <w:p w14:paraId="5AA32D0B">
            <w:pPr>
              <w:pStyle w:val="159"/>
            </w:pPr>
            <w:r>
              <w:rPr>
                <w:color w:val="000000"/>
                <w:kern w:val="0"/>
                <w:sz w:val="22"/>
                <w:szCs w:val="22"/>
              </w:rPr>
              <w:t xml:space="preserve">1.928 </w:t>
            </w:r>
          </w:p>
        </w:tc>
        <w:tc>
          <w:tcPr>
            <w:tcW w:w="572" w:type="pct"/>
            <w:vAlign w:val="center"/>
          </w:tcPr>
          <w:p w14:paraId="64DA01E9">
            <w:pPr>
              <w:pStyle w:val="159"/>
            </w:pPr>
            <w:r>
              <w:rPr>
                <w:color w:val="000000"/>
                <w:kern w:val="0"/>
                <w:sz w:val="22"/>
                <w:szCs w:val="22"/>
              </w:rPr>
              <w:t xml:space="preserve">2.403 </w:t>
            </w:r>
          </w:p>
        </w:tc>
        <w:tc>
          <w:tcPr>
            <w:tcW w:w="569" w:type="pct"/>
            <w:vAlign w:val="center"/>
          </w:tcPr>
          <w:p w14:paraId="1A88435B">
            <w:pPr>
              <w:pStyle w:val="159"/>
            </w:pPr>
            <w:r>
              <w:rPr>
                <w:color w:val="000000"/>
                <w:kern w:val="0"/>
                <w:sz w:val="22"/>
                <w:szCs w:val="22"/>
              </w:rPr>
              <w:t xml:space="preserve">2.940 </w:t>
            </w:r>
          </w:p>
        </w:tc>
      </w:tr>
      <w:tr w14:paraId="5D46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4E76BAD3">
            <w:pPr>
              <w:pStyle w:val="159"/>
            </w:pPr>
            <w:r>
              <w:t>15.3</w:t>
            </w:r>
          </w:p>
        </w:tc>
        <w:tc>
          <w:tcPr>
            <w:tcW w:w="771" w:type="pct"/>
            <w:vAlign w:val="center"/>
          </w:tcPr>
          <w:p w14:paraId="3BEA0758">
            <w:pPr>
              <w:pStyle w:val="159"/>
            </w:pPr>
            <w:r>
              <w:t>12</w:t>
            </w:r>
          </w:p>
        </w:tc>
        <w:tc>
          <w:tcPr>
            <w:tcW w:w="572" w:type="pct"/>
            <w:shd w:val="clear" w:color="auto" w:fill="auto"/>
            <w:noWrap/>
            <w:vAlign w:val="center"/>
          </w:tcPr>
          <w:p w14:paraId="1C289AE1">
            <w:pPr>
              <w:pStyle w:val="159"/>
            </w:pPr>
            <w:r>
              <w:rPr>
                <w:color w:val="000000"/>
                <w:kern w:val="0"/>
                <w:sz w:val="22"/>
                <w:szCs w:val="22"/>
              </w:rPr>
              <w:t xml:space="preserve">231.956 </w:t>
            </w:r>
          </w:p>
        </w:tc>
        <w:tc>
          <w:tcPr>
            <w:tcW w:w="572" w:type="pct"/>
            <w:vAlign w:val="center"/>
          </w:tcPr>
          <w:p w14:paraId="754D162D">
            <w:pPr>
              <w:pStyle w:val="159"/>
            </w:pPr>
            <w:r>
              <w:rPr>
                <w:color w:val="000000"/>
                <w:kern w:val="0"/>
                <w:sz w:val="22"/>
                <w:szCs w:val="22"/>
              </w:rPr>
              <w:t xml:space="preserve">248.664 </w:t>
            </w:r>
          </w:p>
        </w:tc>
        <w:tc>
          <w:tcPr>
            <w:tcW w:w="572" w:type="pct"/>
            <w:vAlign w:val="center"/>
          </w:tcPr>
          <w:p w14:paraId="458D3FF3">
            <w:pPr>
              <w:pStyle w:val="159"/>
            </w:pPr>
            <w:r>
              <w:rPr>
                <w:color w:val="000000"/>
                <w:kern w:val="0"/>
                <w:sz w:val="22"/>
                <w:szCs w:val="22"/>
              </w:rPr>
              <w:t xml:space="preserve">273.394 </w:t>
            </w:r>
          </w:p>
        </w:tc>
        <w:tc>
          <w:tcPr>
            <w:tcW w:w="572" w:type="pct"/>
            <w:shd w:val="clear" w:color="auto" w:fill="auto"/>
            <w:noWrap/>
            <w:vAlign w:val="center"/>
          </w:tcPr>
          <w:p w14:paraId="5CCA7065">
            <w:pPr>
              <w:pStyle w:val="159"/>
            </w:pPr>
            <w:r>
              <w:rPr>
                <w:color w:val="000000"/>
                <w:kern w:val="0"/>
                <w:sz w:val="22"/>
                <w:szCs w:val="22"/>
              </w:rPr>
              <w:t xml:space="preserve">1.819 </w:t>
            </w:r>
          </w:p>
        </w:tc>
        <w:tc>
          <w:tcPr>
            <w:tcW w:w="572" w:type="pct"/>
            <w:vAlign w:val="center"/>
          </w:tcPr>
          <w:p w14:paraId="70F05EBF">
            <w:pPr>
              <w:pStyle w:val="159"/>
            </w:pPr>
            <w:r>
              <w:rPr>
                <w:color w:val="000000"/>
                <w:kern w:val="0"/>
                <w:sz w:val="22"/>
                <w:szCs w:val="22"/>
              </w:rPr>
              <w:t xml:space="preserve">2.239 </w:t>
            </w:r>
          </w:p>
        </w:tc>
        <w:tc>
          <w:tcPr>
            <w:tcW w:w="569" w:type="pct"/>
            <w:vAlign w:val="center"/>
          </w:tcPr>
          <w:p w14:paraId="506FAB97">
            <w:pPr>
              <w:pStyle w:val="159"/>
            </w:pPr>
            <w:r>
              <w:rPr>
                <w:color w:val="000000"/>
                <w:kern w:val="0"/>
                <w:sz w:val="22"/>
                <w:szCs w:val="22"/>
              </w:rPr>
              <w:t xml:space="preserve">2.696 </w:t>
            </w:r>
          </w:p>
        </w:tc>
      </w:tr>
      <w:tr w14:paraId="7DA8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CFC3C10">
            <w:pPr>
              <w:pStyle w:val="159"/>
            </w:pPr>
            <w:r>
              <w:t>16.3</w:t>
            </w:r>
          </w:p>
        </w:tc>
        <w:tc>
          <w:tcPr>
            <w:tcW w:w="771" w:type="pct"/>
            <w:vAlign w:val="center"/>
          </w:tcPr>
          <w:p w14:paraId="73993994">
            <w:pPr>
              <w:pStyle w:val="159"/>
            </w:pPr>
            <w:r>
              <w:t>13</w:t>
            </w:r>
          </w:p>
        </w:tc>
        <w:tc>
          <w:tcPr>
            <w:tcW w:w="572" w:type="pct"/>
            <w:shd w:val="clear" w:color="auto" w:fill="auto"/>
            <w:noWrap/>
            <w:vAlign w:val="center"/>
          </w:tcPr>
          <w:p w14:paraId="5842E810">
            <w:pPr>
              <w:pStyle w:val="159"/>
            </w:pPr>
            <w:r>
              <w:rPr>
                <w:color w:val="000000"/>
                <w:kern w:val="0"/>
                <w:sz w:val="22"/>
                <w:szCs w:val="22"/>
              </w:rPr>
              <w:t xml:space="preserve">219.605 </w:t>
            </w:r>
          </w:p>
        </w:tc>
        <w:tc>
          <w:tcPr>
            <w:tcW w:w="572" w:type="pct"/>
            <w:vAlign w:val="center"/>
          </w:tcPr>
          <w:p w14:paraId="48834A38">
            <w:pPr>
              <w:pStyle w:val="159"/>
            </w:pPr>
            <w:r>
              <w:rPr>
                <w:color w:val="000000"/>
                <w:kern w:val="0"/>
                <w:sz w:val="22"/>
                <w:szCs w:val="22"/>
              </w:rPr>
              <w:t xml:space="preserve">233.754 </w:t>
            </w:r>
          </w:p>
        </w:tc>
        <w:tc>
          <w:tcPr>
            <w:tcW w:w="572" w:type="pct"/>
            <w:vAlign w:val="center"/>
          </w:tcPr>
          <w:p w14:paraId="2E67935E">
            <w:pPr>
              <w:pStyle w:val="159"/>
            </w:pPr>
            <w:r>
              <w:rPr>
                <w:color w:val="000000"/>
                <w:kern w:val="0"/>
                <w:sz w:val="22"/>
                <w:szCs w:val="22"/>
              </w:rPr>
              <w:t xml:space="preserve">253.168 </w:t>
            </w:r>
          </w:p>
        </w:tc>
        <w:tc>
          <w:tcPr>
            <w:tcW w:w="572" w:type="pct"/>
            <w:shd w:val="clear" w:color="auto" w:fill="auto"/>
            <w:noWrap/>
            <w:vAlign w:val="center"/>
          </w:tcPr>
          <w:p w14:paraId="19CD8D0D">
            <w:pPr>
              <w:pStyle w:val="159"/>
            </w:pPr>
            <w:r>
              <w:rPr>
                <w:color w:val="000000"/>
                <w:kern w:val="0"/>
                <w:sz w:val="22"/>
                <w:szCs w:val="22"/>
              </w:rPr>
              <w:t xml:space="preserve">1.715 </w:t>
            </w:r>
          </w:p>
        </w:tc>
        <w:tc>
          <w:tcPr>
            <w:tcW w:w="572" w:type="pct"/>
            <w:vAlign w:val="center"/>
          </w:tcPr>
          <w:p w14:paraId="31BE5931">
            <w:pPr>
              <w:pStyle w:val="159"/>
            </w:pPr>
            <w:r>
              <w:rPr>
                <w:color w:val="000000"/>
                <w:kern w:val="0"/>
                <w:sz w:val="22"/>
                <w:szCs w:val="22"/>
              </w:rPr>
              <w:t xml:space="preserve">2.086 </w:t>
            </w:r>
          </w:p>
        </w:tc>
        <w:tc>
          <w:tcPr>
            <w:tcW w:w="569" w:type="pct"/>
            <w:vAlign w:val="center"/>
          </w:tcPr>
          <w:p w14:paraId="6E7072EE">
            <w:pPr>
              <w:pStyle w:val="159"/>
            </w:pPr>
            <w:r>
              <w:rPr>
                <w:color w:val="000000"/>
                <w:kern w:val="0"/>
                <w:sz w:val="22"/>
                <w:szCs w:val="22"/>
              </w:rPr>
              <w:t xml:space="preserve">2.476 </w:t>
            </w:r>
          </w:p>
        </w:tc>
      </w:tr>
      <w:tr w14:paraId="5E02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1C1221F">
            <w:pPr>
              <w:pStyle w:val="159"/>
            </w:pPr>
            <w:r>
              <w:t>17.3</w:t>
            </w:r>
          </w:p>
        </w:tc>
        <w:tc>
          <w:tcPr>
            <w:tcW w:w="771" w:type="pct"/>
            <w:vAlign w:val="center"/>
          </w:tcPr>
          <w:p w14:paraId="7946E888">
            <w:pPr>
              <w:pStyle w:val="159"/>
            </w:pPr>
            <w:r>
              <w:t>14</w:t>
            </w:r>
          </w:p>
        </w:tc>
        <w:tc>
          <w:tcPr>
            <w:tcW w:w="572" w:type="pct"/>
            <w:shd w:val="clear" w:color="auto" w:fill="auto"/>
            <w:noWrap/>
            <w:vAlign w:val="center"/>
          </w:tcPr>
          <w:p w14:paraId="3053B17A">
            <w:pPr>
              <w:pStyle w:val="159"/>
            </w:pPr>
            <w:r>
              <w:rPr>
                <w:color w:val="000000"/>
                <w:kern w:val="0"/>
                <w:sz w:val="22"/>
                <w:szCs w:val="22"/>
              </w:rPr>
              <w:t xml:space="preserve">207.195 </w:t>
            </w:r>
          </w:p>
        </w:tc>
        <w:tc>
          <w:tcPr>
            <w:tcW w:w="572" w:type="pct"/>
            <w:vAlign w:val="center"/>
          </w:tcPr>
          <w:p w14:paraId="2B911E6E">
            <w:pPr>
              <w:pStyle w:val="159"/>
            </w:pPr>
            <w:r>
              <w:rPr>
                <w:color w:val="000000"/>
                <w:kern w:val="0"/>
                <w:sz w:val="22"/>
                <w:szCs w:val="22"/>
              </w:rPr>
              <w:t xml:space="preserve">219.166 </w:t>
            </w:r>
          </w:p>
        </w:tc>
        <w:tc>
          <w:tcPr>
            <w:tcW w:w="572" w:type="pct"/>
            <w:vAlign w:val="center"/>
          </w:tcPr>
          <w:p w14:paraId="05E4C9E2">
            <w:pPr>
              <w:pStyle w:val="159"/>
            </w:pPr>
            <w:r>
              <w:rPr>
                <w:color w:val="000000"/>
                <w:kern w:val="0"/>
                <w:sz w:val="22"/>
                <w:szCs w:val="22"/>
              </w:rPr>
              <w:t xml:space="preserve">234.289 </w:t>
            </w:r>
          </w:p>
        </w:tc>
        <w:tc>
          <w:tcPr>
            <w:tcW w:w="572" w:type="pct"/>
            <w:shd w:val="clear" w:color="auto" w:fill="auto"/>
            <w:noWrap/>
            <w:vAlign w:val="center"/>
          </w:tcPr>
          <w:p w14:paraId="15CC69C4">
            <w:pPr>
              <w:pStyle w:val="159"/>
            </w:pPr>
            <w:r>
              <w:rPr>
                <w:color w:val="000000"/>
                <w:kern w:val="0"/>
                <w:sz w:val="22"/>
                <w:szCs w:val="22"/>
              </w:rPr>
              <w:t xml:space="preserve">1.617 </w:t>
            </w:r>
          </w:p>
        </w:tc>
        <w:tc>
          <w:tcPr>
            <w:tcW w:w="572" w:type="pct"/>
            <w:vAlign w:val="center"/>
          </w:tcPr>
          <w:p w14:paraId="2D58776C">
            <w:pPr>
              <w:pStyle w:val="159"/>
            </w:pPr>
            <w:r>
              <w:rPr>
                <w:color w:val="000000"/>
                <w:kern w:val="0"/>
                <w:sz w:val="22"/>
                <w:szCs w:val="22"/>
              </w:rPr>
              <w:t xml:space="preserve">1.945 </w:t>
            </w:r>
          </w:p>
        </w:tc>
        <w:tc>
          <w:tcPr>
            <w:tcW w:w="569" w:type="pct"/>
            <w:vAlign w:val="center"/>
          </w:tcPr>
          <w:p w14:paraId="35EA3E61">
            <w:pPr>
              <w:pStyle w:val="159"/>
            </w:pPr>
            <w:r>
              <w:rPr>
                <w:color w:val="000000"/>
                <w:kern w:val="0"/>
                <w:sz w:val="22"/>
                <w:szCs w:val="22"/>
              </w:rPr>
              <w:t xml:space="preserve">2.279 </w:t>
            </w:r>
          </w:p>
        </w:tc>
      </w:tr>
      <w:tr w14:paraId="3592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A3250F1">
            <w:pPr>
              <w:pStyle w:val="159"/>
            </w:pPr>
            <w:r>
              <w:t>18.3</w:t>
            </w:r>
          </w:p>
        </w:tc>
        <w:tc>
          <w:tcPr>
            <w:tcW w:w="771" w:type="pct"/>
            <w:vAlign w:val="center"/>
          </w:tcPr>
          <w:p w14:paraId="1757E0CE">
            <w:pPr>
              <w:pStyle w:val="159"/>
            </w:pPr>
            <w:r>
              <w:t>15</w:t>
            </w:r>
          </w:p>
        </w:tc>
        <w:tc>
          <w:tcPr>
            <w:tcW w:w="572" w:type="pct"/>
            <w:shd w:val="clear" w:color="auto" w:fill="auto"/>
            <w:noWrap/>
            <w:vAlign w:val="center"/>
          </w:tcPr>
          <w:p w14:paraId="2157FB9B">
            <w:pPr>
              <w:pStyle w:val="159"/>
            </w:pPr>
            <w:r>
              <w:rPr>
                <w:color w:val="000000"/>
                <w:kern w:val="0"/>
                <w:sz w:val="22"/>
                <w:szCs w:val="22"/>
              </w:rPr>
              <w:t xml:space="preserve">194.950 </w:t>
            </w:r>
          </w:p>
        </w:tc>
        <w:tc>
          <w:tcPr>
            <w:tcW w:w="572" w:type="pct"/>
            <w:vAlign w:val="center"/>
          </w:tcPr>
          <w:p w14:paraId="060161C2">
            <w:pPr>
              <w:pStyle w:val="159"/>
            </w:pPr>
            <w:r>
              <w:rPr>
                <w:color w:val="000000"/>
                <w:kern w:val="0"/>
                <w:sz w:val="22"/>
                <w:szCs w:val="22"/>
              </w:rPr>
              <w:t xml:space="preserve">205.077 </w:t>
            </w:r>
          </w:p>
        </w:tc>
        <w:tc>
          <w:tcPr>
            <w:tcW w:w="572" w:type="pct"/>
            <w:vAlign w:val="center"/>
          </w:tcPr>
          <w:p w14:paraId="61DD1CFE">
            <w:pPr>
              <w:pStyle w:val="159"/>
            </w:pPr>
            <w:r>
              <w:rPr>
                <w:color w:val="000000"/>
                <w:kern w:val="0"/>
                <w:sz w:val="22"/>
                <w:szCs w:val="22"/>
              </w:rPr>
              <w:t xml:space="preserve">216.766 </w:t>
            </w:r>
          </w:p>
        </w:tc>
        <w:tc>
          <w:tcPr>
            <w:tcW w:w="572" w:type="pct"/>
            <w:shd w:val="clear" w:color="auto" w:fill="auto"/>
            <w:noWrap/>
            <w:vAlign w:val="center"/>
          </w:tcPr>
          <w:p w14:paraId="475C28B3">
            <w:pPr>
              <w:pStyle w:val="159"/>
            </w:pPr>
            <w:r>
              <w:rPr>
                <w:color w:val="000000"/>
                <w:kern w:val="0"/>
                <w:sz w:val="22"/>
                <w:szCs w:val="22"/>
              </w:rPr>
              <w:t xml:space="preserve">1.525 </w:t>
            </w:r>
          </w:p>
        </w:tc>
        <w:tc>
          <w:tcPr>
            <w:tcW w:w="572" w:type="pct"/>
            <w:vAlign w:val="center"/>
          </w:tcPr>
          <w:p w14:paraId="6DF098A2">
            <w:pPr>
              <w:pStyle w:val="159"/>
            </w:pPr>
            <w:r>
              <w:rPr>
                <w:color w:val="000000"/>
                <w:kern w:val="0"/>
                <w:sz w:val="22"/>
                <w:szCs w:val="22"/>
              </w:rPr>
              <w:t xml:space="preserve">1.815 </w:t>
            </w:r>
          </w:p>
        </w:tc>
        <w:tc>
          <w:tcPr>
            <w:tcW w:w="569" w:type="pct"/>
            <w:vAlign w:val="center"/>
          </w:tcPr>
          <w:p w14:paraId="421C7709">
            <w:pPr>
              <w:pStyle w:val="159"/>
            </w:pPr>
            <w:r>
              <w:rPr>
                <w:color w:val="000000"/>
                <w:kern w:val="0"/>
                <w:sz w:val="22"/>
                <w:szCs w:val="22"/>
              </w:rPr>
              <w:t xml:space="preserve">2.102 </w:t>
            </w:r>
          </w:p>
        </w:tc>
      </w:tr>
      <w:tr w14:paraId="0D85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431A504E">
            <w:pPr>
              <w:pStyle w:val="159"/>
            </w:pPr>
            <w:r>
              <w:t>19.3</w:t>
            </w:r>
          </w:p>
        </w:tc>
        <w:tc>
          <w:tcPr>
            <w:tcW w:w="771" w:type="pct"/>
            <w:vAlign w:val="center"/>
          </w:tcPr>
          <w:p w14:paraId="6387A3C4">
            <w:pPr>
              <w:pStyle w:val="159"/>
            </w:pPr>
            <w:r>
              <w:t>16</w:t>
            </w:r>
          </w:p>
        </w:tc>
        <w:tc>
          <w:tcPr>
            <w:tcW w:w="572" w:type="pct"/>
            <w:shd w:val="clear" w:color="auto" w:fill="auto"/>
            <w:noWrap/>
            <w:vAlign w:val="center"/>
          </w:tcPr>
          <w:p w14:paraId="65A27177">
            <w:pPr>
              <w:pStyle w:val="159"/>
            </w:pPr>
            <w:r>
              <w:rPr>
                <w:color w:val="000000"/>
                <w:kern w:val="0"/>
                <w:sz w:val="22"/>
                <w:szCs w:val="22"/>
              </w:rPr>
              <w:t xml:space="preserve">183.034 </w:t>
            </w:r>
          </w:p>
        </w:tc>
        <w:tc>
          <w:tcPr>
            <w:tcW w:w="572" w:type="pct"/>
            <w:vAlign w:val="center"/>
          </w:tcPr>
          <w:p w14:paraId="45B02EEF">
            <w:pPr>
              <w:pStyle w:val="159"/>
            </w:pPr>
            <w:r>
              <w:rPr>
                <w:color w:val="000000"/>
                <w:kern w:val="0"/>
                <w:sz w:val="22"/>
                <w:szCs w:val="22"/>
              </w:rPr>
              <w:t xml:space="preserve">191.612 </w:t>
            </w:r>
          </w:p>
        </w:tc>
        <w:tc>
          <w:tcPr>
            <w:tcW w:w="572" w:type="pct"/>
            <w:vAlign w:val="center"/>
          </w:tcPr>
          <w:p w14:paraId="04B85B05">
            <w:pPr>
              <w:pStyle w:val="159"/>
            </w:pPr>
            <w:r>
              <w:rPr>
                <w:color w:val="000000"/>
                <w:kern w:val="0"/>
                <w:sz w:val="22"/>
                <w:szCs w:val="22"/>
              </w:rPr>
              <w:t xml:space="preserve">200.573 </w:t>
            </w:r>
          </w:p>
        </w:tc>
        <w:tc>
          <w:tcPr>
            <w:tcW w:w="572" w:type="pct"/>
            <w:shd w:val="clear" w:color="auto" w:fill="auto"/>
            <w:noWrap/>
            <w:vAlign w:val="center"/>
          </w:tcPr>
          <w:p w14:paraId="23E7C536">
            <w:pPr>
              <w:pStyle w:val="159"/>
            </w:pPr>
            <w:r>
              <w:rPr>
                <w:color w:val="000000"/>
                <w:kern w:val="0"/>
                <w:sz w:val="22"/>
                <w:szCs w:val="22"/>
              </w:rPr>
              <w:t xml:space="preserve">1.439 </w:t>
            </w:r>
          </w:p>
        </w:tc>
        <w:tc>
          <w:tcPr>
            <w:tcW w:w="572" w:type="pct"/>
            <w:vAlign w:val="center"/>
          </w:tcPr>
          <w:p w14:paraId="63A3212D">
            <w:pPr>
              <w:pStyle w:val="159"/>
            </w:pPr>
            <w:r>
              <w:rPr>
                <w:color w:val="000000"/>
                <w:kern w:val="0"/>
                <w:sz w:val="22"/>
                <w:szCs w:val="22"/>
              </w:rPr>
              <w:t xml:space="preserve">1.695 </w:t>
            </w:r>
          </w:p>
        </w:tc>
        <w:tc>
          <w:tcPr>
            <w:tcW w:w="569" w:type="pct"/>
            <w:vAlign w:val="center"/>
          </w:tcPr>
          <w:p w14:paraId="043CA6A6">
            <w:pPr>
              <w:pStyle w:val="159"/>
            </w:pPr>
            <w:r>
              <w:rPr>
                <w:color w:val="000000"/>
                <w:kern w:val="0"/>
                <w:sz w:val="22"/>
                <w:szCs w:val="22"/>
              </w:rPr>
              <w:t xml:space="preserve">1.943 </w:t>
            </w:r>
          </w:p>
        </w:tc>
      </w:tr>
      <w:tr w14:paraId="2B80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59CF7AB">
            <w:pPr>
              <w:pStyle w:val="159"/>
            </w:pPr>
            <w:r>
              <w:t>20.3</w:t>
            </w:r>
          </w:p>
        </w:tc>
        <w:tc>
          <w:tcPr>
            <w:tcW w:w="771" w:type="pct"/>
            <w:vAlign w:val="center"/>
          </w:tcPr>
          <w:p w14:paraId="01D630B1">
            <w:pPr>
              <w:pStyle w:val="159"/>
            </w:pPr>
            <w:r>
              <w:t>17</w:t>
            </w:r>
          </w:p>
        </w:tc>
        <w:tc>
          <w:tcPr>
            <w:tcW w:w="572" w:type="pct"/>
            <w:shd w:val="clear" w:color="auto" w:fill="auto"/>
            <w:noWrap/>
            <w:vAlign w:val="center"/>
          </w:tcPr>
          <w:p w14:paraId="1116BA6A">
            <w:pPr>
              <w:pStyle w:val="159"/>
            </w:pPr>
            <w:r>
              <w:rPr>
                <w:color w:val="000000"/>
                <w:kern w:val="0"/>
                <w:sz w:val="22"/>
                <w:szCs w:val="22"/>
              </w:rPr>
              <w:t xml:space="preserve">171.568 </w:t>
            </w:r>
          </w:p>
        </w:tc>
        <w:tc>
          <w:tcPr>
            <w:tcW w:w="572" w:type="pct"/>
            <w:vAlign w:val="center"/>
          </w:tcPr>
          <w:p w14:paraId="53008CE8">
            <w:pPr>
              <w:pStyle w:val="159"/>
            </w:pPr>
            <w:r>
              <w:rPr>
                <w:color w:val="000000"/>
                <w:kern w:val="0"/>
                <w:sz w:val="22"/>
                <w:szCs w:val="22"/>
              </w:rPr>
              <w:t xml:space="preserve">178.848 </w:t>
            </w:r>
          </w:p>
        </w:tc>
        <w:tc>
          <w:tcPr>
            <w:tcW w:w="572" w:type="pct"/>
            <w:vAlign w:val="center"/>
          </w:tcPr>
          <w:p w14:paraId="232946DA">
            <w:pPr>
              <w:pStyle w:val="159"/>
            </w:pPr>
            <w:r>
              <w:rPr>
                <w:color w:val="000000"/>
                <w:kern w:val="0"/>
                <w:sz w:val="22"/>
                <w:szCs w:val="22"/>
              </w:rPr>
              <w:t xml:space="preserve">185.656 </w:t>
            </w:r>
          </w:p>
        </w:tc>
        <w:tc>
          <w:tcPr>
            <w:tcW w:w="572" w:type="pct"/>
            <w:shd w:val="clear" w:color="auto" w:fill="auto"/>
            <w:noWrap/>
            <w:vAlign w:val="center"/>
          </w:tcPr>
          <w:p w14:paraId="2FFA2C42">
            <w:pPr>
              <w:pStyle w:val="159"/>
            </w:pPr>
            <w:r>
              <w:rPr>
                <w:color w:val="000000"/>
                <w:kern w:val="0"/>
                <w:sz w:val="22"/>
                <w:szCs w:val="22"/>
              </w:rPr>
              <w:t xml:space="preserve">1.358 </w:t>
            </w:r>
          </w:p>
        </w:tc>
        <w:tc>
          <w:tcPr>
            <w:tcW w:w="572" w:type="pct"/>
            <w:vAlign w:val="center"/>
          </w:tcPr>
          <w:p w14:paraId="76EEA4C7">
            <w:pPr>
              <w:pStyle w:val="159"/>
            </w:pPr>
            <w:r>
              <w:rPr>
                <w:color w:val="000000"/>
                <w:kern w:val="0"/>
                <w:sz w:val="22"/>
                <w:szCs w:val="22"/>
              </w:rPr>
              <w:t xml:space="preserve">1.586 </w:t>
            </w:r>
          </w:p>
        </w:tc>
        <w:tc>
          <w:tcPr>
            <w:tcW w:w="569" w:type="pct"/>
            <w:vAlign w:val="center"/>
          </w:tcPr>
          <w:p w14:paraId="3C346FDD">
            <w:pPr>
              <w:pStyle w:val="159"/>
            </w:pPr>
            <w:r>
              <w:rPr>
                <w:color w:val="000000"/>
                <w:kern w:val="0"/>
                <w:sz w:val="22"/>
                <w:szCs w:val="22"/>
              </w:rPr>
              <w:t xml:space="preserve">1.800 </w:t>
            </w:r>
          </w:p>
        </w:tc>
      </w:tr>
      <w:tr w14:paraId="6F5D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02E709CD">
            <w:pPr>
              <w:pStyle w:val="159"/>
            </w:pPr>
            <w:r>
              <w:t>21.3</w:t>
            </w:r>
          </w:p>
        </w:tc>
        <w:tc>
          <w:tcPr>
            <w:tcW w:w="771" w:type="pct"/>
            <w:vAlign w:val="center"/>
          </w:tcPr>
          <w:p w14:paraId="746FBB83">
            <w:pPr>
              <w:pStyle w:val="159"/>
            </w:pPr>
            <w:r>
              <w:t>18</w:t>
            </w:r>
          </w:p>
        </w:tc>
        <w:tc>
          <w:tcPr>
            <w:tcW w:w="572" w:type="pct"/>
            <w:shd w:val="clear" w:color="auto" w:fill="auto"/>
            <w:noWrap/>
            <w:vAlign w:val="center"/>
          </w:tcPr>
          <w:p w14:paraId="7D7979B7">
            <w:pPr>
              <w:pStyle w:val="159"/>
            </w:pPr>
            <w:r>
              <w:rPr>
                <w:color w:val="000000"/>
                <w:kern w:val="0"/>
                <w:sz w:val="22"/>
                <w:szCs w:val="22"/>
              </w:rPr>
              <w:t xml:space="preserve">160.632 </w:t>
            </w:r>
          </w:p>
        </w:tc>
        <w:tc>
          <w:tcPr>
            <w:tcW w:w="572" w:type="pct"/>
            <w:vAlign w:val="center"/>
          </w:tcPr>
          <w:p w14:paraId="1744DEC7">
            <w:pPr>
              <w:pStyle w:val="159"/>
            </w:pPr>
            <w:r>
              <w:rPr>
                <w:color w:val="000000"/>
                <w:kern w:val="0"/>
                <w:sz w:val="22"/>
                <w:szCs w:val="22"/>
              </w:rPr>
              <w:t xml:space="preserve">166.828 </w:t>
            </w:r>
          </w:p>
        </w:tc>
        <w:tc>
          <w:tcPr>
            <w:tcW w:w="572" w:type="pct"/>
            <w:vAlign w:val="center"/>
          </w:tcPr>
          <w:p w14:paraId="06386250">
            <w:pPr>
              <w:pStyle w:val="159"/>
            </w:pPr>
            <w:r>
              <w:rPr>
                <w:color w:val="000000"/>
                <w:kern w:val="0"/>
                <w:sz w:val="22"/>
                <w:szCs w:val="22"/>
              </w:rPr>
              <w:t xml:space="preserve">171.945 </w:t>
            </w:r>
          </w:p>
        </w:tc>
        <w:tc>
          <w:tcPr>
            <w:tcW w:w="572" w:type="pct"/>
            <w:shd w:val="clear" w:color="auto" w:fill="auto"/>
            <w:noWrap/>
            <w:vAlign w:val="center"/>
          </w:tcPr>
          <w:p w14:paraId="383F4C41">
            <w:pPr>
              <w:pStyle w:val="159"/>
            </w:pPr>
            <w:r>
              <w:rPr>
                <w:color w:val="000000"/>
                <w:kern w:val="0"/>
                <w:sz w:val="22"/>
                <w:szCs w:val="22"/>
              </w:rPr>
              <w:t xml:space="preserve">1.283 </w:t>
            </w:r>
          </w:p>
        </w:tc>
        <w:tc>
          <w:tcPr>
            <w:tcW w:w="572" w:type="pct"/>
            <w:vAlign w:val="center"/>
          </w:tcPr>
          <w:p w14:paraId="54925096">
            <w:pPr>
              <w:pStyle w:val="159"/>
            </w:pPr>
            <w:r>
              <w:rPr>
                <w:color w:val="000000"/>
                <w:kern w:val="0"/>
                <w:sz w:val="22"/>
                <w:szCs w:val="22"/>
              </w:rPr>
              <w:t xml:space="preserve">1.485 </w:t>
            </w:r>
          </w:p>
        </w:tc>
        <w:tc>
          <w:tcPr>
            <w:tcW w:w="569" w:type="pct"/>
            <w:vAlign w:val="center"/>
          </w:tcPr>
          <w:p w14:paraId="0C2A7DBC">
            <w:pPr>
              <w:pStyle w:val="159"/>
            </w:pPr>
            <w:r>
              <w:rPr>
                <w:color w:val="000000"/>
                <w:kern w:val="0"/>
                <w:sz w:val="22"/>
                <w:szCs w:val="22"/>
              </w:rPr>
              <w:t xml:space="preserve">1.670 </w:t>
            </w:r>
          </w:p>
        </w:tc>
      </w:tr>
      <w:tr w14:paraId="2484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64A0056A">
            <w:pPr>
              <w:pStyle w:val="159"/>
            </w:pPr>
            <w:r>
              <w:t>22.3</w:t>
            </w:r>
          </w:p>
        </w:tc>
        <w:tc>
          <w:tcPr>
            <w:tcW w:w="771" w:type="pct"/>
            <w:vAlign w:val="center"/>
          </w:tcPr>
          <w:p w14:paraId="69FCABEA">
            <w:pPr>
              <w:pStyle w:val="159"/>
            </w:pPr>
            <w:r>
              <w:t>19</w:t>
            </w:r>
          </w:p>
        </w:tc>
        <w:tc>
          <w:tcPr>
            <w:tcW w:w="572" w:type="pct"/>
            <w:shd w:val="clear" w:color="auto" w:fill="auto"/>
            <w:noWrap/>
            <w:vAlign w:val="center"/>
          </w:tcPr>
          <w:p w14:paraId="1D5C2C3E">
            <w:pPr>
              <w:pStyle w:val="159"/>
            </w:pPr>
            <w:r>
              <w:rPr>
                <w:color w:val="000000"/>
                <w:kern w:val="0"/>
                <w:sz w:val="22"/>
                <w:szCs w:val="22"/>
              </w:rPr>
              <w:t xml:space="preserve">150.278 </w:t>
            </w:r>
          </w:p>
        </w:tc>
        <w:tc>
          <w:tcPr>
            <w:tcW w:w="572" w:type="pct"/>
            <w:vAlign w:val="center"/>
          </w:tcPr>
          <w:p w14:paraId="0824F850">
            <w:pPr>
              <w:pStyle w:val="159"/>
            </w:pPr>
            <w:r>
              <w:rPr>
                <w:color w:val="000000"/>
                <w:kern w:val="0"/>
                <w:sz w:val="22"/>
                <w:szCs w:val="22"/>
              </w:rPr>
              <w:t xml:space="preserve">155.568 </w:t>
            </w:r>
          </w:p>
        </w:tc>
        <w:tc>
          <w:tcPr>
            <w:tcW w:w="572" w:type="pct"/>
            <w:vAlign w:val="center"/>
          </w:tcPr>
          <w:p w14:paraId="3EC9E270">
            <w:pPr>
              <w:pStyle w:val="159"/>
            </w:pPr>
            <w:r>
              <w:rPr>
                <w:color w:val="000000"/>
                <w:kern w:val="0"/>
                <w:sz w:val="22"/>
                <w:szCs w:val="22"/>
              </w:rPr>
              <w:t xml:space="preserve">159.364 </w:t>
            </w:r>
          </w:p>
        </w:tc>
        <w:tc>
          <w:tcPr>
            <w:tcW w:w="572" w:type="pct"/>
            <w:shd w:val="clear" w:color="auto" w:fill="auto"/>
            <w:noWrap/>
            <w:vAlign w:val="center"/>
          </w:tcPr>
          <w:p w14:paraId="741A0024">
            <w:pPr>
              <w:pStyle w:val="159"/>
            </w:pPr>
            <w:r>
              <w:rPr>
                <w:color w:val="000000"/>
                <w:kern w:val="0"/>
                <w:sz w:val="22"/>
                <w:szCs w:val="22"/>
              </w:rPr>
              <w:t xml:space="preserve">1.212 </w:t>
            </w:r>
          </w:p>
        </w:tc>
        <w:tc>
          <w:tcPr>
            <w:tcW w:w="572" w:type="pct"/>
            <w:vAlign w:val="center"/>
          </w:tcPr>
          <w:p w14:paraId="3D80CE00">
            <w:pPr>
              <w:pStyle w:val="159"/>
            </w:pPr>
            <w:r>
              <w:rPr>
                <w:color w:val="000000"/>
                <w:kern w:val="0"/>
                <w:sz w:val="22"/>
                <w:szCs w:val="22"/>
              </w:rPr>
              <w:t xml:space="preserve">1.392 </w:t>
            </w:r>
          </w:p>
        </w:tc>
        <w:tc>
          <w:tcPr>
            <w:tcW w:w="569" w:type="pct"/>
            <w:vAlign w:val="center"/>
          </w:tcPr>
          <w:p w14:paraId="116B9D2F">
            <w:pPr>
              <w:pStyle w:val="159"/>
            </w:pPr>
            <w:r>
              <w:rPr>
                <w:color w:val="000000"/>
                <w:kern w:val="0"/>
                <w:sz w:val="22"/>
                <w:szCs w:val="22"/>
              </w:rPr>
              <w:t xml:space="preserve">1.553 </w:t>
            </w:r>
          </w:p>
        </w:tc>
      </w:tr>
      <w:tr w14:paraId="6C22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0459C1EA">
            <w:pPr>
              <w:pStyle w:val="159"/>
            </w:pPr>
            <w:r>
              <w:t>23.3</w:t>
            </w:r>
          </w:p>
        </w:tc>
        <w:tc>
          <w:tcPr>
            <w:tcW w:w="771" w:type="pct"/>
            <w:vAlign w:val="center"/>
          </w:tcPr>
          <w:p w14:paraId="0270CE3B">
            <w:pPr>
              <w:pStyle w:val="159"/>
            </w:pPr>
            <w:r>
              <w:t>20</w:t>
            </w:r>
          </w:p>
        </w:tc>
        <w:tc>
          <w:tcPr>
            <w:tcW w:w="572" w:type="pct"/>
            <w:shd w:val="clear" w:color="auto" w:fill="auto"/>
            <w:noWrap/>
            <w:vAlign w:val="center"/>
          </w:tcPr>
          <w:p w14:paraId="3CA464F5">
            <w:pPr>
              <w:pStyle w:val="159"/>
            </w:pPr>
            <w:r>
              <w:rPr>
                <w:color w:val="000000"/>
                <w:kern w:val="0"/>
                <w:sz w:val="22"/>
                <w:szCs w:val="22"/>
              </w:rPr>
              <w:t xml:space="preserve">140.528 </w:t>
            </w:r>
          </w:p>
        </w:tc>
        <w:tc>
          <w:tcPr>
            <w:tcW w:w="572" w:type="pct"/>
            <w:vAlign w:val="center"/>
          </w:tcPr>
          <w:p w14:paraId="53A8FB34">
            <w:pPr>
              <w:pStyle w:val="159"/>
            </w:pPr>
            <w:r>
              <w:rPr>
                <w:color w:val="000000"/>
                <w:kern w:val="0"/>
                <w:sz w:val="22"/>
                <w:szCs w:val="22"/>
              </w:rPr>
              <w:t xml:space="preserve">145.063 </w:t>
            </w:r>
          </w:p>
        </w:tc>
        <w:tc>
          <w:tcPr>
            <w:tcW w:w="572" w:type="pct"/>
            <w:vAlign w:val="center"/>
          </w:tcPr>
          <w:p w14:paraId="5227CEE3">
            <w:pPr>
              <w:pStyle w:val="159"/>
            </w:pPr>
            <w:r>
              <w:rPr>
                <w:color w:val="000000"/>
                <w:kern w:val="0"/>
                <w:sz w:val="22"/>
                <w:szCs w:val="22"/>
              </w:rPr>
              <w:t xml:space="preserve">147.832 </w:t>
            </w:r>
          </w:p>
        </w:tc>
        <w:tc>
          <w:tcPr>
            <w:tcW w:w="572" w:type="pct"/>
            <w:shd w:val="clear" w:color="auto" w:fill="auto"/>
            <w:noWrap/>
            <w:vAlign w:val="center"/>
          </w:tcPr>
          <w:p w14:paraId="09C1D557">
            <w:pPr>
              <w:pStyle w:val="159"/>
            </w:pPr>
            <w:r>
              <w:rPr>
                <w:color w:val="000000"/>
                <w:kern w:val="0"/>
                <w:sz w:val="22"/>
                <w:szCs w:val="22"/>
              </w:rPr>
              <w:t xml:space="preserve">1.146 </w:t>
            </w:r>
          </w:p>
        </w:tc>
        <w:tc>
          <w:tcPr>
            <w:tcW w:w="572" w:type="pct"/>
            <w:vAlign w:val="center"/>
          </w:tcPr>
          <w:p w14:paraId="1BA2A050">
            <w:pPr>
              <w:pStyle w:val="159"/>
            </w:pPr>
            <w:r>
              <w:rPr>
                <w:color w:val="000000"/>
                <w:kern w:val="0"/>
                <w:sz w:val="22"/>
                <w:szCs w:val="22"/>
              </w:rPr>
              <w:t xml:space="preserve">1.306 </w:t>
            </w:r>
          </w:p>
        </w:tc>
        <w:tc>
          <w:tcPr>
            <w:tcW w:w="569" w:type="pct"/>
            <w:vAlign w:val="center"/>
          </w:tcPr>
          <w:p w14:paraId="48ECE358">
            <w:pPr>
              <w:pStyle w:val="159"/>
            </w:pPr>
            <w:r>
              <w:rPr>
                <w:color w:val="000000"/>
                <w:kern w:val="0"/>
                <w:sz w:val="22"/>
                <w:szCs w:val="22"/>
              </w:rPr>
              <w:t xml:space="preserve">1.448 </w:t>
            </w:r>
          </w:p>
        </w:tc>
      </w:tr>
      <w:tr w14:paraId="6C57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2AF8B65">
            <w:pPr>
              <w:pStyle w:val="159"/>
            </w:pPr>
            <w:r>
              <w:t>24.3</w:t>
            </w:r>
          </w:p>
        </w:tc>
        <w:tc>
          <w:tcPr>
            <w:tcW w:w="771" w:type="pct"/>
            <w:vAlign w:val="center"/>
          </w:tcPr>
          <w:p w14:paraId="5383965B">
            <w:pPr>
              <w:pStyle w:val="159"/>
            </w:pPr>
            <w:r>
              <w:t>21</w:t>
            </w:r>
          </w:p>
        </w:tc>
        <w:tc>
          <w:tcPr>
            <w:tcW w:w="572" w:type="pct"/>
            <w:shd w:val="clear" w:color="auto" w:fill="auto"/>
            <w:noWrap/>
            <w:vAlign w:val="center"/>
          </w:tcPr>
          <w:p w14:paraId="7A2BF3DA">
            <w:pPr>
              <w:pStyle w:val="159"/>
            </w:pPr>
            <w:r>
              <w:rPr>
                <w:color w:val="000000"/>
                <w:kern w:val="0"/>
                <w:sz w:val="22"/>
                <w:szCs w:val="22"/>
              </w:rPr>
              <w:t xml:space="preserve">131.390 </w:t>
            </w:r>
          </w:p>
        </w:tc>
        <w:tc>
          <w:tcPr>
            <w:tcW w:w="572" w:type="pct"/>
            <w:vAlign w:val="center"/>
          </w:tcPr>
          <w:p w14:paraId="3891F7E2">
            <w:pPr>
              <w:pStyle w:val="159"/>
            </w:pPr>
            <w:r>
              <w:rPr>
                <w:color w:val="000000"/>
                <w:kern w:val="0"/>
                <w:sz w:val="22"/>
                <w:szCs w:val="22"/>
              </w:rPr>
              <w:t xml:space="preserve">135.294 </w:t>
            </w:r>
          </w:p>
        </w:tc>
        <w:tc>
          <w:tcPr>
            <w:tcW w:w="572" w:type="pct"/>
            <w:vAlign w:val="center"/>
          </w:tcPr>
          <w:p w14:paraId="056731A7">
            <w:pPr>
              <w:pStyle w:val="159"/>
            </w:pPr>
            <w:r>
              <w:rPr>
                <w:color w:val="000000"/>
                <w:kern w:val="0"/>
                <w:sz w:val="22"/>
                <w:szCs w:val="22"/>
              </w:rPr>
              <w:t xml:space="preserve">137.269 </w:t>
            </w:r>
          </w:p>
        </w:tc>
        <w:tc>
          <w:tcPr>
            <w:tcW w:w="572" w:type="pct"/>
            <w:shd w:val="clear" w:color="auto" w:fill="auto"/>
            <w:noWrap/>
            <w:vAlign w:val="center"/>
          </w:tcPr>
          <w:p w14:paraId="0336E763">
            <w:pPr>
              <w:pStyle w:val="159"/>
            </w:pPr>
            <w:r>
              <w:rPr>
                <w:color w:val="000000"/>
                <w:kern w:val="0"/>
                <w:sz w:val="22"/>
                <w:szCs w:val="22"/>
              </w:rPr>
              <w:t xml:space="preserve">1.085 </w:t>
            </w:r>
          </w:p>
        </w:tc>
        <w:tc>
          <w:tcPr>
            <w:tcW w:w="572" w:type="pct"/>
            <w:vAlign w:val="center"/>
          </w:tcPr>
          <w:p w14:paraId="5B49C130">
            <w:pPr>
              <w:pStyle w:val="159"/>
            </w:pPr>
            <w:r>
              <w:rPr>
                <w:color w:val="000000"/>
                <w:kern w:val="0"/>
                <w:sz w:val="22"/>
                <w:szCs w:val="22"/>
              </w:rPr>
              <w:t xml:space="preserve">1.228 </w:t>
            </w:r>
          </w:p>
        </w:tc>
        <w:tc>
          <w:tcPr>
            <w:tcW w:w="569" w:type="pct"/>
            <w:vAlign w:val="center"/>
          </w:tcPr>
          <w:p w14:paraId="37853EFB">
            <w:pPr>
              <w:pStyle w:val="159"/>
            </w:pPr>
            <w:r>
              <w:rPr>
                <w:color w:val="000000"/>
                <w:kern w:val="0"/>
                <w:sz w:val="22"/>
                <w:szCs w:val="22"/>
              </w:rPr>
              <w:t xml:space="preserve">1.352 </w:t>
            </w:r>
          </w:p>
        </w:tc>
      </w:tr>
      <w:tr w14:paraId="114E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2995F08">
            <w:pPr>
              <w:pStyle w:val="159"/>
            </w:pPr>
            <w:r>
              <w:t>25.3</w:t>
            </w:r>
          </w:p>
        </w:tc>
        <w:tc>
          <w:tcPr>
            <w:tcW w:w="771" w:type="pct"/>
            <w:vAlign w:val="center"/>
          </w:tcPr>
          <w:p w14:paraId="00DFB0DE">
            <w:pPr>
              <w:pStyle w:val="159"/>
            </w:pPr>
            <w:r>
              <w:t>22</w:t>
            </w:r>
          </w:p>
        </w:tc>
        <w:tc>
          <w:tcPr>
            <w:tcW w:w="572" w:type="pct"/>
            <w:shd w:val="clear" w:color="auto" w:fill="auto"/>
            <w:noWrap/>
            <w:vAlign w:val="center"/>
          </w:tcPr>
          <w:p w14:paraId="2090EAF9">
            <w:pPr>
              <w:pStyle w:val="159"/>
            </w:pPr>
            <w:r>
              <w:rPr>
                <w:color w:val="000000"/>
                <w:kern w:val="0"/>
                <w:sz w:val="22"/>
                <w:szCs w:val="22"/>
              </w:rPr>
              <w:t xml:space="preserve">122.856 </w:t>
            </w:r>
          </w:p>
        </w:tc>
        <w:tc>
          <w:tcPr>
            <w:tcW w:w="572" w:type="pct"/>
            <w:vAlign w:val="center"/>
          </w:tcPr>
          <w:p w14:paraId="5DD9C0CB">
            <w:pPr>
              <w:pStyle w:val="159"/>
            </w:pPr>
            <w:r>
              <w:rPr>
                <w:color w:val="000000"/>
                <w:kern w:val="0"/>
                <w:sz w:val="22"/>
                <w:szCs w:val="22"/>
              </w:rPr>
              <w:t xml:space="preserve">126.231 </w:t>
            </w:r>
          </w:p>
        </w:tc>
        <w:tc>
          <w:tcPr>
            <w:tcW w:w="572" w:type="pct"/>
            <w:vAlign w:val="center"/>
          </w:tcPr>
          <w:p w14:paraId="0B9B7EE1">
            <w:pPr>
              <w:pStyle w:val="159"/>
            </w:pPr>
            <w:r>
              <w:rPr>
                <w:color w:val="000000"/>
                <w:kern w:val="0"/>
                <w:sz w:val="22"/>
                <w:szCs w:val="22"/>
              </w:rPr>
              <w:t xml:space="preserve">127.595 </w:t>
            </w:r>
          </w:p>
        </w:tc>
        <w:tc>
          <w:tcPr>
            <w:tcW w:w="572" w:type="pct"/>
            <w:shd w:val="clear" w:color="auto" w:fill="auto"/>
            <w:noWrap/>
            <w:vAlign w:val="center"/>
          </w:tcPr>
          <w:p w14:paraId="72932062">
            <w:pPr>
              <w:pStyle w:val="159"/>
            </w:pPr>
            <w:r>
              <w:rPr>
                <w:color w:val="000000"/>
                <w:kern w:val="0"/>
                <w:sz w:val="22"/>
                <w:szCs w:val="22"/>
              </w:rPr>
              <w:t xml:space="preserve">1.027 </w:t>
            </w:r>
          </w:p>
        </w:tc>
        <w:tc>
          <w:tcPr>
            <w:tcW w:w="572" w:type="pct"/>
            <w:vAlign w:val="center"/>
          </w:tcPr>
          <w:p w14:paraId="61166A6C">
            <w:pPr>
              <w:pStyle w:val="159"/>
            </w:pPr>
            <w:r>
              <w:rPr>
                <w:color w:val="000000"/>
                <w:kern w:val="0"/>
                <w:sz w:val="22"/>
                <w:szCs w:val="22"/>
              </w:rPr>
              <w:t xml:space="preserve">1.156 </w:t>
            </w:r>
          </w:p>
        </w:tc>
        <w:tc>
          <w:tcPr>
            <w:tcW w:w="569" w:type="pct"/>
            <w:vAlign w:val="center"/>
          </w:tcPr>
          <w:p w14:paraId="33FDAA78">
            <w:pPr>
              <w:pStyle w:val="159"/>
            </w:pPr>
            <w:r>
              <w:rPr>
                <w:color w:val="000000"/>
                <w:kern w:val="0"/>
                <w:sz w:val="22"/>
                <w:szCs w:val="22"/>
              </w:rPr>
              <w:t xml:space="preserve">1.264 </w:t>
            </w:r>
          </w:p>
        </w:tc>
      </w:tr>
      <w:tr w14:paraId="6197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FC7E830">
            <w:pPr>
              <w:pStyle w:val="159"/>
            </w:pPr>
            <w:r>
              <w:t>26.3</w:t>
            </w:r>
          </w:p>
        </w:tc>
        <w:tc>
          <w:tcPr>
            <w:tcW w:w="771" w:type="pct"/>
            <w:vAlign w:val="center"/>
          </w:tcPr>
          <w:p w14:paraId="332376DE">
            <w:pPr>
              <w:pStyle w:val="159"/>
            </w:pPr>
            <w:r>
              <w:t>23</w:t>
            </w:r>
          </w:p>
        </w:tc>
        <w:tc>
          <w:tcPr>
            <w:tcW w:w="572" w:type="pct"/>
            <w:shd w:val="clear" w:color="auto" w:fill="auto"/>
            <w:noWrap/>
            <w:vAlign w:val="center"/>
          </w:tcPr>
          <w:p w14:paraId="7293FF2F">
            <w:pPr>
              <w:pStyle w:val="159"/>
            </w:pPr>
            <w:r>
              <w:rPr>
                <w:color w:val="000000"/>
                <w:kern w:val="0"/>
                <w:sz w:val="22"/>
                <w:szCs w:val="22"/>
              </w:rPr>
              <w:t xml:space="preserve">114.909 </w:t>
            </w:r>
          </w:p>
        </w:tc>
        <w:tc>
          <w:tcPr>
            <w:tcW w:w="572" w:type="pct"/>
            <w:vAlign w:val="center"/>
          </w:tcPr>
          <w:p w14:paraId="1DC1E443">
            <w:pPr>
              <w:pStyle w:val="159"/>
            </w:pPr>
            <w:r>
              <w:rPr>
                <w:color w:val="000000"/>
                <w:kern w:val="0"/>
                <w:sz w:val="22"/>
                <w:szCs w:val="22"/>
              </w:rPr>
              <w:t xml:space="preserve">117.840 </w:t>
            </w:r>
          </w:p>
        </w:tc>
        <w:tc>
          <w:tcPr>
            <w:tcW w:w="572" w:type="pct"/>
            <w:vAlign w:val="center"/>
          </w:tcPr>
          <w:p w14:paraId="4954A3A3">
            <w:pPr>
              <w:pStyle w:val="159"/>
            </w:pPr>
            <w:r>
              <w:rPr>
                <w:color w:val="000000"/>
                <w:kern w:val="0"/>
                <w:sz w:val="22"/>
                <w:szCs w:val="22"/>
              </w:rPr>
              <w:t xml:space="preserve">118.735 </w:t>
            </w:r>
          </w:p>
        </w:tc>
        <w:tc>
          <w:tcPr>
            <w:tcW w:w="572" w:type="pct"/>
            <w:shd w:val="clear" w:color="auto" w:fill="auto"/>
            <w:noWrap/>
            <w:vAlign w:val="center"/>
          </w:tcPr>
          <w:p w14:paraId="32B1946D">
            <w:pPr>
              <w:pStyle w:val="159"/>
            </w:pPr>
            <w:r>
              <w:rPr>
                <w:color w:val="000000"/>
                <w:kern w:val="0"/>
                <w:sz w:val="22"/>
                <w:szCs w:val="22"/>
              </w:rPr>
              <w:t xml:space="preserve">0.974 </w:t>
            </w:r>
          </w:p>
        </w:tc>
        <w:tc>
          <w:tcPr>
            <w:tcW w:w="572" w:type="pct"/>
            <w:vAlign w:val="center"/>
          </w:tcPr>
          <w:p w14:paraId="59580FEE">
            <w:pPr>
              <w:pStyle w:val="159"/>
            </w:pPr>
            <w:r>
              <w:rPr>
                <w:color w:val="000000"/>
                <w:kern w:val="0"/>
                <w:sz w:val="22"/>
                <w:szCs w:val="22"/>
              </w:rPr>
              <w:t xml:space="preserve">1.089 </w:t>
            </w:r>
          </w:p>
        </w:tc>
        <w:tc>
          <w:tcPr>
            <w:tcW w:w="569" w:type="pct"/>
            <w:vAlign w:val="center"/>
          </w:tcPr>
          <w:p w14:paraId="2267FDE5">
            <w:pPr>
              <w:pStyle w:val="159"/>
            </w:pPr>
            <w:r>
              <w:rPr>
                <w:color w:val="000000"/>
                <w:kern w:val="0"/>
                <w:sz w:val="22"/>
                <w:szCs w:val="22"/>
              </w:rPr>
              <w:t xml:space="preserve">1.185 </w:t>
            </w:r>
          </w:p>
        </w:tc>
      </w:tr>
      <w:tr w14:paraId="4D7F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E1AD916">
            <w:pPr>
              <w:pStyle w:val="159"/>
            </w:pPr>
            <w:r>
              <w:t>27.3</w:t>
            </w:r>
          </w:p>
        </w:tc>
        <w:tc>
          <w:tcPr>
            <w:tcW w:w="771" w:type="pct"/>
            <w:vAlign w:val="center"/>
          </w:tcPr>
          <w:p w14:paraId="0706D8D1">
            <w:pPr>
              <w:pStyle w:val="159"/>
            </w:pPr>
            <w:r>
              <w:t>24</w:t>
            </w:r>
          </w:p>
        </w:tc>
        <w:tc>
          <w:tcPr>
            <w:tcW w:w="572" w:type="pct"/>
            <w:shd w:val="clear" w:color="auto" w:fill="auto"/>
            <w:noWrap/>
            <w:vAlign w:val="center"/>
          </w:tcPr>
          <w:p w14:paraId="2CB889C4">
            <w:pPr>
              <w:pStyle w:val="159"/>
            </w:pPr>
            <w:r>
              <w:rPr>
                <w:color w:val="000000"/>
                <w:kern w:val="0"/>
                <w:sz w:val="22"/>
                <w:szCs w:val="22"/>
              </w:rPr>
              <w:t xml:space="preserve">107.523 </w:t>
            </w:r>
          </w:p>
        </w:tc>
        <w:tc>
          <w:tcPr>
            <w:tcW w:w="572" w:type="pct"/>
            <w:vAlign w:val="center"/>
          </w:tcPr>
          <w:p w14:paraId="753460BE">
            <w:pPr>
              <w:pStyle w:val="159"/>
            </w:pPr>
            <w:r>
              <w:rPr>
                <w:color w:val="000000"/>
                <w:kern w:val="0"/>
                <w:sz w:val="22"/>
                <w:szCs w:val="22"/>
              </w:rPr>
              <w:t xml:space="preserve">110.080 </w:t>
            </w:r>
          </w:p>
        </w:tc>
        <w:tc>
          <w:tcPr>
            <w:tcW w:w="572" w:type="pct"/>
            <w:vAlign w:val="center"/>
          </w:tcPr>
          <w:p w14:paraId="2BB83EBA">
            <w:pPr>
              <w:pStyle w:val="159"/>
            </w:pPr>
            <w:r>
              <w:rPr>
                <w:color w:val="000000"/>
                <w:kern w:val="0"/>
                <w:sz w:val="22"/>
                <w:szCs w:val="22"/>
              </w:rPr>
              <w:t xml:space="preserve">110.620 </w:t>
            </w:r>
          </w:p>
        </w:tc>
        <w:tc>
          <w:tcPr>
            <w:tcW w:w="572" w:type="pct"/>
            <w:shd w:val="clear" w:color="auto" w:fill="auto"/>
            <w:noWrap/>
            <w:vAlign w:val="center"/>
          </w:tcPr>
          <w:p w14:paraId="3E89F4C0">
            <w:pPr>
              <w:pStyle w:val="159"/>
            </w:pPr>
            <w:r>
              <w:rPr>
                <w:color w:val="000000"/>
                <w:kern w:val="0"/>
                <w:sz w:val="22"/>
                <w:szCs w:val="22"/>
              </w:rPr>
              <w:t xml:space="preserve">0.924 </w:t>
            </w:r>
          </w:p>
        </w:tc>
        <w:tc>
          <w:tcPr>
            <w:tcW w:w="572" w:type="pct"/>
            <w:vAlign w:val="center"/>
          </w:tcPr>
          <w:p w14:paraId="4E1BC9F2">
            <w:pPr>
              <w:pStyle w:val="159"/>
            </w:pPr>
            <w:r>
              <w:rPr>
                <w:color w:val="000000"/>
                <w:kern w:val="0"/>
                <w:sz w:val="22"/>
                <w:szCs w:val="22"/>
              </w:rPr>
              <w:t xml:space="preserve">1.028 </w:t>
            </w:r>
          </w:p>
        </w:tc>
        <w:tc>
          <w:tcPr>
            <w:tcW w:w="569" w:type="pct"/>
            <w:vAlign w:val="center"/>
          </w:tcPr>
          <w:p w14:paraId="1B1F3809">
            <w:pPr>
              <w:pStyle w:val="159"/>
            </w:pPr>
            <w:r>
              <w:rPr>
                <w:color w:val="000000"/>
                <w:kern w:val="0"/>
                <w:sz w:val="22"/>
                <w:szCs w:val="22"/>
              </w:rPr>
              <w:t xml:space="preserve">1.112 </w:t>
            </w:r>
          </w:p>
        </w:tc>
      </w:tr>
      <w:tr w14:paraId="075F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27D4D812">
            <w:pPr>
              <w:pStyle w:val="159"/>
            </w:pPr>
            <w:r>
              <w:t>28.3</w:t>
            </w:r>
          </w:p>
        </w:tc>
        <w:tc>
          <w:tcPr>
            <w:tcW w:w="771" w:type="pct"/>
            <w:vAlign w:val="center"/>
          </w:tcPr>
          <w:p w14:paraId="2B71F0AC">
            <w:pPr>
              <w:pStyle w:val="159"/>
            </w:pPr>
            <w:r>
              <w:t>25</w:t>
            </w:r>
          </w:p>
        </w:tc>
        <w:tc>
          <w:tcPr>
            <w:tcW w:w="572" w:type="pct"/>
            <w:shd w:val="clear" w:color="auto" w:fill="auto"/>
            <w:noWrap/>
            <w:vAlign w:val="center"/>
          </w:tcPr>
          <w:p w14:paraId="4D2AD0EC">
            <w:pPr>
              <w:pStyle w:val="159"/>
            </w:pPr>
            <w:r>
              <w:rPr>
                <w:color w:val="000000"/>
                <w:kern w:val="0"/>
                <w:sz w:val="22"/>
                <w:szCs w:val="22"/>
              </w:rPr>
              <w:t xml:space="preserve">100.670 </w:t>
            </w:r>
          </w:p>
        </w:tc>
        <w:tc>
          <w:tcPr>
            <w:tcW w:w="572" w:type="pct"/>
            <w:vAlign w:val="center"/>
          </w:tcPr>
          <w:p w14:paraId="738047C7">
            <w:pPr>
              <w:pStyle w:val="159"/>
            </w:pPr>
            <w:r>
              <w:rPr>
                <w:color w:val="000000"/>
                <w:kern w:val="0"/>
                <w:sz w:val="22"/>
                <w:szCs w:val="22"/>
              </w:rPr>
              <w:t xml:space="preserve">102.912 </w:t>
            </w:r>
          </w:p>
        </w:tc>
        <w:tc>
          <w:tcPr>
            <w:tcW w:w="572" w:type="pct"/>
            <w:vAlign w:val="center"/>
          </w:tcPr>
          <w:p w14:paraId="1D70CBFA">
            <w:pPr>
              <w:pStyle w:val="159"/>
            </w:pPr>
            <w:r>
              <w:rPr>
                <w:color w:val="000000"/>
                <w:kern w:val="0"/>
                <w:sz w:val="22"/>
                <w:szCs w:val="22"/>
              </w:rPr>
              <w:t xml:space="preserve">103.183 </w:t>
            </w:r>
          </w:p>
        </w:tc>
        <w:tc>
          <w:tcPr>
            <w:tcW w:w="572" w:type="pct"/>
            <w:shd w:val="clear" w:color="auto" w:fill="auto"/>
            <w:noWrap/>
            <w:vAlign w:val="center"/>
          </w:tcPr>
          <w:p w14:paraId="7E9DD0C9">
            <w:pPr>
              <w:pStyle w:val="159"/>
            </w:pPr>
            <w:r>
              <w:rPr>
                <w:color w:val="000000"/>
                <w:kern w:val="0"/>
                <w:sz w:val="22"/>
                <w:szCs w:val="22"/>
              </w:rPr>
              <w:t xml:space="preserve">0.877 </w:t>
            </w:r>
          </w:p>
        </w:tc>
        <w:tc>
          <w:tcPr>
            <w:tcW w:w="572" w:type="pct"/>
            <w:vAlign w:val="center"/>
          </w:tcPr>
          <w:p w14:paraId="0AABAAF5">
            <w:pPr>
              <w:pStyle w:val="159"/>
            </w:pPr>
            <w:r>
              <w:rPr>
                <w:color w:val="000000"/>
                <w:kern w:val="0"/>
                <w:sz w:val="22"/>
                <w:szCs w:val="22"/>
              </w:rPr>
              <w:t xml:space="preserve">0.971 </w:t>
            </w:r>
          </w:p>
        </w:tc>
        <w:tc>
          <w:tcPr>
            <w:tcW w:w="569" w:type="pct"/>
            <w:vAlign w:val="center"/>
          </w:tcPr>
          <w:p w14:paraId="76CA420E">
            <w:pPr>
              <w:pStyle w:val="159"/>
            </w:pPr>
            <w:r>
              <w:rPr>
                <w:color w:val="000000"/>
                <w:kern w:val="0"/>
                <w:sz w:val="22"/>
                <w:szCs w:val="22"/>
              </w:rPr>
              <w:t xml:space="preserve">1.046 </w:t>
            </w:r>
          </w:p>
        </w:tc>
      </w:tr>
      <w:tr w14:paraId="385B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D8FA6EA">
            <w:pPr>
              <w:pStyle w:val="159"/>
            </w:pPr>
            <w:r>
              <w:t>29.3</w:t>
            </w:r>
          </w:p>
        </w:tc>
        <w:tc>
          <w:tcPr>
            <w:tcW w:w="771" w:type="pct"/>
            <w:vAlign w:val="center"/>
          </w:tcPr>
          <w:p w14:paraId="0B036249">
            <w:pPr>
              <w:pStyle w:val="159"/>
            </w:pPr>
            <w:r>
              <w:t>26</w:t>
            </w:r>
          </w:p>
        </w:tc>
        <w:tc>
          <w:tcPr>
            <w:tcW w:w="572" w:type="pct"/>
            <w:shd w:val="clear" w:color="auto" w:fill="auto"/>
            <w:noWrap/>
            <w:vAlign w:val="center"/>
          </w:tcPr>
          <w:p w14:paraId="1BDE46FD">
            <w:pPr>
              <w:pStyle w:val="159"/>
            </w:pPr>
            <w:r>
              <w:rPr>
                <w:color w:val="000000"/>
                <w:kern w:val="0"/>
                <w:sz w:val="22"/>
                <w:szCs w:val="22"/>
              </w:rPr>
              <w:t xml:space="preserve">94.319 </w:t>
            </w:r>
          </w:p>
        </w:tc>
        <w:tc>
          <w:tcPr>
            <w:tcW w:w="572" w:type="pct"/>
            <w:vAlign w:val="center"/>
          </w:tcPr>
          <w:p w14:paraId="31226CB7">
            <w:pPr>
              <w:pStyle w:val="159"/>
            </w:pPr>
            <w:r>
              <w:rPr>
                <w:color w:val="000000"/>
                <w:kern w:val="0"/>
                <w:sz w:val="22"/>
                <w:szCs w:val="22"/>
              </w:rPr>
              <w:t xml:space="preserve">96.293 </w:t>
            </w:r>
          </w:p>
        </w:tc>
        <w:tc>
          <w:tcPr>
            <w:tcW w:w="572" w:type="pct"/>
            <w:vAlign w:val="center"/>
          </w:tcPr>
          <w:p w14:paraId="4A20B612">
            <w:pPr>
              <w:pStyle w:val="159"/>
            </w:pPr>
            <w:r>
              <w:rPr>
                <w:color w:val="000000"/>
                <w:kern w:val="0"/>
                <w:sz w:val="22"/>
                <w:szCs w:val="22"/>
              </w:rPr>
              <w:t xml:space="preserve">96.364 </w:t>
            </w:r>
          </w:p>
        </w:tc>
        <w:tc>
          <w:tcPr>
            <w:tcW w:w="572" w:type="pct"/>
            <w:shd w:val="clear" w:color="auto" w:fill="auto"/>
            <w:noWrap/>
            <w:vAlign w:val="center"/>
          </w:tcPr>
          <w:p w14:paraId="395621CA">
            <w:pPr>
              <w:pStyle w:val="159"/>
            </w:pPr>
            <w:r>
              <w:rPr>
                <w:color w:val="000000"/>
                <w:kern w:val="0"/>
                <w:sz w:val="22"/>
                <w:szCs w:val="22"/>
              </w:rPr>
              <w:t xml:space="preserve">0.834 </w:t>
            </w:r>
          </w:p>
        </w:tc>
        <w:tc>
          <w:tcPr>
            <w:tcW w:w="572" w:type="pct"/>
            <w:vAlign w:val="center"/>
          </w:tcPr>
          <w:p w14:paraId="3E212C24">
            <w:pPr>
              <w:pStyle w:val="159"/>
            </w:pPr>
            <w:r>
              <w:rPr>
                <w:color w:val="000000"/>
                <w:kern w:val="0"/>
                <w:sz w:val="22"/>
                <w:szCs w:val="22"/>
              </w:rPr>
              <w:t xml:space="preserve">0.918 </w:t>
            </w:r>
          </w:p>
        </w:tc>
        <w:tc>
          <w:tcPr>
            <w:tcW w:w="569" w:type="pct"/>
            <w:vAlign w:val="center"/>
          </w:tcPr>
          <w:p w14:paraId="19A73A2C">
            <w:pPr>
              <w:pStyle w:val="159"/>
            </w:pPr>
            <w:r>
              <w:rPr>
                <w:color w:val="000000"/>
                <w:kern w:val="0"/>
                <w:sz w:val="22"/>
                <w:szCs w:val="22"/>
              </w:rPr>
              <w:t xml:space="preserve">0.985 </w:t>
            </w:r>
          </w:p>
        </w:tc>
      </w:tr>
      <w:tr w14:paraId="3E26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AE641EA">
            <w:pPr>
              <w:pStyle w:val="159"/>
            </w:pPr>
            <w:r>
              <w:t>30.3</w:t>
            </w:r>
          </w:p>
        </w:tc>
        <w:tc>
          <w:tcPr>
            <w:tcW w:w="771" w:type="pct"/>
            <w:vAlign w:val="center"/>
          </w:tcPr>
          <w:p w14:paraId="0E7B792A">
            <w:pPr>
              <w:pStyle w:val="159"/>
            </w:pPr>
            <w:r>
              <w:t>27</w:t>
            </w:r>
          </w:p>
        </w:tc>
        <w:tc>
          <w:tcPr>
            <w:tcW w:w="572" w:type="pct"/>
            <w:shd w:val="clear" w:color="auto" w:fill="auto"/>
            <w:noWrap/>
            <w:vAlign w:val="center"/>
          </w:tcPr>
          <w:p w14:paraId="31E3FADA">
            <w:pPr>
              <w:pStyle w:val="159"/>
            </w:pPr>
            <w:r>
              <w:rPr>
                <w:color w:val="000000"/>
                <w:kern w:val="0"/>
                <w:sz w:val="22"/>
                <w:szCs w:val="22"/>
              </w:rPr>
              <w:t xml:space="preserve">88.437 </w:t>
            </w:r>
          </w:p>
        </w:tc>
        <w:tc>
          <w:tcPr>
            <w:tcW w:w="572" w:type="pct"/>
            <w:vAlign w:val="center"/>
          </w:tcPr>
          <w:p w14:paraId="010D2191">
            <w:pPr>
              <w:pStyle w:val="159"/>
            </w:pPr>
            <w:r>
              <w:rPr>
                <w:color w:val="000000"/>
                <w:kern w:val="0"/>
                <w:sz w:val="22"/>
                <w:szCs w:val="22"/>
              </w:rPr>
              <w:t xml:space="preserve">90.184 </w:t>
            </w:r>
          </w:p>
        </w:tc>
        <w:tc>
          <w:tcPr>
            <w:tcW w:w="572" w:type="pct"/>
            <w:vAlign w:val="center"/>
          </w:tcPr>
          <w:p w14:paraId="6211E2DB">
            <w:pPr>
              <w:pStyle w:val="159"/>
            </w:pPr>
            <w:r>
              <w:rPr>
                <w:color w:val="000000"/>
                <w:kern w:val="0"/>
                <w:sz w:val="22"/>
                <w:szCs w:val="22"/>
              </w:rPr>
              <w:t xml:space="preserve">90.107 </w:t>
            </w:r>
          </w:p>
        </w:tc>
        <w:tc>
          <w:tcPr>
            <w:tcW w:w="572" w:type="pct"/>
            <w:shd w:val="clear" w:color="auto" w:fill="auto"/>
            <w:noWrap/>
            <w:vAlign w:val="center"/>
          </w:tcPr>
          <w:p w14:paraId="121B58B0">
            <w:pPr>
              <w:pStyle w:val="159"/>
            </w:pPr>
            <w:r>
              <w:rPr>
                <w:color w:val="000000"/>
                <w:kern w:val="0"/>
                <w:sz w:val="22"/>
                <w:szCs w:val="22"/>
              </w:rPr>
              <w:t xml:space="preserve">0.793 </w:t>
            </w:r>
          </w:p>
        </w:tc>
        <w:tc>
          <w:tcPr>
            <w:tcW w:w="572" w:type="pct"/>
            <w:vAlign w:val="center"/>
          </w:tcPr>
          <w:p w14:paraId="6F2ED829">
            <w:pPr>
              <w:pStyle w:val="159"/>
            </w:pPr>
            <w:r>
              <w:rPr>
                <w:color w:val="000000"/>
                <w:kern w:val="0"/>
                <w:sz w:val="22"/>
                <w:szCs w:val="22"/>
              </w:rPr>
              <w:t xml:space="preserve">0.869 </w:t>
            </w:r>
          </w:p>
        </w:tc>
        <w:tc>
          <w:tcPr>
            <w:tcW w:w="569" w:type="pct"/>
            <w:vAlign w:val="center"/>
          </w:tcPr>
          <w:p w14:paraId="73278BDC">
            <w:pPr>
              <w:pStyle w:val="159"/>
            </w:pPr>
            <w:r>
              <w:rPr>
                <w:color w:val="000000"/>
                <w:kern w:val="0"/>
                <w:sz w:val="22"/>
                <w:szCs w:val="22"/>
              </w:rPr>
              <w:t xml:space="preserve">0.929 </w:t>
            </w:r>
          </w:p>
        </w:tc>
      </w:tr>
      <w:tr w14:paraId="1EAE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351A189">
            <w:pPr>
              <w:pStyle w:val="159"/>
            </w:pPr>
            <w:r>
              <w:t>31.3</w:t>
            </w:r>
          </w:p>
        </w:tc>
        <w:tc>
          <w:tcPr>
            <w:tcW w:w="771" w:type="pct"/>
            <w:vAlign w:val="center"/>
          </w:tcPr>
          <w:p w14:paraId="7DAEDB3C">
            <w:pPr>
              <w:pStyle w:val="159"/>
            </w:pPr>
            <w:r>
              <w:t>28</w:t>
            </w:r>
          </w:p>
        </w:tc>
        <w:tc>
          <w:tcPr>
            <w:tcW w:w="572" w:type="pct"/>
            <w:shd w:val="clear" w:color="auto" w:fill="auto"/>
            <w:noWrap/>
            <w:vAlign w:val="center"/>
          </w:tcPr>
          <w:p w14:paraId="381D7E2A">
            <w:pPr>
              <w:pStyle w:val="159"/>
            </w:pPr>
            <w:r>
              <w:rPr>
                <w:color w:val="000000"/>
                <w:kern w:val="0"/>
                <w:sz w:val="22"/>
                <w:szCs w:val="22"/>
              </w:rPr>
              <w:t xml:space="preserve">82.993 </w:t>
            </w:r>
          </w:p>
        </w:tc>
        <w:tc>
          <w:tcPr>
            <w:tcW w:w="572" w:type="pct"/>
            <w:vAlign w:val="center"/>
          </w:tcPr>
          <w:p w14:paraId="34640210">
            <w:pPr>
              <w:pStyle w:val="159"/>
            </w:pPr>
            <w:r>
              <w:rPr>
                <w:color w:val="000000"/>
                <w:kern w:val="0"/>
                <w:sz w:val="22"/>
                <w:szCs w:val="22"/>
              </w:rPr>
              <w:t xml:space="preserve">84.545 </w:t>
            </w:r>
          </w:p>
        </w:tc>
        <w:tc>
          <w:tcPr>
            <w:tcW w:w="572" w:type="pct"/>
            <w:vAlign w:val="center"/>
          </w:tcPr>
          <w:p w14:paraId="1951EE2C">
            <w:pPr>
              <w:pStyle w:val="159"/>
            </w:pPr>
            <w:r>
              <w:rPr>
                <w:color w:val="000000"/>
                <w:kern w:val="0"/>
                <w:sz w:val="22"/>
                <w:szCs w:val="22"/>
              </w:rPr>
              <w:t xml:space="preserve">84.360 </w:t>
            </w:r>
          </w:p>
        </w:tc>
        <w:tc>
          <w:tcPr>
            <w:tcW w:w="572" w:type="pct"/>
            <w:shd w:val="clear" w:color="auto" w:fill="auto"/>
            <w:noWrap/>
            <w:vAlign w:val="center"/>
          </w:tcPr>
          <w:p w14:paraId="5E7DE45A">
            <w:pPr>
              <w:pStyle w:val="159"/>
            </w:pPr>
            <w:r>
              <w:rPr>
                <w:color w:val="000000"/>
                <w:kern w:val="0"/>
                <w:sz w:val="22"/>
                <w:szCs w:val="22"/>
              </w:rPr>
              <w:t xml:space="preserve">0.755 </w:t>
            </w:r>
          </w:p>
        </w:tc>
        <w:tc>
          <w:tcPr>
            <w:tcW w:w="572" w:type="pct"/>
            <w:vAlign w:val="center"/>
          </w:tcPr>
          <w:p w14:paraId="28031037">
            <w:pPr>
              <w:pStyle w:val="159"/>
            </w:pPr>
            <w:r>
              <w:rPr>
                <w:color w:val="000000"/>
                <w:kern w:val="0"/>
                <w:sz w:val="22"/>
                <w:szCs w:val="22"/>
              </w:rPr>
              <w:t xml:space="preserve">0.824 </w:t>
            </w:r>
          </w:p>
        </w:tc>
        <w:tc>
          <w:tcPr>
            <w:tcW w:w="569" w:type="pct"/>
            <w:vAlign w:val="center"/>
          </w:tcPr>
          <w:p w14:paraId="1891DA56">
            <w:pPr>
              <w:pStyle w:val="159"/>
            </w:pPr>
            <w:r>
              <w:rPr>
                <w:color w:val="000000"/>
                <w:kern w:val="0"/>
                <w:sz w:val="22"/>
                <w:szCs w:val="22"/>
              </w:rPr>
              <w:t xml:space="preserve">0.878 </w:t>
            </w:r>
          </w:p>
        </w:tc>
      </w:tr>
      <w:tr w14:paraId="7FD4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D295E58">
            <w:pPr>
              <w:pStyle w:val="159"/>
            </w:pPr>
            <w:r>
              <w:t>32.3</w:t>
            </w:r>
          </w:p>
        </w:tc>
        <w:tc>
          <w:tcPr>
            <w:tcW w:w="771" w:type="pct"/>
            <w:vAlign w:val="center"/>
          </w:tcPr>
          <w:p w14:paraId="571528D7">
            <w:pPr>
              <w:pStyle w:val="159"/>
            </w:pPr>
            <w:r>
              <w:t>29</w:t>
            </w:r>
          </w:p>
        </w:tc>
        <w:tc>
          <w:tcPr>
            <w:tcW w:w="572" w:type="pct"/>
            <w:shd w:val="clear" w:color="auto" w:fill="auto"/>
            <w:noWrap/>
            <w:vAlign w:val="center"/>
          </w:tcPr>
          <w:p w14:paraId="61CC95E6">
            <w:pPr>
              <w:pStyle w:val="159"/>
            </w:pPr>
            <w:r>
              <w:rPr>
                <w:color w:val="000000"/>
                <w:kern w:val="0"/>
                <w:sz w:val="22"/>
                <w:szCs w:val="22"/>
              </w:rPr>
              <w:t xml:space="preserve">77.955 </w:t>
            </w:r>
          </w:p>
        </w:tc>
        <w:tc>
          <w:tcPr>
            <w:tcW w:w="572" w:type="pct"/>
            <w:vAlign w:val="center"/>
          </w:tcPr>
          <w:p w14:paraId="24A83FC7">
            <w:pPr>
              <w:pStyle w:val="159"/>
            </w:pPr>
            <w:r>
              <w:rPr>
                <w:color w:val="000000"/>
                <w:kern w:val="0"/>
                <w:sz w:val="22"/>
                <w:szCs w:val="22"/>
              </w:rPr>
              <w:t xml:space="preserve">79.340 </w:t>
            </w:r>
          </w:p>
        </w:tc>
        <w:tc>
          <w:tcPr>
            <w:tcW w:w="572" w:type="pct"/>
            <w:vAlign w:val="center"/>
          </w:tcPr>
          <w:p w14:paraId="3D77E71C">
            <w:pPr>
              <w:pStyle w:val="159"/>
            </w:pPr>
            <w:r>
              <w:rPr>
                <w:color w:val="000000"/>
                <w:kern w:val="0"/>
                <w:sz w:val="22"/>
                <w:szCs w:val="22"/>
              </w:rPr>
              <w:t xml:space="preserve">79.079 </w:t>
            </w:r>
          </w:p>
        </w:tc>
        <w:tc>
          <w:tcPr>
            <w:tcW w:w="572" w:type="pct"/>
            <w:shd w:val="clear" w:color="auto" w:fill="auto"/>
            <w:noWrap/>
            <w:vAlign w:val="center"/>
          </w:tcPr>
          <w:p w14:paraId="009F7193">
            <w:pPr>
              <w:pStyle w:val="159"/>
            </w:pPr>
            <w:r>
              <w:rPr>
                <w:color w:val="000000"/>
                <w:kern w:val="0"/>
                <w:sz w:val="22"/>
                <w:szCs w:val="22"/>
              </w:rPr>
              <w:t xml:space="preserve">0.719 </w:t>
            </w:r>
          </w:p>
        </w:tc>
        <w:tc>
          <w:tcPr>
            <w:tcW w:w="572" w:type="pct"/>
            <w:vAlign w:val="center"/>
          </w:tcPr>
          <w:p w14:paraId="66906E34">
            <w:pPr>
              <w:pStyle w:val="159"/>
            </w:pPr>
            <w:r>
              <w:rPr>
                <w:color w:val="000000"/>
                <w:kern w:val="0"/>
                <w:sz w:val="22"/>
                <w:szCs w:val="22"/>
              </w:rPr>
              <w:t xml:space="preserve">0.782 </w:t>
            </w:r>
          </w:p>
        </w:tc>
        <w:tc>
          <w:tcPr>
            <w:tcW w:w="569" w:type="pct"/>
            <w:vAlign w:val="center"/>
          </w:tcPr>
          <w:p w14:paraId="4DE0A0B9">
            <w:pPr>
              <w:pStyle w:val="159"/>
            </w:pPr>
            <w:r>
              <w:rPr>
                <w:color w:val="000000"/>
                <w:kern w:val="0"/>
                <w:sz w:val="22"/>
                <w:szCs w:val="22"/>
              </w:rPr>
              <w:t xml:space="preserve">0.831 </w:t>
            </w:r>
          </w:p>
        </w:tc>
      </w:tr>
      <w:tr w14:paraId="64D4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FCE6261">
            <w:pPr>
              <w:pStyle w:val="159"/>
            </w:pPr>
            <w:r>
              <w:t>33.3</w:t>
            </w:r>
          </w:p>
        </w:tc>
        <w:tc>
          <w:tcPr>
            <w:tcW w:w="771" w:type="pct"/>
            <w:vAlign w:val="center"/>
          </w:tcPr>
          <w:p w14:paraId="4BA0F8E2">
            <w:pPr>
              <w:pStyle w:val="159"/>
            </w:pPr>
            <w:r>
              <w:t>30</w:t>
            </w:r>
          </w:p>
        </w:tc>
        <w:tc>
          <w:tcPr>
            <w:tcW w:w="572" w:type="pct"/>
            <w:shd w:val="clear" w:color="auto" w:fill="auto"/>
            <w:noWrap/>
            <w:vAlign w:val="center"/>
          </w:tcPr>
          <w:p w14:paraId="7978C12D">
            <w:pPr>
              <w:pStyle w:val="159"/>
            </w:pPr>
            <w:r>
              <w:rPr>
                <w:color w:val="000000"/>
                <w:kern w:val="0"/>
                <w:sz w:val="22"/>
                <w:szCs w:val="22"/>
              </w:rPr>
              <w:t xml:space="preserve">73.292 </w:t>
            </w:r>
          </w:p>
        </w:tc>
        <w:tc>
          <w:tcPr>
            <w:tcW w:w="572" w:type="pct"/>
            <w:vAlign w:val="center"/>
          </w:tcPr>
          <w:p w14:paraId="4E0A64C8">
            <w:pPr>
              <w:pStyle w:val="159"/>
            </w:pPr>
            <w:r>
              <w:rPr>
                <w:color w:val="000000"/>
                <w:kern w:val="0"/>
                <w:sz w:val="22"/>
                <w:szCs w:val="22"/>
              </w:rPr>
              <w:t xml:space="preserve">74.533 </w:t>
            </w:r>
          </w:p>
        </w:tc>
        <w:tc>
          <w:tcPr>
            <w:tcW w:w="572" w:type="pct"/>
            <w:vAlign w:val="center"/>
          </w:tcPr>
          <w:p w14:paraId="195A03E7">
            <w:pPr>
              <w:pStyle w:val="159"/>
            </w:pPr>
            <w:r>
              <w:rPr>
                <w:color w:val="000000"/>
                <w:kern w:val="0"/>
                <w:sz w:val="22"/>
                <w:szCs w:val="22"/>
              </w:rPr>
              <w:t xml:space="preserve">74.220 </w:t>
            </w:r>
          </w:p>
        </w:tc>
        <w:tc>
          <w:tcPr>
            <w:tcW w:w="572" w:type="pct"/>
            <w:shd w:val="clear" w:color="auto" w:fill="auto"/>
            <w:noWrap/>
            <w:vAlign w:val="center"/>
          </w:tcPr>
          <w:p w14:paraId="2897DBB4">
            <w:pPr>
              <w:pStyle w:val="159"/>
            </w:pPr>
            <w:r>
              <w:rPr>
                <w:color w:val="000000"/>
                <w:kern w:val="0"/>
                <w:sz w:val="22"/>
                <w:szCs w:val="22"/>
              </w:rPr>
              <w:t xml:space="preserve">0.686 </w:t>
            </w:r>
          </w:p>
        </w:tc>
        <w:tc>
          <w:tcPr>
            <w:tcW w:w="572" w:type="pct"/>
            <w:vAlign w:val="center"/>
          </w:tcPr>
          <w:p w14:paraId="286C697A">
            <w:pPr>
              <w:pStyle w:val="159"/>
            </w:pPr>
            <w:r>
              <w:rPr>
                <w:color w:val="000000"/>
                <w:kern w:val="0"/>
                <w:sz w:val="22"/>
                <w:szCs w:val="22"/>
              </w:rPr>
              <w:t xml:space="preserve">0.744 </w:t>
            </w:r>
          </w:p>
        </w:tc>
        <w:tc>
          <w:tcPr>
            <w:tcW w:w="569" w:type="pct"/>
            <w:vAlign w:val="center"/>
          </w:tcPr>
          <w:p w14:paraId="62172BE2">
            <w:pPr>
              <w:pStyle w:val="159"/>
            </w:pPr>
            <w:r>
              <w:rPr>
                <w:color w:val="000000"/>
                <w:kern w:val="0"/>
                <w:sz w:val="22"/>
                <w:szCs w:val="22"/>
              </w:rPr>
              <w:t xml:space="preserve">0.787 </w:t>
            </w:r>
          </w:p>
        </w:tc>
      </w:tr>
    </w:tbl>
    <w:p w14:paraId="6D1BC914"/>
    <w:p w14:paraId="223E7132">
      <w:pPr>
        <w:pStyle w:val="148"/>
      </w:pPr>
      <w:r>
        <w:rPr>
          <w:rFonts w:hint="eastAsia"/>
        </w:rPr>
        <w:t>表3</w:t>
      </w:r>
      <w:r>
        <w:t xml:space="preserve">.3-5 </w:t>
      </w:r>
      <w:r>
        <w:rPr>
          <w:bCs/>
        </w:rPr>
        <w:t xml:space="preserve"> </w:t>
      </w:r>
      <w:r>
        <w:rPr>
          <w:rFonts w:hint="eastAsia"/>
          <w:bCs/>
        </w:rPr>
        <w:t>本项目</w:t>
      </w:r>
      <w:r>
        <w:rPr>
          <w:rFonts w:hint="eastAsia"/>
        </w:rPr>
        <w:t>线路（典型杆塔）经过居民区时工频电、磁场强度预测（</w:t>
      </w:r>
      <w:r>
        <w:t>20mm</w:t>
      </w:r>
      <w:r>
        <w:rPr>
          <w:rFonts w:hint="eastAsia"/>
        </w:rPr>
        <w:t>冰区）</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432"/>
        <w:gridCol w:w="1062"/>
        <w:gridCol w:w="1062"/>
        <w:gridCol w:w="1062"/>
        <w:gridCol w:w="1062"/>
        <w:gridCol w:w="1063"/>
        <w:gridCol w:w="1058"/>
      </w:tblGrid>
      <w:tr w14:paraId="3B80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blHeader/>
          <w:jc w:val="center"/>
        </w:trPr>
        <w:tc>
          <w:tcPr>
            <w:tcW w:w="800" w:type="pct"/>
            <w:vMerge w:val="restart"/>
            <w:shd w:val="clear" w:color="auto" w:fill="auto"/>
            <w:noWrap/>
            <w:vAlign w:val="center"/>
          </w:tcPr>
          <w:p w14:paraId="62F50D48">
            <w:pPr>
              <w:pStyle w:val="159"/>
            </w:pPr>
            <w:r>
              <w:rPr>
                <w:rFonts w:hint="eastAsia"/>
              </w:rPr>
              <w:t>距线路中心</w:t>
            </w:r>
          </w:p>
          <w:p w14:paraId="6E0B7292">
            <w:pPr>
              <w:pStyle w:val="159"/>
              <w:rPr>
                <w:rFonts w:hAnsi="宋体"/>
                <w:sz w:val="22"/>
                <w:szCs w:val="22"/>
              </w:rPr>
            </w:pPr>
            <w:r>
              <w:rPr>
                <w:rFonts w:hint="eastAsia"/>
              </w:rPr>
              <w:t>距离（</w:t>
            </w:r>
            <w:r>
              <w:t>m</w:t>
            </w:r>
            <w:r>
              <w:rPr>
                <w:rFonts w:hint="eastAsia"/>
              </w:rPr>
              <w:t>）</w:t>
            </w:r>
            <w:r>
              <w:t xml:space="preserve"> </w:t>
            </w:r>
          </w:p>
        </w:tc>
        <w:tc>
          <w:tcPr>
            <w:tcW w:w="771" w:type="pct"/>
            <w:vMerge w:val="restart"/>
            <w:vAlign w:val="center"/>
          </w:tcPr>
          <w:p w14:paraId="48374F10">
            <w:pPr>
              <w:pStyle w:val="159"/>
            </w:pPr>
            <w:r>
              <w:rPr>
                <w:rFonts w:hint="eastAsia"/>
              </w:rPr>
              <w:t>距边导线</w:t>
            </w:r>
          </w:p>
          <w:p w14:paraId="0CE0F4C1">
            <w:pPr>
              <w:pStyle w:val="159"/>
              <w:rPr>
                <w:rFonts w:hAnsi="宋体"/>
                <w:sz w:val="22"/>
                <w:szCs w:val="22"/>
              </w:rPr>
            </w:pPr>
            <w:r>
              <w:rPr>
                <w:rFonts w:hint="eastAsia"/>
              </w:rPr>
              <w:t>距离（</w:t>
            </w:r>
            <w:r>
              <w:t>m</w:t>
            </w:r>
            <w:r>
              <w:rPr>
                <w:rFonts w:hint="eastAsia"/>
              </w:rPr>
              <w:t>）</w:t>
            </w:r>
            <w:r>
              <w:t xml:space="preserve"> </w:t>
            </w:r>
          </w:p>
        </w:tc>
        <w:tc>
          <w:tcPr>
            <w:tcW w:w="1716" w:type="pct"/>
            <w:gridSpan w:val="3"/>
            <w:shd w:val="clear" w:color="auto" w:fill="auto"/>
            <w:noWrap/>
            <w:vAlign w:val="center"/>
          </w:tcPr>
          <w:p w14:paraId="62E4F1EF">
            <w:pPr>
              <w:pStyle w:val="159"/>
            </w:pPr>
            <w:r>
              <w:rPr>
                <w:rFonts w:hint="eastAsia"/>
              </w:rPr>
              <w:t>工频电场强度（</w:t>
            </w:r>
            <w:r>
              <w:t>kV/m</w:t>
            </w:r>
            <w:r>
              <w:rPr>
                <w:rFonts w:hint="eastAsia"/>
              </w:rPr>
              <w:t>）</w:t>
            </w:r>
          </w:p>
        </w:tc>
        <w:tc>
          <w:tcPr>
            <w:tcW w:w="1713" w:type="pct"/>
            <w:gridSpan w:val="3"/>
            <w:shd w:val="clear" w:color="auto" w:fill="auto"/>
            <w:noWrap/>
            <w:vAlign w:val="center"/>
          </w:tcPr>
          <w:p w14:paraId="2F93285F">
            <w:pPr>
              <w:pStyle w:val="159"/>
            </w:pPr>
            <w:r>
              <w:rPr>
                <w:rFonts w:hint="eastAsia"/>
              </w:rPr>
              <w:t>工频磁场强度（</w:t>
            </w:r>
            <w:r>
              <w:t>μT</w:t>
            </w:r>
            <w:r>
              <w:rPr>
                <w:rFonts w:hint="eastAsia"/>
              </w:rPr>
              <w:t>）</w:t>
            </w:r>
          </w:p>
        </w:tc>
      </w:tr>
      <w:tr w14:paraId="7E4C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800" w:type="pct"/>
            <w:vMerge w:val="continue"/>
            <w:shd w:val="clear" w:color="auto" w:fill="auto"/>
            <w:noWrap/>
            <w:vAlign w:val="center"/>
          </w:tcPr>
          <w:p w14:paraId="4DFA6EE1">
            <w:pPr>
              <w:pStyle w:val="159"/>
            </w:pPr>
          </w:p>
        </w:tc>
        <w:tc>
          <w:tcPr>
            <w:tcW w:w="771" w:type="pct"/>
            <w:vMerge w:val="continue"/>
            <w:vAlign w:val="center"/>
          </w:tcPr>
          <w:p w14:paraId="1B7C87F4">
            <w:pPr>
              <w:pStyle w:val="159"/>
            </w:pPr>
          </w:p>
        </w:tc>
        <w:tc>
          <w:tcPr>
            <w:tcW w:w="572" w:type="pct"/>
            <w:shd w:val="clear" w:color="auto" w:fill="auto"/>
            <w:noWrap/>
            <w:vAlign w:val="center"/>
          </w:tcPr>
          <w:p w14:paraId="137869CB">
            <w:pPr>
              <w:pStyle w:val="159"/>
            </w:pPr>
            <w:r>
              <w:rPr>
                <w:rFonts w:hint="eastAsia"/>
              </w:rPr>
              <w:t>1</w:t>
            </w:r>
            <w:r>
              <w:t>.5m</w:t>
            </w:r>
            <w:r>
              <w:rPr>
                <w:rFonts w:hint="eastAsia"/>
              </w:rPr>
              <w:t>高</w:t>
            </w:r>
          </w:p>
        </w:tc>
        <w:tc>
          <w:tcPr>
            <w:tcW w:w="572" w:type="pct"/>
            <w:vAlign w:val="center"/>
          </w:tcPr>
          <w:p w14:paraId="0D7F5589">
            <w:pPr>
              <w:pStyle w:val="159"/>
            </w:pPr>
            <w:r>
              <w:t>4.5m</w:t>
            </w:r>
            <w:r>
              <w:rPr>
                <w:rFonts w:hint="eastAsia"/>
              </w:rPr>
              <w:t>高</w:t>
            </w:r>
          </w:p>
        </w:tc>
        <w:tc>
          <w:tcPr>
            <w:tcW w:w="572" w:type="pct"/>
            <w:vAlign w:val="center"/>
          </w:tcPr>
          <w:p w14:paraId="69011281">
            <w:pPr>
              <w:pStyle w:val="159"/>
            </w:pPr>
            <w:r>
              <w:t>7.5m</w:t>
            </w:r>
            <w:r>
              <w:rPr>
                <w:rFonts w:hint="eastAsia"/>
              </w:rPr>
              <w:t>高</w:t>
            </w:r>
          </w:p>
        </w:tc>
        <w:tc>
          <w:tcPr>
            <w:tcW w:w="572" w:type="pct"/>
            <w:shd w:val="clear" w:color="auto" w:fill="auto"/>
            <w:noWrap/>
            <w:vAlign w:val="center"/>
          </w:tcPr>
          <w:p w14:paraId="692FBF5E">
            <w:pPr>
              <w:pStyle w:val="159"/>
            </w:pPr>
            <w:r>
              <w:rPr>
                <w:rFonts w:hint="eastAsia"/>
              </w:rPr>
              <w:t>1</w:t>
            </w:r>
            <w:r>
              <w:t>.5m</w:t>
            </w:r>
            <w:r>
              <w:rPr>
                <w:rFonts w:hint="eastAsia"/>
              </w:rPr>
              <w:t>高</w:t>
            </w:r>
          </w:p>
        </w:tc>
        <w:tc>
          <w:tcPr>
            <w:tcW w:w="572" w:type="pct"/>
            <w:vAlign w:val="center"/>
          </w:tcPr>
          <w:p w14:paraId="67CD778D">
            <w:pPr>
              <w:pStyle w:val="159"/>
            </w:pPr>
            <w:r>
              <w:t>4.5m</w:t>
            </w:r>
            <w:r>
              <w:rPr>
                <w:rFonts w:hint="eastAsia"/>
              </w:rPr>
              <w:t>高</w:t>
            </w:r>
          </w:p>
        </w:tc>
        <w:tc>
          <w:tcPr>
            <w:tcW w:w="569" w:type="pct"/>
            <w:vAlign w:val="center"/>
          </w:tcPr>
          <w:p w14:paraId="50704678">
            <w:pPr>
              <w:pStyle w:val="159"/>
            </w:pPr>
            <w:r>
              <w:t>7.5m</w:t>
            </w:r>
            <w:r>
              <w:rPr>
                <w:rFonts w:hint="eastAsia"/>
              </w:rPr>
              <w:t>高</w:t>
            </w:r>
          </w:p>
        </w:tc>
      </w:tr>
      <w:tr w14:paraId="7067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205657E">
            <w:pPr>
              <w:pStyle w:val="159"/>
              <w:rPr>
                <w:rFonts w:hAnsi="宋体"/>
                <w:sz w:val="22"/>
                <w:szCs w:val="22"/>
              </w:rPr>
            </w:pPr>
            <w:r>
              <w:t>0</w:t>
            </w:r>
          </w:p>
        </w:tc>
        <w:tc>
          <w:tcPr>
            <w:tcW w:w="771" w:type="pct"/>
            <w:vAlign w:val="center"/>
          </w:tcPr>
          <w:p w14:paraId="34136652">
            <w:pPr>
              <w:pStyle w:val="159"/>
              <w:rPr>
                <w:rFonts w:hAnsi="宋体"/>
              </w:rPr>
            </w:pPr>
            <w:r>
              <w:t>线下</w:t>
            </w:r>
          </w:p>
        </w:tc>
        <w:tc>
          <w:tcPr>
            <w:tcW w:w="572" w:type="pct"/>
            <w:shd w:val="clear" w:color="auto" w:fill="auto"/>
            <w:noWrap/>
            <w:vAlign w:val="center"/>
          </w:tcPr>
          <w:p w14:paraId="67491F91">
            <w:pPr>
              <w:pStyle w:val="159"/>
            </w:pPr>
            <w:r>
              <w:rPr>
                <w:rFonts w:hint="eastAsia"/>
              </w:rPr>
              <w:t xml:space="preserve">104.536 </w:t>
            </w:r>
          </w:p>
        </w:tc>
        <w:tc>
          <w:tcPr>
            <w:tcW w:w="572" w:type="pct"/>
            <w:vAlign w:val="center"/>
          </w:tcPr>
          <w:p w14:paraId="7B4CFE53">
            <w:pPr>
              <w:pStyle w:val="159"/>
            </w:pPr>
            <w:r>
              <w:rPr>
                <w:rFonts w:hint="eastAsia"/>
              </w:rPr>
              <w:t xml:space="preserve">294.294 </w:t>
            </w:r>
          </w:p>
        </w:tc>
        <w:tc>
          <w:tcPr>
            <w:tcW w:w="572" w:type="pct"/>
            <w:vAlign w:val="center"/>
          </w:tcPr>
          <w:p w14:paraId="53C5B1A2">
            <w:pPr>
              <w:pStyle w:val="159"/>
            </w:pPr>
            <w:r>
              <w:rPr>
                <w:rFonts w:hint="eastAsia"/>
              </w:rPr>
              <w:t xml:space="preserve">583.357 </w:t>
            </w:r>
          </w:p>
        </w:tc>
        <w:tc>
          <w:tcPr>
            <w:tcW w:w="572" w:type="pct"/>
            <w:shd w:val="clear" w:color="auto" w:fill="auto"/>
            <w:noWrap/>
            <w:vAlign w:val="center"/>
          </w:tcPr>
          <w:p w14:paraId="623C7AE0">
            <w:pPr>
              <w:pStyle w:val="159"/>
            </w:pPr>
            <w:r>
              <w:rPr>
                <w:rFonts w:hint="eastAsia"/>
              </w:rPr>
              <w:t xml:space="preserve">4.836 </w:t>
            </w:r>
          </w:p>
        </w:tc>
        <w:tc>
          <w:tcPr>
            <w:tcW w:w="572" w:type="pct"/>
            <w:vAlign w:val="center"/>
          </w:tcPr>
          <w:p w14:paraId="4542DA36">
            <w:pPr>
              <w:pStyle w:val="159"/>
            </w:pPr>
            <w:r>
              <w:rPr>
                <w:rFonts w:hint="eastAsia"/>
              </w:rPr>
              <w:t xml:space="preserve">6.855 </w:t>
            </w:r>
          </w:p>
        </w:tc>
        <w:tc>
          <w:tcPr>
            <w:tcW w:w="569" w:type="pct"/>
            <w:vAlign w:val="center"/>
          </w:tcPr>
          <w:p w14:paraId="30BA269B">
            <w:pPr>
              <w:pStyle w:val="159"/>
            </w:pPr>
            <w:r>
              <w:rPr>
                <w:rFonts w:hint="eastAsia"/>
              </w:rPr>
              <w:t xml:space="preserve">10.301 </w:t>
            </w:r>
          </w:p>
        </w:tc>
      </w:tr>
      <w:tr w14:paraId="0364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9002425">
            <w:pPr>
              <w:pStyle w:val="159"/>
              <w:rPr>
                <w:rFonts w:hAnsi="宋体"/>
                <w:sz w:val="22"/>
                <w:szCs w:val="22"/>
              </w:rPr>
            </w:pPr>
            <w:r>
              <w:t>1</w:t>
            </w:r>
          </w:p>
        </w:tc>
        <w:tc>
          <w:tcPr>
            <w:tcW w:w="771" w:type="pct"/>
            <w:vAlign w:val="center"/>
          </w:tcPr>
          <w:p w14:paraId="75777D79">
            <w:pPr>
              <w:pStyle w:val="159"/>
              <w:rPr>
                <w:rFonts w:hAnsi="宋体"/>
              </w:rPr>
            </w:pPr>
            <w:r>
              <w:t>线下</w:t>
            </w:r>
          </w:p>
        </w:tc>
        <w:tc>
          <w:tcPr>
            <w:tcW w:w="572" w:type="pct"/>
            <w:shd w:val="clear" w:color="auto" w:fill="auto"/>
            <w:noWrap/>
            <w:vAlign w:val="center"/>
          </w:tcPr>
          <w:p w14:paraId="04158997">
            <w:pPr>
              <w:pStyle w:val="159"/>
            </w:pPr>
            <w:r>
              <w:rPr>
                <w:rFonts w:hint="eastAsia"/>
              </w:rPr>
              <w:t xml:space="preserve">117.727 </w:t>
            </w:r>
          </w:p>
        </w:tc>
        <w:tc>
          <w:tcPr>
            <w:tcW w:w="572" w:type="pct"/>
            <w:vAlign w:val="center"/>
          </w:tcPr>
          <w:p w14:paraId="494C186F">
            <w:pPr>
              <w:pStyle w:val="159"/>
            </w:pPr>
            <w:r>
              <w:rPr>
                <w:rFonts w:hint="eastAsia"/>
              </w:rPr>
              <w:t xml:space="preserve">298.999 </w:t>
            </w:r>
          </w:p>
        </w:tc>
        <w:tc>
          <w:tcPr>
            <w:tcW w:w="572" w:type="pct"/>
            <w:vAlign w:val="center"/>
          </w:tcPr>
          <w:p w14:paraId="0752251B">
            <w:pPr>
              <w:pStyle w:val="159"/>
            </w:pPr>
            <w:r>
              <w:rPr>
                <w:rFonts w:hint="eastAsia"/>
              </w:rPr>
              <w:t xml:space="preserve">584.837 </w:t>
            </w:r>
          </w:p>
        </w:tc>
        <w:tc>
          <w:tcPr>
            <w:tcW w:w="572" w:type="pct"/>
            <w:shd w:val="clear" w:color="auto" w:fill="auto"/>
            <w:noWrap/>
            <w:vAlign w:val="center"/>
          </w:tcPr>
          <w:p w14:paraId="75663AEC">
            <w:pPr>
              <w:pStyle w:val="159"/>
            </w:pPr>
            <w:r>
              <w:rPr>
                <w:rFonts w:hint="eastAsia"/>
              </w:rPr>
              <w:t xml:space="preserve">4.789 </w:t>
            </w:r>
          </w:p>
        </w:tc>
        <w:tc>
          <w:tcPr>
            <w:tcW w:w="572" w:type="pct"/>
            <w:vAlign w:val="center"/>
          </w:tcPr>
          <w:p w14:paraId="6DEF5FD3">
            <w:pPr>
              <w:pStyle w:val="159"/>
            </w:pPr>
            <w:r>
              <w:rPr>
                <w:rFonts w:hint="eastAsia"/>
              </w:rPr>
              <w:t xml:space="preserve">6.760 </w:t>
            </w:r>
          </w:p>
        </w:tc>
        <w:tc>
          <w:tcPr>
            <w:tcW w:w="569" w:type="pct"/>
            <w:vAlign w:val="center"/>
          </w:tcPr>
          <w:p w14:paraId="133C17AB">
            <w:pPr>
              <w:pStyle w:val="159"/>
            </w:pPr>
            <w:r>
              <w:rPr>
                <w:rFonts w:hint="eastAsia"/>
              </w:rPr>
              <w:t xml:space="preserve">10.084 </w:t>
            </w:r>
          </w:p>
        </w:tc>
      </w:tr>
      <w:tr w14:paraId="0A7D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49096F90">
            <w:pPr>
              <w:pStyle w:val="159"/>
              <w:rPr>
                <w:rFonts w:hAnsi="宋体"/>
                <w:sz w:val="22"/>
                <w:szCs w:val="22"/>
              </w:rPr>
            </w:pPr>
            <w:r>
              <w:t>2</w:t>
            </w:r>
          </w:p>
        </w:tc>
        <w:tc>
          <w:tcPr>
            <w:tcW w:w="771" w:type="pct"/>
            <w:vAlign w:val="center"/>
          </w:tcPr>
          <w:p w14:paraId="0A09CB32">
            <w:pPr>
              <w:pStyle w:val="159"/>
              <w:rPr>
                <w:rFonts w:hAnsi="宋体"/>
              </w:rPr>
            </w:pPr>
            <w:r>
              <w:t>线下</w:t>
            </w:r>
          </w:p>
        </w:tc>
        <w:tc>
          <w:tcPr>
            <w:tcW w:w="572" w:type="pct"/>
            <w:shd w:val="clear" w:color="auto" w:fill="auto"/>
            <w:noWrap/>
            <w:vAlign w:val="center"/>
          </w:tcPr>
          <w:p w14:paraId="34C4F583">
            <w:pPr>
              <w:pStyle w:val="159"/>
            </w:pPr>
            <w:r>
              <w:rPr>
                <w:rFonts w:hint="eastAsia"/>
              </w:rPr>
              <w:t xml:space="preserve">149.585 </w:t>
            </w:r>
          </w:p>
        </w:tc>
        <w:tc>
          <w:tcPr>
            <w:tcW w:w="572" w:type="pct"/>
            <w:vAlign w:val="center"/>
          </w:tcPr>
          <w:p w14:paraId="030B6CD9">
            <w:pPr>
              <w:pStyle w:val="159"/>
            </w:pPr>
            <w:r>
              <w:rPr>
                <w:rFonts w:hint="eastAsia"/>
              </w:rPr>
              <w:t xml:space="preserve">312.192 </w:t>
            </w:r>
          </w:p>
        </w:tc>
        <w:tc>
          <w:tcPr>
            <w:tcW w:w="572" w:type="pct"/>
            <w:vAlign w:val="center"/>
          </w:tcPr>
          <w:p w14:paraId="685B7488">
            <w:pPr>
              <w:pStyle w:val="159"/>
            </w:pPr>
            <w:r>
              <w:rPr>
                <w:rFonts w:hint="eastAsia"/>
              </w:rPr>
              <w:t xml:space="preserve">588.929 </w:t>
            </w:r>
          </w:p>
        </w:tc>
        <w:tc>
          <w:tcPr>
            <w:tcW w:w="572" w:type="pct"/>
            <w:shd w:val="clear" w:color="auto" w:fill="auto"/>
            <w:noWrap/>
            <w:vAlign w:val="center"/>
          </w:tcPr>
          <w:p w14:paraId="17926BFD">
            <w:pPr>
              <w:pStyle w:val="159"/>
            </w:pPr>
            <w:r>
              <w:rPr>
                <w:rFonts w:hint="eastAsia"/>
              </w:rPr>
              <w:t xml:space="preserve">4.719 </w:t>
            </w:r>
          </w:p>
        </w:tc>
        <w:tc>
          <w:tcPr>
            <w:tcW w:w="572" w:type="pct"/>
            <w:vAlign w:val="center"/>
          </w:tcPr>
          <w:p w14:paraId="67458693">
            <w:pPr>
              <w:pStyle w:val="159"/>
            </w:pPr>
            <w:r>
              <w:rPr>
                <w:rFonts w:hint="eastAsia"/>
              </w:rPr>
              <w:t xml:space="preserve">6.626 </w:t>
            </w:r>
          </w:p>
        </w:tc>
        <w:tc>
          <w:tcPr>
            <w:tcW w:w="569" w:type="pct"/>
            <w:vAlign w:val="center"/>
          </w:tcPr>
          <w:p w14:paraId="7148A20C">
            <w:pPr>
              <w:pStyle w:val="159"/>
            </w:pPr>
            <w:r>
              <w:rPr>
                <w:rFonts w:hint="eastAsia"/>
              </w:rPr>
              <w:t xml:space="preserve">9.802 </w:t>
            </w:r>
          </w:p>
        </w:tc>
      </w:tr>
      <w:tr w14:paraId="6249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0DD99D30">
            <w:pPr>
              <w:pStyle w:val="159"/>
              <w:rPr>
                <w:rFonts w:hAnsi="宋体"/>
                <w:sz w:val="22"/>
                <w:szCs w:val="22"/>
              </w:rPr>
            </w:pPr>
            <w:r>
              <w:t>3</w:t>
            </w:r>
          </w:p>
        </w:tc>
        <w:tc>
          <w:tcPr>
            <w:tcW w:w="771" w:type="pct"/>
            <w:vAlign w:val="center"/>
          </w:tcPr>
          <w:p w14:paraId="706FFA93">
            <w:pPr>
              <w:pStyle w:val="159"/>
              <w:rPr>
                <w:rFonts w:hAnsi="宋体"/>
              </w:rPr>
            </w:pPr>
            <w:r>
              <w:t>线下</w:t>
            </w:r>
          </w:p>
        </w:tc>
        <w:tc>
          <w:tcPr>
            <w:tcW w:w="572" w:type="pct"/>
            <w:shd w:val="clear" w:color="auto" w:fill="auto"/>
            <w:noWrap/>
            <w:vAlign w:val="center"/>
          </w:tcPr>
          <w:p w14:paraId="12ECC5D4">
            <w:pPr>
              <w:pStyle w:val="159"/>
            </w:pPr>
            <w:r>
              <w:rPr>
                <w:rFonts w:hint="eastAsia"/>
              </w:rPr>
              <w:t xml:space="preserve">188.856 </w:t>
            </w:r>
          </w:p>
        </w:tc>
        <w:tc>
          <w:tcPr>
            <w:tcW w:w="572" w:type="pct"/>
            <w:vAlign w:val="center"/>
          </w:tcPr>
          <w:p w14:paraId="206E0333">
            <w:pPr>
              <w:pStyle w:val="159"/>
            </w:pPr>
            <w:r>
              <w:rPr>
                <w:rFonts w:hint="eastAsia"/>
              </w:rPr>
              <w:t xml:space="preserve">331.513 </w:t>
            </w:r>
          </w:p>
        </w:tc>
        <w:tc>
          <w:tcPr>
            <w:tcW w:w="572" w:type="pct"/>
            <w:vAlign w:val="center"/>
          </w:tcPr>
          <w:p w14:paraId="377D834F">
            <w:pPr>
              <w:pStyle w:val="159"/>
            </w:pPr>
            <w:r>
              <w:rPr>
                <w:rFonts w:hint="eastAsia"/>
              </w:rPr>
              <w:t xml:space="preserve">594.636 </w:t>
            </w:r>
          </w:p>
        </w:tc>
        <w:tc>
          <w:tcPr>
            <w:tcW w:w="572" w:type="pct"/>
            <w:shd w:val="clear" w:color="auto" w:fill="auto"/>
            <w:noWrap/>
            <w:vAlign w:val="center"/>
          </w:tcPr>
          <w:p w14:paraId="652347FC">
            <w:pPr>
              <w:pStyle w:val="159"/>
            </w:pPr>
            <w:r>
              <w:rPr>
                <w:rFonts w:hint="eastAsia"/>
              </w:rPr>
              <w:t xml:space="preserve">4.628 </w:t>
            </w:r>
          </w:p>
        </w:tc>
        <w:tc>
          <w:tcPr>
            <w:tcW w:w="572" w:type="pct"/>
            <w:vAlign w:val="center"/>
          </w:tcPr>
          <w:p w14:paraId="158D8A08">
            <w:pPr>
              <w:pStyle w:val="159"/>
            </w:pPr>
            <w:r>
              <w:rPr>
                <w:rFonts w:hint="eastAsia"/>
              </w:rPr>
              <w:t xml:space="preserve">6.456 </w:t>
            </w:r>
          </w:p>
        </w:tc>
        <w:tc>
          <w:tcPr>
            <w:tcW w:w="569" w:type="pct"/>
            <w:vAlign w:val="center"/>
          </w:tcPr>
          <w:p w14:paraId="71F51591">
            <w:pPr>
              <w:pStyle w:val="159"/>
            </w:pPr>
            <w:r>
              <w:rPr>
                <w:rFonts w:hint="eastAsia"/>
              </w:rPr>
              <w:t xml:space="preserve">9.466 </w:t>
            </w:r>
          </w:p>
        </w:tc>
      </w:tr>
      <w:tr w14:paraId="60C2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1EF48BA">
            <w:pPr>
              <w:pStyle w:val="159"/>
              <w:rPr>
                <w:rFonts w:hAnsi="宋体"/>
                <w:sz w:val="22"/>
                <w:szCs w:val="22"/>
              </w:rPr>
            </w:pPr>
            <w:r>
              <w:t>4</w:t>
            </w:r>
          </w:p>
        </w:tc>
        <w:tc>
          <w:tcPr>
            <w:tcW w:w="771" w:type="pct"/>
            <w:vAlign w:val="center"/>
          </w:tcPr>
          <w:p w14:paraId="43C5D8F1">
            <w:pPr>
              <w:pStyle w:val="159"/>
              <w:rPr>
                <w:rFonts w:hAnsi="宋体"/>
              </w:rPr>
            </w:pPr>
            <w:r>
              <w:t>线下</w:t>
            </w:r>
          </w:p>
        </w:tc>
        <w:tc>
          <w:tcPr>
            <w:tcW w:w="572" w:type="pct"/>
            <w:shd w:val="clear" w:color="auto" w:fill="auto"/>
            <w:noWrap/>
            <w:vAlign w:val="center"/>
          </w:tcPr>
          <w:p w14:paraId="1820796F">
            <w:pPr>
              <w:pStyle w:val="159"/>
            </w:pPr>
            <w:r>
              <w:rPr>
                <w:rFonts w:hint="eastAsia"/>
              </w:rPr>
              <w:t xml:space="preserve">229.104 </w:t>
            </w:r>
          </w:p>
        </w:tc>
        <w:tc>
          <w:tcPr>
            <w:tcW w:w="572" w:type="pct"/>
            <w:vAlign w:val="center"/>
          </w:tcPr>
          <w:p w14:paraId="30DF4FAC">
            <w:pPr>
              <w:pStyle w:val="159"/>
            </w:pPr>
            <w:r>
              <w:rPr>
                <w:rFonts w:hint="eastAsia"/>
              </w:rPr>
              <w:t xml:space="preserve">354.015 </w:t>
            </w:r>
          </w:p>
        </w:tc>
        <w:tc>
          <w:tcPr>
            <w:tcW w:w="572" w:type="pct"/>
            <w:vAlign w:val="center"/>
          </w:tcPr>
          <w:p w14:paraId="020043BE">
            <w:pPr>
              <w:pStyle w:val="159"/>
            </w:pPr>
            <w:r>
              <w:rPr>
                <w:rFonts w:hint="eastAsia"/>
              </w:rPr>
              <w:t xml:space="preserve">600.482 </w:t>
            </w:r>
          </w:p>
        </w:tc>
        <w:tc>
          <w:tcPr>
            <w:tcW w:w="572" w:type="pct"/>
            <w:shd w:val="clear" w:color="auto" w:fill="auto"/>
            <w:noWrap/>
            <w:vAlign w:val="center"/>
          </w:tcPr>
          <w:p w14:paraId="5F3383B9">
            <w:pPr>
              <w:pStyle w:val="159"/>
            </w:pPr>
            <w:r>
              <w:rPr>
                <w:rFonts w:hint="eastAsia"/>
              </w:rPr>
              <w:t xml:space="preserve">4.518 </w:t>
            </w:r>
          </w:p>
        </w:tc>
        <w:tc>
          <w:tcPr>
            <w:tcW w:w="572" w:type="pct"/>
            <w:vAlign w:val="center"/>
          </w:tcPr>
          <w:p w14:paraId="565136C9">
            <w:pPr>
              <w:pStyle w:val="159"/>
            </w:pPr>
            <w:r>
              <w:rPr>
                <w:rFonts w:hint="eastAsia"/>
              </w:rPr>
              <w:t xml:space="preserve">6.257 </w:t>
            </w:r>
          </w:p>
        </w:tc>
        <w:tc>
          <w:tcPr>
            <w:tcW w:w="569" w:type="pct"/>
            <w:vAlign w:val="center"/>
          </w:tcPr>
          <w:p w14:paraId="04AFA10E">
            <w:pPr>
              <w:pStyle w:val="159"/>
            </w:pPr>
            <w:r>
              <w:rPr>
                <w:rFonts w:hint="eastAsia"/>
              </w:rPr>
              <w:t xml:space="preserve">9.084 </w:t>
            </w:r>
          </w:p>
        </w:tc>
      </w:tr>
      <w:tr w14:paraId="5D39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59EACBE">
            <w:pPr>
              <w:pStyle w:val="159"/>
              <w:rPr>
                <w:rFonts w:hAnsi="宋体"/>
                <w:sz w:val="22"/>
                <w:szCs w:val="22"/>
              </w:rPr>
            </w:pPr>
            <w:r>
              <w:t>5</w:t>
            </w:r>
          </w:p>
        </w:tc>
        <w:tc>
          <w:tcPr>
            <w:tcW w:w="771" w:type="pct"/>
            <w:vAlign w:val="center"/>
          </w:tcPr>
          <w:p w14:paraId="0355A97A">
            <w:pPr>
              <w:pStyle w:val="159"/>
              <w:rPr>
                <w:rFonts w:hAnsi="宋体"/>
              </w:rPr>
            </w:pPr>
            <w:r>
              <w:t>线下</w:t>
            </w:r>
          </w:p>
        </w:tc>
        <w:tc>
          <w:tcPr>
            <w:tcW w:w="572" w:type="pct"/>
            <w:shd w:val="clear" w:color="auto" w:fill="auto"/>
            <w:noWrap/>
            <w:vAlign w:val="center"/>
          </w:tcPr>
          <w:p w14:paraId="0853667F">
            <w:pPr>
              <w:pStyle w:val="159"/>
            </w:pPr>
            <w:r>
              <w:rPr>
                <w:rFonts w:hint="eastAsia"/>
              </w:rPr>
              <w:t xml:space="preserve">267.034 </w:t>
            </w:r>
          </w:p>
        </w:tc>
        <w:tc>
          <w:tcPr>
            <w:tcW w:w="572" w:type="pct"/>
            <w:vAlign w:val="center"/>
          </w:tcPr>
          <w:p w14:paraId="028FB9F5">
            <w:pPr>
              <w:pStyle w:val="159"/>
            </w:pPr>
            <w:r>
              <w:rPr>
                <w:rFonts w:hint="eastAsia"/>
              </w:rPr>
              <w:t xml:space="preserve">376.880 </w:t>
            </w:r>
          </w:p>
        </w:tc>
        <w:tc>
          <w:tcPr>
            <w:tcW w:w="572" w:type="pct"/>
            <w:vAlign w:val="center"/>
          </w:tcPr>
          <w:p w14:paraId="5EDD98BC">
            <w:pPr>
              <w:pStyle w:val="159"/>
            </w:pPr>
            <w:r>
              <w:rPr>
                <w:rFonts w:hint="eastAsia"/>
              </w:rPr>
              <w:t xml:space="preserve">604.762 </w:t>
            </w:r>
          </w:p>
        </w:tc>
        <w:tc>
          <w:tcPr>
            <w:tcW w:w="572" w:type="pct"/>
            <w:shd w:val="clear" w:color="auto" w:fill="auto"/>
            <w:noWrap/>
            <w:vAlign w:val="center"/>
          </w:tcPr>
          <w:p w14:paraId="76394EFE">
            <w:pPr>
              <w:pStyle w:val="159"/>
            </w:pPr>
            <w:r>
              <w:rPr>
                <w:rFonts w:hint="eastAsia"/>
              </w:rPr>
              <w:t xml:space="preserve">4.392 </w:t>
            </w:r>
          </w:p>
        </w:tc>
        <w:tc>
          <w:tcPr>
            <w:tcW w:w="572" w:type="pct"/>
            <w:vAlign w:val="center"/>
          </w:tcPr>
          <w:p w14:paraId="0F98704B">
            <w:pPr>
              <w:pStyle w:val="159"/>
            </w:pPr>
            <w:r>
              <w:rPr>
                <w:rFonts w:hint="eastAsia"/>
              </w:rPr>
              <w:t xml:space="preserve">6.031 </w:t>
            </w:r>
          </w:p>
        </w:tc>
        <w:tc>
          <w:tcPr>
            <w:tcW w:w="569" w:type="pct"/>
            <w:vAlign w:val="center"/>
          </w:tcPr>
          <w:p w14:paraId="6618B733">
            <w:pPr>
              <w:pStyle w:val="159"/>
            </w:pPr>
            <w:r>
              <w:rPr>
                <w:rFonts w:hint="eastAsia"/>
              </w:rPr>
              <w:t xml:space="preserve">8.664 </w:t>
            </w:r>
          </w:p>
        </w:tc>
      </w:tr>
      <w:tr w14:paraId="4792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6F5E6A53">
            <w:pPr>
              <w:pStyle w:val="159"/>
              <w:rPr>
                <w:rFonts w:hAnsi="宋体"/>
                <w:sz w:val="22"/>
                <w:szCs w:val="22"/>
              </w:rPr>
            </w:pPr>
            <w:r>
              <w:t>6</w:t>
            </w:r>
          </w:p>
        </w:tc>
        <w:tc>
          <w:tcPr>
            <w:tcW w:w="771" w:type="pct"/>
            <w:vAlign w:val="center"/>
          </w:tcPr>
          <w:p w14:paraId="1421E40C">
            <w:pPr>
              <w:pStyle w:val="159"/>
              <w:rPr>
                <w:rFonts w:hAnsi="宋体"/>
                <w:sz w:val="22"/>
                <w:szCs w:val="22"/>
              </w:rPr>
            </w:pPr>
            <w:r>
              <w:t>0</w:t>
            </w:r>
          </w:p>
        </w:tc>
        <w:tc>
          <w:tcPr>
            <w:tcW w:w="572" w:type="pct"/>
            <w:shd w:val="clear" w:color="auto" w:fill="auto"/>
            <w:noWrap/>
            <w:vAlign w:val="center"/>
          </w:tcPr>
          <w:p w14:paraId="7336576E">
            <w:pPr>
              <w:pStyle w:val="159"/>
            </w:pPr>
            <w:r>
              <w:rPr>
                <w:rFonts w:hint="eastAsia"/>
              </w:rPr>
              <w:t xml:space="preserve">300.802 </w:t>
            </w:r>
          </w:p>
        </w:tc>
        <w:tc>
          <w:tcPr>
            <w:tcW w:w="572" w:type="pct"/>
            <w:vAlign w:val="center"/>
          </w:tcPr>
          <w:p w14:paraId="06C50436">
            <w:pPr>
              <w:pStyle w:val="159"/>
            </w:pPr>
            <w:r>
              <w:rPr>
                <w:rFonts w:hint="eastAsia"/>
              </w:rPr>
              <w:t xml:space="preserve">397.794 </w:t>
            </w:r>
          </w:p>
        </w:tc>
        <w:tc>
          <w:tcPr>
            <w:tcW w:w="572" w:type="pct"/>
            <w:vAlign w:val="center"/>
          </w:tcPr>
          <w:p w14:paraId="4F3F38CC">
            <w:pPr>
              <w:pStyle w:val="159"/>
            </w:pPr>
            <w:r>
              <w:rPr>
                <w:rFonts w:hint="eastAsia"/>
              </w:rPr>
              <w:t xml:space="preserve">605.862 </w:t>
            </w:r>
          </w:p>
        </w:tc>
        <w:tc>
          <w:tcPr>
            <w:tcW w:w="572" w:type="pct"/>
            <w:shd w:val="clear" w:color="auto" w:fill="auto"/>
            <w:noWrap/>
            <w:vAlign w:val="center"/>
          </w:tcPr>
          <w:p w14:paraId="4772D841">
            <w:pPr>
              <w:pStyle w:val="159"/>
            </w:pPr>
            <w:r>
              <w:rPr>
                <w:rFonts w:hint="eastAsia"/>
              </w:rPr>
              <w:t xml:space="preserve">4.251 </w:t>
            </w:r>
          </w:p>
        </w:tc>
        <w:tc>
          <w:tcPr>
            <w:tcW w:w="572" w:type="pct"/>
            <w:vAlign w:val="center"/>
          </w:tcPr>
          <w:p w14:paraId="1BDF0FE8">
            <w:pPr>
              <w:pStyle w:val="159"/>
            </w:pPr>
            <w:r>
              <w:rPr>
                <w:rFonts w:hint="eastAsia"/>
              </w:rPr>
              <w:t xml:space="preserve">5.785 </w:t>
            </w:r>
          </w:p>
        </w:tc>
        <w:tc>
          <w:tcPr>
            <w:tcW w:w="569" w:type="pct"/>
            <w:vAlign w:val="center"/>
          </w:tcPr>
          <w:p w14:paraId="5771E609">
            <w:pPr>
              <w:pStyle w:val="159"/>
            </w:pPr>
            <w:r>
              <w:rPr>
                <w:rFonts w:hint="eastAsia"/>
              </w:rPr>
              <w:t xml:space="preserve">8.213 </w:t>
            </w:r>
          </w:p>
        </w:tc>
      </w:tr>
      <w:tr w14:paraId="4E58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66010A15">
            <w:pPr>
              <w:pStyle w:val="159"/>
              <w:rPr>
                <w:rFonts w:hAnsi="宋体"/>
                <w:sz w:val="22"/>
                <w:szCs w:val="22"/>
              </w:rPr>
            </w:pPr>
            <w:r>
              <w:t>7</w:t>
            </w:r>
          </w:p>
        </w:tc>
        <w:tc>
          <w:tcPr>
            <w:tcW w:w="771" w:type="pct"/>
            <w:vAlign w:val="center"/>
          </w:tcPr>
          <w:p w14:paraId="50ECA49D">
            <w:pPr>
              <w:pStyle w:val="159"/>
              <w:rPr>
                <w:rFonts w:hAnsi="宋体"/>
                <w:sz w:val="22"/>
                <w:szCs w:val="22"/>
              </w:rPr>
            </w:pPr>
            <w:r>
              <w:rPr>
                <w:color w:val="000000"/>
                <w:kern w:val="0"/>
              </w:rPr>
              <w:t>1</w:t>
            </w:r>
          </w:p>
        </w:tc>
        <w:tc>
          <w:tcPr>
            <w:tcW w:w="572" w:type="pct"/>
            <w:shd w:val="clear" w:color="auto" w:fill="auto"/>
            <w:noWrap/>
            <w:vAlign w:val="center"/>
          </w:tcPr>
          <w:p w14:paraId="217404D6">
            <w:pPr>
              <w:pStyle w:val="159"/>
            </w:pPr>
            <w:r>
              <w:rPr>
                <w:rFonts w:hint="eastAsia"/>
              </w:rPr>
              <w:t xml:space="preserve">329.325 </w:t>
            </w:r>
          </w:p>
        </w:tc>
        <w:tc>
          <w:tcPr>
            <w:tcW w:w="572" w:type="pct"/>
            <w:vAlign w:val="center"/>
          </w:tcPr>
          <w:p w14:paraId="7AEA4B7F">
            <w:pPr>
              <w:pStyle w:val="159"/>
            </w:pPr>
            <w:r>
              <w:rPr>
                <w:rFonts w:hint="eastAsia"/>
              </w:rPr>
              <w:t xml:space="preserve">415.069 </w:t>
            </w:r>
          </w:p>
        </w:tc>
        <w:tc>
          <w:tcPr>
            <w:tcW w:w="572" w:type="pct"/>
            <w:vAlign w:val="center"/>
          </w:tcPr>
          <w:p w14:paraId="095F4B77">
            <w:pPr>
              <w:pStyle w:val="159"/>
            </w:pPr>
            <w:r>
              <w:rPr>
                <w:rFonts w:hint="eastAsia"/>
              </w:rPr>
              <w:t xml:space="preserve">602.551 </w:t>
            </w:r>
          </w:p>
        </w:tc>
        <w:tc>
          <w:tcPr>
            <w:tcW w:w="572" w:type="pct"/>
            <w:shd w:val="clear" w:color="auto" w:fill="auto"/>
            <w:noWrap/>
            <w:vAlign w:val="center"/>
          </w:tcPr>
          <w:p w14:paraId="27DEBF51">
            <w:pPr>
              <w:pStyle w:val="159"/>
            </w:pPr>
            <w:r>
              <w:rPr>
                <w:rFonts w:hint="eastAsia"/>
              </w:rPr>
              <w:t xml:space="preserve">4.100 </w:t>
            </w:r>
          </w:p>
        </w:tc>
        <w:tc>
          <w:tcPr>
            <w:tcW w:w="572" w:type="pct"/>
            <w:vAlign w:val="center"/>
          </w:tcPr>
          <w:p w14:paraId="275E4AE9">
            <w:pPr>
              <w:pStyle w:val="159"/>
            </w:pPr>
            <w:r>
              <w:rPr>
                <w:rFonts w:hint="eastAsia"/>
              </w:rPr>
              <w:t xml:space="preserve">5.522 </w:t>
            </w:r>
          </w:p>
        </w:tc>
        <w:tc>
          <w:tcPr>
            <w:tcW w:w="569" w:type="pct"/>
            <w:vAlign w:val="center"/>
          </w:tcPr>
          <w:p w14:paraId="676CA73B">
            <w:pPr>
              <w:pStyle w:val="159"/>
            </w:pPr>
            <w:r>
              <w:rPr>
                <w:rFonts w:hint="eastAsia"/>
              </w:rPr>
              <w:t xml:space="preserve">7.738 </w:t>
            </w:r>
          </w:p>
        </w:tc>
      </w:tr>
      <w:tr w14:paraId="6FDC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250F324">
            <w:pPr>
              <w:pStyle w:val="159"/>
              <w:rPr>
                <w:rFonts w:hAnsi="宋体"/>
                <w:sz w:val="22"/>
                <w:szCs w:val="22"/>
              </w:rPr>
            </w:pPr>
            <w:r>
              <w:t>8</w:t>
            </w:r>
          </w:p>
        </w:tc>
        <w:tc>
          <w:tcPr>
            <w:tcW w:w="771" w:type="pct"/>
            <w:vAlign w:val="center"/>
          </w:tcPr>
          <w:p w14:paraId="668C7E0C">
            <w:pPr>
              <w:pStyle w:val="159"/>
              <w:rPr>
                <w:rFonts w:hAnsi="宋体"/>
                <w:sz w:val="22"/>
                <w:szCs w:val="22"/>
              </w:rPr>
            </w:pPr>
            <w:r>
              <w:rPr>
                <w:color w:val="000000"/>
                <w:kern w:val="0"/>
              </w:rPr>
              <w:t>2</w:t>
            </w:r>
          </w:p>
        </w:tc>
        <w:tc>
          <w:tcPr>
            <w:tcW w:w="572" w:type="pct"/>
            <w:shd w:val="clear" w:color="auto" w:fill="auto"/>
            <w:noWrap/>
            <w:vAlign w:val="center"/>
          </w:tcPr>
          <w:p w14:paraId="36CC879F">
            <w:pPr>
              <w:pStyle w:val="159"/>
            </w:pPr>
            <w:r>
              <w:rPr>
                <w:rFonts w:hint="eastAsia"/>
              </w:rPr>
              <w:t xml:space="preserve">352.023 </w:t>
            </w:r>
          </w:p>
        </w:tc>
        <w:tc>
          <w:tcPr>
            <w:tcW w:w="572" w:type="pct"/>
            <w:vAlign w:val="center"/>
          </w:tcPr>
          <w:p w14:paraId="5F7BC2DD">
            <w:pPr>
              <w:pStyle w:val="159"/>
            </w:pPr>
            <w:r>
              <w:rPr>
                <w:rFonts w:hint="eastAsia"/>
              </w:rPr>
              <w:t xml:space="preserve">427.642 </w:t>
            </w:r>
          </w:p>
        </w:tc>
        <w:tc>
          <w:tcPr>
            <w:tcW w:w="572" w:type="pct"/>
            <w:vAlign w:val="center"/>
          </w:tcPr>
          <w:p w14:paraId="29EF8BE7">
            <w:pPr>
              <w:pStyle w:val="159"/>
            </w:pPr>
            <w:r>
              <w:rPr>
                <w:rFonts w:hint="eastAsia"/>
              </w:rPr>
              <w:t xml:space="preserve">594.174 </w:t>
            </w:r>
          </w:p>
        </w:tc>
        <w:tc>
          <w:tcPr>
            <w:tcW w:w="572" w:type="pct"/>
            <w:shd w:val="clear" w:color="auto" w:fill="auto"/>
            <w:noWrap/>
            <w:vAlign w:val="center"/>
          </w:tcPr>
          <w:p w14:paraId="65D6DACF">
            <w:pPr>
              <w:pStyle w:val="159"/>
            </w:pPr>
            <w:r>
              <w:rPr>
                <w:rFonts w:hint="eastAsia"/>
              </w:rPr>
              <w:t xml:space="preserve">3.940 </w:t>
            </w:r>
          </w:p>
        </w:tc>
        <w:tc>
          <w:tcPr>
            <w:tcW w:w="572" w:type="pct"/>
            <w:vAlign w:val="center"/>
          </w:tcPr>
          <w:p w14:paraId="7E951262">
            <w:pPr>
              <w:pStyle w:val="159"/>
            </w:pPr>
            <w:r>
              <w:rPr>
                <w:rFonts w:hint="eastAsia"/>
              </w:rPr>
              <w:t xml:space="preserve">5.249 </w:t>
            </w:r>
          </w:p>
        </w:tc>
        <w:tc>
          <w:tcPr>
            <w:tcW w:w="569" w:type="pct"/>
            <w:vAlign w:val="center"/>
          </w:tcPr>
          <w:p w14:paraId="37EF3BFA">
            <w:pPr>
              <w:pStyle w:val="159"/>
            </w:pPr>
            <w:r>
              <w:rPr>
                <w:rFonts w:hint="eastAsia"/>
              </w:rPr>
              <w:t xml:space="preserve">7.249 </w:t>
            </w:r>
          </w:p>
        </w:tc>
      </w:tr>
      <w:tr w14:paraId="17E9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03020473">
            <w:pPr>
              <w:pStyle w:val="159"/>
              <w:rPr>
                <w:rFonts w:hAnsi="宋体"/>
                <w:sz w:val="22"/>
                <w:szCs w:val="22"/>
              </w:rPr>
            </w:pPr>
            <w:r>
              <w:t>9</w:t>
            </w:r>
          </w:p>
        </w:tc>
        <w:tc>
          <w:tcPr>
            <w:tcW w:w="771" w:type="pct"/>
            <w:vAlign w:val="center"/>
          </w:tcPr>
          <w:p w14:paraId="7F7162A6">
            <w:pPr>
              <w:pStyle w:val="159"/>
              <w:rPr>
                <w:rFonts w:hAnsi="宋体"/>
                <w:sz w:val="22"/>
                <w:szCs w:val="22"/>
              </w:rPr>
            </w:pPr>
            <w:r>
              <w:rPr>
                <w:color w:val="000000"/>
                <w:kern w:val="0"/>
              </w:rPr>
              <w:t>3</w:t>
            </w:r>
          </w:p>
        </w:tc>
        <w:tc>
          <w:tcPr>
            <w:tcW w:w="572" w:type="pct"/>
            <w:shd w:val="clear" w:color="auto" w:fill="auto"/>
            <w:noWrap/>
            <w:vAlign w:val="center"/>
          </w:tcPr>
          <w:p w14:paraId="3BE28753">
            <w:pPr>
              <w:pStyle w:val="159"/>
            </w:pPr>
            <w:r>
              <w:rPr>
                <w:rFonts w:hint="eastAsia"/>
              </w:rPr>
              <w:t xml:space="preserve">368.707 </w:t>
            </w:r>
          </w:p>
        </w:tc>
        <w:tc>
          <w:tcPr>
            <w:tcW w:w="572" w:type="pct"/>
            <w:vAlign w:val="center"/>
          </w:tcPr>
          <w:p w14:paraId="7C6E3FDC">
            <w:pPr>
              <w:pStyle w:val="159"/>
            </w:pPr>
            <w:r>
              <w:rPr>
                <w:rFonts w:hint="eastAsia"/>
              </w:rPr>
              <w:t xml:space="preserve">435.011 </w:t>
            </w:r>
          </w:p>
        </w:tc>
        <w:tc>
          <w:tcPr>
            <w:tcW w:w="572" w:type="pct"/>
            <w:vAlign w:val="center"/>
          </w:tcPr>
          <w:p w14:paraId="2C94CA6B">
            <w:pPr>
              <w:pStyle w:val="159"/>
            </w:pPr>
            <w:r>
              <w:rPr>
                <w:rFonts w:hint="eastAsia"/>
              </w:rPr>
              <w:t xml:space="preserve">580.692 </w:t>
            </w:r>
          </w:p>
        </w:tc>
        <w:tc>
          <w:tcPr>
            <w:tcW w:w="572" w:type="pct"/>
            <w:shd w:val="clear" w:color="auto" w:fill="auto"/>
            <w:noWrap/>
            <w:vAlign w:val="center"/>
          </w:tcPr>
          <w:p w14:paraId="63262922">
            <w:pPr>
              <w:pStyle w:val="159"/>
            </w:pPr>
            <w:r>
              <w:rPr>
                <w:rFonts w:hint="eastAsia"/>
              </w:rPr>
              <w:t xml:space="preserve">3.774 </w:t>
            </w:r>
          </w:p>
        </w:tc>
        <w:tc>
          <w:tcPr>
            <w:tcW w:w="572" w:type="pct"/>
            <w:vAlign w:val="center"/>
          </w:tcPr>
          <w:p w14:paraId="4A04FB61">
            <w:pPr>
              <w:pStyle w:val="159"/>
            </w:pPr>
            <w:r>
              <w:rPr>
                <w:rFonts w:hint="eastAsia"/>
              </w:rPr>
              <w:t xml:space="preserve">4.970 </w:t>
            </w:r>
          </w:p>
        </w:tc>
        <w:tc>
          <w:tcPr>
            <w:tcW w:w="569" w:type="pct"/>
            <w:vAlign w:val="center"/>
          </w:tcPr>
          <w:p w14:paraId="3C2CA602">
            <w:pPr>
              <w:pStyle w:val="159"/>
            </w:pPr>
            <w:r>
              <w:rPr>
                <w:rFonts w:hint="eastAsia"/>
              </w:rPr>
              <w:t xml:space="preserve">6.754 </w:t>
            </w:r>
          </w:p>
        </w:tc>
      </w:tr>
      <w:tr w14:paraId="12F8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2C2097E">
            <w:pPr>
              <w:pStyle w:val="159"/>
              <w:rPr>
                <w:rFonts w:hAnsi="宋体"/>
                <w:sz w:val="22"/>
                <w:szCs w:val="22"/>
              </w:rPr>
            </w:pPr>
            <w:r>
              <w:t>10</w:t>
            </w:r>
          </w:p>
        </w:tc>
        <w:tc>
          <w:tcPr>
            <w:tcW w:w="771" w:type="pct"/>
            <w:vAlign w:val="center"/>
          </w:tcPr>
          <w:p w14:paraId="18F30BEE">
            <w:pPr>
              <w:pStyle w:val="159"/>
              <w:rPr>
                <w:rFonts w:hAnsi="宋体"/>
                <w:sz w:val="22"/>
                <w:szCs w:val="22"/>
              </w:rPr>
            </w:pPr>
            <w:r>
              <w:rPr>
                <w:color w:val="000000"/>
                <w:kern w:val="0"/>
              </w:rPr>
              <w:t>4</w:t>
            </w:r>
          </w:p>
        </w:tc>
        <w:tc>
          <w:tcPr>
            <w:tcW w:w="572" w:type="pct"/>
            <w:shd w:val="clear" w:color="auto" w:fill="auto"/>
            <w:noWrap/>
            <w:vAlign w:val="center"/>
          </w:tcPr>
          <w:p w14:paraId="3F1D6554">
            <w:pPr>
              <w:pStyle w:val="159"/>
            </w:pPr>
            <w:r>
              <w:rPr>
                <w:rFonts w:hint="eastAsia"/>
              </w:rPr>
              <w:t xml:space="preserve">379.503 </w:t>
            </w:r>
          </w:p>
        </w:tc>
        <w:tc>
          <w:tcPr>
            <w:tcW w:w="572" w:type="pct"/>
            <w:vAlign w:val="center"/>
          </w:tcPr>
          <w:p w14:paraId="65C5265F">
            <w:pPr>
              <w:pStyle w:val="159"/>
            </w:pPr>
            <w:r>
              <w:rPr>
                <w:rFonts w:hint="eastAsia"/>
              </w:rPr>
              <w:t xml:space="preserve">437.145 </w:t>
            </w:r>
          </w:p>
        </w:tc>
        <w:tc>
          <w:tcPr>
            <w:tcW w:w="572" w:type="pct"/>
            <w:vAlign w:val="center"/>
          </w:tcPr>
          <w:p w14:paraId="575E0911">
            <w:pPr>
              <w:pStyle w:val="159"/>
            </w:pPr>
            <w:r>
              <w:rPr>
                <w:rFonts w:hint="eastAsia"/>
              </w:rPr>
              <w:t xml:space="preserve">562.591 </w:t>
            </w:r>
          </w:p>
        </w:tc>
        <w:tc>
          <w:tcPr>
            <w:tcW w:w="572" w:type="pct"/>
            <w:shd w:val="clear" w:color="auto" w:fill="auto"/>
            <w:noWrap/>
            <w:vAlign w:val="center"/>
          </w:tcPr>
          <w:p w14:paraId="4D8EA2FF">
            <w:pPr>
              <w:pStyle w:val="159"/>
            </w:pPr>
            <w:r>
              <w:rPr>
                <w:rFonts w:hint="eastAsia"/>
              </w:rPr>
              <w:t xml:space="preserve">3.605 </w:t>
            </w:r>
          </w:p>
        </w:tc>
        <w:tc>
          <w:tcPr>
            <w:tcW w:w="572" w:type="pct"/>
            <w:vAlign w:val="center"/>
          </w:tcPr>
          <w:p w14:paraId="740FF7F6">
            <w:pPr>
              <w:pStyle w:val="159"/>
            </w:pPr>
            <w:r>
              <w:rPr>
                <w:rFonts w:hint="eastAsia"/>
              </w:rPr>
              <w:t xml:space="preserve">4.690 </w:t>
            </w:r>
          </w:p>
        </w:tc>
        <w:tc>
          <w:tcPr>
            <w:tcW w:w="569" w:type="pct"/>
            <w:vAlign w:val="center"/>
          </w:tcPr>
          <w:p w14:paraId="23A884B7">
            <w:pPr>
              <w:pStyle w:val="159"/>
            </w:pPr>
            <w:r>
              <w:rPr>
                <w:rFonts w:hint="eastAsia"/>
              </w:rPr>
              <w:t xml:space="preserve">6.266 </w:t>
            </w:r>
          </w:p>
        </w:tc>
      </w:tr>
      <w:tr w14:paraId="2DDC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5E84439">
            <w:pPr>
              <w:pStyle w:val="159"/>
              <w:rPr>
                <w:rFonts w:hAnsi="宋体"/>
                <w:sz w:val="22"/>
                <w:szCs w:val="22"/>
              </w:rPr>
            </w:pPr>
            <w:r>
              <w:t>11</w:t>
            </w:r>
          </w:p>
        </w:tc>
        <w:tc>
          <w:tcPr>
            <w:tcW w:w="771" w:type="pct"/>
            <w:vAlign w:val="center"/>
          </w:tcPr>
          <w:p w14:paraId="4A8E1480">
            <w:pPr>
              <w:pStyle w:val="159"/>
              <w:rPr>
                <w:rFonts w:hAnsi="宋体"/>
                <w:sz w:val="22"/>
                <w:szCs w:val="22"/>
              </w:rPr>
            </w:pPr>
            <w:r>
              <w:rPr>
                <w:color w:val="000000"/>
                <w:kern w:val="0"/>
              </w:rPr>
              <w:t>5</w:t>
            </w:r>
          </w:p>
        </w:tc>
        <w:tc>
          <w:tcPr>
            <w:tcW w:w="572" w:type="pct"/>
            <w:shd w:val="clear" w:color="auto" w:fill="auto"/>
            <w:noWrap/>
            <w:vAlign w:val="center"/>
          </w:tcPr>
          <w:p w14:paraId="47B54B84">
            <w:pPr>
              <w:pStyle w:val="159"/>
            </w:pPr>
            <w:r>
              <w:rPr>
                <w:rFonts w:hint="eastAsia"/>
              </w:rPr>
              <w:t xml:space="preserve">384.782 </w:t>
            </w:r>
          </w:p>
        </w:tc>
        <w:tc>
          <w:tcPr>
            <w:tcW w:w="572" w:type="pct"/>
            <w:vAlign w:val="center"/>
          </w:tcPr>
          <w:p w14:paraId="111ED8B4">
            <w:pPr>
              <w:pStyle w:val="159"/>
            </w:pPr>
            <w:r>
              <w:rPr>
                <w:rFonts w:hint="eastAsia"/>
              </w:rPr>
              <w:t xml:space="preserve">434.371 </w:t>
            </w:r>
          </w:p>
        </w:tc>
        <w:tc>
          <w:tcPr>
            <w:tcW w:w="572" w:type="pct"/>
            <w:vAlign w:val="center"/>
          </w:tcPr>
          <w:p w14:paraId="676C2B62">
            <w:pPr>
              <w:pStyle w:val="159"/>
            </w:pPr>
            <w:r>
              <w:rPr>
                <w:rFonts w:hint="eastAsia"/>
              </w:rPr>
              <w:t xml:space="preserve">540.706 </w:t>
            </w:r>
          </w:p>
        </w:tc>
        <w:tc>
          <w:tcPr>
            <w:tcW w:w="572" w:type="pct"/>
            <w:shd w:val="clear" w:color="auto" w:fill="auto"/>
            <w:noWrap/>
            <w:vAlign w:val="center"/>
          </w:tcPr>
          <w:p w14:paraId="3BC93F12">
            <w:pPr>
              <w:pStyle w:val="159"/>
            </w:pPr>
            <w:r>
              <w:rPr>
                <w:rFonts w:hint="eastAsia"/>
              </w:rPr>
              <w:t xml:space="preserve">3.434 </w:t>
            </w:r>
          </w:p>
        </w:tc>
        <w:tc>
          <w:tcPr>
            <w:tcW w:w="572" w:type="pct"/>
            <w:vAlign w:val="center"/>
          </w:tcPr>
          <w:p w14:paraId="328561AB">
            <w:pPr>
              <w:pStyle w:val="159"/>
            </w:pPr>
            <w:r>
              <w:rPr>
                <w:rFonts w:hint="eastAsia"/>
              </w:rPr>
              <w:t xml:space="preserve">4.412 </w:t>
            </w:r>
          </w:p>
        </w:tc>
        <w:tc>
          <w:tcPr>
            <w:tcW w:w="569" w:type="pct"/>
            <w:vAlign w:val="center"/>
          </w:tcPr>
          <w:p w14:paraId="4200A594">
            <w:pPr>
              <w:pStyle w:val="159"/>
            </w:pPr>
            <w:r>
              <w:rPr>
                <w:rFonts w:hint="eastAsia"/>
              </w:rPr>
              <w:t xml:space="preserve">5.792 </w:t>
            </w:r>
          </w:p>
        </w:tc>
      </w:tr>
      <w:tr w14:paraId="1221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0F31DB64">
            <w:pPr>
              <w:pStyle w:val="159"/>
              <w:rPr>
                <w:rFonts w:hAnsi="宋体"/>
                <w:sz w:val="22"/>
                <w:szCs w:val="22"/>
              </w:rPr>
            </w:pPr>
            <w:r>
              <w:t>12</w:t>
            </w:r>
          </w:p>
        </w:tc>
        <w:tc>
          <w:tcPr>
            <w:tcW w:w="771" w:type="pct"/>
            <w:vAlign w:val="center"/>
          </w:tcPr>
          <w:p w14:paraId="06BA4F5E">
            <w:pPr>
              <w:pStyle w:val="159"/>
              <w:rPr>
                <w:rFonts w:hAnsi="宋体"/>
                <w:sz w:val="22"/>
                <w:szCs w:val="22"/>
              </w:rPr>
            </w:pPr>
            <w:r>
              <w:rPr>
                <w:color w:val="000000"/>
                <w:kern w:val="0"/>
              </w:rPr>
              <w:t>6</w:t>
            </w:r>
          </w:p>
        </w:tc>
        <w:tc>
          <w:tcPr>
            <w:tcW w:w="572" w:type="pct"/>
            <w:shd w:val="clear" w:color="auto" w:fill="auto"/>
            <w:noWrap/>
            <w:vAlign w:val="center"/>
          </w:tcPr>
          <w:p w14:paraId="348379EE">
            <w:pPr>
              <w:pStyle w:val="159"/>
            </w:pPr>
            <w:r>
              <w:rPr>
                <w:rFonts w:hint="eastAsia"/>
              </w:rPr>
              <w:t xml:space="preserve">385.095 </w:t>
            </w:r>
          </w:p>
        </w:tc>
        <w:tc>
          <w:tcPr>
            <w:tcW w:w="572" w:type="pct"/>
            <w:vAlign w:val="center"/>
          </w:tcPr>
          <w:p w14:paraId="32E95C74">
            <w:pPr>
              <w:pStyle w:val="159"/>
            </w:pPr>
            <w:r>
              <w:rPr>
                <w:rFonts w:hint="eastAsia"/>
              </w:rPr>
              <w:t xml:space="preserve">427.259 </w:t>
            </w:r>
          </w:p>
        </w:tc>
        <w:tc>
          <w:tcPr>
            <w:tcW w:w="572" w:type="pct"/>
            <w:vAlign w:val="center"/>
          </w:tcPr>
          <w:p w14:paraId="3D8CA26F">
            <w:pPr>
              <w:pStyle w:val="159"/>
            </w:pPr>
            <w:r>
              <w:rPr>
                <w:rFonts w:hint="eastAsia"/>
              </w:rPr>
              <w:t xml:space="preserve">516.031 </w:t>
            </w:r>
          </w:p>
        </w:tc>
        <w:tc>
          <w:tcPr>
            <w:tcW w:w="572" w:type="pct"/>
            <w:shd w:val="clear" w:color="auto" w:fill="auto"/>
            <w:noWrap/>
            <w:vAlign w:val="center"/>
          </w:tcPr>
          <w:p w14:paraId="5740636D">
            <w:pPr>
              <w:pStyle w:val="159"/>
            </w:pPr>
            <w:r>
              <w:rPr>
                <w:rFonts w:hint="eastAsia"/>
              </w:rPr>
              <w:t xml:space="preserve">3.265 </w:t>
            </w:r>
          </w:p>
        </w:tc>
        <w:tc>
          <w:tcPr>
            <w:tcW w:w="572" w:type="pct"/>
            <w:vAlign w:val="center"/>
          </w:tcPr>
          <w:p w14:paraId="5C33240A">
            <w:pPr>
              <w:pStyle w:val="159"/>
            </w:pPr>
            <w:r>
              <w:rPr>
                <w:rFonts w:hint="eastAsia"/>
              </w:rPr>
              <w:t xml:space="preserve">4.141 </w:t>
            </w:r>
          </w:p>
        </w:tc>
        <w:tc>
          <w:tcPr>
            <w:tcW w:w="569" w:type="pct"/>
            <w:vAlign w:val="center"/>
          </w:tcPr>
          <w:p w14:paraId="30FA6C80">
            <w:pPr>
              <w:pStyle w:val="159"/>
            </w:pPr>
            <w:r>
              <w:rPr>
                <w:rFonts w:hint="eastAsia"/>
              </w:rPr>
              <w:t xml:space="preserve">5.340 </w:t>
            </w:r>
          </w:p>
        </w:tc>
      </w:tr>
      <w:tr w14:paraId="18C9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DFA754D">
            <w:pPr>
              <w:pStyle w:val="159"/>
              <w:rPr>
                <w:rFonts w:hAnsi="宋体"/>
                <w:sz w:val="22"/>
                <w:szCs w:val="22"/>
              </w:rPr>
            </w:pPr>
            <w:r>
              <w:t>13</w:t>
            </w:r>
          </w:p>
        </w:tc>
        <w:tc>
          <w:tcPr>
            <w:tcW w:w="771" w:type="pct"/>
            <w:vAlign w:val="center"/>
          </w:tcPr>
          <w:p w14:paraId="2C72D454">
            <w:pPr>
              <w:pStyle w:val="159"/>
              <w:rPr>
                <w:rFonts w:hAnsi="宋体"/>
                <w:sz w:val="22"/>
                <w:szCs w:val="22"/>
              </w:rPr>
            </w:pPr>
            <w:r>
              <w:rPr>
                <w:color w:val="000000"/>
                <w:kern w:val="0"/>
              </w:rPr>
              <w:t>7</w:t>
            </w:r>
          </w:p>
        </w:tc>
        <w:tc>
          <w:tcPr>
            <w:tcW w:w="572" w:type="pct"/>
            <w:shd w:val="clear" w:color="auto" w:fill="auto"/>
            <w:noWrap/>
            <w:vAlign w:val="center"/>
          </w:tcPr>
          <w:p w14:paraId="4C486DB0">
            <w:pPr>
              <w:pStyle w:val="159"/>
            </w:pPr>
            <w:r>
              <w:rPr>
                <w:rFonts w:hint="eastAsia"/>
              </w:rPr>
              <w:t xml:space="preserve">381.106 </w:t>
            </w:r>
          </w:p>
        </w:tc>
        <w:tc>
          <w:tcPr>
            <w:tcW w:w="572" w:type="pct"/>
            <w:vAlign w:val="center"/>
          </w:tcPr>
          <w:p w14:paraId="11A4C43E">
            <w:pPr>
              <w:pStyle w:val="159"/>
            </w:pPr>
            <w:r>
              <w:rPr>
                <w:rFonts w:hint="eastAsia"/>
              </w:rPr>
              <w:t xml:space="preserve">416.515 </w:t>
            </w:r>
          </w:p>
        </w:tc>
        <w:tc>
          <w:tcPr>
            <w:tcW w:w="572" w:type="pct"/>
            <w:vAlign w:val="center"/>
          </w:tcPr>
          <w:p w14:paraId="7909470D">
            <w:pPr>
              <w:pStyle w:val="159"/>
            </w:pPr>
            <w:r>
              <w:rPr>
                <w:rFonts w:hint="eastAsia"/>
              </w:rPr>
              <w:t xml:space="preserve">489.558 </w:t>
            </w:r>
          </w:p>
        </w:tc>
        <w:tc>
          <w:tcPr>
            <w:tcW w:w="572" w:type="pct"/>
            <w:shd w:val="clear" w:color="auto" w:fill="auto"/>
            <w:noWrap/>
            <w:vAlign w:val="center"/>
          </w:tcPr>
          <w:p w14:paraId="73F7B754">
            <w:pPr>
              <w:pStyle w:val="159"/>
            </w:pPr>
            <w:r>
              <w:rPr>
                <w:rFonts w:hint="eastAsia"/>
              </w:rPr>
              <w:t xml:space="preserve">3.098 </w:t>
            </w:r>
          </w:p>
        </w:tc>
        <w:tc>
          <w:tcPr>
            <w:tcW w:w="572" w:type="pct"/>
            <w:vAlign w:val="center"/>
          </w:tcPr>
          <w:p w14:paraId="01410A3B">
            <w:pPr>
              <w:pStyle w:val="159"/>
            </w:pPr>
            <w:r>
              <w:rPr>
                <w:rFonts w:hint="eastAsia"/>
              </w:rPr>
              <w:t xml:space="preserve">3.880 </w:t>
            </w:r>
          </w:p>
        </w:tc>
        <w:tc>
          <w:tcPr>
            <w:tcW w:w="569" w:type="pct"/>
            <w:vAlign w:val="center"/>
          </w:tcPr>
          <w:p w14:paraId="37321E86">
            <w:pPr>
              <w:pStyle w:val="159"/>
            </w:pPr>
            <w:r>
              <w:rPr>
                <w:rFonts w:hint="eastAsia"/>
              </w:rPr>
              <w:t xml:space="preserve">4.916 </w:t>
            </w:r>
          </w:p>
        </w:tc>
      </w:tr>
      <w:tr w14:paraId="7179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1697546">
            <w:pPr>
              <w:pStyle w:val="159"/>
              <w:rPr>
                <w:rFonts w:hAnsi="宋体"/>
                <w:sz w:val="22"/>
                <w:szCs w:val="22"/>
              </w:rPr>
            </w:pPr>
            <w:r>
              <w:t>14</w:t>
            </w:r>
          </w:p>
        </w:tc>
        <w:tc>
          <w:tcPr>
            <w:tcW w:w="771" w:type="pct"/>
            <w:vAlign w:val="center"/>
          </w:tcPr>
          <w:p w14:paraId="15C4C970">
            <w:pPr>
              <w:pStyle w:val="159"/>
              <w:rPr>
                <w:rFonts w:hAnsi="宋体"/>
                <w:sz w:val="22"/>
                <w:szCs w:val="22"/>
              </w:rPr>
            </w:pPr>
            <w:r>
              <w:rPr>
                <w:color w:val="000000"/>
                <w:kern w:val="0"/>
              </w:rPr>
              <w:t>8</w:t>
            </w:r>
          </w:p>
        </w:tc>
        <w:tc>
          <w:tcPr>
            <w:tcW w:w="572" w:type="pct"/>
            <w:shd w:val="clear" w:color="auto" w:fill="auto"/>
            <w:noWrap/>
            <w:vAlign w:val="center"/>
          </w:tcPr>
          <w:p w14:paraId="39707A58">
            <w:pPr>
              <w:pStyle w:val="159"/>
            </w:pPr>
            <w:r>
              <w:rPr>
                <w:rFonts w:hint="eastAsia"/>
              </w:rPr>
              <w:t xml:space="preserve">373.530 </w:t>
            </w:r>
          </w:p>
        </w:tc>
        <w:tc>
          <w:tcPr>
            <w:tcW w:w="572" w:type="pct"/>
            <w:vAlign w:val="center"/>
          </w:tcPr>
          <w:p w14:paraId="2B1265B3">
            <w:pPr>
              <w:pStyle w:val="159"/>
            </w:pPr>
            <w:r>
              <w:rPr>
                <w:rFonts w:hint="eastAsia"/>
              </w:rPr>
              <w:t xml:space="preserve">402.894 </w:t>
            </w:r>
          </w:p>
        </w:tc>
        <w:tc>
          <w:tcPr>
            <w:tcW w:w="572" w:type="pct"/>
            <w:vAlign w:val="center"/>
          </w:tcPr>
          <w:p w14:paraId="7BD454CC">
            <w:pPr>
              <w:pStyle w:val="159"/>
            </w:pPr>
            <w:r>
              <w:rPr>
                <w:rFonts w:hint="eastAsia"/>
              </w:rPr>
              <w:t xml:space="preserve">462.176 </w:t>
            </w:r>
          </w:p>
        </w:tc>
        <w:tc>
          <w:tcPr>
            <w:tcW w:w="572" w:type="pct"/>
            <w:shd w:val="clear" w:color="auto" w:fill="auto"/>
            <w:noWrap/>
            <w:vAlign w:val="center"/>
          </w:tcPr>
          <w:p w14:paraId="1BC60EF9">
            <w:pPr>
              <w:pStyle w:val="159"/>
            </w:pPr>
            <w:r>
              <w:rPr>
                <w:rFonts w:hint="eastAsia"/>
              </w:rPr>
              <w:t xml:space="preserve">2.935 </w:t>
            </w:r>
          </w:p>
        </w:tc>
        <w:tc>
          <w:tcPr>
            <w:tcW w:w="572" w:type="pct"/>
            <w:vAlign w:val="center"/>
          </w:tcPr>
          <w:p w14:paraId="1839197C">
            <w:pPr>
              <w:pStyle w:val="159"/>
            </w:pPr>
            <w:r>
              <w:rPr>
                <w:rFonts w:hint="eastAsia"/>
              </w:rPr>
              <w:t xml:space="preserve">3.630 </w:t>
            </w:r>
          </w:p>
        </w:tc>
        <w:tc>
          <w:tcPr>
            <w:tcW w:w="569" w:type="pct"/>
            <w:vAlign w:val="center"/>
          </w:tcPr>
          <w:p w14:paraId="61937845">
            <w:pPr>
              <w:pStyle w:val="159"/>
            </w:pPr>
            <w:r>
              <w:rPr>
                <w:rFonts w:hint="eastAsia"/>
              </w:rPr>
              <w:t xml:space="preserve">4.522 </w:t>
            </w:r>
          </w:p>
        </w:tc>
      </w:tr>
      <w:tr w14:paraId="513A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6BC0940D">
            <w:pPr>
              <w:pStyle w:val="159"/>
              <w:rPr>
                <w:rFonts w:hAnsi="宋体"/>
                <w:sz w:val="22"/>
                <w:szCs w:val="22"/>
              </w:rPr>
            </w:pPr>
            <w:r>
              <w:t>15</w:t>
            </w:r>
          </w:p>
        </w:tc>
        <w:tc>
          <w:tcPr>
            <w:tcW w:w="771" w:type="pct"/>
            <w:vAlign w:val="center"/>
          </w:tcPr>
          <w:p w14:paraId="55FC97C1">
            <w:pPr>
              <w:pStyle w:val="159"/>
              <w:rPr>
                <w:rFonts w:hAnsi="宋体"/>
                <w:sz w:val="22"/>
                <w:szCs w:val="22"/>
              </w:rPr>
            </w:pPr>
            <w:r>
              <w:rPr>
                <w:color w:val="000000"/>
                <w:kern w:val="0"/>
              </w:rPr>
              <w:t>9</w:t>
            </w:r>
          </w:p>
        </w:tc>
        <w:tc>
          <w:tcPr>
            <w:tcW w:w="572" w:type="pct"/>
            <w:shd w:val="clear" w:color="auto" w:fill="auto"/>
            <w:noWrap/>
            <w:vAlign w:val="center"/>
          </w:tcPr>
          <w:p w14:paraId="5656A9A5">
            <w:pPr>
              <w:pStyle w:val="159"/>
            </w:pPr>
            <w:r>
              <w:rPr>
                <w:rFonts w:hint="eastAsia"/>
              </w:rPr>
              <w:t xml:space="preserve">363.084 </w:t>
            </w:r>
          </w:p>
        </w:tc>
        <w:tc>
          <w:tcPr>
            <w:tcW w:w="572" w:type="pct"/>
            <w:vAlign w:val="center"/>
          </w:tcPr>
          <w:p w14:paraId="55B6F34F">
            <w:pPr>
              <w:pStyle w:val="159"/>
            </w:pPr>
            <w:r>
              <w:rPr>
                <w:rFonts w:hint="eastAsia"/>
              </w:rPr>
              <w:t xml:space="preserve">387.128 </w:t>
            </w:r>
          </w:p>
        </w:tc>
        <w:tc>
          <w:tcPr>
            <w:tcW w:w="572" w:type="pct"/>
            <w:vAlign w:val="center"/>
          </w:tcPr>
          <w:p w14:paraId="66A10BC4">
            <w:pPr>
              <w:pStyle w:val="159"/>
            </w:pPr>
            <w:r>
              <w:rPr>
                <w:rFonts w:hint="eastAsia"/>
              </w:rPr>
              <w:t xml:space="preserve">434.619 </w:t>
            </w:r>
          </w:p>
        </w:tc>
        <w:tc>
          <w:tcPr>
            <w:tcW w:w="572" w:type="pct"/>
            <w:shd w:val="clear" w:color="auto" w:fill="auto"/>
            <w:noWrap/>
            <w:vAlign w:val="center"/>
          </w:tcPr>
          <w:p w14:paraId="4B4D57E3">
            <w:pPr>
              <w:pStyle w:val="159"/>
            </w:pPr>
            <w:r>
              <w:rPr>
                <w:rFonts w:hint="eastAsia"/>
              </w:rPr>
              <w:t xml:space="preserve">2.777 </w:t>
            </w:r>
          </w:p>
        </w:tc>
        <w:tc>
          <w:tcPr>
            <w:tcW w:w="572" w:type="pct"/>
            <w:vAlign w:val="center"/>
          </w:tcPr>
          <w:p w14:paraId="713178B4">
            <w:pPr>
              <w:pStyle w:val="159"/>
            </w:pPr>
            <w:r>
              <w:rPr>
                <w:rFonts w:hint="eastAsia"/>
              </w:rPr>
              <w:t xml:space="preserve">3.393 </w:t>
            </w:r>
          </w:p>
        </w:tc>
        <w:tc>
          <w:tcPr>
            <w:tcW w:w="569" w:type="pct"/>
            <w:vAlign w:val="center"/>
          </w:tcPr>
          <w:p w14:paraId="11F0780C">
            <w:pPr>
              <w:pStyle w:val="159"/>
            </w:pPr>
            <w:r>
              <w:rPr>
                <w:rFonts w:hint="eastAsia"/>
              </w:rPr>
              <w:t xml:space="preserve">4.160 </w:t>
            </w:r>
          </w:p>
        </w:tc>
      </w:tr>
      <w:tr w14:paraId="35B0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BD6C83E">
            <w:pPr>
              <w:pStyle w:val="159"/>
              <w:rPr>
                <w:rFonts w:hAnsi="宋体"/>
                <w:sz w:val="22"/>
                <w:szCs w:val="22"/>
              </w:rPr>
            </w:pPr>
            <w:r>
              <w:t>16</w:t>
            </w:r>
          </w:p>
        </w:tc>
        <w:tc>
          <w:tcPr>
            <w:tcW w:w="771" w:type="pct"/>
            <w:vAlign w:val="center"/>
          </w:tcPr>
          <w:p w14:paraId="39CCD235">
            <w:pPr>
              <w:pStyle w:val="159"/>
              <w:rPr>
                <w:rFonts w:hAnsi="宋体"/>
                <w:sz w:val="22"/>
                <w:szCs w:val="22"/>
              </w:rPr>
            </w:pPr>
            <w:r>
              <w:rPr>
                <w:color w:val="000000"/>
                <w:kern w:val="0"/>
              </w:rPr>
              <w:t>10</w:t>
            </w:r>
          </w:p>
        </w:tc>
        <w:tc>
          <w:tcPr>
            <w:tcW w:w="572" w:type="pct"/>
            <w:shd w:val="clear" w:color="auto" w:fill="auto"/>
            <w:noWrap/>
            <w:vAlign w:val="center"/>
          </w:tcPr>
          <w:p w14:paraId="01A91360">
            <w:pPr>
              <w:pStyle w:val="159"/>
            </w:pPr>
            <w:r>
              <w:rPr>
                <w:rFonts w:hint="eastAsia"/>
              </w:rPr>
              <w:t xml:space="preserve">350.448 </w:t>
            </w:r>
          </w:p>
        </w:tc>
        <w:tc>
          <w:tcPr>
            <w:tcW w:w="572" w:type="pct"/>
            <w:vAlign w:val="center"/>
          </w:tcPr>
          <w:p w14:paraId="4E58EE5D">
            <w:pPr>
              <w:pStyle w:val="159"/>
            </w:pPr>
            <w:r>
              <w:rPr>
                <w:rFonts w:hint="eastAsia"/>
              </w:rPr>
              <w:t xml:space="preserve">369.887 </w:t>
            </w:r>
          </w:p>
        </w:tc>
        <w:tc>
          <w:tcPr>
            <w:tcW w:w="572" w:type="pct"/>
            <w:vAlign w:val="center"/>
          </w:tcPr>
          <w:p w14:paraId="44BD513C">
            <w:pPr>
              <w:pStyle w:val="159"/>
            </w:pPr>
            <w:r>
              <w:rPr>
                <w:rFonts w:hint="eastAsia"/>
              </w:rPr>
              <w:t xml:space="preserve">407.457 </w:t>
            </w:r>
          </w:p>
        </w:tc>
        <w:tc>
          <w:tcPr>
            <w:tcW w:w="572" w:type="pct"/>
            <w:shd w:val="clear" w:color="auto" w:fill="auto"/>
            <w:noWrap/>
            <w:vAlign w:val="center"/>
          </w:tcPr>
          <w:p w14:paraId="2DE23BDF">
            <w:pPr>
              <w:pStyle w:val="159"/>
            </w:pPr>
            <w:r>
              <w:rPr>
                <w:rFonts w:hint="eastAsia"/>
              </w:rPr>
              <w:t xml:space="preserve">2.626 </w:t>
            </w:r>
          </w:p>
        </w:tc>
        <w:tc>
          <w:tcPr>
            <w:tcW w:w="572" w:type="pct"/>
            <w:vAlign w:val="center"/>
          </w:tcPr>
          <w:p w14:paraId="5B1FA204">
            <w:pPr>
              <w:pStyle w:val="159"/>
            </w:pPr>
            <w:r>
              <w:rPr>
                <w:rFonts w:hint="eastAsia"/>
              </w:rPr>
              <w:t xml:space="preserve">3.171 </w:t>
            </w:r>
          </w:p>
        </w:tc>
        <w:tc>
          <w:tcPr>
            <w:tcW w:w="569" w:type="pct"/>
            <w:vAlign w:val="center"/>
          </w:tcPr>
          <w:p w14:paraId="679762A5">
            <w:pPr>
              <w:pStyle w:val="159"/>
            </w:pPr>
            <w:r>
              <w:rPr>
                <w:rFonts w:hint="eastAsia"/>
              </w:rPr>
              <w:t xml:space="preserve">3.829 </w:t>
            </w:r>
          </w:p>
        </w:tc>
      </w:tr>
      <w:tr w14:paraId="1DC2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46097E99">
            <w:pPr>
              <w:pStyle w:val="159"/>
              <w:rPr>
                <w:rFonts w:hAnsi="宋体"/>
                <w:sz w:val="22"/>
                <w:szCs w:val="22"/>
              </w:rPr>
            </w:pPr>
            <w:r>
              <w:t>17</w:t>
            </w:r>
          </w:p>
        </w:tc>
        <w:tc>
          <w:tcPr>
            <w:tcW w:w="771" w:type="pct"/>
            <w:vAlign w:val="center"/>
          </w:tcPr>
          <w:p w14:paraId="754A9FDA">
            <w:pPr>
              <w:pStyle w:val="159"/>
              <w:rPr>
                <w:rFonts w:hAnsi="宋体"/>
                <w:sz w:val="22"/>
                <w:szCs w:val="22"/>
              </w:rPr>
            </w:pPr>
            <w:r>
              <w:rPr>
                <w:color w:val="000000"/>
                <w:kern w:val="0"/>
              </w:rPr>
              <w:t>11</w:t>
            </w:r>
          </w:p>
        </w:tc>
        <w:tc>
          <w:tcPr>
            <w:tcW w:w="572" w:type="pct"/>
            <w:shd w:val="clear" w:color="auto" w:fill="auto"/>
            <w:noWrap/>
            <w:vAlign w:val="center"/>
          </w:tcPr>
          <w:p w14:paraId="4AE35A17">
            <w:pPr>
              <w:pStyle w:val="159"/>
            </w:pPr>
            <w:r>
              <w:rPr>
                <w:rFonts w:hint="eastAsia"/>
              </w:rPr>
              <w:t xml:space="preserve">336.237 </w:t>
            </w:r>
          </w:p>
        </w:tc>
        <w:tc>
          <w:tcPr>
            <w:tcW w:w="572" w:type="pct"/>
            <w:vAlign w:val="center"/>
          </w:tcPr>
          <w:p w14:paraId="0F0413C7">
            <w:pPr>
              <w:pStyle w:val="159"/>
            </w:pPr>
            <w:r>
              <w:rPr>
                <w:rFonts w:hint="eastAsia"/>
              </w:rPr>
              <w:t xml:space="preserve">351.754 </w:t>
            </w:r>
          </w:p>
        </w:tc>
        <w:tc>
          <w:tcPr>
            <w:tcW w:w="572" w:type="pct"/>
            <w:vAlign w:val="center"/>
          </w:tcPr>
          <w:p w14:paraId="2A777097">
            <w:pPr>
              <w:pStyle w:val="159"/>
            </w:pPr>
            <w:r>
              <w:rPr>
                <w:rFonts w:hint="eastAsia"/>
              </w:rPr>
              <w:t xml:space="preserve">381.104 </w:t>
            </w:r>
          </w:p>
        </w:tc>
        <w:tc>
          <w:tcPr>
            <w:tcW w:w="572" w:type="pct"/>
            <w:shd w:val="clear" w:color="auto" w:fill="auto"/>
            <w:noWrap/>
            <w:vAlign w:val="center"/>
          </w:tcPr>
          <w:p w14:paraId="43272CA5">
            <w:pPr>
              <w:pStyle w:val="159"/>
            </w:pPr>
            <w:r>
              <w:rPr>
                <w:rFonts w:hint="eastAsia"/>
              </w:rPr>
              <w:t xml:space="preserve">2.482 </w:t>
            </w:r>
          </w:p>
        </w:tc>
        <w:tc>
          <w:tcPr>
            <w:tcW w:w="572" w:type="pct"/>
            <w:vAlign w:val="center"/>
          </w:tcPr>
          <w:p w14:paraId="50E87CF9">
            <w:pPr>
              <w:pStyle w:val="159"/>
            </w:pPr>
            <w:r>
              <w:rPr>
                <w:rFonts w:hint="eastAsia"/>
              </w:rPr>
              <w:t xml:space="preserve">2.962 </w:t>
            </w:r>
          </w:p>
        </w:tc>
        <w:tc>
          <w:tcPr>
            <w:tcW w:w="569" w:type="pct"/>
            <w:vAlign w:val="center"/>
          </w:tcPr>
          <w:p w14:paraId="020F3DCB">
            <w:pPr>
              <w:pStyle w:val="159"/>
            </w:pPr>
            <w:r>
              <w:rPr>
                <w:rFonts w:hint="eastAsia"/>
              </w:rPr>
              <w:t xml:space="preserve">3.527 </w:t>
            </w:r>
          </w:p>
        </w:tc>
      </w:tr>
      <w:tr w14:paraId="0A65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4111A79D">
            <w:pPr>
              <w:pStyle w:val="159"/>
              <w:rPr>
                <w:rFonts w:hAnsi="宋体"/>
                <w:sz w:val="22"/>
                <w:szCs w:val="22"/>
              </w:rPr>
            </w:pPr>
            <w:r>
              <w:t>18</w:t>
            </w:r>
          </w:p>
        </w:tc>
        <w:tc>
          <w:tcPr>
            <w:tcW w:w="771" w:type="pct"/>
            <w:vAlign w:val="center"/>
          </w:tcPr>
          <w:p w14:paraId="5D58165D">
            <w:pPr>
              <w:pStyle w:val="159"/>
              <w:rPr>
                <w:rFonts w:hAnsi="宋体"/>
                <w:sz w:val="22"/>
                <w:szCs w:val="22"/>
              </w:rPr>
            </w:pPr>
            <w:r>
              <w:rPr>
                <w:color w:val="000000"/>
                <w:kern w:val="0"/>
              </w:rPr>
              <w:t>12</w:t>
            </w:r>
          </w:p>
        </w:tc>
        <w:tc>
          <w:tcPr>
            <w:tcW w:w="572" w:type="pct"/>
            <w:shd w:val="clear" w:color="auto" w:fill="auto"/>
            <w:noWrap/>
            <w:vAlign w:val="center"/>
          </w:tcPr>
          <w:p w14:paraId="175ECFF2">
            <w:pPr>
              <w:pStyle w:val="159"/>
            </w:pPr>
            <w:r>
              <w:rPr>
                <w:rFonts w:hint="eastAsia"/>
              </w:rPr>
              <w:t xml:space="preserve">320.988 </w:t>
            </w:r>
          </w:p>
        </w:tc>
        <w:tc>
          <w:tcPr>
            <w:tcW w:w="572" w:type="pct"/>
            <w:vAlign w:val="center"/>
          </w:tcPr>
          <w:p w14:paraId="2B5C2871">
            <w:pPr>
              <w:pStyle w:val="159"/>
            </w:pPr>
            <w:r>
              <w:rPr>
                <w:rFonts w:hint="eastAsia"/>
              </w:rPr>
              <w:t xml:space="preserve">333.212 </w:t>
            </w:r>
          </w:p>
        </w:tc>
        <w:tc>
          <w:tcPr>
            <w:tcW w:w="572" w:type="pct"/>
            <w:vAlign w:val="center"/>
          </w:tcPr>
          <w:p w14:paraId="0988535E">
            <w:pPr>
              <w:pStyle w:val="159"/>
            </w:pPr>
            <w:r>
              <w:rPr>
                <w:rFonts w:hint="eastAsia"/>
              </w:rPr>
              <w:t xml:space="preserve">355.843 </w:t>
            </w:r>
          </w:p>
        </w:tc>
        <w:tc>
          <w:tcPr>
            <w:tcW w:w="572" w:type="pct"/>
            <w:shd w:val="clear" w:color="auto" w:fill="auto"/>
            <w:noWrap/>
            <w:vAlign w:val="center"/>
          </w:tcPr>
          <w:p w14:paraId="4DF2E83B">
            <w:pPr>
              <w:pStyle w:val="159"/>
            </w:pPr>
            <w:r>
              <w:rPr>
                <w:rFonts w:hint="eastAsia"/>
              </w:rPr>
              <w:t xml:space="preserve">2.344 </w:t>
            </w:r>
          </w:p>
        </w:tc>
        <w:tc>
          <w:tcPr>
            <w:tcW w:w="572" w:type="pct"/>
            <w:vAlign w:val="center"/>
          </w:tcPr>
          <w:p w14:paraId="7AC40A47">
            <w:pPr>
              <w:pStyle w:val="159"/>
            </w:pPr>
            <w:r>
              <w:rPr>
                <w:rFonts w:hint="eastAsia"/>
              </w:rPr>
              <w:t xml:space="preserve">2.769 </w:t>
            </w:r>
          </w:p>
        </w:tc>
        <w:tc>
          <w:tcPr>
            <w:tcW w:w="569" w:type="pct"/>
            <w:vAlign w:val="center"/>
          </w:tcPr>
          <w:p w14:paraId="4DCB46BE">
            <w:pPr>
              <w:pStyle w:val="159"/>
            </w:pPr>
            <w:r>
              <w:rPr>
                <w:rFonts w:hint="eastAsia"/>
              </w:rPr>
              <w:t xml:space="preserve">3.254 </w:t>
            </w:r>
          </w:p>
        </w:tc>
      </w:tr>
      <w:tr w14:paraId="0971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001FC7DF">
            <w:pPr>
              <w:pStyle w:val="159"/>
              <w:rPr>
                <w:rFonts w:hAnsi="宋体"/>
                <w:sz w:val="22"/>
                <w:szCs w:val="22"/>
              </w:rPr>
            </w:pPr>
            <w:r>
              <w:t>19</w:t>
            </w:r>
          </w:p>
        </w:tc>
        <w:tc>
          <w:tcPr>
            <w:tcW w:w="771" w:type="pct"/>
            <w:vAlign w:val="center"/>
          </w:tcPr>
          <w:p w14:paraId="5E435D7F">
            <w:pPr>
              <w:pStyle w:val="159"/>
              <w:rPr>
                <w:rFonts w:hAnsi="宋体"/>
                <w:sz w:val="22"/>
                <w:szCs w:val="22"/>
              </w:rPr>
            </w:pPr>
            <w:r>
              <w:rPr>
                <w:color w:val="000000"/>
                <w:kern w:val="0"/>
              </w:rPr>
              <w:t>13</w:t>
            </w:r>
          </w:p>
        </w:tc>
        <w:tc>
          <w:tcPr>
            <w:tcW w:w="572" w:type="pct"/>
            <w:shd w:val="clear" w:color="auto" w:fill="auto"/>
            <w:noWrap/>
            <w:vAlign w:val="center"/>
          </w:tcPr>
          <w:p w14:paraId="5966C6C6">
            <w:pPr>
              <w:pStyle w:val="159"/>
            </w:pPr>
            <w:r>
              <w:rPr>
                <w:rFonts w:hint="eastAsia"/>
              </w:rPr>
              <w:t xml:space="preserve">305.154 </w:t>
            </w:r>
          </w:p>
        </w:tc>
        <w:tc>
          <w:tcPr>
            <w:tcW w:w="572" w:type="pct"/>
            <w:vAlign w:val="center"/>
          </w:tcPr>
          <w:p w14:paraId="56E488E6">
            <w:pPr>
              <w:pStyle w:val="159"/>
            </w:pPr>
            <w:r>
              <w:rPr>
                <w:rFonts w:hint="eastAsia"/>
              </w:rPr>
              <w:t xml:space="preserve">314.650 </w:t>
            </w:r>
          </w:p>
        </w:tc>
        <w:tc>
          <w:tcPr>
            <w:tcW w:w="572" w:type="pct"/>
            <w:vAlign w:val="center"/>
          </w:tcPr>
          <w:p w14:paraId="1864B9C5">
            <w:pPr>
              <w:pStyle w:val="159"/>
            </w:pPr>
            <w:r>
              <w:rPr>
                <w:rFonts w:hint="eastAsia"/>
              </w:rPr>
              <w:t xml:space="preserve">331.854 </w:t>
            </w:r>
          </w:p>
        </w:tc>
        <w:tc>
          <w:tcPr>
            <w:tcW w:w="572" w:type="pct"/>
            <w:shd w:val="clear" w:color="auto" w:fill="auto"/>
            <w:noWrap/>
            <w:vAlign w:val="center"/>
          </w:tcPr>
          <w:p w14:paraId="6B3788B7">
            <w:pPr>
              <w:pStyle w:val="159"/>
            </w:pPr>
            <w:r>
              <w:rPr>
                <w:rFonts w:hint="eastAsia"/>
              </w:rPr>
              <w:t xml:space="preserve">2.214 </w:t>
            </w:r>
          </w:p>
        </w:tc>
        <w:tc>
          <w:tcPr>
            <w:tcW w:w="572" w:type="pct"/>
            <w:vAlign w:val="center"/>
          </w:tcPr>
          <w:p w14:paraId="4C84BFA1">
            <w:pPr>
              <w:pStyle w:val="159"/>
            </w:pPr>
            <w:r>
              <w:rPr>
                <w:rFonts w:hint="eastAsia"/>
              </w:rPr>
              <w:t xml:space="preserve">2.589 </w:t>
            </w:r>
          </w:p>
        </w:tc>
        <w:tc>
          <w:tcPr>
            <w:tcW w:w="569" w:type="pct"/>
            <w:vAlign w:val="center"/>
          </w:tcPr>
          <w:p w14:paraId="1BB853BD">
            <w:pPr>
              <w:pStyle w:val="159"/>
            </w:pPr>
            <w:r>
              <w:rPr>
                <w:rFonts w:hint="eastAsia"/>
              </w:rPr>
              <w:t xml:space="preserve">3.006 </w:t>
            </w:r>
          </w:p>
        </w:tc>
      </w:tr>
      <w:tr w14:paraId="1B58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8F3E5D2">
            <w:pPr>
              <w:pStyle w:val="159"/>
              <w:rPr>
                <w:rFonts w:hAnsi="宋体"/>
                <w:sz w:val="22"/>
                <w:szCs w:val="22"/>
              </w:rPr>
            </w:pPr>
            <w:r>
              <w:t>20</w:t>
            </w:r>
          </w:p>
        </w:tc>
        <w:tc>
          <w:tcPr>
            <w:tcW w:w="771" w:type="pct"/>
            <w:vAlign w:val="center"/>
          </w:tcPr>
          <w:p w14:paraId="1FC4944A">
            <w:pPr>
              <w:pStyle w:val="159"/>
              <w:rPr>
                <w:rFonts w:hAnsi="宋体"/>
                <w:sz w:val="22"/>
                <w:szCs w:val="22"/>
              </w:rPr>
            </w:pPr>
            <w:r>
              <w:rPr>
                <w:color w:val="000000"/>
                <w:kern w:val="0"/>
              </w:rPr>
              <w:t>14</w:t>
            </w:r>
          </w:p>
        </w:tc>
        <w:tc>
          <w:tcPr>
            <w:tcW w:w="572" w:type="pct"/>
            <w:shd w:val="clear" w:color="auto" w:fill="auto"/>
            <w:noWrap/>
            <w:vAlign w:val="center"/>
          </w:tcPr>
          <w:p w14:paraId="53799D0B">
            <w:pPr>
              <w:pStyle w:val="159"/>
            </w:pPr>
            <w:r>
              <w:rPr>
                <w:rFonts w:hint="eastAsia"/>
              </w:rPr>
              <w:t xml:space="preserve">289.105 </w:t>
            </w:r>
          </w:p>
        </w:tc>
        <w:tc>
          <w:tcPr>
            <w:tcW w:w="572" w:type="pct"/>
            <w:vAlign w:val="center"/>
          </w:tcPr>
          <w:p w14:paraId="7B8A97BE">
            <w:pPr>
              <w:pStyle w:val="159"/>
            </w:pPr>
            <w:r>
              <w:rPr>
                <w:rFonts w:hint="eastAsia"/>
              </w:rPr>
              <w:t xml:space="preserve">296.371 </w:t>
            </w:r>
          </w:p>
        </w:tc>
        <w:tc>
          <w:tcPr>
            <w:tcW w:w="572" w:type="pct"/>
            <w:vAlign w:val="center"/>
          </w:tcPr>
          <w:p w14:paraId="0EEC51AE">
            <w:pPr>
              <w:pStyle w:val="159"/>
            </w:pPr>
            <w:r>
              <w:rPr>
                <w:rFonts w:hint="eastAsia"/>
              </w:rPr>
              <w:t xml:space="preserve">309.235 </w:t>
            </w:r>
          </w:p>
        </w:tc>
        <w:tc>
          <w:tcPr>
            <w:tcW w:w="572" w:type="pct"/>
            <w:shd w:val="clear" w:color="auto" w:fill="auto"/>
            <w:noWrap/>
            <w:vAlign w:val="center"/>
          </w:tcPr>
          <w:p w14:paraId="1B064B37">
            <w:pPr>
              <w:pStyle w:val="159"/>
            </w:pPr>
            <w:r>
              <w:rPr>
                <w:rFonts w:hint="eastAsia"/>
              </w:rPr>
              <w:t xml:space="preserve">2.092 </w:t>
            </w:r>
          </w:p>
        </w:tc>
        <w:tc>
          <w:tcPr>
            <w:tcW w:w="572" w:type="pct"/>
            <w:vAlign w:val="center"/>
          </w:tcPr>
          <w:p w14:paraId="5B805000">
            <w:pPr>
              <w:pStyle w:val="159"/>
            </w:pPr>
            <w:r>
              <w:rPr>
                <w:rFonts w:hint="eastAsia"/>
              </w:rPr>
              <w:t xml:space="preserve">2.422 </w:t>
            </w:r>
          </w:p>
        </w:tc>
        <w:tc>
          <w:tcPr>
            <w:tcW w:w="569" w:type="pct"/>
            <w:vAlign w:val="center"/>
          </w:tcPr>
          <w:p w14:paraId="6489F3BA">
            <w:pPr>
              <w:pStyle w:val="159"/>
            </w:pPr>
            <w:r>
              <w:rPr>
                <w:rFonts w:hint="eastAsia"/>
              </w:rPr>
              <w:t xml:space="preserve">2.782 </w:t>
            </w:r>
          </w:p>
        </w:tc>
      </w:tr>
      <w:tr w14:paraId="4E8E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1E787B41">
            <w:pPr>
              <w:pStyle w:val="159"/>
              <w:rPr>
                <w:rFonts w:hAnsi="宋体"/>
                <w:sz w:val="22"/>
                <w:szCs w:val="22"/>
              </w:rPr>
            </w:pPr>
            <w:r>
              <w:t>21</w:t>
            </w:r>
          </w:p>
        </w:tc>
        <w:tc>
          <w:tcPr>
            <w:tcW w:w="771" w:type="pct"/>
            <w:vAlign w:val="center"/>
          </w:tcPr>
          <w:p w14:paraId="0F1D1F91">
            <w:pPr>
              <w:pStyle w:val="159"/>
              <w:rPr>
                <w:rFonts w:hAnsi="宋体"/>
                <w:sz w:val="22"/>
                <w:szCs w:val="22"/>
              </w:rPr>
            </w:pPr>
            <w:r>
              <w:rPr>
                <w:color w:val="000000"/>
                <w:kern w:val="0"/>
              </w:rPr>
              <w:t>15</w:t>
            </w:r>
          </w:p>
        </w:tc>
        <w:tc>
          <w:tcPr>
            <w:tcW w:w="572" w:type="pct"/>
            <w:shd w:val="clear" w:color="auto" w:fill="auto"/>
            <w:noWrap/>
            <w:vAlign w:val="center"/>
          </w:tcPr>
          <w:p w14:paraId="6B50C4EE">
            <w:pPr>
              <w:pStyle w:val="159"/>
            </w:pPr>
            <w:r>
              <w:rPr>
                <w:rFonts w:hint="eastAsia"/>
              </w:rPr>
              <w:t xml:space="preserve">273.137 </w:t>
            </w:r>
          </w:p>
        </w:tc>
        <w:tc>
          <w:tcPr>
            <w:tcW w:w="572" w:type="pct"/>
            <w:vAlign w:val="center"/>
          </w:tcPr>
          <w:p w14:paraId="149FD4B3">
            <w:pPr>
              <w:pStyle w:val="159"/>
            </w:pPr>
            <w:r>
              <w:rPr>
                <w:rFonts w:hint="eastAsia"/>
              </w:rPr>
              <w:t xml:space="preserve">278.596 </w:t>
            </w:r>
          </w:p>
        </w:tc>
        <w:tc>
          <w:tcPr>
            <w:tcW w:w="572" w:type="pct"/>
            <w:vAlign w:val="center"/>
          </w:tcPr>
          <w:p w14:paraId="52AFA2C7">
            <w:pPr>
              <w:pStyle w:val="159"/>
            </w:pPr>
            <w:r>
              <w:rPr>
                <w:rFonts w:hint="eastAsia"/>
              </w:rPr>
              <w:t xml:space="preserve">288.023 </w:t>
            </w:r>
          </w:p>
        </w:tc>
        <w:tc>
          <w:tcPr>
            <w:tcW w:w="572" w:type="pct"/>
            <w:shd w:val="clear" w:color="auto" w:fill="auto"/>
            <w:noWrap/>
            <w:vAlign w:val="center"/>
          </w:tcPr>
          <w:p w14:paraId="37049EA2">
            <w:pPr>
              <w:pStyle w:val="159"/>
            </w:pPr>
            <w:r>
              <w:rPr>
                <w:rFonts w:hint="eastAsia"/>
              </w:rPr>
              <w:t xml:space="preserve">1.976 </w:t>
            </w:r>
          </w:p>
        </w:tc>
        <w:tc>
          <w:tcPr>
            <w:tcW w:w="572" w:type="pct"/>
            <w:vAlign w:val="center"/>
          </w:tcPr>
          <w:p w14:paraId="47468DBC">
            <w:pPr>
              <w:pStyle w:val="159"/>
            </w:pPr>
            <w:r>
              <w:rPr>
                <w:rFonts w:hint="eastAsia"/>
              </w:rPr>
              <w:t xml:space="preserve">2.268 </w:t>
            </w:r>
          </w:p>
        </w:tc>
        <w:tc>
          <w:tcPr>
            <w:tcW w:w="569" w:type="pct"/>
            <w:vAlign w:val="center"/>
          </w:tcPr>
          <w:p w14:paraId="78B839D0">
            <w:pPr>
              <w:pStyle w:val="159"/>
            </w:pPr>
            <w:r>
              <w:rPr>
                <w:rFonts w:hint="eastAsia"/>
              </w:rPr>
              <w:t xml:space="preserve">2.580 </w:t>
            </w:r>
          </w:p>
        </w:tc>
      </w:tr>
      <w:tr w14:paraId="7F0A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9B09831">
            <w:pPr>
              <w:pStyle w:val="159"/>
              <w:rPr>
                <w:rFonts w:hAnsi="宋体"/>
                <w:sz w:val="22"/>
                <w:szCs w:val="22"/>
              </w:rPr>
            </w:pPr>
            <w:r>
              <w:t>22</w:t>
            </w:r>
          </w:p>
        </w:tc>
        <w:tc>
          <w:tcPr>
            <w:tcW w:w="771" w:type="pct"/>
            <w:vAlign w:val="center"/>
          </w:tcPr>
          <w:p w14:paraId="66CB70C2">
            <w:pPr>
              <w:pStyle w:val="159"/>
              <w:rPr>
                <w:rFonts w:hAnsi="宋体"/>
                <w:sz w:val="22"/>
                <w:szCs w:val="22"/>
              </w:rPr>
            </w:pPr>
            <w:r>
              <w:rPr>
                <w:color w:val="000000"/>
                <w:kern w:val="0"/>
              </w:rPr>
              <w:t>16</w:t>
            </w:r>
          </w:p>
        </w:tc>
        <w:tc>
          <w:tcPr>
            <w:tcW w:w="572" w:type="pct"/>
            <w:shd w:val="clear" w:color="auto" w:fill="auto"/>
            <w:noWrap/>
            <w:vAlign w:val="center"/>
          </w:tcPr>
          <w:p w14:paraId="25B19DF7">
            <w:pPr>
              <w:pStyle w:val="159"/>
            </w:pPr>
            <w:r>
              <w:rPr>
                <w:rFonts w:hint="eastAsia"/>
              </w:rPr>
              <w:t xml:space="preserve">257.474 </w:t>
            </w:r>
          </w:p>
        </w:tc>
        <w:tc>
          <w:tcPr>
            <w:tcW w:w="572" w:type="pct"/>
            <w:vAlign w:val="center"/>
          </w:tcPr>
          <w:p w14:paraId="2A05DE41">
            <w:pPr>
              <w:pStyle w:val="159"/>
            </w:pPr>
            <w:r>
              <w:rPr>
                <w:rFonts w:hint="eastAsia"/>
              </w:rPr>
              <w:t xml:space="preserve">261.487 </w:t>
            </w:r>
          </w:p>
        </w:tc>
        <w:tc>
          <w:tcPr>
            <w:tcW w:w="572" w:type="pct"/>
            <w:vAlign w:val="center"/>
          </w:tcPr>
          <w:p w14:paraId="3E2C2F11">
            <w:pPr>
              <w:pStyle w:val="159"/>
            </w:pPr>
            <w:r>
              <w:rPr>
                <w:rFonts w:hint="eastAsia"/>
              </w:rPr>
              <w:t xml:space="preserve">268.216 </w:t>
            </w:r>
          </w:p>
        </w:tc>
        <w:tc>
          <w:tcPr>
            <w:tcW w:w="572" w:type="pct"/>
            <w:shd w:val="clear" w:color="auto" w:fill="auto"/>
            <w:noWrap/>
            <w:vAlign w:val="center"/>
          </w:tcPr>
          <w:p w14:paraId="401675A5">
            <w:pPr>
              <w:pStyle w:val="159"/>
            </w:pPr>
            <w:r>
              <w:rPr>
                <w:rFonts w:hint="eastAsia"/>
              </w:rPr>
              <w:t xml:space="preserve">1.868 </w:t>
            </w:r>
          </w:p>
        </w:tc>
        <w:tc>
          <w:tcPr>
            <w:tcW w:w="572" w:type="pct"/>
            <w:vAlign w:val="center"/>
          </w:tcPr>
          <w:p w14:paraId="38AC05F2">
            <w:pPr>
              <w:pStyle w:val="159"/>
            </w:pPr>
            <w:r>
              <w:rPr>
                <w:rFonts w:hint="eastAsia"/>
              </w:rPr>
              <w:t xml:space="preserve">2.126 </w:t>
            </w:r>
          </w:p>
        </w:tc>
        <w:tc>
          <w:tcPr>
            <w:tcW w:w="569" w:type="pct"/>
            <w:vAlign w:val="center"/>
          </w:tcPr>
          <w:p w14:paraId="3A6CE7EF">
            <w:pPr>
              <w:pStyle w:val="159"/>
            </w:pPr>
            <w:r>
              <w:rPr>
                <w:rFonts w:hint="eastAsia"/>
              </w:rPr>
              <w:t xml:space="preserve">2.396 </w:t>
            </w:r>
          </w:p>
        </w:tc>
      </w:tr>
      <w:tr w14:paraId="08AF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597DB5C">
            <w:pPr>
              <w:pStyle w:val="159"/>
              <w:rPr>
                <w:rFonts w:hAnsi="宋体"/>
                <w:sz w:val="22"/>
                <w:szCs w:val="22"/>
              </w:rPr>
            </w:pPr>
            <w:r>
              <w:t>23</w:t>
            </w:r>
          </w:p>
        </w:tc>
        <w:tc>
          <w:tcPr>
            <w:tcW w:w="771" w:type="pct"/>
            <w:vAlign w:val="center"/>
          </w:tcPr>
          <w:p w14:paraId="3DC72B11">
            <w:pPr>
              <w:pStyle w:val="159"/>
              <w:rPr>
                <w:rFonts w:hAnsi="宋体"/>
                <w:sz w:val="22"/>
                <w:szCs w:val="22"/>
              </w:rPr>
            </w:pPr>
            <w:r>
              <w:rPr>
                <w:color w:val="000000"/>
                <w:kern w:val="0"/>
              </w:rPr>
              <w:t>17</w:t>
            </w:r>
          </w:p>
        </w:tc>
        <w:tc>
          <w:tcPr>
            <w:tcW w:w="572" w:type="pct"/>
            <w:shd w:val="clear" w:color="auto" w:fill="auto"/>
            <w:noWrap/>
            <w:vAlign w:val="center"/>
          </w:tcPr>
          <w:p w14:paraId="1CCC126E">
            <w:pPr>
              <w:pStyle w:val="159"/>
            </w:pPr>
            <w:r>
              <w:rPr>
                <w:rFonts w:hint="eastAsia"/>
              </w:rPr>
              <w:t xml:space="preserve">242.283 </w:t>
            </w:r>
          </w:p>
        </w:tc>
        <w:tc>
          <w:tcPr>
            <w:tcW w:w="572" w:type="pct"/>
            <w:vAlign w:val="center"/>
          </w:tcPr>
          <w:p w14:paraId="5BEBC4F9">
            <w:pPr>
              <w:pStyle w:val="159"/>
            </w:pPr>
            <w:r>
              <w:rPr>
                <w:rFonts w:hint="eastAsia"/>
              </w:rPr>
              <w:t xml:space="preserve">245.150 </w:t>
            </w:r>
          </w:p>
        </w:tc>
        <w:tc>
          <w:tcPr>
            <w:tcW w:w="572" w:type="pct"/>
            <w:vAlign w:val="center"/>
          </w:tcPr>
          <w:p w14:paraId="7EF07B71">
            <w:pPr>
              <w:pStyle w:val="159"/>
            </w:pPr>
            <w:r>
              <w:rPr>
                <w:rFonts w:hint="eastAsia"/>
              </w:rPr>
              <w:t xml:space="preserve">249.778 </w:t>
            </w:r>
          </w:p>
        </w:tc>
        <w:tc>
          <w:tcPr>
            <w:tcW w:w="572" w:type="pct"/>
            <w:shd w:val="clear" w:color="auto" w:fill="auto"/>
            <w:noWrap/>
            <w:vAlign w:val="center"/>
          </w:tcPr>
          <w:p w14:paraId="6ABC88F9">
            <w:pPr>
              <w:pStyle w:val="159"/>
            </w:pPr>
            <w:r>
              <w:rPr>
                <w:rFonts w:hint="eastAsia"/>
              </w:rPr>
              <w:t xml:space="preserve">1.767 </w:t>
            </w:r>
          </w:p>
        </w:tc>
        <w:tc>
          <w:tcPr>
            <w:tcW w:w="572" w:type="pct"/>
            <w:vAlign w:val="center"/>
          </w:tcPr>
          <w:p w14:paraId="5DDF9A16">
            <w:pPr>
              <w:pStyle w:val="159"/>
            </w:pPr>
            <w:r>
              <w:rPr>
                <w:rFonts w:hint="eastAsia"/>
              </w:rPr>
              <w:t xml:space="preserve">1.995 </w:t>
            </w:r>
          </w:p>
        </w:tc>
        <w:tc>
          <w:tcPr>
            <w:tcW w:w="569" w:type="pct"/>
            <w:vAlign w:val="center"/>
          </w:tcPr>
          <w:p w14:paraId="662731D4">
            <w:pPr>
              <w:pStyle w:val="159"/>
            </w:pPr>
            <w:r>
              <w:rPr>
                <w:rFonts w:hint="eastAsia"/>
              </w:rPr>
              <w:t xml:space="preserve">2.230 </w:t>
            </w:r>
          </w:p>
        </w:tc>
      </w:tr>
      <w:tr w14:paraId="7B29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17B0C2C">
            <w:pPr>
              <w:pStyle w:val="159"/>
              <w:rPr>
                <w:rFonts w:hAnsi="宋体"/>
                <w:sz w:val="22"/>
                <w:szCs w:val="22"/>
              </w:rPr>
            </w:pPr>
            <w:r>
              <w:t>24</w:t>
            </w:r>
          </w:p>
        </w:tc>
        <w:tc>
          <w:tcPr>
            <w:tcW w:w="771" w:type="pct"/>
            <w:vAlign w:val="center"/>
          </w:tcPr>
          <w:p w14:paraId="788ED11E">
            <w:pPr>
              <w:pStyle w:val="159"/>
              <w:rPr>
                <w:rFonts w:hAnsi="宋体"/>
                <w:sz w:val="22"/>
                <w:szCs w:val="22"/>
              </w:rPr>
            </w:pPr>
            <w:r>
              <w:rPr>
                <w:color w:val="000000"/>
                <w:kern w:val="0"/>
              </w:rPr>
              <w:t>18</w:t>
            </w:r>
          </w:p>
        </w:tc>
        <w:tc>
          <w:tcPr>
            <w:tcW w:w="572" w:type="pct"/>
            <w:shd w:val="clear" w:color="auto" w:fill="auto"/>
            <w:noWrap/>
            <w:vAlign w:val="center"/>
          </w:tcPr>
          <w:p w14:paraId="19F963A3">
            <w:pPr>
              <w:pStyle w:val="159"/>
            </w:pPr>
            <w:r>
              <w:rPr>
                <w:rFonts w:hint="eastAsia"/>
              </w:rPr>
              <w:t xml:space="preserve">227.682 </w:t>
            </w:r>
          </w:p>
        </w:tc>
        <w:tc>
          <w:tcPr>
            <w:tcW w:w="572" w:type="pct"/>
            <w:vAlign w:val="center"/>
          </w:tcPr>
          <w:p w14:paraId="0F7021E2">
            <w:pPr>
              <w:pStyle w:val="159"/>
            </w:pPr>
            <w:r>
              <w:rPr>
                <w:rFonts w:hint="eastAsia"/>
              </w:rPr>
              <w:t xml:space="preserve">229.649 </w:t>
            </w:r>
          </w:p>
        </w:tc>
        <w:tc>
          <w:tcPr>
            <w:tcW w:w="572" w:type="pct"/>
            <w:vAlign w:val="center"/>
          </w:tcPr>
          <w:p w14:paraId="5BD0A162">
            <w:pPr>
              <w:pStyle w:val="159"/>
            </w:pPr>
            <w:r>
              <w:rPr>
                <w:rFonts w:hint="eastAsia"/>
              </w:rPr>
              <w:t xml:space="preserve">232.656 </w:t>
            </w:r>
          </w:p>
        </w:tc>
        <w:tc>
          <w:tcPr>
            <w:tcW w:w="572" w:type="pct"/>
            <w:shd w:val="clear" w:color="auto" w:fill="auto"/>
            <w:noWrap/>
            <w:vAlign w:val="center"/>
          </w:tcPr>
          <w:p w14:paraId="6DCC14F9">
            <w:pPr>
              <w:pStyle w:val="159"/>
            </w:pPr>
            <w:r>
              <w:rPr>
                <w:rFonts w:hint="eastAsia"/>
              </w:rPr>
              <w:t xml:space="preserve">1.671 </w:t>
            </w:r>
          </w:p>
        </w:tc>
        <w:tc>
          <w:tcPr>
            <w:tcW w:w="572" w:type="pct"/>
            <w:vAlign w:val="center"/>
          </w:tcPr>
          <w:p w14:paraId="494D95A2">
            <w:pPr>
              <w:pStyle w:val="159"/>
            </w:pPr>
            <w:r>
              <w:rPr>
                <w:rFonts w:hint="eastAsia"/>
              </w:rPr>
              <w:t xml:space="preserve">1.874 </w:t>
            </w:r>
          </w:p>
        </w:tc>
        <w:tc>
          <w:tcPr>
            <w:tcW w:w="569" w:type="pct"/>
            <w:vAlign w:val="center"/>
          </w:tcPr>
          <w:p w14:paraId="40724763">
            <w:pPr>
              <w:pStyle w:val="159"/>
            </w:pPr>
            <w:r>
              <w:rPr>
                <w:rFonts w:hint="eastAsia"/>
              </w:rPr>
              <w:t xml:space="preserve">2.079 </w:t>
            </w:r>
          </w:p>
        </w:tc>
      </w:tr>
      <w:tr w14:paraId="22E8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F003D89">
            <w:pPr>
              <w:pStyle w:val="159"/>
              <w:rPr>
                <w:rFonts w:hAnsi="宋体"/>
                <w:sz w:val="22"/>
                <w:szCs w:val="22"/>
              </w:rPr>
            </w:pPr>
            <w:r>
              <w:t>25</w:t>
            </w:r>
          </w:p>
        </w:tc>
        <w:tc>
          <w:tcPr>
            <w:tcW w:w="771" w:type="pct"/>
            <w:vAlign w:val="center"/>
          </w:tcPr>
          <w:p w14:paraId="47459B8B">
            <w:pPr>
              <w:pStyle w:val="159"/>
              <w:rPr>
                <w:rFonts w:hAnsi="宋体"/>
                <w:sz w:val="22"/>
                <w:szCs w:val="22"/>
              </w:rPr>
            </w:pPr>
            <w:r>
              <w:rPr>
                <w:color w:val="000000"/>
                <w:kern w:val="0"/>
              </w:rPr>
              <w:t>19</w:t>
            </w:r>
          </w:p>
        </w:tc>
        <w:tc>
          <w:tcPr>
            <w:tcW w:w="572" w:type="pct"/>
            <w:shd w:val="clear" w:color="auto" w:fill="auto"/>
            <w:noWrap/>
            <w:vAlign w:val="center"/>
          </w:tcPr>
          <w:p w14:paraId="546CF731">
            <w:pPr>
              <w:pStyle w:val="159"/>
            </w:pPr>
            <w:r>
              <w:rPr>
                <w:rFonts w:hint="eastAsia"/>
              </w:rPr>
              <w:t xml:space="preserve">213.750 </w:t>
            </w:r>
          </w:p>
        </w:tc>
        <w:tc>
          <w:tcPr>
            <w:tcW w:w="572" w:type="pct"/>
            <w:vAlign w:val="center"/>
          </w:tcPr>
          <w:p w14:paraId="7353E884">
            <w:pPr>
              <w:pStyle w:val="159"/>
            </w:pPr>
            <w:r>
              <w:rPr>
                <w:rFonts w:hint="eastAsia"/>
              </w:rPr>
              <w:t xml:space="preserve">215.017 </w:t>
            </w:r>
          </w:p>
        </w:tc>
        <w:tc>
          <w:tcPr>
            <w:tcW w:w="572" w:type="pct"/>
            <w:vAlign w:val="center"/>
          </w:tcPr>
          <w:p w14:paraId="750C085C">
            <w:pPr>
              <w:pStyle w:val="159"/>
            </w:pPr>
            <w:r>
              <w:rPr>
                <w:rFonts w:hint="eastAsia"/>
              </w:rPr>
              <w:t xml:space="preserve">216.786 </w:t>
            </w:r>
          </w:p>
        </w:tc>
        <w:tc>
          <w:tcPr>
            <w:tcW w:w="572" w:type="pct"/>
            <w:shd w:val="clear" w:color="auto" w:fill="auto"/>
            <w:noWrap/>
            <w:vAlign w:val="center"/>
          </w:tcPr>
          <w:p w14:paraId="69A9ADBA">
            <w:pPr>
              <w:pStyle w:val="159"/>
            </w:pPr>
            <w:r>
              <w:rPr>
                <w:rFonts w:hint="eastAsia"/>
              </w:rPr>
              <w:t xml:space="preserve">1.583 </w:t>
            </w:r>
          </w:p>
        </w:tc>
        <w:tc>
          <w:tcPr>
            <w:tcW w:w="572" w:type="pct"/>
            <w:vAlign w:val="center"/>
          </w:tcPr>
          <w:p w14:paraId="2D7A9F99">
            <w:pPr>
              <w:pStyle w:val="159"/>
            </w:pPr>
            <w:r>
              <w:rPr>
                <w:rFonts w:hint="eastAsia"/>
              </w:rPr>
              <w:t xml:space="preserve">1.763 </w:t>
            </w:r>
          </w:p>
        </w:tc>
        <w:tc>
          <w:tcPr>
            <w:tcW w:w="569" w:type="pct"/>
            <w:vAlign w:val="center"/>
          </w:tcPr>
          <w:p w14:paraId="5449810E">
            <w:pPr>
              <w:pStyle w:val="159"/>
            </w:pPr>
            <w:r>
              <w:rPr>
                <w:rFonts w:hint="eastAsia"/>
              </w:rPr>
              <w:t xml:space="preserve">1.942 </w:t>
            </w:r>
          </w:p>
        </w:tc>
      </w:tr>
      <w:tr w14:paraId="14AC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8F64356">
            <w:pPr>
              <w:pStyle w:val="159"/>
              <w:rPr>
                <w:rFonts w:hAnsi="宋体"/>
                <w:sz w:val="22"/>
                <w:szCs w:val="22"/>
              </w:rPr>
            </w:pPr>
            <w:r>
              <w:t>26</w:t>
            </w:r>
          </w:p>
        </w:tc>
        <w:tc>
          <w:tcPr>
            <w:tcW w:w="771" w:type="pct"/>
            <w:vAlign w:val="center"/>
          </w:tcPr>
          <w:p w14:paraId="7A82265C">
            <w:pPr>
              <w:pStyle w:val="159"/>
              <w:rPr>
                <w:rFonts w:hAnsi="宋体"/>
                <w:sz w:val="22"/>
                <w:szCs w:val="22"/>
              </w:rPr>
            </w:pPr>
            <w:r>
              <w:rPr>
                <w:color w:val="000000"/>
                <w:kern w:val="0"/>
              </w:rPr>
              <w:t>20</w:t>
            </w:r>
          </w:p>
        </w:tc>
        <w:tc>
          <w:tcPr>
            <w:tcW w:w="572" w:type="pct"/>
            <w:shd w:val="clear" w:color="auto" w:fill="auto"/>
            <w:noWrap/>
            <w:vAlign w:val="center"/>
          </w:tcPr>
          <w:p w14:paraId="6E069BBE">
            <w:pPr>
              <w:pStyle w:val="159"/>
            </w:pPr>
            <w:r>
              <w:rPr>
                <w:rFonts w:hint="eastAsia"/>
              </w:rPr>
              <w:t xml:space="preserve">200.532 </w:t>
            </w:r>
          </w:p>
        </w:tc>
        <w:tc>
          <w:tcPr>
            <w:tcW w:w="572" w:type="pct"/>
            <w:vAlign w:val="center"/>
          </w:tcPr>
          <w:p w14:paraId="0E91BFD6">
            <w:pPr>
              <w:pStyle w:val="159"/>
            </w:pPr>
            <w:r>
              <w:rPr>
                <w:rFonts w:hint="eastAsia"/>
              </w:rPr>
              <w:t xml:space="preserve">201.262 </w:t>
            </w:r>
          </w:p>
        </w:tc>
        <w:tc>
          <w:tcPr>
            <w:tcW w:w="572" w:type="pct"/>
            <w:vAlign w:val="center"/>
          </w:tcPr>
          <w:p w14:paraId="0879394E">
            <w:pPr>
              <w:pStyle w:val="159"/>
            </w:pPr>
            <w:r>
              <w:rPr>
                <w:rFonts w:hint="eastAsia"/>
              </w:rPr>
              <w:t xml:space="preserve">202.093 </w:t>
            </w:r>
          </w:p>
        </w:tc>
        <w:tc>
          <w:tcPr>
            <w:tcW w:w="572" w:type="pct"/>
            <w:shd w:val="clear" w:color="auto" w:fill="auto"/>
            <w:noWrap/>
            <w:vAlign w:val="center"/>
          </w:tcPr>
          <w:p w14:paraId="2D982088">
            <w:pPr>
              <w:pStyle w:val="159"/>
            </w:pPr>
            <w:r>
              <w:rPr>
                <w:rFonts w:hint="eastAsia"/>
              </w:rPr>
              <w:t xml:space="preserve">1.500 </w:t>
            </w:r>
          </w:p>
        </w:tc>
        <w:tc>
          <w:tcPr>
            <w:tcW w:w="572" w:type="pct"/>
            <w:vAlign w:val="center"/>
          </w:tcPr>
          <w:p w14:paraId="4024C7EA">
            <w:pPr>
              <w:pStyle w:val="159"/>
            </w:pPr>
            <w:r>
              <w:rPr>
                <w:rFonts w:hint="eastAsia"/>
              </w:rPr>
              <w:t xml:space="preserve">1.660 </w:t>
            </w:r>
          </w:p>
        </w:tc>
        <w:tc>
          <w:tcPr>
            <w:tcW w:w="569" w:type="pct"/>
            <w:vAlign w:val="center"/>
          </w:tcPr>
          <w:p w14:paraId="5E1632EC">
            <w:pPr>
              <w:pStyle w:val="159"/>
            </w:pPr>
            <w:r>
              <w:rPr>
                <w:rFonts w:hint="eastAsia"/>
              </w:rPr>
              <w:t xml:space="preserve">1.817 </w:t>
            </w:r>
          </w:p>
        </w:tc>
      </w:tr>
      <w:tr w14:paraId="2E7A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832E785">
            <w:pPr>
              <w:pStyle w:val="159"/>
              <w:rPr>
                <w:rFonts w:hAnsi="宋体"/>
                <w:sz w:val="22"/>
                <w:szCs w:val="22"/>
              </w:rPr>
            </w:pPr>
            <w:r>
              <w:t>27</w:t>
            </w:r>
          </w:p>
        </w:tc>
        <w:tc>
          <w:tcPr>
            <w:tcW w:w="771" w:type="pct"/>
            <w:vAlign w:val="center"/>
          </w:tcPr>
          <w:p w14:paraId="13E898EF">
            <w:pPr>
              <w:pStyle w:val="159"/>
              <w:rPr>
                <w:rFonts w:hAnsi="宋体"/>
                <w:sz w:val="22"/>
                <w:szCs w:val="22"/>
              </w:rPr>
            </w:pPr>
            <w:r>
              <w:t>21</w:t>
            </w:r>
          </w:p>
        </w:tc>
        <w:tc>
          <w:tcPr>
            <w:tcW w:w="572" w:type="pct"/>
            <w:shd w:val="clear" w:color="auto" w:fill="auto"/>
            <w:noWrap/>
            <w:vAlign w:val="center"/>
          </w:tcPr>
          <w:p w14:paraId="5D3FC477">
            <w:pPr>
              <w:pStyle w:val="159"/>
            </w:pPr>
            <w:r>
              <w:rPr>
                <w:rFonts w:hint="eastAsia"/>
              </w:rPr>
              <w:t xml:space="preserve">188.051 </w:t>
            </w:r>
          </w:p>
        </w:tc>
        <w:tc>
          <w:tcPr>
            <w:tcW w:w="572" w:type="pct"/>
            <w:vAlign w:val="center"/>
          </w:tcPr>
          <w:p w14:paraId="7260F98C">
            <w:pPr>
              <w:pStyle w:val="159"/>
            </w:pPr>
            <w:r>
              <w:rPr>
                <w:rFonts w:hint="eastAsia"/>
              </w:rPr>
              <w:t xml:space="preserve">188.371 </w:t>
            </w:r>
          </w:p>
        </w:tc>
        <w:tc>
          <w:tcPr>
            <w:tcW w:w="572" w:type="pct"/>
            <w:vAlign w:val="center"/>
          </w:tcPr>
          <w:p w14:paraId="0D52546B">
            <w:pPr>
              <w:pStyle w:val="159"/>
            </w:pPr>
            <w:r>
              <w:rPr>
                <w:rFonts w:hint="eastAsia"/>
              </w:rPr>
              <w:t xml:space="preserve">188.504 </w:t>
            </w:r>
          </w:p>
        </w:tc>
        <w:tc>
          <w:tcPr>
            <w:tcW w:w="572" w:type="pct"/>
            <w:shd w:val="clear" w:color="auto" w:fill="auto"/>
            <w:noWrap/>
            <w:vAlign w:val="center"/>
          </w:tcPr>
          <w:p w14:paraId="2A7D375B">
            <w:pPr>
              <w:pStyle w:val="159"/>
            </w:pPr>
            <w:r>
              <w:rPr>
                <w:rFonts w:hint="eastAsia"/>
              </w:rPr>
              <w:t xml:space="preserve">1.422 </w:t>
            </w:r>
          </w:p>
        </w:tc>
        <w:tc>
          <w:tcPr>
            <w:tcW w:w="572" w:type="pct"/>
            <w:vAlign w:val="center"/>
          </w:tcPr>
          <w:p w14:paraId="20C17786">
            <w:pPr>
              <w:pStyle w:val="159"/>
            </w:pPr>
            <w:r>
              <w:rPr>
                <w:rFonts w:hint="eastAsia"/>
              </w:rPr>
              <w:t xml:space="preserve">1.565 </w:t>
            </w:r>
          </w:p>
        </w:tc>
        <w:tc>
          <w:tcPr>
            <w:tcW w:w="569" w:type="pct"/>
            <w:vAlign w:val="center"/>
          </w:tcPr>
          <w:p w14:paraId="391324E0">
            <w:pPr>
              <w:pStyle w:val="159"/>
            </w:pPr>
            <w:r>
              <w:rPr>
                <w:rFonts w:hint="eastAsia"/>
              </w:rPr>
              <w:t xml:space="preserve">1.704 </w:t>
            </w:r>
          </w:p>
        </w:tc>
      </w:tr>
      <w:tr w14:paraId="3171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29B4B215">
            <w:pPr>
              <w:pStyle w:val="159"/>
              <w:rPr>
                <w:rFonts w:hAnsi="宋体"/>
                <w:sz w:val="22"/>
                <w:szCs w:val="22"/>
              </w:rPr>
            </w:pPr>
            <w:r>
              <w:t>28</w:t>
            </w:r>
          </w:p>
        </w:tc>
        <w:tc>
          <w:tcPr>
            <w:tcW w:w="771" w:type="pct"/>
            <w:vAlign w:val="center"/>
          </w:tcPr>
          <w:p w14:paraId="142086A1">
            <w:pPr>
              <w:pStyle w:val="159"/>
              <w:rPr>
                <w:rFonts w:hAnsi="宋体"/>
                <w:sz w:val="22"/>
                <w:szCs w:val="22"/>
              </w:rPr>
            </w:pPr>
            <w:r>
              <w:t>22</w:t>
            </w:r>
          </w:p>
        </w:tc>
        <w:tc>
          <w:tcPr>
            <w:tcW w:w="572" w:type="pct"/>
            <w:shd w:val="clear" w:color="auto" w:fill="auto"/>
            <w:noWrap/>
            <w:vAlign w:val="center"/>
          </w:tcPr>
          <w:p w14:paraId="3ED98E67">
            <w:pPr>
              <w:pStyle w:val="159"/>
            </w:pPr>
            <w:r>
              <w:rPr>
                <w:rFonts w:hint="eastAsia"/>
              </w:rPr>
              <w:t xml:space="preserve">176.309 </w:t>
            </w:r>
          </w:p>
        </w:tc>
        <w:tc>
          <w:tcPr>
            <w:tcW w:w="572" w:type="pct"/>
            <w:vAlign w:val="center"/>
          </w:tcPr>
          <w:p w14:paraId="3B38DCEF">
            <w:pPr>
              <w:pStyle w:val="159"/>
            </w:pPr>
            <w:r>
              <w:rPr>
                <w:rFonts w:hint="eastAsia"/>
              </w:rPr>
              <w:t xml:space="preserve">176.323 </w:t>
            </w:r>
          </w:p>
        </w:tc>
        <w:tc>
          <w:tcPr>
            <w:tcW w:w="572" w:type="pct"/>
            <w:vAlign w:val="center"/>
          </w:tcPr>
          <w:p w14:paraId="0F809CA9">
            <w:pPr>
              <w:pStyle w:val="159"/>
            </w:pPr>
            <w:r>
              <w:rPr>
                <w:rFonts w:hint="eastAsia"/>
              </w:rPr>
              <w:t xml:space="preserve">175.942 </w:t>
            </w:r>
          </w:p>
        </w:tc>
        <w:tc>
          <w:tcPr>
            <w:tcW w:w="572" w:type="pct"/>
            <w:shd w:val="clear" w:color="auto" w:fill="auto"/>
            <w:noWrap/>
            <w:vAlign w:val="center"/>
          </w:tcPr>
          <w:p w14:paraId="5406BF15">
            <w:pPr>
              <w:pStyle w:val="159"/>
            </w:pPr>
            <w:r>
              <w:rPr>
                <w:rFonts w:hint="eastAsia"/>
              </w:rPr>
              <w:t xml:space="preserve">1.349 </w:t>
            </w:r>
          </w:p>
        </w:tc>
        <w:tc>
          <w:tcPr>
            <w:tcW w:w="572" w:type="pct"/>
            <w:vAlign w:val="center"/>
          </w:tcPr>
          <w:p w14:paraId="21DD719B">
            <w:pPr>
              <w:pStyle w:val="159"/>
            </w:pPr>
            <w:r>
              <w:rPr>
                <w:rFonts w:hint="eastAsia"/>
              </w:rPr>
              <w:t xml:space="preserve">1.477 </w:t>
            </w:r>
          </w:p>
        </w:tc>
        <w:tc>
          <w:tcPr>
            <w:tcW w:w="569" w:type="pct"/>
            <w:vAlign w:val="center"/>
          </w:tcPr>
          <w:p w14:paraId="475C0D24">
            <w:pPr>
              <w:pStyle w:val="159"/>
            </w:pPr>
            <w:r>
              <w:rPr>
                <w:rFonts w:hint="eastAsia"/>
              </w:rPr>
              <w:t xml:space="preserve">1.600 </w:t>
            </w:r>
          </w:p>
        </w:tc>
      </w:tr>
      <w:tr w14:paraId="0AE6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578D30E7">
            <w:pPr>
              <w:pStyle w:val="159"/>
              <w:rPr>
                <w:rFonts w:hAnsi="宋体"/>
                <w:sz w:val="22"/>
                <w:szCs w:val="22"/>
              </w:rPr>
            </w:pPr>
            <w:r>
              <w:t>29</w:t>
            </w:r>
          </w:p>
        </w:tc>
        <w:tc>
          <w:tcPr>
            <w:tcW w:w="771" w:type="pct"/>
            <w:vAlign w:val="center"/>
          </w:tcPr>
          <w:p w14:paraId="5E99EB34">
            <w:pPr>
              <w:pStyle w:val="159"/>
              <w:rPr>
                <w:rFonts w:hAnsi="宋体"/>
                <w:sz w:val="22"/>
                <w:szCs w:val="22"/>
              </w:rPr>
            </w:pPr>
            <w:r>
              <w:t>23</w:t>
            </w:r>
          </w:p>
        </w:tc>
        <w:tc>
          <w:tcPr>
            <w:tcW w:w="572" w:type="pct"/>
            <w:shd w:val="clear" w:color="auto" w:fill="auto"/>
            <w:noWrap/>
            <w:vAlign w:val="center"/>
          </w:tcPr>
          <w:p w14:paraId="51E10933">
            <w:pPr>
              <w:pStyle w:val="159"/>
            </w:pPr>
            <w:r>
              <w:rPr>
                <w:rFonts w:hint="eastAsia"/>
              </w:rPr>
              <w:t xml:space="preserve">165.295 </w:t>
            </w:r>
          </w:p>
        </w:tc>
        <w:tc>
          <w:tcPr>
            <w:tcW w:w="572" w:type="pct"/>
            <w:vAlign w:val="center"/>
          </w:tcPr>
          <w:p w14:paraId="412AC52A">
            <w:pPr>
              <w:pStyle w:val="159"/>
            </w:pPr>
            <w:r>
              <w:rPr>
                <w:rFonts w:hint="eastAsia"/>
              </w:rPr>
              <w:t xml:space="preserve">165.083 </w:t>
            </w:r>
          </w:p>
        </w:tc>
        <w:tc>
          <w:tcPr>
            <w:tcW w:w="572" w:type="pct"/>
            <w:vAlign w:val="center"/>
          </w:tcPr>
          <w:p w14:paraId="20DABBB8">
            <w:pPr>
              <w:pStyle w:val="159"/>
            </w:pPr>
            <w:r>
              <w:rPr>
                <w:rFonts w:hint="eastAsia"/>
              </w:rPr>
              <w:t xml:space="preserve">164.333 </w:t>
            </w:r>
          </w:p>
        </w:tc>
        <w:tc>
          <w:tcPr>
            <w:tcW w:w="572" w:type="pct"/>
            <w:shd w:val="clear" w:color="auto" w:fill="auto"/>
            <w:noWrap/>
            <w:vAlign w:val="center"/>
          </w:tcPr>
          <w:p w14:paraId="0260450F">
            <w:pPr>
              <w:pStyle w:val="159"/>
            </w:pPr>
            <w:r>
              <w:rPr>
                <w:rFonts w:hint="eastAsia"/>
              </w:rPr>
              <w:t xml:space="preserve">1.281 </w:t>
            </w:r>
          </w:p>
        </w:tc>
        <w:tc>
          <w:tcPr>
            <w:tcW w:w="572" w:type="pct"/>
            <w:vAlign w:val="center"/>
          </w:tcPr>
          <w:p w14:paraId="4246014D">
            <w:pPr>
              <w:pStyle w:val="159"/>
            </w:pPr>
            <w:r>
              <w:rPr>
                <w:rFonts w:hint="eastAsia"/>
              </w:rPr>
              <w:t xml:space="preserve">1.396 </w:t>
            </w:r>
          </w:p>
        </w:tc>
        <w:tc>
          <w:tcPr>
            <w:tcW w:w="569" w:type="pct"/>
            <w:vAlign w:val="center"/>
          </w:tcPr>
          <w:p w14:paraId="12ACD14D">
            <w:pPr>
              <w:pStyle w:val="159"/>
            </w:pPr>
            <w:r>
              <w:rPr>
                <w:rFonts w:hint="eastAsia"/>
              </w:rPr>
              <w:t xml:space="preserve">1.505 </w:t>
            </w:r>
          </w:p>
        </w:tc>
      </w:tr>
      <w:tr w14:paraId="5CBA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CF6F86E">
            <w:pPr>
              <w:pStyle w:val="159"/>
              <w:rPr>
                <w:rFonts w:hAnsi="宋体"/>
                <w:sz w:val="22"/>
                <w:szCs w:val="22"/>
              </w:rPr>
            </w:pPr>
            <w:r>
              <w:t>30</w:t>
            </w:r>
          </w:p>
        </w:tc>
        <w:tc>
          <w:tcPr>
            <w:tcW w:w="771" w:type="pct"/>
            <w:vAlign w:val="center"/>
          </w:tcPr>
          <w:p w14:paraId="69A568B4">
            <w:pPr>
              <w:pStyle w:val="159"/>
              <w:rPr>
                <w:rFonts w:hAnsi="宋体"/>
                <w:sz w:val="22"/>
                <w:szCs w:val="22"/>
              </w:rPr>
            </w:pPr>
            <w:r>
              <w:t>24</w:t>
            </w:r>
          </w:p>
        </w:tc>
        <w:tc>
          <w:tcPr>
            <w:tcW w:w="572" w:type="pct"/>
            <w:shd w:val="clear" w:color="auto" w:fill="auto"/>
            <w:noWrap/>
            <w:vAlign w:val="center"/>
          </w:tcPr>
          <w:p w14:paraId="09AEABF1">
            <w:pPr>
              <w:pStyle w:val="159"/>
            </w:pPr>
            <w:r>
              <w:rPr>
                <w:rFonts w:hint="eastAsia"/>
              </w:rPr>
              <w:t xml:space="preserve">154.989 </w:t>
            </w:r>
          </w:p>
        </w:tc>
        <w:tc>
          <w:tcPr>
            <w:tcW w:w="572" w:type="pct"/>
            <w:vAlign w:val="center"/>
          </w:tcPr>
          <w:p w14:paraId="0D06FB45">
            <w:pPr>
              <w:pStyle w:val="159"/>
            </w:pPr>
            <w:r>
              <w:rPr>
                <w:rFonts w:hint="eastAsia"/>
              </w:rPr>
              <w:t xml:space="preserve">154.614 </w:t>
            </w:r>
          </w:p>
        </w:tc>
        <w:tc>
          <w:tcPr>
            <w:tcW w:w="572" w:type="pct"/>
            <w:vAlign w:val="center"/>
          </w:tcPr>
          <w:p w14:paraId="5FE23AD0">
            <w:pPr>
              <w:pStyle w:val="159"/>
            </w:pPr>
            <w:r>
              <w:rPr>
                <w:rFonts w:hint="eastAsia"/>
              </w:rPr>
              <w:t xml:space="preserve">153.606 </w:t>
            </w:r>
          </w:p>
        </w:tc>
        <w:tc>
          <w:tcPr>
            <w:tcW w:w="572" w:type="pct"/>
            <w:shd w:val="clear" w:color="auto" w:fill="auto"/>
            <w:noWrap/>
            <w:vAlign w:val="center"/>
          </w:tcPr>
          <w:p w14:paraId="04F738F9">
            <w:pPr>
              <w:pStyle w:val="159"/>
            </w:pPr>
            <w:r>
              <w:rPr>
                <w:rFonts w:hint="eastAsia"/>
              </w:rPr>
              <w:t xml:space="preserve">1.218 </w:t>
            </w:r>
          </w:p>
        </w:tc>
        <w:tc>
          <w:tcPr>
            <w:tcW w:w="572" w:type="pct"/>
            <w:vAlign w:val="center"/>
          </w:tcPr>
          <w:p w14:paraId="1B516228">
            <w:pPr>
              <w:pStyle w:val="159"/>
            </w:pPr>
            <w:r>
              <w:rPr>
                <w:rFonts w:hint="eastAsia"/>
              </w:rPr>
              <w:t xml:space="preserve">1.321 </w:t>
            </w:r>
          </w:p>
        </w:tc>
        <w:tc>
          <w:tcPr>
            <w:tcW w:w="569" w:type="pct"/>
            <w:vAlign w:val="center"/>
          </w:tcPr>
          <w:p w14:paraId="1C2F46C4">
            <w:pPr>
              <w:pStyle w:val="159"/>
            </w:pPr>
            <w:r>
              <w:rPr>
                <w:rFonts w:hint="eastAsia"/>
              </w:rPr>
              <w:t xml:space="preserve">1.417 </w:t>
            </w:r>
          </w:p>
        </w:tc>
      </w:tr>
      <w:tr w14:paraId="1E7E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A51C018">
            <w:pPr>
              <w:pStyle w:val="159"/>
              <w:rPr>
                <w:rFonts w:hAnsi="宋体"/>
                <w:sz w:val="22"/>
                <w:szCs w:val="22"/>
              </w:rPr>
            </w:pPr>
            <w:r>
              <w:t>31</w:t>
            </w:r>
          </w:p>
        </w:tc>
        <w:tc>
          <w:tcPr>
            <w:tcW w:w="771" w:type="pct"/>
            <w:vAlign w:val="center"/>
          </w:tcPr>
          <w:p w14:paraId="2D435972">
            <w:pPr>
              <w:pStyle w:val="159"/>
              <w:rPr>
                <w:rFonts w:hAnsi="宋体"/>
                <w:sz w:val="22"/>
                <w:szCs w:val="22"/>
              </w:rPr>
            </w:pPr>
            <w:r>
              <w:t>25</w:t>
            </w:r>
          </w:p>
        </w:tc>
        <w:tc>
          <w:tcPr>
            <w:tcW w:w="572" w:type="pct"/>
            <w:shd w:val="clear" w:color="auto" w:fill="auto"/>
            <w:noWrap/>
            <w:vAlign w:val="center"/>
          </w:tcPr>
          <w:p w14:paraId="0BCB46A8">
            <w:pPr>
              <w:pStyle w:val="159"/>
            </w:pPr>
            <w:r>
              <w:rPr>
                <w:rFonts w:hint="eastAsia"/>
              </w:rPr>
              <w:t xml:space="preserve">145.362 </w:t>
            </w:r>
          </w:p>
        </w:tc>
        <w:tc>
          <w:tcPr>
            <w:tcW w:w="572" w:type="pct"/>
            <w:vAlign w:val="center"/>
          </w:tcPr>
          <w:p w14:paraId="10623F26">
            <w:pPr>
              <w:pStyle w:val="159"/>
            </w:pPr>
            <w:r>
              <w:rPr>
                <w:rFonts w:hint="eastAsia"/>
              </w:rPr>
              <w:t xml:space="preserve">144.874 </w:t>
            </w:r>
          </w:p>
        </w:tc>
        <w:tc>
          <w:tcPr>
            <w:tcW w:w="572" w:type="pct"/>
            <w:vAlign w:val="center"/>
          </w:tcPr>
          <w:p w14:paraId="241D5D6A">
            <w:pPr>
              <w:pStyle w:val="159"/>
            </w:pPr>
            <w:r>
              <w:rPr>
                <w:rFonts w:hint="eastAsia"/>
              </w:rPr>
              <w:t xml:space="preserve">143.693 </w:t>
            </w:r>
          </w:p>
        </w:tc>
        <w:tc>
          <w:tcPr>
            <w:tcW w:w="572" w:type="pct"/>
            <w:shd w:val="clear" w:color="auto" w:fill="auto"/>
            <w:noWrap/>
            <w:vAlign w:val="center"/>
          </w:tcPr>
          <w:p w14:paraId="15955F5C">
            <w:pPr>
              <w:pStyle w:val="159"/>
            </w:pPr>
            <w:r>
              <w:rPr>
                <w:rFonts w:hint="eastAsia"/>
              </w:rPr>
              <w:t xml:space="preserve">1.159 </w:t>
            </w:r>
          </w:p>
        </w:tc>
        <w:tc>
          <w:tcPr>
            <w:tcW w:w="572" w:type="pct"/>
            <w:vAlign w:val="center"/>
          </w:tcPr>
          <w:p w14:paraId="1E781A93">
            <w:pPr>
              <w:pStyle w:val="159"/>
            </w:pPr>
            <w:r>
              <w:rPr>
                <w:rFonts w:hint="eastAsia"/>
              </w:rPr>
              <w:t xml:space="preserve">1.251 </w:t>
            </w:r>
          </w:p>
        </w:tc>
        <w:tc>
          <w:tcPr>
            <w:tcW w:w="569" w:type="pct"/>
            <w:vAlign w:val="center"/>
          </w:tcPr>
          <w:p w14:paraId="00A03E31">
            <w:pPr>
              <w:pStyle w:val="159"/>
            </w:pPr>
            <w:r>
              <w:rPr>
                <w:rFonts w:hint="eastAsia"/>
              </w:rPr>
              <w:t xml:space="preserve">1.337 </w:t>
            </w:r>
          </w:p>
        </w:tc>
      </w:tr>
      <w:tr w14:paraId="360E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77227346">
            <w:pPr>
              <w:pStyle w:val="159"/>
              <w:rPr>
                <w:rFonts w:hAnsi="宋体"/>
                <w:sz w:val="22"/>
                <w:szCs w:val="22"/>
              </w:rPr>
            </w:pPr>
            <w:r>
              <w:t>32</w:t>
            </w:r>
          </w:p>
        </w:tc>
        <w:tc>
          <w:tcPr>
            <w:tcW w:w="771" w:type="pct"/>
            <w:vAlign w:val="center"/>
          </w:tcPr>
          <w:p w14:paraId="7FAD4E55">
            <w:pPr>
              <w:pStyle w:val="159"/>
              <w:rPr>
                <w:rFonts w:hAnsi="宋体"/>
                <w:sz w:val="22"/>
                <w:szCs w:val="22"/>
              </w:rPr>
            </w:pPr>
            <w:r>
              <w:t>26</w:t>
            </w:r>
          </w:p>
        </w:tc>
        <w:tc>
          <w:tcPr>
            <w:tcW w:w="572" w:type="pct"/>
            <w:shd w:val="clear" w:color="auto" w:fill="auto"/>
            <w:noWrap/>
            <w:vAlign w:val="center"/>
          </w:tcPr>
          <w:p w14:paraId="36A30BE4">
            <w:pPr>
              <w:pStyle w:val="159"/>
            </w:pPr>
            <w:r>
              <w:rPr>
                <w:rFonts w:hint="eastAsia"/>
              </w:rPr>
              <w:t xml:space="preserve">136.383 </w:t>
            </w:r>
          </w:p>
        </w:tc>
        <w:tc>
          <w:tcPr>
            <w:tcW w:w="572" w:type="pct"/>
            <w:vAlign w:val="center"/>
          </w:tcPr>
          <w:p w14:paraId="280BEACB">
            <w:pPr>
              <w:pStyle w:val="159"/>
            </w:pPr>
            <w:r>
              <w:rPr>
                <w:rFonts w:hint="eastAsia"/>
              </w:rPr>
              <w:t xml:space="preserve">135.818 </w:t>
            </w:r>
          </w:p>
        </w:tc>
        <w:tc>
          <w:tcPr>
            <w:tcW w:w="572" w:type="pct"/>
            <w:vAlign w:val="center"/>
          </w:tcPr>
          <w:p w14:paraId="6C3B33BA">
            <w:pPr>
              <w:pStyle w:val="159"/>
            </w:pPr>
            <w:r>
              <w:rPr>
                <w:rFonts w:hint="eastAsia"/>
              </w:rPr>
              <w:t xml:space="preserve">134.529 </w:t>
            </w:r>
          </w:p>
        </w:tc>
        <w:tc>
          <w:tcPr>
            <w:tcW w:w="572" w:type="pct"/>
            <w:shd w:val="clear" w:color="auto" w:fill="auto"/>
            <w:noWrap/>
            <w:vAlign w:val="center"/>
          </w:tcPr>
          <w:p w14:paraId="363C5970">
            <w:pPr>
              <w:pStyle w:val="159"/>
            </w:pPr>
            <w:r>
              <w:rPr>
                <w:rFonts w:hint="eastAsia"/>
              </w:rPr>
              <w:t xml:space="preserve">1.103 </w:t>
            </w:r>
          </w:p>
        </w:tc>
        <w:tc>
          <w:tcPr>
            <w:tcW w:w="572" w:type="pct"/>
            <w:vAlign w:val="center"/>
          </w:tcPr>
          <w:p w14:paraId="443FE2B2">
            <w:pPr>
              <w:pStyle w:val="159"/>
            </w:pPr>
            <w:r>
              <w:rPr>
                <w:rFonts w:hint="eastAsia"/>
              </w:rPr>
              <w:t xml:space="preserve">1.187 </w:t>
            </w:r>
          </w:p>
        </w:tc>
        <w:tc>
          <w:tcPr>
            <w:tcW w:w="569" w:type="pct"/>
            <w:vAlign w:val="center"/>
          </w:tcPr>
          <w:p w14:paraId="61E8ABAA">
            <w:pPr>
              <w:pStyle w:val="159"/>
            </w:pPr>
            <w:r>
              <w:rPr>
                <w:rFonts w:hint="eastAsia"/>
              </w:rPr>
              <w:t xml:space="preserve">1.264 </w:t>
            </w:r>
          </w:p>
        </w:tc>
      </w:tr>
      <w:tr w14:paraId="3083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683470DE">
            <w:pPr>
              <w:pStyle w:val="159"/>
              <w:rPr>
                <w:rFonts w:hAnsi="宋体"/>
                <w:sz w:val="22"/>
                <w:szCs w:val="22"/>
              </w:rPr>
            </w:pPr>
            <w:r>
              <w:t>33</w:t>
            </w:r>
          </w:p>
        </w:tc>
        <w:tc>
          <w:tcPr>
            <w:tcW w:w="771" w:type="pct"/>
            <w:vAlign w:val="center"/>
          </w:tcPr>
          <w:p w14:paraId="3EDAD455">
            <w:pPr>
              <w:pStyle w:val="159"/>
              <w:rPr>
                <w:rFonts w:hAnsi="宋体"/>
                <w:sz w:val="22"/>
                <w:szCs w:val="22"/>
              </w:rPr>
            </w:pPr>
            <w:r>
              <w:t>27</w:t>
            </w:r>
          </w:p>
        </w:tc>
        <w:tc>
          <w:tcPr>
            <w:tcW w:w="572" w:type="pct"/>
            <w:shd w:val="clear" w:color="auto" w:fill="auto"/>
            <w:noWrap/>
            <w:vAlign w:val="center"/>
          </w:tcPr>
          <w:p w14:paraId="6C1098FE">
            <w:pPr>
              <w:pStyle w:val="159"/>
            </w:pPr>
            <w:r>
              <w:rPr>
                <w:rFonts w:hint="eastAsia"/>
              </w:rPr>
              <w:t xml:space="preserve">128.015 </w:t>
            </w:r>
          </w:p>
        </w:tc>
        <w:tc>
          <w:tcPr>
            <w:tcW w:w="572" w:type="pct"/>
            <w:vAlign w:val="center"/>
          </w:tcPr>
          <w:p w14:paraId="53CA397D">
            <w:pPr>
              <w:pStyle w:val="159"/>
            </w:pPr>
            <w:r>
              <w:rPr>
                <w:rFonts w:hint="eastAsia"/>
              </w:rPr>
              <w:t xml:space="preserve">127.404 </w:t>
            </w:r>
          </w:p>
        </w:tc>
        <w:tc>
          <w:tcPr>
            <w:tcW w:w="572" w:type="pct"/>
            <w:vAlign w:val="center"/>
          </w:tcPr>
          <w:p w14:paraId="100C5BEF">
            <w:pPr>
              <w:pStyle w:val="159"/>
            </w:pPr>
            <w:r>
              <w:rPr>
                <w:rFonts w:hint="eastAsia"/>
              </w:rPr>
              <w:t xml:space="preserve">126.056 </w:t>
            </w:r>
          </w:p>
        </w:tc>
        <w:tc>
          <w:tcPr>
            <w:tcW w:w="572" w:type="pct"/>
            <w:shd w:val="clear" w:color="auto" w:fill="auto"/>
            <w:noWrap/>
            <w:vAlign w:val="center"/>
          </w:tcPr>
          <w:p w14:paraId="452FAC67">
            <w:pPr>
              <w:pStyle w:val="159"/>
            </w:pPr>
            <w:r>
              <w:rPr>
                <w:rFonts w:hint="eastAsia"/>
              </w:rPr>
              <w:t xml:space="preserve">1.051 </w:t>
            </w:r>
          </w:p>
        </w:tc>
        <w:tc>
          <w:tcPr>
            <w:tcW w:w="572" w:type="pct"/>
            <w:vAlign w:val="center"/>
          </w:tcPr>
          <w:p w14:paraId="50F5B752">
            <w:pPr>
              <w:pStyle w:val="159"/>
            </w:pPr>
            <w:r>
              <w:rPr>
                <w:rFonts w:hint="eastAsia"/>
              </w:rPr>
              <w:t xml:space="preserve">1.127 </w:t>
            </w:r>
          </w:p>
        </w:tc>
        <w:tc>
          <w:tcPr>
            <w:tcW w:w="569" w:type="pct"/>
            <w:vAlign w:val="center"/>
          </w:tcPr>
          <w:p w14:paraId="7D869EB3">
            <w:pPr>
              <w:pStyle w:val="159"/>
            </w:pPr>
            <w:r>
              <w:rPr>
                <w:rFonts w:hint="eastAsia"/>
              </w:rPr>
              <w:t xml:space="preserve">1.195 </w:t>
            </w:r>
          </w:p>
        </w:tc>
      </w:tr>
      <w:tr w14:paraId="2AE1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5096040">
            <w:pPr>
              <w:pStyle w:val="159"/>
            </w:pPr>
            <w:r>
              <w:rPr>
                <w:rFonts w:hint="eastAsia"/>
              </w:rPr>
              <w:t>3</w:t>
            </w:r>
            <w:r>
              <w:t>4</w:t>
            </w:r>
          </w:p>
        </w:tc>
        <w:tc>
          <w:tcPr>
            <w:tcW w:w="771" w:type="pct"/>
            <w:vAlign w:val="center"/>
          </w:tcPr>
          <w:p w14:paraId="43BE4CD1">
            <w:pPr>
              <w:pStyle w:val="159"/>
            </w:pPr>
            <w:r>
              <w:rPr>
                <w:rFonts w:hint="eastAsia"/>
              </w:rPr>
              <w:t>2</w:t>
            </w:r>
            <w:r>
              <w:t>8</w:t>
            </w:r>
          </w:p>
        </w:tc>
        <w:tc>
          <w:tcPr>
            <w:tcW w:w="572" w:type="pct"/>
            <w:shd w:val="clear" w:color="auto" w:fill="auto"/>
            <w:noWrap/>
            <w:vAlign w:val="center"/>
          </w:tcPr>
          <w:p w14:paraId="7695D865">
            <w:pPr>
              <w:pStyle w:val="159"/>
            </w:pPr>
            <w:r>
              <w:rPr>
                <w:rFonts w:hint="eastAsia"/>
              </w:rPr>
              <w:t xml:space="preserve">120.224 </w:t>
            </w:r>
          </w:p>
        </w:tc>
        <w:tc>
          <w:tcPr>
            <w:tcW w:w="572" w:type="pct"/>
            <w:vAlign w:val="center"/>
          </w:tcPr>
          <w:p w14:paraId="6D9B9F2A">
            <w:pPr>
              <w:pStyle w:val="159"/>
            </w:pPr>
            <w:r>
              <w:rPr>
                <w:rFonts w:hint="eastAsia"/>
              </w:rPr>
              <w:t xml:space="preserve">119.588 </w:t>
            </w:r>
          </w:p>
        </w:tc>
        <w:tc>
          <w:tcPr>
            <w:tcW w:w="572" w:type="pct"/>
            <w:vAlign w:val="center"/>
          </w:tcPr>
          <w:p w14:paraId="0635ED7F">
            <w:pPr>
              <w:pStyle w:val="159"/>
            </w:pPr>
            <w:r>
              <w:rPr>
                <w:rFonts w:hint="eastAsia"/>
              </w:rPr>
              <w:t xml:space="preserve">118.218 </w:t>
            </w:r>
          </w:p>
        </w:tc>
        <w:tc>
          <w:tcPr>
            <w:tcW w:w="572" w:type="pct"/>
            <w:shd w:val="clear" w:color="auto" w:fill="auto"/>
            <w:noWrap/>
            <w:vAlign w:val="center"/>
          </w:tcPr>
          <w:p w14:paraId="5DE4CF84">
            <w:pPr>
              <w:pStyle w:val="159"/>
            </w:pPr>
            <w:r>
              <w:rPr>
                <w:rFonts w:hint="eastAsia"/>
              </w:rPr>
              <w:t xml:space="preserve">1.003 </w:t>
            </w:r>
          </w:p>
        </w:tc>
        <w:tc>
          <w:tcPr>
            <w:tcW w:w="572" w:type="pct"/>
            <w:vAlign w:val="center"/>
          </w:tcPr>
          <w:p w14:paraId="2DF9E581">
            <w:pPr>
              <w:pStyle w:val="159"/>
            </w:pPr>
            <w:r>
              <w:rPr>
                <w:rFonts w:hint="eastAsia"/>
              </w:rPr>
              <w:t xml:space="preserve">1.071 </w:t>
            </w:r>
          </w:p>
        </w:tc>
        <w:tc>
          <w:tcPr>
            <w:tcW w:w="569" w:type="pct"/>
            <w:vAlign w:val="center"/>
          </w:tcPr>
          <w:p w14:paraId="66E64494">
            <w:pPr>
              <w:pStyle w:val="159"/>
            </w:pPr>
            <w:r>
              <w:rPr>
                <w:rFonts w:hint="eastAsia"/>
              </w:rPr>
              <w:t xml:space="preserve">1.133 </w:t>
            </w:r>
          </w:p>
        </w:tc>
      </w:tr>
      <w:tr w14:paraId="1A15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117D8C8">
            <w:pPr>
              <w:pStyle w:val="159"/>
            </w:pPr>
            <w:r>
              <w:rPr>
                <w:rFonts w:hint="eastAsia"/>
              </w:rPr>
              <w:t>3</w:t>
            </w:r>
            <w:r>
              <w:t>5</w:t>
            </w:r>
          </w:p>
        </w:tc>
        <w:tc>
          <w:tcPr>
            <w:tcW w:w="771" w:type="pct"/>
            <w:vAlign w:val="center"/>
          </w:tcPr>
          <w:p w14:paraId="7AE450B6">
            <w:pPr>
              <w:pStyle w:val="159"/>
            </w:pPr>
            <w:r>
              <w:rPr>
                <w:rFonts w:hint="eastAsia"/>
              </w:rPr>
              <w:t>2</w:t>
            </w:r>
            <w:r>
              <w:t>9</w:t>
            </w:r>
          </w:p>
        </w:tc>
        <w:tc>
          <w:tcPr>
            <w:tcW w:w="572" w:type="pct"/>
            <w:shd w:val="clear" w:color="auto" w:fill="auto"/>
            <w:noWrap/>
            <w:vAlign w:val="center"/>
          </w:tcPr>
          <w:p w14:paraId="23F95114">
            <w:pPr>
              <w:pStyle w:val="159"/>
            </w:pPr>
            <w:r>
              <w:rPr>
                <w:rFonts w:hint="eastAsia"/>
              </w:rPr>
              <w:t xml:space="preserve">112.973 </w:t>
            </w:r>
          </w:p>
        </w:tc>
        <w:tc>
          <w:tcPr>
            <w:tcW w:w="572" w:type="pct"/>
            <w:vAlign w:val="center"/>
          </w:tcPr>
          <w:p w14:paraId="2EA82297">
            <w:pPr>
              <w:pStyle w:val="159"/>
            </w:pPr>
            <w:r>
              <w:rPr>
                <w:rFonts w:hint="eastAsia"/>
              </w:rPr>
              <w:t xml:space="preserve">112.328 </w:t>
            </w:r>
          </w:p>
        </w:tc>
        <w:tc>
          <w:tcPr>
            <w:tcW w:w="572" w:type="pct"/>
            <w:vAlign w:val="center"/>
          </w:tcPr>
          <w:p w14:paraId="0343C8C9">
            <w:pPr>
              <w:pStyle w:val="159"/>
            </w:pPr>
            <w:r>
              <w:rPr>
                <w:rFonts w:hint="eastAsia"/>
              </w:rPr>
              <w:t xml:space="preserve">110.964 </w:t>
            </w:r>
          </w:p>
        </w:tc>
        <w:tc>
          <w:tcPr>
            <w:tcW w:w="572" w:type="pct"/>
            <w:shd w:val="clear" w:color="auto" w:fill="auto"/>
            <w:noWrap/>
            <w:vAlign w:val="center"/>
          </w:tcPr>
          <w:p w14:paraId="5A7A76E6">
            <w:pPr>
              <w:pStyle w:val="159"/>
            </w:pPr>
            <w:r>
              <w:rPr>
                <w:rFonts w:hint="eastAsia"/>
              </w:rPr>
              <w:t xml:space="preserve">0.957 </w:t>
            </w:r>
          </w:p>
        </w:tc>
        <w:tc>
          <w:tcPr>
            <w:tcW w:w="572" w:type="pct"/>
            <w:vAlign w:val="center"/>
          </w:tcPr>
          <w:p w14:paraId="27303205">
            <w:pPr>
              <w:pStyle w:val="159"/>
            </w:pPr>
            <w:r>
              <w:rPr>
                <w:rFonts w:hint="eastAsia"/>
              </w:rPr>
              <w:t xml:space="preserve">1.019 </w:t>
            </w:r>
          </w:p>
        </w:tc>
        <w:tc>
          <w:tcPr>
            <w:tcW w:w="569" w:type="pct"/>
            <w:vAlign w:val="center"/>
          </w:tcPr>
          <w:p w14:paraId="7EFBB9D6">
            <w:pPr>
              <w:pStyle w:val="159"/>
            </w:pPr>
            <w:r>
              <w:rPr>
                <w:rFonts w:hint="eastAsia"/>
              </w:rPr>
              <w:t xml:space="preserve">1.074 </w:t>
            </w:r>
          </w:p>
        </w:tc>
      </w:tr>
      <w:tr w14:paraId="01E1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shd w:val="clear" w:color="auto" w:fill="auto"/>
            <w:noWrap/>
            <w:vAlign w:val="center"/>
          </w:tcPr>
          <w:p w14:paraId="3D44042E">
            <w:pPr>
              <w:pStyle w:val="159"/>
            </w:pPr>
            <w:r>
              <w:rPr>
                <w:rFonts w:hint="eastAsia"/>
              </w:rPr>
              <w:t>3</w:t>
            </w:r>
            <w:r>
              <w:t>6</w:t>
            </w:r>
          </w:p>
        </w:tc>
        <w:tc>
          <w:tcPr>
            <w:tcW w:w="771" w:type="pct"/>
            <w:vAlign w:val="center"/>
          </w:tcPr>
          <w:p w14:paraId="75612330">
            <w:pPr>
              <w:pStyle w:val="159"/>
            </w:pPr>
            <w:r>
              <w:rPr>
                <w:rFonts w:hint="eastAsia"/>
              </w:rPr>
              <w:t>3</w:t>
            </w:r>
            <w:r>
              <w:t>0</w:t>
            </w:r>
          </w:p>
        </w:tc>
        <w:tc>
          <w:tcPr>
            <w:tcW w:w="572" w:type="pct"/>
            <w:shd w:val="clear" w:color="auto" w:fill="auto"/>
            <w:noWrap/>
            <w:vAlign w:val="center"/>
          </w:tcPr>
          <w:p w14:paraId="2A8FD768">
            <w:pPr>
              <w:pStyle w:val="159"/>
            </w:pPr>
            <w:r>
              <w:rPr>
                <w:rFonts w:hint="eastAsia"/>
              </w:rPr>
              <w:t xml:space="preserve">106.226 </w:t>
            </w:r>
          </w:p>
        </w:tc>
        <w:tc>
          <w:tcPr>
            <w:tcW w:w="572" w:type="pct"/>
            <w:vAlign w:val="center"/>
          </w:tcPr>
          <w:p w14:paraId="6B478B11">
            <w:pPr>
              <w:pStyle w:val="159"/>
            </w:pPr>
            <w:r>
              <w:rPr>
                <w:rFonts w:hint="eastAsia"/>
              </w:rPr>
              <w:t xml:space="preserve">105.584 </w:t>
            </w:r>
          </w:p>
        </w:tc>
        <w:tc>
          <w:tcPr>
            <w:tcW w:w="572" w:type="pct"/>
            <w:vAlign w:val="center"/>
          </w:tcPr>
          <w:p w14:paraId="32AF06A9">
            <w:pPr>
              <w:pStyle w:val="159"/>
            </w:pPr>
            <w:r>
              <w:rPr>
                <w:rFonts w:hint="eastAsia"/>
              </w:rPr>
              <w:t xml:space="preserve">104.245 </w:t>
            </w:r>
          </w:p>
        </w:tc>
        <w:tc>
          <w:tcPr>
            <w:tcW w:w="572" w:type="pct"/>
            <w:shd w:val="clear" w:color="auto" w:fill="auto"/>
            <w:noWrap/>
            <w:vAlign w:val="center"/>
          </w:tcPr>
          <w:p w14:paraId="7F9F420E">
            <w:pPr>
              <w:pStyle w:val="159"/>
            </w:pPr>
            <w:r>
              <w:rPr>
                <w:rFonts w:hint="eastAsia"/>
              </w:rPr>
              <w:t xml:space="preserve">0.914 </w:t>
            </w:r>
          </w:p>
        </w:tc>
        <w:tc>
          <w:tcPr>
            <w:tcW w:w="572" w:type="pct"/>
            <w:vAlign w:val="center"/>
          </w:tcPr>
          <w:p w14:paraId="1BB609ED">
            <w:pPr>
              <w:pStyle w:val="159"/>
            </w:pPr>
            <w:r>
              <w:rPr>
                <w:rFonts w:hint="eastAsia"/>
              </w:rPr>
              <w:t xml:space="preserve">0.970 </w:t>
            </w:r>
          </w:p>
        </w:tc>
        <w:tc>
          <w:tcPr>
            <w:tcW w:w="569" w:type="pct"/>
            <w:vAlign w:val="center"/>
          </w:tcPr>
          <w:p w14:paraId="31A77FDF">
            <w:pPr>
              <w:pStyle w:val="159"/>
            </w:pPr>
            <w:r>
              <w:rPr>
                <w:rFonts w:hint="eastAsia"/>
              </w:rPr>
              <w:t xml:space="preserve">1.021 </w:t>
            </w:r>
          </w:p>
        </w:tc>
      </w:tr>
    </w:tbl>
    <w:p w14:paraId="16E0857F">
      <w:pPr>
        <w:pStyle w:val="159"/>
      </w:pPr>
    </w:p>
    <w:p w14:paraId="66FB8B90">
      <w:pPr>
        <w:pStyle w:val="159"/>
      </w:pPr>
      <w:r>
        <w:drawing>
          <wp:inline distT="0" distB="0" distL="0" distR="0">
            <wp:extent cx="4752975" cy="330517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1"/>
                    <a:stretch>
                      <a:fillRect/>
                    </a:stretch>
                  </pic:blipFill>
                  <pic:spPr>
                    <a:xfrm>
                      <a:off x="0" y="0"/>
                      <a:ext cx="4752975" cy="3305175"/>
                    </a:xfrm>
                    <a:prstGeom prst="rect">
                      <a:avLst/>
                    </a:prstGeom>
                  </pic:spPr>
                </pic:pic>
              </a:graphicData>
            </a:graphic>
          </wp:inline>
        </w:drawing>
      </w:r>
    </w:p>
    <w:p w14:paraId="71561FC3">
      <w:pPr>
        <w:pStyle w:val="148"/>
      </w:pPr>
      <w:r>
        <w:rPr>
          <w:rFonts w:hint="eastAsia"/>
        </w:rPr>
        <w:t>图</w:t>
      </w:r>
      <w:r>
        <w:rPr>
          <w:bCs/>
        </w:rPr>
        <w:t xml:space="preserve">3.3-9  </w:t>
      </w:r>
      <w:r>
        <w:rPr>
          <w:rFonts w:hint="eastAsia"/>
          <w:bCs/>
        </w:rPr>
        <w:t>本项目</w:t>
      </w:r>
      <w:r>
        <w:rPr>
          <w:rFonts w:hint="eastAsia"/>
        </w:rPr>
        <w:t>线路（典型杆塔、</w:t>
      </w:r>
      <w:r>
        <w:t>15mm</w:t>
      </w:r>
      <w:r>
        <w:rPr>
          <w:rFonts w:hint="eastAsia"/>
        </w:rPr>
        <w:t>冰区）经过居民区时工频电场强度分布曲线</w:t>
      </w:r>
      <w:r>
        <w:t xml:space="preserve"> </w:t>
      </w:r>
    </w:p>
    <w:p w14:paraId="100D7C45">
      <w:pPr>
        <w:pStyle w:val="159"/>
      </w:pPr>
      <w:r>
        <w:drawing>
          <wp:inline distT="0" distB="0" distL="0" distR="0">
            <wp:extent cx="4810125" cy="32670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2"/>
                    <a:stretch>
                      <a:fillRect/>
                    </a:stretch>
                  </pic:blipFill>
                  <pic:spPr>
                    <a:xfrm>
                      <a:off x="0" y="0"/>
                      <a:ext cx="4810125" cy="3267075"/>
                    </a:xfrm>
                    <a:prstGeom prst="rect">
                      <a:avLst/>
                    </a:prstGeom>
                  </pic:spPr>
                </pic:pic>
              </a:graphicData>
            </a:graphic>
          </wp:inline>
        </w:drawing>
      </w:r>
    </w:p>
    <w:p w14:paraId="7065236D">
      <w:pPr>
        <w:pStyle w:val="148"/>
      </w:pPr>
      <w:r>
        <w:rPr>
          <w:rFonts w:hint="eastAsia"/>
        </w:rPr>
        <w:t>图</w:t>
      </w:r>
      <w:r>
        <w:rPr>
          <w:bCs/>
        </w:rPr>
        <w:t xml:space="preserve">3.3-10  </w:t>
      </w:r>
      <w:r>
        <w:rPr>
          <w:rFonts w:hint="eastAsia"/>
          <w:bCs/>
        </w:rPr>
        <w:t>本项目</w:t>
      </w:r>
      <w:r>
        <w:rPr>
          <w:rFonts w:hint="eastAsia"/>
        </w:rPr>
        <w:t>线路（典型杆塔、</w:t>
      </w:r>
      <w:r>
        <w:t>15mm</w:t>
      </w:r>
      <w:r>
        <w:rPr>
          <w:rFonts w:hint="eastAsia"/>
        </w:rPr>
        <w:t>冰区）经过居民区时工频电场强度分布曲线</w:t>
      </w:r>
      <w:r>
        <w:t xml:space="preserve"> </w:t>
      </w:r>
    </w:p>
    <w:p w14:paraId="53BB25E0">
      <w:r>
        <w:drawing>
          <wp:inline distT="0" distB="0" distL="0" distR="0">
            <wp:extent cx="5687695" cy="3516630"/>
            <wp:effectExtent l="0" t="0" r="8255"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3"/>
                    <a:stretch>
                      <a:fillRect/>
                    </a:stretch>
                  </pic:blipFill>
                  <pic:spPr>
                    <a:xfrm>
                      <a:off x="0" y="0"/>
                      <a:ext cx="5687695" cy="3516630"/>
                    </a:xfrm>
                    <a:prstGeom prst="rect">
                      <a:avLst/>
                    </a:prstGeom>
                  </pic:spPr>
                </pic:pic>
              </a:graphicData>
            </a:graphic>
          </wp:inline>
        </w:drawing>
      </w:r>
    </w:p>
    <w:p w14:paraId="137A7FAF">
      <w:pPr>
        <w:pStyle w:val="148"/>
      </w:pPr>
      <w:r>
        <w:rPr>
          <w:rFonts w:hint="eastAsia"/>
        </w:rPr>
        <w:t>图</w:t>
      </w:r>
      <w:r>
        <w:rPr>
          <w:bCs/>
        </w:rPr>
        <w:t xml:space="preserve">3.3-11  </w:t>
      </w:r>
      <w:r>
        <w:rPr>
          <w:rFonts w:hint="eastAsia"/>
          <w:bCs/>
        </w:rPr>
        <w:t>本项目</w:t>
      </w:r>
      <w:r>
        <w:rPr>
          <w:rFonts w:hint="eastAsia"/>
        </w:rPr>
        <w:t>线路（典型杆塔、</w:t>
      </w:r>
      <w:r>
        <w:t>20mm</w:t>
      </w:r>
      <w:r>
        <w:rPr>
          <w:rFonts w:hint="eastAsia"/>
        </w:rPr>
        <w:t>冰区）经过居民区时工频电场强度分布曲线</w:t>
      </w:r>
      <w:r>
        <w:t xml:space="preserve"> </w:t>
      </w:r>
    </w:p>
    <w:p w14:paraId="24F14AC2">
      <w:pPr>
        <w:pStyle w:val="159"/>
      </w:pPr>
      <w:r>
        <w:drawing>
          <wp:inline distT="0" distB="0" distL="0" distR="0">
            <wp:extent cx="5687695" cy="2864485"/>
            <wp:effectExtent l="0" t="0" r="825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4"/>
                    <a:stretch>
                      <a:fillRect/>
                    </a:stretch>
                  </pic:blipFill>
                  <pic:spPr>
                    <a:xfrm>
                      <a:off x="0" y="0"/>
                      <a:ext cx="5687695" cy="2864485"/>
                    </a:xfrm>
                    <a:prstGeom prst="rect">
                      <a:avLst/>
                    </a:prstGeom>
                  </pic:spPr>
                </pic:pic>
              </a:graphicData>
            </a:graphic>
          </wp:inline>
        </w:drawing>
      </w:r>
    </w:p>
    <w:p w14:paraId="3DEB19C7">
      <w:pPr>
        <w:pStyle w:val="148"/>
      </w:pPr>
      <w:r>
        <w:rPr>
          <w:rFonts w:hint="eastAsia"/>
        </w:rPr>
        <w:t>图</w:t>
      </w:r>
      <w:r>
        <w:rPr>
          <w:bCs/>
        </w:rPr>
        <w:t xml:space="preserve">3.3-12  </w:t>
      </w:r>
      <w:r>
        <w:rPr>
          <w:rFonts w:hint="eastAsia"/>
          <w:bCs/>
        </w:rPr>
        <w:t>本项目</w:t>
      </w:r>
      <w:r>
        <w:rPr>
          <w:rFonts w:hint="eastAsia"/>
        </w:rPr>
        <w:t>线路（典型杆塔、</w:t>
      </w:r>
      <w:r>
        <w:t>20mm</w:t>
      </w:r>
      <w:r>
        <w:rPr>
          <w:rFonts w:hint="eastAsia"/>
        </w:rPr>
        <w:t>冰区）经过居民区时工频磁场强度分布曲线</w:t>
      </w:r>
      <w:r>
        <w:t xml:space="preserve"> </w:t>
      </w:r>
    </w:p>
    <w:p w14:paraId="29F61444">
      <w:pPr>
        <w:pStyle w:val="3"/>
        <w:ind w:firstLine="480"/>
      </w:pPr>
      <w:r>
        <w:rPr>
          <w:rFonts w:hint="eastAsia"/>
        </w:rPr>
        <w:t>本项目线路在1</w:t>
      </w:r>
      <w:r>
        <w:t>5mm</w:t>
      </w:r>
      <w:r>
        <w:rPr>
          <w:rFonts w:hint="eastAsia"/>
        </w:rPr>
        <w:t>冰区地带通过居民区时，导线最小对地高度1</w:t>
      </w:r>
      <w:r>
        <w:t>8m</w:t>
      </w:r>
      <w:r>
        <w:rPr>
          <w:rFonts w:hint="eastAsia"/>
        </w:rPr>
        <w:t>，在距地面高度</w:t>
      </w:r>
      <w:r>
        <w:t>1.5m</w:t>
      </w:r>
      <w:r>
        <w:rPr>
          <w:rFonts w:hint="eastAsia"/>
        </w:rPr>
        <w:t>、</w:t>
      </w:r>
      <w:r>
        <w:t>4.5m</w:t>
      </w:r>
      <w:r>
        <w:rPr>
          <w:rFonts w:hint="eastAsia"/>
        </w:rPr>
        <w:t>、</w:t>
      </w:r>
      <w:r>
        <w:t>7.5m</w:t>
      </w:r>
      <w:r>
        <w:rPr>
          <w:rFonts w:hint="eastAsia"/>
        </w:rPr>
        <w:t>高度处，工频电场强度最大值分别为</w:t>
      </w:r>
      <w:r>
        <w:t>296.179V/m</w:t>
      </w:r>
      <w:r>
        <w:rPr>
          <w:rFonts w:hint="eastAsia"/>
        </w:rPr>
        <w:t>、</w:t>
      </w:r>
      <w:r>
        <w:t>346.414V/m</w:t>
      </w:r>
      <w:r>
        <w:rPr>
          <w:rFonts w:hint="eastAsia"/>
        </w:rPr>
        <w:t>、</w:t>
      </w:r>
      <w:r>
        <w:t>505.977V/m</w:t>
      </w:r>
      <w:r>
        <w:rPr>
          <w:rFonts w:hint="eastAsia"/>
        </w:rPr>
        <w:t>，工频磁场强度最大值分别为</w:t>
      </w:r>
      <w:r>
        <w:t>3.429</w:t>
      </w:r>
      <w:r>
        <w:rPr>
          <w:rFonts w:hint="eastAsia"/>
        </w:rPr>
        <w:t>μ</w:t>
      </w:r>
      <w:r>
        <w:t>T</w:t>
      </w:r>
      <w:r>
        <w:rPr>
          <w:rFonts w:hint="eastAsia"/>
        </w:rPr>
        <w:t>、</w:t>
      </w:r>
      <w:r>
        <w:t>4.999</w:t>
      </w:r>
      <w:r>
        <w:rPr>
          <w:rFonts w:hint="eastAsia"/>
        </w:rPr>
        <w:t>μ</w:t>
      </w:r>
      <w:r>
        <w:t>T</w:t>
      </w:r>
      <w:r>
        <w:rPr>
          <w:rFonts w:hint="eastAsia"/>
        </w:rPr>
        <w:t>、</w:t>
      </w:r>
      <w:r>
        <w:t>7.904</w:t>
      </w:r>
      <w:r>
        <w:rPr>
          <w:rFonts w:hint="eastAsia"/>
        </w:rPr>
        <w:t>μ</w:t>
      </w:r>
      <w:r>
        <w:t>T</w:t>
      </w:r>
      <w:r>
        <w:rPr>
          <w:rFonts w:hint="eastAsia"/>
        </w:rPr>
        <w:t>，均满足《电磁环境控制限值》（</w:t>
      </w:r>
      <w:r>
        <w:t>GB8702-2014</w:t>
      </w:r>
      <w:r>
        <w:rPr>
          <w:rFonts w:hint="eastAsia"/>
        </w:rPr>
        <w:t>）规定的</w:t>
      </w:r>
      <w:r>
        <w:t>4000V/m</w:t>
      </w:r>
      <w:r>
        <w:rPr>
          <w:rFonts w:hint="eastAsia"/>
        </w:rPr>
        <w:t>和</w:t>
      </w:r>
      <w:r>
        <w:t>100</w:t>
      </w:r>
      <w:r>
        <w:rPr>
          <w:rFonts w:hint="eastAsia"/>
        </w:rPr>
        <w:t>μ</w:t>
      </w:r>
      <w:r>
        <w:t>T</w:t>
      </w:r>
      <w:r>
        <w:rPr>
          <w:rFonts w:hint="eastAsia"/>
        </w:rPr>
        <w:t>的控制限值。</w:t>
      </w:r>
    </w:p>
    <w:p w14:paraId="16B6D245">
      <w:pPr>
        <w:pStyle w:val="3"/>
        <w:ind w:firstLine="480"/>
      </w:pPr>
      <w:r>
        <w:rPr>
          <w:rFonts w:hint="eastAsia"/>
        </w:rPr>
        <w:t>本项目线路在</w:t>
      </w:r>
      <w:r>
        <w:t>20mm</w:t>
      </w:r>
      <w:r>
        <w:rPr>
          <w:rFonts w:hint="eastAsia"/>
        </w:rPr>
        <w:t>冰区地带通过居民区时，导线最小对地高度1</w:t>
      </w:r>
      <w:r>
        <w:t>8m</w:t>
      </w:r>
      <w:r>
        <w:rPr>
          <w:rFonts w:hint="eastAsia"/>
        </w:rPr>
        <w:t>，在距地面高度</w:t>
      </w:r>
      <w:r>
        <w:t>1.5m</w:t>
      </w:r>
      <w:r>
        <w:rPr>
          <w:rFonts w:hint="eastAsia"/>
        </w:rPr>
        <w:t>、</w:t>
      </w:r>
      <w:r>
        <w:t>4.5m</w:t>
      </w:r>
      <w:r>
        <w:rPr>
          <w:rFonts w:hint="eastAsia"/>
        </w:rPr>
        <w:t>、</w:t>
      </w:r>
      <w:r>
        <w:t>7.5m</w:t>
      </w:r>
      <w:r>
        <w:rPr>
          <w:rFonts w:hint="eastAsia"/>
        </w:rPr>
        <w:t>高度处，工频电场强度最大值分别为38</w:t>
      </w:r>
      <w:r>
        <w:t>5.095V/m</w:t>
      </w:r>
      <w:r>
        <w:rPr>
          <w:rFonts w:hint="eastAsia"/>
        </w:rPr>
        <w:t>、43</w:t>
      </w:r>
      <w:r>
        <w:t>7.145V/m</w:t>
      </w:r>
      <w:r>
        <w:rPr>
          <w:rFonts w:hint="eastAsia"/>
        </w:rPr>
        <w:t>、605.</w:t>
      </w:r>
      <w:r>
        <w:t>862V/m</w:t>
      </w:r>
      <w:r>
        <w:rPr>
          <w:rFonts w:hint="eastAsia"/>
        </w:rPr>
        <w:t>，工频磁场强度最大值分别为4.859μ</w:t>
      </w:r>
      <w:r>
        <w:t>T</w:t>
      </w:r>
      <w:r>
        <w:rPr>
          <w:rFonts w:hint="eastAsia"/>
        </w:rPr>
        <w:t>、6.911μ</w:t>
      </w:r>
      <w:r>
        <w:t>T</w:t>
      </w:r>
      <w:r>
        <w:rPr>
          <w:rFonts w:hint="eastAsia"/>
        </w:rPr>
        <w:t>、10.489μ</w:t>
      </w:r>
      <w:r>
        <w:t>T</w:t>
      </w:r>
      <w:r>
        <w:rPr>
          <w:rFonts w:hint="eastAsia"/>
        </w:rPr>
        <w:t>，均满足《电磁环境控制限值》（</w:t>
      </w:r>
      <w:r>
        <w:t>GB8702-2014</w:t>
      </w:r>
      <w:r>
        <w:rPr>
          <w:rFonts w:hint="eastAsia"/>
        </w:rPr>
        <w:t>）规定的</w:t>
      </w:r>
      <w:r>
        <w:t>4000V/m</w:t>
      </w:r>
      <w:r>
        <w:rPr>
          <w:rFonts w:hint="eastAsia"/>
        </w:rPr>
        <w:t>和</w:t>
      </w:r>
      <w:r>
        <w:t>100</w:t>
      </w:r>
      <w:r>
        <w:rPr>
          <w:rFonts w:hint="eastAsia"/>
        </w:rPr>
        <w:t>μ</w:t>
      </w:r>
      <w:r>
        <w:t>T</w:t>
      </w:r>
      <w:r>
        <w:rPr>
          <w:rFonts w:hint="eastAsia"/>
        </w:rPr>
        <w:t>的控制限值。</w:t>
      </w:r>
    </w:p>
    <w:p w14:paraId="60744300">
      <w:pPr>
        <w:pStyle w:val="3"/>
        <w:ind w:firstLine="480"/>
      </w:pPr>
      <w:r>
        <w:rPr>
          <w:rFonts w:hint="eastAsia"/>
        </w:rPr>
        <w:t>（</w:t>
      </w:r>
      <w:r>
        <w:rPr>
          <w:b/>
          <w:bCs/>
        </w:rPr>
        <w:t>4</w:t>
      </w:r>
      <w:r>
        <w:rPr>
          <w:rFonts w:hint="eastAsia"/>
        </w:rPr>
        <w:t>）线路经过沿线电磁环境保护目标的电磁环境预测</w:t>
      </w:r>
    </w:p>
    <w:p w14:paraId="7BD9A5D5">
      <w:pPr>
        <w:pStyle w:val="3"/>
        <w:ind w:firstLine="480"/>
      </w:pPr>
      <w:r>
        <w:rPr>
          <w:rFonts w:hint="eastAsia"/>
        </w:rPr>
        <w:t>本工程架空线路沿线各电磁环境敏感目标处工频电场强度、工频磁感应强度预测结果见表3</w:t>
      </w:r>
      <w:r>
        <w:t>.3-6</w:t>
      </w:r>
      <w:r>
        <w:rPr>
          <w:rFonts w:hint="eastAsia"/>
        </w:rPr>
        <w:t>。</w:t>
      </w:r>
    </w:p>
    <w:p w14:paraId="768B3ECD">
      <w:pPr>
        <w:pStyle w:val="148"/>
      </w:pPr>
      <w:r>
        <w:rPr>
          <w:rFonts w:hint="eastAsia"/>
        </w:rPr>
        <w:t>表</w:t>
      </w:r>
      <w:r>
        <w:t xml:space="preserve">3.3-6  </w:t>
      </w:r>
      <w:r>
        <w:rPr>
          <w:rFonts w:hint="eastAsia"/>
        </w:rPr>
        <w:t>输电线路沿线电磁环境保护目标的影响预测结果</w:t>
      </w:r>
    </w:p>
    <w:tbl>
      <w:tblPr>
        <w:tblStyle w:val="40"/>
        <w:tblW w:w="90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9"/>
        <w:gridCol w:w="1417"/>
        <w:gridCol w:w="1382"/>
        <w:gridCol w:w="851"/>
        <w:gridCol w:w="850"/>
        <w:gridCol w:w="851"/>
        <w:gridCol w:w="1594"/>
        <w:gridCol w:w="1559"/>
      </w:tblGrid>
      <w:tr w14:paraId="528F8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29" w:type="dxa"/>
            <w:vMerge w:val="restart"/>
            <w:vAlign w:val="center"/>
          </w:tcPr>
          <w:p w14:paraId="2EBCCDE3">
            <w:pPr>
              <w:autoSpaceDE w:val="0"/>
              <w:autoSpaceDN w:val="0"/>
              <w:adjustRightInd w:val="0"/>
              <w:jc w:val="left"/>
              <w:rPr>
                <w:rFonts w:ascii="宋体" w:cs="宋体"/>
                <w:color w:val="000000"/>
                <w:kern w:val="0"/>
                <w:sz w:val="21"/>
                <w:szCs w:val="21"/>
              </w:rPr>
            </w:pPr>
            <w:r>
              <w:rPr>
                <w:rFonts w:hint="eastAsia" w:ascii="宋体" w:cs="宋体"/>
                <w:color w:val="000000"/>
                <w:kern w:val="0"/>
                <w:sz w:val="21"/>
                <w:szCs w:val="21"/>
              </w:rPr>
              <w:t>序号</w:t>
            </w:r>
          </w:p>
        </w:tc>
        <w:tc>
          <w:tcPr>
            <w:tcW w:w="1417" w:type="dxa"/>
            <w:vMerge w:val="restart"/>
            <w:vAlign w:val="center"/>
          </w:tcPr>
          <w:p w14:paraId="1C33556F">
            <w:pPr>
              <w:pStyle w:val="159"/>
              <w:rPr>
                <w:szCs w:val="21"/>
              </w:rPr>
            </w:pPr>
            <w:r>
              <w:rPr>
                <w:rFonts w:hint="eastAsia"/>
                <w:szCs w:val="21"/>
              </w:rPr>
              <w:t>敏感目标名称</w:t>
            </w:r>
            <w:r>
              <w:rPr>
                <w:szCs w:val="21"/>
              </w:rPr>
              <w:t xml:space="preserve"> </w:t>
            </w:r>
          </w:p>
        </w:tc>
        <w:tc>
          <w:tcPr>
            <w:tcW w:w="1382" w:type="dxa"/>
            <w:vMerge w:val="restart"/>
            <w:vAlign w:val="center"/>
          </w:tcPr>
          <w:p w14:paraId="7861403D">
            <w:pPr>
              <w:autoSpaceDE w:val="0"/>
              <w:autoSpaceDN w:val="0"/>
              <w:adjustRightInd w:val="0"/>
              <w:jc w:val="left"/>
              <w:rPr>
                <w:color w:val="000000"/>
                <w:kern w:val="0"/>
                <w:sz w:val="21"/>
                <w:szCs w:val="21"/>
              </w:rPr>
            </w:pPr>
            <w:r>
              <w:rPr>
                <w:rFonts w:hint="eastAsia" w:ascii="宋体" w:cs="宋体"/>
                <w:color w:val="000000"/>
                <w:kern w:val="0"/>
                <w:sz w:val="21"/>
                <w:szCs w:val="21"/>
              </w:rPr>
              <w:t>方位及距边导线地面投影最近水平距离（</w:t>
            </w:r>
            <w:r>
              <w:rPr>
                <w:color w:val="000000"/>
                <w:kern w:val="0"/>
                <w:sz w:val="21"/>
                <w:szCs w:val="21"/>
              </w:rPr>
              <w:t xml:space="preserve">m </w:t>
            </w:r>
            <w:r>
              <w:rPr>
                <w:rFonts w:hint="eastAsia"/>
                <w:color w:val="000000"/>
                <w:kern w:val="0"/>
                <w:sz w:val="21"/>
                <w:szCs w:val="21"/>
              </w:rPr>
              <w:t>）</w:t>
            </w:r>
          </w:p>
        </w:tc>
        <w:tc>
          <w:tcPr>
            <w:tcW w:w="851" w:type="dxa"/>
            <w:vMerge w:val="restart"/>
            <w:vAlign w:val="center"/>
          </w:tcPr>
          <w:p w14:paraId="45EA57D9">
            <w:pPr>
              <w:autoSpaceDE w:val="0"/>
              <w:autoSpaceDN w:val="0"/>
              <w:adjustRightInd w:val="0"/>
              <w:jc w:val="left"/>
              <w:rPr>
                <w:rFonts w:ascii="宋体" w:cs="宋体"/>
                <w:color w:val="000000"/>
                <w:kern w:val="0"/>
                <w:sz w:val="21"/>
                <w:szCs w:val="21"/>
              </w:rPr>
            </w:pPr>
            <w:r>
              <w:rPr>
                <w:rFonts w:hint="eastAsia" w:ascii="宋体" w:cs="宋体"/>
                <w:color w:val="000000"/>
                <w:kern w:val="0"/>
                <w:sz w:val="21"/>
                <w:szCs w:val="21"/>
              </w:rPr>
              <w:t>建筑物</w:t>
            </w:r>
            <w:r>
              <w:rPr>
                <w:rFonts w:ascii="宋体" w:cs="宋体"/>
                <w:color w:val="000000"/>
                <w:kern w:val="0"/>
                <w:sz w:val="21"/>
                <w:szCs w:val="21"/>
              </w:rPr>
              <w:t xml:space="preserve"> </w:t>
            </w:r>
          </w:p>
        </w:tc>
        <w:tc>
          <w:tcPr>
            <w:tcW w:w="850" w:type="dxa"/>
            <w:vMerge w:val="restart"/>
            <w:vAlign w:val="center"/>
          </w:tcPr>
          <w:p w14:paraId="4A390B0E">
            <w:pPr>
              <w:autoSpaceDE w:val="0"/>
              <w:autoSpaceDN w:val="0"/>
              <w:adjustRightInd w:val="0"/>
              <w:jc w:val="left"/>
              <w:rPr>
                <w:rFonts w:ascii="宋体" w:cs="宋体"/>
                <w:color w:val="000000"/>
                <w:kern w:val="0"/>
                <w:sz w:val="21"/>
                <w:szCs w:val="21"/>
              </w:rPr>
            </w:pPr>
            <w:r>
              <w:rPr>
                <w:rFonts w:hint="eastAsia" w:ascii="宋体" w:cs="宋体"/>
                <w:color w:val="000000"/>
                <w:kern w:val="0"/>
                <w:sz w:val="21"/>
                <w:szCs w:val="21"/>
              </w:rPr>
              <w:t>预测距地高度（</w:t>
            </w:r>
            <w:r>
              <w:rPr>
                <w:color w:val="000000"/>
                <w:kern w:val="0"/>
                <w:sz w:val="21"/>
                <w:szCs w:val="21"/>
              </w:rPr>
              <w:t>m</w:t>
            </w:r>
            <w:r>
              <w:rPr>
                <w:rFonts w:hint="eastAsia" w:ascii="宋体" w:cs="宋体"/>
                <w:color w:val="000000"/>
                <w:kern w:val="0"/>
                <w:sz w:val="21"/>
                <w:szCs w:val="21"/>
              </w:rPr>
              <w:t>）</w:t>
            </w:r>
          </w:p>
        </w:tc>
        <w:tc>
          <w:tcPr>
            <w:tcW w:w="851" w:type="dxa"/>
            <w:vMerge w:val="restart"/>
            <w:vAlign w:val="center"/>
          </w:tcPr>
          <w:p w14:paraId="0969EF28">
            <w:pPr>
              <w:autoSpaceDE w:val="0"/>
              <w:autoSpaceDN w:val="0"/>
              <w:adjustRightInd w:val="0"/>
              <w:jc w:val="left"/>
              <w:rPr>
                <w:color w:val="000000"/>
                <w:kern w:val="0"/>
                <w:sz w:val="21"/>
                <w:szCs w:val="21"/>
              </w:rPr>
            </w:pPr>
            <w:r>
              <w:rPr>
                <w:rFonts w:hint="eastAsia" w:ascii="宋体" w:cs="宋体"/>
                <w:color w:val="000000"/>
                <w:kern w:val="0"/>
                <w:sz w:val="21"/>
                <w:szCs w:val="21"/>
              </w:rPr>
              <w:t>导线对地高度（</w:t>
            </w:r>
            <w:r>
              <w:rPr>
                <w:color w:val="000000"/>
                <w:kern w:val="0"/>
                <w:sz w:val="21"/>
                <w:szCs w:val="21"/>
              </w:rPr>
              <w:t xml:space="preserve">m) </w:t>
            </w:r>
          </w:p>
        </w:tc>
        <w:tc>
          <w:tcPr>
            <w:tcW w:w="3153" w:type="dxa"/>
            <w:gridSpan w:val="2"/>
            <w:vAlign w:val="center"/>
          </w:tcPr>
          <w:p w14:paraId="4008878E">
            <w:pPr>
              <w:autoSpaceDE w:val="0"/>
              <w:autoSpaceDN w:val="0"/>
              <w:adjustRightInd w:val="0"/>
              <w:jc w:val="center"/>
              <w:rPr>
                <w:rFonts w:ascii="宋体" w:cs="宋体"/>
                <w:color w:val="000000"/>
                <w:kern w:val="0"/>
                <w:sz w:val="21"/>
                <w:szCs w:val="21"/>
              </w:rPr>
            </w:pPr>
            <w:r>
              <w:rPr>
                <w:rFonts w:hint="eastAsia" w:ascii="宋体" w:cs="宋体"/>
                <w:color w:val="000000"/>
                <w:kern w:val="0"/>
                <w:sz w:val="21"/>
                <w:szCs w:val="21"/>
              </w:rPr>
              <w:t>最近居民点预测</w:t>
            </w:r>
          </w:p>
        </w:tc>
      </w:tr>
      <w:tr w14:paraId="10F3E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29" w:type="dxa"/>
            <w:vMerge w:val="continue"/>
            <w:vAlign w:val="center"/>
          </w:tcPr>
          <w:p w14:paraId="7D23E9A1">
            <w:pPr>
              <w:autoSpaceDE w:val="0"/>
              <w:autoSpaceDN w:val="0"/>
              <w:adjustRightInd w:val="0"/>
              <w:jc w:val="left"/>
              <w:rPr>
                <w:rFonts w:ascii="宋体" w:cs="宋体"/>
                <w:color w:val="000000"/>
                <w:kern w:val="0"/>
                <w:sz w:val="21"/>
                <w:szCs w:val="21"/>
              </w:rPr>
            </w:pPr>
          </w:p>
        </w:tc>
        <w:tc>
          <w:tcPr>
            <w:tcW w:w="1417" w:type="dxa"/>
            <w:vMerge w:val="continue"/>
            <w:vAlign w:val="center"/>
          </w:tcPr>
          <w:p w14:paraId="65C6BE7F">
            <w:pPr>
              <w:autoSpaceDE w:val="0"/>
              <w:autoSpaceDN w:val="0"/>
              <w:adjustRightInd w:val="0"/>
              <w:jc w:val="left"/>
              <w:rPr>
                <w:rFonts w:ascii="宋体" w:cs="宋体"/>
                <w:color w:val="000000"/>
                <w:kern w:val="0"/>
                <w:sz w:val="21"/>
                <w:szCs w:val="21"/>
              </w:rPr>
            </w:pPr>
          </w:p>
        </w:tc>
        <w:tc>
          <w:tcPr>
            <w:tcW w:w="1382" w:type="dxa"/>
            <w:vMerge w:val="continue"/>
            <w:vAlign w:val="center"/>
          </w:tcPr>
          <w:p w14:paraId="1486F577">
            <w:pPr>
              <w:autoSpaceDE w:val="0"/>
              <w:autoSpaceDN w:val="0"/>
              <w:adjustRightInd w:val="0"/>
              <w:jc w:val="left"/>
              <w:rPr>
                <w:rFonts w:ascii="宋体" w:cs="宋体"/>
                <w:color w:val="000000"/>
                <w:kern w:val="0"/>
                <w:sz w:val="21"/>
                <w:szCs w:val="21"/>
              </w:rPr>
            </w:pPr>
          </w:p>
        </w:tc>
        <w:tc>
          <w:tcPr>
            <w:tcW w:w="851" w:type="dxa"/>
            <w:vMerge w:val="continue"/>
            <w:vAlign w:val="center"/>
          </w:tcPr>
          <w:p w14:paraId="18839C37">
            <w:pPr>
              <w:autoSpaceDE w:val="0"/>
              <w:autoSpaceDN w:val="0"/>
              <w:adjustRightInd w:val="0"/>
              <w:jc w:val="left"/>
              <w:rPr>
                <w:rFonts w:ascii="宋体" w:cs="宋体"/>
                <w:color w:val="000000"/>
                <w:kern w:val="0"/>
                <w:sz w:val="21"/>
                <w:szCs w:val="21"/>
              </w:rPr>
            </w:pPr>
          </w:p>
        </w:tc>
        <w:tc>
          <w:tcPr>
            <w:tcW w:w="850" w:type="dxa"/>
            <w:vMerge w:val="continue"/>
            <w:vAlign w:val="center"/>
          </w:tcPr>
          <w:p w14:paraId="0C0CB67C">
            <w:pPr>
              <w:autoSpaceDE w:val="0"/>
              <w:autoSpaceDN w:val="0"/>
              <w:adjustRightInd w:val="0"/>
              <w:jc w:val="left"/>
              <w:rPr>
                <w:rFonts w:ascii="宋体" w:cs="宋体"/>
                <w:color w:val="000000"/>
                <w:kern w:val="0"/>
                <w:sz w:val="21"/>
                <w:szCs w:val="21"/>
              </w:rPr>
            </w:pPr>
          </w:p>
        </w:tc>
        <w:tc>
          <w:tcPr>
            <w:tcW w:w="851" w:type="dxa"/>
            <w:vMerge w:val="continue"/>
            <w:vAlign w:val="center"/>
          </w:tcPr>
          <w:p w14:paraId="5EC177FB">
            <w:pPr>
              <w:autoSpaceDE w:val="0"/>
              <w:autoSpaceDN w:val="0"/>
              <w:adjustRightInd w:val="0"/>
              <w:jc w:val="left"/>
              <w:rPr>
                <w:rFonts w:ascii="宋体" w:cs="宋体"/>
                <w:color w:val="000000"/>
                <w:kern w:val="0"/>
                <w:sz w:val="21"/>
                <w:szCs w:val="21"/>
              </w:rPr>
            </w:pPr>
          </w:p>
        </w:tc>
        <w:tc>
          <w:tcPr>
            <w:tcW w:w="1594" w:type="dxa"/>
            <w:vAlign w:val="center"/>
          </w:tcPr>
          <w:p w14:paraId="20B8B4DF">
            <w:pPr>
              <w:autoSpaceDE w:val="0"/>
              <w:autoSpaceDN w:val="0"/>
              <w:adjustRightInd w:val="0"/>
              <w:jc w:val="center"/>
              <w:rPr>
                <w:rFonts w:ascii="宋体" w:cs="宋体"/>
                <w:color w:val="000000"/>
                <w:kern w:val="0"/>
                <w:sz w:val="21"/>
                <w:szCs w:val="21"/>
              </w:rPr>
            </w:pPr>
            <w:r>
              <w:rPr>
                <w:rFonts w:hint="eastAsia" w:ascii="宋体" w:cs="宋体"/>
                <w:color w:val="000000"/>
                <w:kern w:val="0"/>
                <w:sz w:val="21"/>
                <w:szCs w:val="21"/>
              </w:rPr>
              <w:t>工频电场强度（</w:t>
            </w:r>
            <w:r>
              <w:rPr>
                <w:color w:val="000000"/>
                <w:kern w:val="0"/>
                <w:sz w:val="21"/>
                <w:szCs w:val="21"/>
              </w:rPr>
              <w:t>kV/m</w:t>
            </w:r>
            <w:r>
              <w:rPr>
                <w:rFonts w:hint="eastAsia" w:ascii="宋体" w:cs="宋体"/>
                <w:color w:val="000000"/>
                <w:kern w:val="0"/>
                <w:sz w:val="21"/>
                <w:szCs w:val="21"/>
              </w:rPr>
              <w:t>）</w:t>
            </w:r>
          </w:p>
        </w:tc>
        <w:tc>
          <w:tcPr>
            <w:tcW w:w="1559" w:type="dxa"/>
            <w:vAlign w:val="center"/>
          </w:tcPr>
          <w:p w14:paraId="3F24B638">
            <w:pPr>
              <w:autoSpaceDE w:val="0"/>
              <w:autoSpaceDN w:val="0"/>
              <w:adjustRightInd w:val="0"/>
              <w:jc w:val="center"/>
              <w:rPr>
                <w:rFonts w:ascii="宋体" w:cs="宋体"/>
                <w:color w:val="000000"/>
                <w:kern w:val="0"/>
                <w:sz w:val="21"/>
                <w:szCs w:val="21"/>
              </w:rPr>
            </w:pPr>
            <w:r>
              <w:rPr>
                <w:rFonts w:hint="eastAsia" w:ascii="宋体" w:cs="宋体"/>
                <w:color w:val="000000"/>
                <w:kern w:val="0"/>
                <w:sz w:val="21"/>
                <w:szCs w:val="21"/>
              </w:rPr>
              <w:t>工频磁感应强度（</w:t>
            </w:r>
            <w:r>
              <w:rPr>
                <w:color w:val="000000"/>
                <w:kern w:val="0"/>
                <w:sz w:val="21"/>
                <w:szCs w:val="21"/>
              </w:rPr>
              <w:t>μT</w:t>
            </w:r>
            <w:r>
              <w:rPr>
                <w:rFonts w:hint="eastAsia" w:ascii="宋体" w:cs="宋体"/>
                <w:color w:val="000000"/>
                <w:kern w:val="0"/>
                <w:sz w:val="21"/>
                <w:szCs w:val="21"/>
              </w:rPr>
              <w:t>）</w:t>
            </w:r>
          </w:p>
        </w:tc>
      </w:tr>
      <w:tr w14:paraId="63768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29" w:type="dxa"/>
            <w:vAlign w:val="center"/>
          </w:tcPr>
          <w:p w14:paraId="6FAB8442">
            <w:pPr>
              <w:pStyle w:val="159"/>
              <w:rPr>
                <w:rFonts w:ascii="宋体" w:cs="宋体"/>
                <w:color w:val="000000"/>
                <w:kern w:val="0"/>
                <w:szCs w:val="21"/>
              </w:rPr>
            </w:pPr>
            <w:r>
              <w:rPr>
                <w:szCs w:val="21"/>
              </w:rPr>
              <w:t>1</w:t>
            </w:r>
          </w:p>
        </w:tc>
        <w:tc>
          <w:tcPr>
            <w:tcW w:w="1417" w:type="dxa"/>
            <w:vAlign w:val="center"/>
          </w:tcPr>
          <w:p w14:paraId="21FDCA3F">
            <w:pPr>
              <w:autoSpaceDE w:val="0"/>
              <w:autoSpaceDN w:val="0"/>
              <w:adjustRightInd w:val="0"/>
              <w:jc w:val="center"/>
              <w:rPr>
                <w:rFonts w:ascii="宋体" w:cs="宋体"/>
                <w:color w:val="000000"/>
                <w:kern w:val="0"/>
                <w:sz w:val="21"/>
                <w:szCs w:val="21"/>
              </w:rPr>
            </w:pPr>
            <w:r>
              <w:rPr>
                <w:rFonts w:hint="eastAsia"/>
                <w:sz w:val="21"/>
                <w:szCs w:val="21"/>
              </w:rPr>
              <w:t>湘江村木源岔组居民房</w:t>
            </w:r>
            <w:r>
              <w:rPr>
                <w:sz w:val="21"/>
                <w:szCs w:val="21"/>
              </w:rPr>
              <w:t>1</w:t>
            </w:r>
          </w:p>
        </w:tc>
        <w:tc>
          <w:tcPr>
            <w:tcW w:w="1382" w:type="dxa"/>
            <w:vAlign w:val="center"/>
          </w:tcPr>
          <w:p w14:paraId="20448684">
            <w:pPr>
              <w:autoSpaceDE w:val="0"/>
              <w:autoSpaceDN w:val="0"/>
              <w:adjustRightInd w:val="0"/>
              <w:jc w:val="center"/>
              <w:rPr>
                <w:rFonts w:ascii="宋体" w:cs="宋体"/>
                <w:color w:val="000000"/>
                <w:kern w:val="0"/>
                <w:sz w:val="21"/>
                <w:szCs w:val="21"/>
              </w:rPr>
            </w:pPr>
            <w:r>
              <w:rPr>
                <w:sz w:val="21"/>
                <w:szCs w:val="21"/>
              </w:rPr>
              <w:t>26</w:t>
            </w:r>
          </w:p>
        </w:tc>
        <w:tc>
          <w:tcPr>
            <w:tcW w:w="851" w:type="dxa"/>
            <w:vAlign w:val="center"/>
          </w:tcPr>
          <w:p w14:paraId="7FE92F32">
            <w:pPr>
              <w:autoSpaceDE w:val="0"/>
              <w:autoSpaceDN w:val="0"/>
              <w:adjustRightInd w:val="0"/>
              <w:jc w:val="center"/>
              <w:rPr>
                <w:rFonts w:ascii="宋体" w:cs="宋体"/>
                <w:color w:val="000000"/>
                <w:kern w:val="0"/>
                <w:sz w:val="21"/>
                <w:szCs w:val="21"/>
              </w:rPr>
            </w:pPr>
            <w:r>
              <w:rPr>
                <w:sz w:val="21"/>
                <w:szCs w:val="21"/>
              </w:rPr>
              <w:t>2F</w:t>
            </w:r>
            <w:r>
              <w:rPr>
                <w:rFonts w:hint="eastAsia"/>
                <w:sz w:val="21"/>
                <w:szCs w:val="21"/>
              </w:rPr>
              <w:t>尖顶</w:t>
            </w:r>
          </w:p>
        </w:tc>
        <w:tc>
          <w:tcPr>
            <w:tcW w:w="850" w:type="dxa"/>
            <w:vAlign w:val="center"/>
          </w:tcPr>
          <w:p w14:paraId="2FC488AD">
            <w:pPr>
              <w:pStyle w:val="159"/>
              <w:rPr>
                <w:szCs w:val="21"/>
              </w:rPr>
            </w:pPr>
            <w:r>
              <w:rPr>
                <w:szCs w:val="21"/>
              </w:rPr>
              <w:t>4.5</w:t>
            </w:r>
          </w:p>
        </w:tc>
        <w:tc>
          <w:tcPr>
            <w:tcW w:w="851" w:type="dxa"/>
            <w:vAlign w:val="center"/>
          </w:tcPr>
          <w:p w14:paraId="21BC23E6">
            <w:pPr>
              <w:pStyle w:val="159"/>
              <w:rPr>
                <w:rFonts w:ascii="宋体" w:cs="宋体"/>
                <w:color w:val="000000"/>
                <w:kern w:val="0"/>
                <w:szCs w:val="21"/>
              </w:rPr>
            </w:pPr>
            <w:r>
              <w:rPr>
                <w:szCs w:val="21"/>
              </w:rPr>
              <w:t>23</w:t>
            </w:r>
          </w:p>
        </w:tc>
        <w:tc>
          <w:tcPr>
            <w:tcW w:w="1594" w:type="dxa"/>
            <w:vAlign w:val="center"/>
          </w:tcPr>
          <w:p w14:paraId="26C6BD30">
            <w:pPr>
              <w:autoSpaceDE w:val="0"/>
              <w:autoSpaceDN w:val="0"/>
              <w:adjustRightInd w:val="0"/>
              <w:jc w:val="center"/>
              <w:rPr>
                <w:rFonts w:ascii="宋体" w:cs="宋体"/>
                <w:color w:val="000000"/>
                <w:kern w:val="0"/>
                <w:sz w:val="21"/>
                <w:szCs w:val="21"/>
              </w:rPr>
            </w:pPr>
            <w:r>
              <w:rPr>
                <w:color w:val="000000"/>
                <w:sz w:val="21"/>
                <w:szCs w:val="21"/>
              </w:rPr>
              <w:t>174.608</w:t>
            </w:r>
          </w:p>
        </w:tc>
        <w:tc>
          <w:tcPr>
            <w:tcW w:w="1559" w:type="dxa"/>
            <w:vAlign w:val="center"/>
          </w:tcPr>
          <w:p w14:paraId="49B9FA3B">
            <w:pPr>
              <w:autoSpaceDE w:val="0"/>
              <w:autoSpaceDN w:val="0"/>
              <w:adjustRightInd w:val="0"/>
              <w:jc w:val="center"/>
              <w:rPr>
                <w:rFonts w:ascii="宋体" w:cs="宋体"/>
                <w:color w:val="000000"/>
                <w:kern w:val="0"/>
                <w:sz w:val="21"/>
                <w:szCs w:val="21"/>
              </w:rPr>
            </w:pPr>
            <w:r>
              <w:rPr>
                <w:color w:val="000000"/>
                <w:sz w:val="21"/>
                <w:szCs w:val="21"/>
              </w:rPr>
              <w:t>1.550</w:t>
            </w:r>
          </w:p>
        </w:tc>
      </w:tr>
      <w:tr w14:paraId="22F9B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29" w:type="dxa"/>
            <w:vAlign w:val="center"/>
          </w:tcPr>
          <w:p w14:paraId="5052EF7B">
            <w:pPr>
              <w:pStyle w:val="159"/>
              <w:rPr>
                <w:rFonts w:ascii="宋体" w:cs="宋体"/>
                <w:color w:val="000000"/>
                <w:kern w:val="0"/>
                <w:szCs w:val="21"/>
              </w:rPr>
            </w:pPr>
            <w:r>
              <w:rPr>
                <w:szCs w:val="21"/>
              </w:rPr>
              <w:t>2</w:t>
            </w:r>
          </w:p>
        </w:tc>
        <w:tc>
          <w:tcPr>
            <w:tcW w:w="1417" w:type="dxa"/>
            <w:vAlign w:val="center"/>
          </w:tcPr>
          <w:p w14:paraId="18BA1C93">
            <w:pPr>
              <w:autoSpaceDE w:val="0"/>
              <w:autoSpaceDN w:val="0"/>
              <w:adjustRightInd w:val="0"/>
              <w:jc w:val="center"/>
              <w:rPr>
                <w:rFonts w:ascii="宋体" w:cs="宋体"/>
                <w:color w:val="000000"/>
                <w:kern w:val="0"/>
                <w:sz w:val="21"/>
                <w:szCs w:val="21"/>
              </w:rPr>
            </w:pPr>
            <w:r>
              <w:rPr>
                <w:rFonts w:hint="eastAsia"/>
                <w:sz w:val="21"/>
                <w:szCs w:val="21"/>
              </w:rPr>
              <w:t>湘江村木源岔组居民房</w:t>
            </w:r>
            <w:r>
              <w:rPr>
                <w:sz w:val="21"/>
                <w:szCs w:val="21"/>
              </w:rPr>
              <w:t>2</w:t>
            </w:r>
          </w:p>
        </w:tc>
        <w:tc>
          <w:tcPr>
            <w:tcW w:w="1382" w:type="dxa"/>
            <w:vAlign w:val="center"/>
          </w:tcPr>
          <w:p w14:paraId="36E6F38B">
            <w:pPr>
              <w:autoSpaceDE w:val="0"/>
              <w:autoSpaceDN w:val="0"/>
              <w:adjustRightInd w:val="0"/>
              <w:jc w:val="center"/>
              <w:rPr>
                <w:rFonts w:ascii="宋体" w:cs="宋体"/>
                <w:color w:val="000000"/>
                <w:kern w:val="0"/>
                <w:sz w:val="21"/>
                <w:szCs w:val="21"/>
              </w:rPr>
            </w:pPr>
            <w:r>
              <w:rPr>
                <w:sz w:val="21"/>
                <w:szCs w:val="21"/>
              </w:rPr>
              <w:t>22</w:t>
            </w:r>
          </w:p>
        </w:tc>
        <w:tc>
          <w:tcPr>
            <w:tcW w:w="851" w:type="dxa"/>
            <w:vAlign w:val="center"/>
          </w:tcPr>
          <w:p w14:paraId="5519E18E">
            <w:pPr>
              <w:autoSpaceDE w:val="0"/>
              <w:autoSpaceDN w:val="0"/>
              <w:adjustRightInd w:val="0"/>
              <w:jc w:val="center"/>
              <w:rPr>
                <w:rFonts w:ascii="宋体" w:cs="宋体"/>
                <w:color w:val="000000"/>
                <w:kern w:val="0"/>
                <w:sz w:val="21"/>
                <w:szCs w:val="21"/>
              </w:rPr>
            </w:pPr>
            <w:r>
              <w:rPr>
                <w:sz w:val="21"/>
                <w:szCs w:val="21"/>
              </w:rPr>
              <w:t>2F</w:t>
            </w:r>
            <w:r>
              <w:rPr>
                <w:rFonts w:hint="eastAsia"/>
                <w:sz w:val="21"/>
                <w:szCs w:val="21"/>
              </w:rPr>
              <w:t>尖顶</w:t>
            </w:r>
          </w:p>
        </w:tc>
        <w:tc>
          <w:tcPr>
            <w:tcW w:w="850" w:type="dxa"/>
            <w:vAlign w:val="center"/>
          </w:tcPr>
          <w:p w14:paraId="5CEED80E">
            <w:pPr>
              <w:pStyle w:val="159"/>
              <w:rPr>
                <w:szCs w:val="21"/>
              </w:rPr>
            </w:pPr>
            <w:r>
              <w:rPr>
                <w:szCs w:val="21"/>
              </w:rPr>
              <w:t>4.5</w:t>
            </w:r>
          </w:p>
        </w:tc>
        <w:tc>
          <w:tcPr>
            <w:tcW w:w="851" w:type="dxa"/>
            <w:vAlign w:val="center"/>
          </w:tcPr>
          <w:p w14:paraId="51E37843">
            <w:pPr>
              <w:pStyle w:val="159"/>
              <w:rPr>
                <w:rFonts w:ascii="宋体" w:cs="宋体"/>
                <w:color w:val="000000"/>
                <w:kern w:val="0"/>
                <w:szCs w:val="21"/>
              </w:rPr>
            </w:pPr>
            <w:r>
              <w:rPr>
                <w:szCs w:val="21"/>
              </w:rPr>
              <w:t>23</w:t>
            </w:r>
          </w:p>
        </w:tc>
        <w:tc>
          <w:tcPr>
            <w:tcW w:w="1594" w:type="dxa"/>
            <w:vAlign w:val="center"/>
          </w:tcPr>
          <w:p w14:paraId="1E8980C0">
            <w:pPr>
              <w:autoSpaceDE w:val="0"/>
              <w:autoSpaceDN w:val="0"/>
              <w:adjustRightInd w:val="0"/>
              <w:jc w:val="center"/>
              <w:rPr>
                <w:rFonts w:ascii="宋体" w:cs="宋体"/>
                <w:color w:val="000000"/>
                <w:kern w:val="0"/>
                <w:sz w:val="21"/>
                <w:szCs w:val="21"/>
              </w:rPr>
            </w:pPr>
            <w:r>
              <w:rPr>
                <w:color w:val="000000"/>
                <w:sz w:val="21"/>
                <w:szCs w:val="21"/>
              </w:rPr>
              <w:t>208.928</w:t>
            </w:r>
          </w:p>
        </w:tc>
        <w:tc>
          <w:tcPr>
            <w:tcW w:w="1559" w:type="dxa"/>
            <w:vAlign w:val="center"/>
          </w:tcPr>
          <w:p w14:paraId="1C1D1A7F">
            <w:pPr>
              <w:autoSpaceDE w:val="0"/>
              <w:autoSpaceDN w:val="0"/>
              <w:adjustRightInd w:val="0"/>
              <w:jc w:val="center"/>
              <w:rPr>
                <w:rFonts w:ascii="宋体" w:cs="宋体"/>
                <w:color w:val="000000"/>
                <w:kern w:val="0"/>
                <w:sz w:val="21"/>
                <w:szCs w:val="21"/>
              </w:rPr>
            </w:pPr>
            <w:r>
              <w:rPr>
                <w:color w:val="000000"/>
                <w:sz w:val="21"/>
                <w:szCs w:val="21"/>
              </w:rPr>
              <w:t>1.709</w:t>
            </w:r>
          </w:p>
        </w:tc>
      </w:tr>
      <w:tr w14:paraId="012CD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29" w:type="dxa"/>
            <w:vAlign w:val="center"/>
          </w:tcPr>
          <w:p w14:paraId="663E8C7E">
            <w:pPr>
              <w:pStyle w:val="159"/>
              <w:rPr>
                <w:rFonts w:ascii="宋体" w:cs="宋体"/>
                <w:color w:val="000000"/>
                <w:kern w:val="0"/>
                <w:szCs w:val="21"/>
              </w:rPr>
            </w:pPr>
            <w:r>
              <w:rPr>
                <w:szCs w:val="21"/>
              </w:rPr>
              <w:t>3</w:t>
            </w:r>
          </w:p>
        </w:tc>
        <w:tc>
          <w:tcPr>
            <w:tcW w:w="1417" w:type="dxa"/>
            <w:vAlign w:val="center"/>
          </w:tcPr>
          <w:p w14:paraId="08A0B390">
            <w:pPr>
              <w:autoSpaceDE w:val="0"/>
              <w:autoSpaceDN w:val="0"/>
              <w:adjustRightInd w:val="0"/>
              <w:jc w:val="center"/>
              <w:rPr>
                <w:rFonts w:ascii="宋体" w:cs="宋体"/>
                <w:color w:val="000000"/>
                <w:kern w:val="0"/>
                <w:sz w:val="21"/>
                <w:szCs w:val="21"/>
              </w:rPr>
            </w:pPr>
            <w:r>
              <w:rPr>
                <w:rFonts w:hint="eastAsia"/>
                <w:sz w:val="21"/>
                <w:szCs w:val="21"/>
              </w:rPr>
              <w:t>湘江村大湾井组居民房</w:t>
            </w:r>
            <w:r>
              <w:rPr>
                <w:sz w:val="21"/>
                <w:szCs w:val="21"/>
              </w:rPr>
              <w:t>1</w:t>
            </w:r>
          </w:p>
        </w:tc>
        <w:tc>
          <w:tcPr>
            <w:tcW w:w="1382" w:type="dxa"/>
            <w:vAlign w:val="center"/>
          </w:tcPr>
          <w:p w14:paraId="18156379">
            <w:pPr>
              <w:autoSpaceDE w:val="0"/>
              <w:autoSpaceDN w:val="0"/>
              <w:adjustRightInd w:val="0"/>
              <w:jc w:val="center"/>
              <w:rPr>
                <w:rFonts w:ascii="宋体" w:cs="宋体"/>
                <w:color w:val="000000"/>
                <w:kern w:val="0"/>
                <w:sz w:val="21"/>
                <w:szCs w:val="21"/>
              </w:rPr>
            </w:pPr>
            <w:r>
              <w:rPr>
                <w:sz w:val="21"/>
                <w:szCs w:val="21"/>
              </w:rPr>
              <w:t>7</w:t>
            </w:r>
          </w:p>
        </w:tc>
        <w:tc>
          <w:tcPr>
            <w:tcW w:w="851" w:type="dxa"/>
            <w:vAlign w:val="center"/>
          </w:tcPr>
          <w:p w14:paraId="0795C95D">
            <w:pPr>
              <w:autoSpaceDE w:val="0"/>
              <w:autoSpaceDN w:val="0"/>
              <w:adjustRightInd w:val="0"/>
              <w:jc w:val="center"/>
              <w:rPr>
                <w:rFonts w:ascii="宋体" w:cs="宋体"/>
                <w:color w:val="000000"/>
                <w:kern w:val="0"/>
                <w:sz w:val="21"/>
                <w:szCs w:val="21"/>
              </w:rPr>
            </w:pPr>
            <w:r>
              <w:rPr>
                <w:sz w:val="21"/>
                <w:szCs w:val="21"/>
              </w:rPr>
              <w:t>2</w:t>
            </w:r>
            <w:r>
              <w:rPr>
                <w:rFonts w:hint="eastAsia"/>
                <w:sz w:val="21"/>
                <w:szCs w:val="21"/>
              </w:rPr>
              <w:t>层半平顶</w:t>
            </w:r>
          </w:p>
        </w:tc>
        <w:tc>
          <w:tcPr>
            <w:tcW w:w="850" w:type="dxa"/>
            <w:vAlign w:val="center"/>
          </w:tcPr>
          <w:p w14:paraId="185AB54D">
            <w:pPr>
              <w:pStyle w:val="159"/>
              <w:rPr>
                <w:szCs w:val="21"/>
              </w:rPr>
            </w:pPr>
            <w:r>
              <w:rPr>
                <w:szCs w:val="21"/>
              </w:rPr>
              <w:t>7.5</w:t>
            </w:r>
          </w:p>
        </w:tc>
        <w:tc>
          <w:tcPr>
            <w:tcW w:w="851" w:type="dxa"/>
            <w:vAlign w:val="center"/>
          </w:tcPr>
          <w:p w14:paraId="6AEA0D82">
            <w:pPr>
              <w:pStyle w:val="159"/>
              <w:rPr>
                <w:rFonts w:ascii="宋体" w:cs="宋体"/>
                <w:color w:val="000000"/>
                <w:kern w:val="0"/>
                <w:szCs w:val="21"/>
              </w:rPr>
            </w:pPr>
            <w:r>
              <w:rPr>
                <w:szCs w:val="21"/>
              </w:rPr>
              <w:t>28</w:t>
            </w:r>
          </w:p>
        </w:tc>
        <w:tc>
          <w:tcPr>
            <w:tcW w:w="1594" w:type="dxa"/>
            <w:vAlign w:val="center"/>
          </w:tcPr>
          <w:p w14:paraId="30151975">
            <w:pPr>
              <w:pStyle w:val="159"/>
              <w:rPr>
                <w:rFonts w:ascii="宋体" w:cs="宋体"/>
                <w:kern w:val="0"/>
                <w:szCs w:val="21"/>
              </w:rPr>
            </w:pPr>
            <w:r>
              <w:rPr>
                <w:szCs w:val="21"/>
              </w:rPr>
              <w:t>174.934</w:t>
            </w:r>
          </w:p>
        </w:tc>
        <w:tc>
          <w:tcPr>
            <w:tcW w:w="1559" w:type="dxa"/>
            <w:vAlign w:val="center"/>
          </w:tcPr>
          <w:p w14:paraId="347E6044">
            <w:pPr>
              <w:pStyle w:val="159"/>
              <w:rPr>
                <w:szCs w:val="21"/>
              </w:rPr>
            </w:pPr>
            <w:r>
              <w:rPr>
                <w:szCs w:val="21"/>
              </w:rPr>
              <w:t>3.013</w:t>
            </w:r>
          </w:p>
        </w:tc>
      </w:tr>
      <w:tr w14:paraId="4C4AA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29" w:type="dxa"/>
            <w:vAlign w:val="center"/>
          </w:tcPr>
          <w:p w14:paraId="1B41036C">
            <w:pPr>
              <w:pStyle w:val="159"/>
              <w:rPr>
                <w:rFonts w:ascii="宋体" w:cs="宋体"/>
                <w:color w:val="000000"/>
                <w:kern w:val="0"/>
                <w:szCs w:val="21"/>
              </w:rPr>
            </w:pPr>
            <w:r>
              <w:rPr>
                <w:szCs w:val="21"/>
              </w:rPr>
              <w:t>4</w:t>
            </w:r>
          </w:p>
        </w:tc>
        <w:tc>
          <w:tcPr>
            <w:tcW w:w="1417" w:type="dxa"/>
            <w:vAlign w:val="center"/>
          </w:tcPr>
          <w:p w14:paraId="282D0301">
            <w:pPr>
              <w:autoSpaceDE w:val="0"/>
              <w:autoSpaceDN w:val="0"/>
              <w:adjustRightInd w:val="0"/>
              <w:jc w:val="center"/>
              <w:rPr>
                <w:rFonts w:ascii="宋体" w:cs="宋体"/>
                <w:color w:val="000000"/>
                <w:kern w:val="0"/>
                <w:sz w:val="21"/>
                <w:szCs w:val="21"/>
              </w:rPr>
            </w:pPr>
            <w:r>
              <w:rPr>
                <w:rFonts w:hint="eastAsia"/>
                <w:sz w:val="21"/>
                <w:szCs w:val="21"/>
              </w:rPr>
              <w:t>湘江村大湾井组居民房</w:t>
            </w:r>
            <w:r>
              <w:rPr>
                <w:sz w:val="21"/>
                <w:szCs w:val="21"/>
              </w:rPr>
              <w:t>2</w:t>
            </w:r>
          </w:p>
        </w:tc>
        <w:tc>
          <w:tcPr>
            <w:tcW w:w="1382" w:type="dxa"/>
            <w:vAlign w:val="center"/>
          </w:tcPr>
          <w:p w14:paraId="61D8FCC0">
            <w:pPr>
              <w:autoSpaceDE w:val="0"/>
              <w:autoSpaceDN w:val="0"/>
              <w:adjustRightInd w:val="0"/>
              <w:jc w:val="center"/>
              <w:rPr>
                <w:rFonts w:ascii="宋体" w:cs="宋体"/>
                <w:color w:val="000000"/>
                <w:kern w:val="0"/>
                <w:sz w:val="21"/>
                <w:szCs w:val="21"/>
              </w:rPr>
            </w:pPr>
            <w:r>
              <w:rPr>
                <w:sz w:val="21"/>
                <w:szCs w:val="21"/>
              </w:rPr>
              <w:t>8</w:t>
            </w:r>
          </w:p>
        </w:tc>
        <w:tc>
          <w:tcPr>
            <w:tcW w:w="851" w:type="dxa"/>
            <w:vAlign w:val="center"/>
          </w:tcPr>
          <w:p w14:paraId="5C654537">
            <w:pPr>
              <w:autoSpaceDE w:val="0"/>
              <w:autoSpaceDN w:val="0"/>
              <w:adjustRightInd w:val="0"/>
              <w:jc w:val="center"/>
              <w:rPr>
                <w:rFonts w:ascii="宋体" w:cs="宋体"/>
                <w:color w:val="000000"/>
                <w:kern w:val="0"/>
                <w:sz w:val="21"/>
                <w:szCs w:val="21"/>
              </w:rPr>
            </w:pPr>
            <w:r>
              <w:rPr>
                <w:sz w:val="21"/>
                <w:szCs w:val="21"/>
              </w:rPr>
              <w:t>2F</w:t>
            </w:r>
            <w:r>
              <w:rPr>
                <w:rFonts w:hint="eastAsia"/>
                <w:sz w:val="21"/>
                <w:szCs w:val="21"/>
              </w:rPr>
              <w:t>尖顶</w:t>
            </w:r>
          </w:p>
        </w:tc>
        <w:tc>
          <w:tcPr>
            <w:tcW w:w="850" w:type="dxa"/>
            <w:vAlign w:val="center"/>
          </w:tcPr>
          <w:p w14:paraId="341D254D">
            <w:pPr>
              <w:pStyle w:val="159"/>
              <w:rPr>
                <w:szCs w:val="21"/>
              </w:rPr>
            </w:pPr>
            <w:r>
              <w:rPr>
                <w:szCs w:val="21"/>
              </w:rPr>
              <w:t>4.5</w:t>
            </w:r>
          </w:p>
        </w:tc>
        <w:tc>
          <w:tcPr>
            <w:tcW w:w="851" w:type="dxa"/>
            <w:vAlign w:val="center"/>
          </w:tcPr>
          <w:p w14:paraId="5D2CB80A">
            <w:pPr>
              <w:pStyle w:val="159"/>
              <w:rPr>
                <w:rFonts w:ascii="宋体" w:cs="宋体"/>
                <w:color w:val="000000"/>
                <w:kern w:val="0"/>
                <w:szCs w:val="21"/>
              </w:rPr>
            </w:pPr>
            <w:r>
              <w:rPr>
                <w:szCs w:val="21"/>
              </w:rPr>
              <w:t>18</w:t>
            </w:r>
          </w:p>
        </w:tc>
        <w:tc>
          <w:tcPr>
            <w:tcW w:w="1594" w:type="dxa"/>
            <w:vAlign w:val="center"/>
          </w:tcPr>
          <w:p w14:paraId="179D32E6">
            <w:pPr>
              <w:pStyle w:val="159"/>
              <w:rPr>
                <w:szCs w:val="21"/>
              </w:rPr>
            </w:pPr>
            <w:r>
              <w:rPr>
                <w:szCs w:val="21"/>
              </w:rPr>
              <w:t>427.462</w:t>
            </w:r>
          </w:p>
        </w:tc>
        <w:tc>
          <w:tcPr>
            <w:tcW w:w="1559" w:type="dxa"/>
            <w:vAlign w:val="center"/>
          </w:tcPr>
          <w:p w14:paraId="04B65E2D">
            <w:pPr>
              <w:pStyle w:val="159"/>
              <w:rPr>
                <w:szCs w:val="21"/>
              </w:rPr>
            </w:pPr>
            <w:r>
              <w:rPr>
                <w:szCs w:val="21"/>
              </w:rPr>
              <w:t>5.249</w:t>
            </w:r>
          </w:p>
        </w:tc>
      </w:tr>
    </w:tbl>
    <w:p w14:paraId="63685B4D"/>
    <w:p w14:paraId="01234BBC">
      <w:pPr>
        <w:pStyle w:val="3"/>
        <w:ind w:firstLine="480"/>
      </w:pPr>
      <w:r>
        <w:rPr>
          <w:rFonts w:hint="eastAsia"/>
        </w:rPr>
        <w:t>本次环境敏感目标电磁环境理论预测水平距离选择评价范围内距线路最近处房屋，根据理论预测结果，本工程各处电磁环境敏感目标工频电场强度、工频磁感应强度均满足《电磁环境控制限值》（</w:t>
      </w:r>
      <w:r>
        <w:t>GB8702-2014</w:t>
      </w:r>
      <w:r>
        <w:rPr>
          <w:rFonts w:hint="eastAsia"/>
        </w:rPr>
        <w:t>）规定的</w:t>
      </w:r>
      <w:r>
        <w:t>4000V/m</w:t>
      </w:r>
      <w:r>
        <w:rPr>
          <w:rFonts w:hint="eastAsia"/>
        </w:rPr>
        <w:t>、</w:t>
      </w:r>
      <w:r>
        <w:t>100</w:t>
      </w:r>
      <w:r>
        <w:rPr>
          <w:rFonts w:hint="eastAsia"/>
        </w:rPr>
        <w:t>μ</w:t>
      </w:r>
      <w:r>
        <w:t>T</w:t>
      </w:r>
      <w:r>
        <w:rPr>
          <w:rFonts w:hint="eastAsia"/>
        </w:rPr>
        <w:t>的限值标准。本次预测未考虑地形、树木等障碍物的影响。因此，预测结果一般大于工程投运后的实测值。</w:t>
      </w:r>
    </w:p>
    <w:p w14:paraId="28D2A970">
      <w:pPr>
        <w:pStyle w:val="5"/>
        <w:ind w:left="0" w:firstLine="0"/>
      </w:pPr>
      <w:r>
        <w:rPr>
          <w:rFonts w:hint="eastAsia"/>
        </w:rPr>
        <w:t>地下电缆电磁环境影响分析</w:t>
      </w:r>
    </w:p>
    <w:p w14:paraId="51A1A440">
      <w:pPr>
        <w:pStyle w:val="3"/>
        <w:ind w:firstLine="480"/>
      </w:pPr>
      <w:r>
        <w:rPr>
          <w:rFonts w:hint="eastAsia"/>
        </w:rPr>
        <w:t>电缆一般由线芯（导体）、绝缘层、屏蔽层和保护层四部分组成。其中屏蔽层有半导电屏蔽层和金属屏蔽层，半导电屏蔽层是由电阻率很低且厚度较薄的半导电材料构成，金属屏蔽层通常由铜带或铜丝绕包而成，都能起到很好的电磁场屏蔽作用，因此地下电缆对电磁环境影响很小。大量地下电缆项目的电磁环境监测结果也表明，地下电缆地面上方的工频电场强度、工频磁感应强度很小。因此，本工程</w:t>
      </w:r>
      <w:r>
        <w:t xml:space="preserve">110kV </w:t>
      </w:r>
      <w:r>
        <w:rPr>
          <w:rFonts w:hint="eastAsia"/>
        </w:rPr>
        <w:t>地下电缆线路投运后工频电场强度、工频磁感应强度均能够满足《电磁环境控制限值》（</w:t>
      </w:r>
      <w:r>
        <w:t>GB8702-2014</w:t>
      </w:r>
      <w:r>
        <w:rPr>
          <w:rFonts w:hint="eastAsia"/>
        </w:rPr>
        <w:t>）中</w:t>
      </w:r>
      <w:r>
        <w:t>4000V/m</w:t>
      </w:r>
      <w:r>
        <w:rPr>
          <w:rFonts w:hint="eastAsia"/>
        </w:rPr>
        <w:t>、</w:t>
      </w:r>
      <w:r>
        <w:t>100</w:t>
      </w:r>
      <w:r>
        <w:rPr>
          <w:rFonts w:hint="eastAsia"/>
        </w:rPr>
        <w:t>μ</w:t>
      </w:r>
      <w:r>
        <w:t xml:space="preserve">T </w:t>
      </w:r>
      <w:r>
        <w:rPr>
          <w:rFonts w:hint="eastAsia"/>
        </w:rPr>
        <w:t>的公众曝露控制限值要求。本工程地下电缆长度仅为</w:t>
      </w:r>
      <w:r>
        <w:t>45</w:t>
      </w:r>
      <w:r>
        <w:rPr>
          <w:rFonts w:hint="eastAsia"/>
        </w:rPr>
        <w:t>m，沿线无环境敏感目标分布，地下电缆对周边电磁环境影响不大。</w:t>
      </w:r>
    </w:p>
    <w:p w14:paraId="672CE2E9">
      <w:pPr>
        <w:pStyle w:val="2"/>
        <w:pageBreakBefore/>
        <w:numPr>
          <w:ilvl w:val="0"/>
          <w:numId w:val="6"/>
        </w:numPr>
      </w:pPr>
      <w:bookmarkStart w:id="332" w:name="_Toc186810133"/>
      <w:r>
        <w:rPr>
          <w:rFonts w:hint="eastAsia"/>
        </w:rPr>
        <w:t>电磁环境影响专题评价结论</w:t>
      </w:r>
      <w:bookmarkEnd w:id="332"/>
    </w:p>
    <w:p w14:paraId="5D39EB30">
      <w:pPr>
        <w:pStyle w:val="3"/>
        <w:ind w:firstLine="480"/>
      </w:pPr>
      <w:r>
        <w:rPr>
          <w:rFonts w:hint="eastAsia"/>
        </w:rPr>
        <w:t>（</w:t>
      </w:r>
      <w:r>
        <w:t>1</w:t>
      </w:r>
      <w:r>
        <w:rPr>
          <w:rFonts w:hint="eastAsia"/>
        </w:rPr>
        <w:t>）现状评价</w:t>
      </w:r>
      <w:r>
        <w:t xml:space="preserve"> </w:t>
      </w:r>
    </w:p>
    <w:p w14:paraId="1200664F">
      <w:pPr>
        <w:pStyle w:val="3"/>
        <w:ind w:firstLine="480"/>
      </w:pPr>
      <w:r>
        <w:rPr>
          <w:rFonts w:hint="eastAsia"/>
        </w:rPr>
        <w:t>根据现状监测，本工程变电站及输电线路沿线的工频电场强度和工频磁感应强度均能满足相应评价标准限值要求。</w:t>
      </w:r>
      <w:r>
        <w:t xml:space="preserve"> </w:t>
      </w:r>
    </w:p>
    <w:p w14:paraId="34619E52">
      <w:pPr>
        <w:pStyle w:val="3"/>
        <w:ind w:firstLine="480"/>
      </w:pPr>
      <w:r>
        <w:rPr>
          <w:rFonts w:hint="eastAsia"/>
        </w:rPr>
        <w:t>（</w:t>
      </w:r>
      <w:r>
        <w:t>2</w:t>
      </w:r>
      <w:r>
        <w:rPr>
          <w:rFonts w:hint="eastAsia"/>
        </w:rPr>
        <w:t>）预测评价</w:t>
      </w:r>
      <w:r>
        <w:t xml:space="preserve"> </w:t>
      </w:r>
    </w:p>
    <w:p w14:paraId="18A278A0">
      <w:pPr>
        <w:pStyle w:val="3"/>
        <w:ind w:firstLine="480"/>
        <w:rPr>
          <w:shd w:val="clear" w:color="auto" w:fill="FFFFFF"/>
        </w:rPr>
      </w:pPr>
      <w:r>
        <w:rPr>
          <w:rFonts w:hint="eastAsia"/>
        </w:rPr>
        <w:t>通过类比分析和预测分析，本工程建成投运后，贝江1</w:t>
      </w:r>
      <w:r>
        <w:t>00</w:t>
      </w:r>
      <w:r>
        <w:rPr>
          <w:rFonts w:hint="eastAsia"/>
        </w:rPr>
        <w:t>kV变电站、基地源1</w:t>
      </w:r>
      <w:r>
        <w:t>10</w:t>
      </w:r>
      <w:r>
        <w:rPr>
          <w:rFonts w:hint="eastAsia"/>
        </w:rPr>
        <w:t>kV变电站站界外工频电场强度、工频磁感应强度满足相应评价标准限值的要求，输电线路运行产生的电磁环境对周围环境的影响均满足相应评价标准限值要求。</w:t>
      </w:r>
    </w:p>
    <w:sectPr>
      <w:pgSz w:w="11906" w:h="16838"/>
      <w:pgMar w:top="1588" w:right="1361" w:bottom="1474" w:left="1474" w:header="1021" w:footer="851" w:gutter="0"/>
      <w:cols w:space="425"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2">
      <wne:acd wne:acdName="acd1"/>
    </wne:keymap>
    <wne:keymap wne:kcmPrimary="0073">
      <wne:acd wne:acdName="acd2"/>
    </wne:keymap>
    <wne:keymap wne:kcmPrimary="0231">
      <wne:acd wne:acdName="acd3"/>
    </wne:keymap>
    <wne:keymap wne:kcmPrimary="0232">
      <wne:acd wne:acdName="acd4"/>
    </wne:keymap>
    <wne:keymap wne:kcmPrimary="0233">
      <wne:acd wne:acdName="acd5"/>
    </wne:keymap>
  </wne:keymaps>
  <wne:acds>
    <wne:acd wne:argValue="AgBsAGgALQBja4dlLQClYkpUaIg=" wne:acdName="acd0" wne:fciIndexBasedOn="0065"/>
    <wne:acd wne:argValue="AgBsAGgALQBoiJiYLQClYkpUaIg=" wne:acdName="acd1" wne:fciIndexBasedOn="0065"/>
    <wne:acd wne:argValue="AgBsAGgALQBoiDxoh2VXWy0ApWJKVGiI" wne:acdName="acd2" wne:fciIndexBasedOn="0065"/>
    <wne:acd wne:argValue="AQAAAE0A" wne:acdName="acd3" wne:fciIndexBasedOn="0065"/>
    <wne:acd wne:argValue="AgBsAHgAYwBoiIVRPGgPXw==" wne:acdName="acd4" wne:fciIndexBasedOn="0065"/>
    <wne:acd wne:argValue="AgBsAHgAYwBoiDRZ" wne:acdName="acd5"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MS Gothic"/>
    <w:panose1 w:val="00000000000000000000"/>
    <w:charset w:val="00"/>
    <w:family w:val="roman"/>
    <w:pitch w:val="default"/>
    <w:sig w:usb0="00000000" w:usb1="00000000" w:usb2="00000010" w:usb3="00000000" w:csb0="00060001" w:csb1="00000000"/>
  </w:font>
  <w:font w:name="MS Gothic">
    <w:panose1 w:val="020B0609070205080204"/>
    <w:charset w:val="80"/>
    <w:family w:val="modern"/>
    <w:pitch w:val="default"/>
    <w:sig w:usb0="E00002FF" w:usb1="6AC7FDFB" w:usb2="00000012" w:usb3="00000000" w:csb0="4002009F" w:csb1="DFD70000"/>
  </w:font>
  <w:font w:name="CIDFont+F3">
    <w:altName w:val="MS Gothic"/>
    <w:panose1 w:val="00000000000000000000"/>
    <w:charset w:val="80"/>
    <w:family w:val="auto"/>
    <w:pitch w:val="default"/>
    <w:sig w:usb0="00000000" w:usb1="00000000" w:usb2="00000010" w:usb3="00000000" w:csb0="00020000" w:csb1="00000000"/>
  </w:font>
  <w:font w:name="TimesNewRomanPS-BoldMT">
    <w:altName w:val="hakuyoxingshu7000"/>
    <w:panose1 w:val="00000000000000000000"/>
    <w:charset w:val="00"/>
    <w:family w:val="auto"/>
    <w:pitch w:val="default"/>
    <w:sig w:usb0="00000000" w:usb1="00000000" w:usb2="00000010" w:usb3="00000000" w:csb0="00040001" w:csb1="00000000"/>
  </w:font>
  <w:font w:name="Malgun Gothic Semilight">
    <w:altName w:val="Malgun Gothic"/>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0C5E3">
    <w:pPr>
      <w:pStyle w:val="27"/>
      <w:ind w:right="360" w:firstLine="360"/>
      <w:jc w:val="center"/>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B9CC7">
    <w:pPr>
      <w:pStyle w:val="27"/>
      <w:framePr w:wrap="around" w:vAnchor="text" w:hAnchor="margin" w:xAlign="outside" w:y="1"/>
      <w:ind w:firstLine="360"/>
      <w:rPr>
        <w:rStyle w:val="44"/>
      </w:rPr>
    </w:pPr>
    <w:r>
      <w:rPr>
        <w:rStyle w:val="44"/>
      </w:rPr>
      <w:fldChar w:fldCharType="begin"/>
    </w:r>
    <w:r>
      <w:rPr>
        <w:rStyle w:val="44"/>
      </w:rPr>
      <w:instrText xml:space="preserve">PAGE  </w:instrText>
    </w:r>
    <w:r>
      <w:rPr>
        <w:rStyle w:val="44"/>
      </w:rPr>
      <w:fldChar w:fldCharType="end"/>
    </w:r>
  </w:p>
  <w:p w14:paraId="030A3B24">
    <w:pPr>
      <w:pStyle w:val="2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8D4F4">
    <w:pPr>
      <w:pStyle w:val="2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0F60B">
    <w:pPr>
      <w:pStyle w:val="27"/>
      <w:ind w:right="360" w:firstLine="360"/>
      <w:jc w:val="center"/>
    </w:pPr>
    <w:r>
      <w:fldChar w:fldCharType="begin"/>
    </w:r>
    <w:r>
      <w:instrText xml:space="preserve">PAGE   \* MERGEFORMAT</w:instrText>
    </w:r>
    <w:r>
      <w:fldChar w:fldCharType="separate"/>
    </w:r>
    <w:r>
      <w:rPr>
        <w:lang w:val="zh-CN"/>
      </w:rPr>
      <w:t>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DBA53">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1CDC5EC6">
                          <w:pPr>
                            <w:pStyle w:val="27"/>
                          </w:pPr>
                          <w:r>
                            <w:rPr>
                              <w:rFonts w:hint="eastAsia"/>
                            </w:rPr>
                            <w:fldChar w:fldCharType="begin"/>
                          </w:r>
                          <w:r>
                            <w:rPr>
                              <w:rFonts w:hint="eastAsia"/>
                            </w:rPr>
                            <w:instrText xml:space="preserve"> PAGE  \* MERGEFORMAT </w:instrText>
                          </w:r>
                          <w:r>
                            <w:rPr>
                              <w:rFonts w:hint="eastAsia"/>
                            </w:rPr>
                            <w:fldChar w:fldCharType="separate"/>
                          </w:r>
                          <w:r>
                            <w:t>130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5X5J0AAAAAMBAAAPAAAAAAAAAAEAIAAAACIAAABkcnMvZG93&#10;bnJldi54bWxQSwECFAAUAAAACACHTuJA3iWzqQgCAAACBAAADgAAAAAAAAABACAAAAAfAQAAZHJz&#10;L2Uyb0RvYy54bWxQSwUGAAAAAAYABgBZAQAAmQUAAAAA&#10;">
              <v:fill on="f" focussize="0,0"/>
              <v:stroke on="f"/>
              <v:imagedata o:title=""/>
              <o:lock v:ext="edit" aspectratio="f"/>
              <v:textbox inset="0mm,0mm,0mm,0mm" style="mso-fit-shape-to-text:t;">
                <w:txbxContent>
                  <w:p w14:paraId="1CDC5EC6">
                    <w:pPr>
                      <w:pStyle w:val="27"/>
                    </w:pPr>
                    <w:r>
                      <w:rPr>
                        <w:rFonts w:hint="eastAsia"/>
                      </w:rPr>
                      <w:fldChar w:fldCharType="begin"/>
                    </w:r>
                    <w:r>
                      <w:rPr>
                        <w:rFonts w:hint="eastAsia"/>
                      </w:rPr>
                      <w:instrText xml:space="preserve"> PAGE  \* MERGEFORMAT </w:instrText>
                    </w:r>
                    <w:r>
                      <w:rPr>
                        <w:rFonts w:hint="eastAsia"/>
                      </w:rPr>
                      <w:fldChar w:fldCharType="separate"/>
                    </w:r>
                    <w:r>
                      <w:t>130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D4508">
    <w:pPr>
      <w:pStyle w:val="28"/>
      <w:jc w:val="right"/>
    </w:pPr>
    <w:r>
      <w:rPr>
        <w:rFonts w:hint="eastAsia"/>
      </w:rPr>
      <w:t>湖南省江华湾水源抽水蓄能电站施工电源110千伏线路工程电网项目环境影响报告表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C14ED">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88CC">
    <w:pPr>
      <w:ind w:firstLine="360"/>
      <w:jc w:val="right"/>
      <w:rPr>
        <w:rFonts w:ascii="Cambria" w:hAnsi="Cambria" w:eastAsia="Cambria"/>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6B456">
    <w:pPr>
      <w:pBdr>
        <w:bottom w:val="single" w:color="auto" w:sz="4" w:space="1"/>
      </w:pBdr>
      <w:jc w:val="right"/>
      <w:rPr>
        <w:rFonts w:ascii="Cambria" w:hAnsi="Cambria" w:eastAsia="Cambria"/>
        <w:sz w:val="18"/>
        <w:szCs w:val="18"/>
      </w:rPr>
    </w:pPr>
    <w:r>
      <w:rPr>
        <w:rFonts w:hint="eastAsia"/>
        <w:sz w:val="18"/>
        <w:szCs w:val="18"/>
      </w:rPr>
      <w:t>湖南省江华湾水源抽水蓄能电站110kV基地源变电站及施工电源110kV线路工程电网项目</w:t>
    </w:r>
    <w:r>
      <w:rPr>
        <w:rFonts w:hint="eastAsia" w:ascii="宋体" w:hAnsi="宋体" w:cs="宋体"/>
        <w:sz w:val="18"/>
        <w:szCs w:val="18"/>
      </w:rPr>
      <w:t>生态环境影响专项评价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19E42">
    <w:pPr>
      <w:pBdr>
        <w:bottom w:val="single" w:color="auto" w:sz="4" w:space="1"/>
      </w:pBdr>
      <w:ind w:firstLine="360"/>
      <w:jc w:val="right"/>
      <w:rPr>
        <w:rFonts w:ascii="Cambria" w:hAnsi="Cambria" w:eastAsia="Cambria"/>
        <w:sz w:val="18"/>
        <w:szCs w:val="18"/>
      </w:rPr>
    </w:pPr>
    <w:r>
      <w:rPr>
        <w:rFonts w:hint="eastAsia"/>
        <w:sz w:val="18"/>
        <w:szCs w:val="18"/>
      </w:rPr>
      <w:t>湖南省江华湾水源抽水蓄能电站施工电源110千伏线路工程生态环境影响专项评价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194E0">
    <w:pPr>
      <w:pBdr>
        <w:bottom w:val="single" w:color="auto" w:sz="4" w:space="1"/>
      </w:pBdr>
      <w:ind w:firstLine="360"/>
      <w:jc w:val="right"/>
      <w:rPr>
        <w:rFonts w:ascii="Cambria" w:hAnsi="Cambria" w:eastAsia="Cambria"/>
        <w:sz w:val="18"/>
        <w:szCs w:val="18"/>
      </w:rPr>
    </w:pPr>
    <w:r>
      <w:rPr>
        <w:rFonts w:hint="eastAsia"/>
        <w:sz w:val="18"/>
        <w:szCs w:val="18"/>
      </w:rPr>
      <w:t>湖南省江华湾水源抽水蓄能电站施工电源110千伏线路工程电网项目电磁环境影响评价专题报告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lowerLetter"/>
      <w:pStyle w:val="14"/>
      <w:lvlText w:val="%1）"/>
      <w:lvlJc w:val="left"/>
      <w:pPr>
        <w:ind w:left="420" w:hanging="420"/>
      </w:pPr>
      <w:rPr>
        <w:rFonts w:hint="eastAsia"/>
      </w:rPr>
    </w:lvl>
  </w:abstractNum>
  <w:abstractNum w:abstractNumId="1">
    <w:nsid w:val="1E277968"/>
    <w:multiLevelType w:val="multilevel"/>
    <w:tmpl w:val="1E277968"/>
    <w:lvl w:ilvl="0" w:tentative="0">
      <w:start w:val="1"/>
      <w:numFmt w:val="decimal"/>
      <w:pStyle w:val="2"/>
      <w:lvlText w:val="%1"/>
      <w:lvlJc w:val="left"/>
      <w:pPr>
        <w:ind w:left="432" w:hanging="432"/>
      </w:pPr>
    </w:lvl>
    <w:lvl w:ilvl="1" w:tentative="0">
      <w:start w:val="1"/>
      <w:numFmt w:val="decimal"/>
      <w:pStyle w:val="5"/>
      <w:lvlText w:val="%1.%2"/>
      <w:lvlJc w:val="left"/>
      <w:pPr>
        <w:ind w:left="576" w:hanging="576"/>
      </w:pPr>
    </w:lvl>
    <w:lvl w:ilvl="2" w:tentative="0">
      <w:start w:val="1"/>
      <w:numFmt w:val="decimal"/>
      <w:pStyle w:val="6"/>
      <w:lvlText w:val="%1.%2.%3"/>
      <w:lvlJc w:val="left"/>
      <w:pPr>
        <w:ind w:left="720" w:hanging="720"/>
      </w:pPr>
    </w:lvl>
    <w:lvl w:ilvl="3" w:tentative="0">
      <w:start w:val="1"/>
      <w:numFmt w:val="decimal"/>
      <w:pStyle w:val="7"/>
      <w:lvlText w:val="%1.%2.%3.%4"/>
      <w:lvlJc w:val="left"/>
      <w:pPr>
        <w:ind w:left="864" w:hanging="864"/>
      </w:pPr>
    </w:lvl>
    <w:lvl w:ilvl="4" w:tentative="0">
      <w:start w:val="1"/>
      <w:numFmt w:val="decimal"/>
      <w:pStyle w:val="8"/>
      <w:lvlText w:val="%1.%2.%3.%4.%5"/>
      <w:lvlJc w:val="left"/>
      <w:pPr>
        <w:ind w:left="1008" w:hanging="1008"/>
      </w:pPr>
    </w:lvl>
    <w:lvl w:ilvl="5" w:tentative="0">
      <w:start w:val="1"/>
      <w:numFmt w:val="decimal"/>
      <w:pStyle w:val="9"/>
      <w:lvlText w:val="%1.%2.%3.%4.%5.%6"/>
      <w:lvlJc w:val="left"/>
      <w:pPr>
        <w:ind w:left="1152" w:hanging="1152"/>
      </w:pPr>
    </w:lvl>
    <w:lvl w:ilvl="6" w:tentative="0">
      <w:start w:val="1"/>
      <w:numFmt w:val="decimal"/>
      <w:pStyle w:val="10"/>
      <w:lvlText w:val="%1.%2.%3.%4.%5.%6.%7"/>
      <w:lvlJc w:val="left"/>
      <w:pPr>
        <w:ind w:left="1296" w:hanging="1296"/>
      </w:pPr>
    </w:lvl>
    <w:lvl w:ilvl="7" w:tentative="0">
      <w:start w:val="1"/>
      <w:numFmt w:val="decimal"/>
      <w:pStyle w:val="11"/>
      <w:lvlText w:val="%1.%2.%3.%4.%5.%6.%7.%8"/>
      <w:lvlJc w:val="left"/>
      <w:pPr>
        <w:ind w:left="1440" w:hanging="1440"/>
      </w:pPr>
    </w:lvl>
    <w:lvl w:ilvl="8" w:tentative="0">
      <w:start w:val="1"/>
      <w:numFmt w:val="decimal"/>
      <w:pStyle w:val="12"/>
      <w:lvlText w:val="%1.%2.%3.%4.%5.%6.%7.%8.%9"/>
      <w:lvlJc w:val="left"/>
      <w:pPr>
        <w:ind w:left="1584" w:hanging="1584"/>
      </w:pPr>
    </w:lvl>
  </w:abstractNum>
  <w:abstractNum w:abstractNumId="2">
    <w:nsid w:val="792678FF"/>
    <w:multiLevelType w:val="multilevel"/>
    <w:tmpl w:val="792678FF"/>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1001"/>
        </w:tabs>
        <w:ind w:left="1001" w:hanging="576"/>
      </w:pPr>
    </w:lvl>
    <w:lvl w:ilvl="2" w:tentative="0">
      <w:start w:val="1"/>
      <w:numFmt w:val="decimal"/>
      <w:pStyle w:val="150"/>
      <w:lvlText w:val="%1.%2.%3"/>
      <w:lvlJc w:val="left"/>
      <w:pPr>
        <w:tabs>
          <w:tab w:val="left" w:pos="1145"/>
        </w:tabs>
        <w:ind w:left="1145"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7E803BB7"/>
    <w:multiLevelType w:val="multilevel"/>
    <w:tmpl w:val="7E803BB7"/>
    <w:lvl w:ilvl="0" w:tentative="0">
      <w:start w:val="1"/>
      <w:numFmt w:val="decimal"/>
      <w:lvlText w:val="%1"/>
      <w:lvlJc w:val="left"/>
      <w:pPr>
        <w:tabs>
          <w:tab w:val="left" w:pos="0"/>
        </w:tabs>
        <w:ind w:left="0" w:firstLine="0"/>
      </w:pPr>
      <w:rPr>
        <w:rFonts w:hint="eastAsia"/>
      </w:rPr>
    </w:lvl>
    <w:lvl w:ilvl="1" w:tentative="0">
      <w:start w:val="1"/>
      <w:numFmt w:val="decimal"/>
      <w:pStyle w:val="141"/>
      <w:lvlText w:val="%1.%2"/>
      <w:lvlJc w:val="left"/>
      <w:pPr>
        <w:tabs>
          <w:tab w:val="left" w:pos="95"/>
        </w:tabs>
        <w:ind w:left="95" w:firstLine="45"/>
      </w:pPr>
      <w:rPr>
        <w:rFonts w:hint="eastAsia"/>
      </w:rPr>
    </w:lvl>
    <w:lvl w:ilvl="2" w:tentative="0">
      <w:start w:val="1"/>
      <w:numFmt w:val="decimal"/>
      <w:lvlText w:val="%1.%2.%3"/>
      <w:lvlJc w:val="left"/>
      <w:pPr>
        <w:tabs>
          <w:tab w:val="left" w:pos="0"/>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 w:numId="3">
    <w:abstractNumId w:val="3"/>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characterSpacingControl w:val="doNotCompress"/>
  <w:noLineBreaksAfter w:lang="zh-CN" w:val="$([{£¥·‘“〈《「『【〔〖〝﹙﹛﹝＄（．［｛￡￥"/>
  <w:noLineBreaksBefore w:lang="zh-CN" w:val="!%),.:;&gt;?]}¢¨°·ˇˉ―‖’”…‰′″›℃∶、。〃〉》」』】〕〗〞︶︺︾﹀﹄﹚﹜﹞！＂％＇），．：；？］｀｜｝～￠"/>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jNjkyMGQyNmY1OWMxZDVjN2Q1NTQ0NDdkM2ZjZTcifQ=="/>
  </w:docVars>
  <w:rsids>
    <w:rsidRoot w:val="00A14947"/>
    <w:rsid w:val="00000181"/>
    <w:rsid w:val="00000BFC"/>
    <w:rsid w:val="00001092"/>
    <w:rsid w:val="00001218"/>
    <w:rsid w:val="00001562"/>
    <w:rsid w:val="00001CED"/>
    <w:rsid w:val="00001D11"/>
    <w:rsid w:val="00001E67"/>
    <w:rsid w:val="00002722"/>
    <w:rsid w:val="00002D7C"/>
    <w:rsid w:val="00003025"/>
    <w:rsid w:val="0000319E"/>
    <w:rsid w:val="0000360D"/>
    <w:rsid w:val="00003CD8"/>
    <w:rsid w:val="000040C9"/>
    <w:rsid w:val="0000485A"/>
    <w:rsid w:val="00004915"/>
    <w:rsid w:val="00004936"/>
    <w:rsid w:val="00004BC1"/>
    <w:rsid w:val="00004DA2"/>
    <w:rsid w:val="00005097"/>
    <w:rsid w:val="00005207"/>
    <w:rsid w:val="00005683"/>
    <w:rsid w:val="00006103"/>
    <w:rsid w:val="000069AB"/>
    <w:rsid w:val="00006BB4"/>
    <w:rsid w:val="0000724F"/>
    <w:rsid w:val="0000750D"/>
    <w:rsid w:val="0000778E"/>
    <w:rsid w:val="00007F31"/>
    <w:rsid w:val="00010537"/>
    <w:rsid w:val="00012125"/>
    <w:rsid w:val="00012961"/>
    <w:rsid w:val="00012ABA"/>
    <w:rsid w:val="00012F03"/>
    <w:rsid w:val="00012F73"/>
    <w:rsid w:val="00013DE7"/>
    <w:rsid w:val="00013F7C"/>
    <w:rsid w:val="000140C5"/>
    <w:rsid w:val="00014965"/>
    <w:rsid w:val="0001523A"/>
    <w:rsid w:val="0001542F"/>
    <w:rsid w:val="0001580F"/>
    <w:rsid w:val="00015CAF"/>
    <w:rsid w:val="00016310"/>
    <w:rsid w:val="00016699"/>
    <w:rsid w:val="00016A95"/>
    <w:rsid w:val="00016ECB"/>
    <w:rsid w:val="00016ED2"/>
    <w:rsid w:val="00017333"/>
    <w:rsid w:val="00017378"/>
    <w:rsid w:val="00017450"/>
    <w:rsid w:val="00017817"/>
    <w:rsid w:val="00017B62"/>
    <w:rsid w:val="00017E21"/>
    <w:rsid w:val="000206B2"/>
    <w:rsid w:val="00021165"/>
    <w:rsid w:val="00021848"/>
    <w:rsid w:val="000219F4"/>
    <w:rsid w:val="00022517"/>
    <w:rsid w:val="0002288B"/>
    <w:rsid w:val="000231F5"/>
    <w:rsid w:val="0002360A"/>
    <w:rsid w:val="00023FE7"/>
    <w:rsid w:val="000269F6"/>
    <w:rsid w:val="00026EB2"/>
    <w:rsid w:val="00026EF2"/>
    <w:rsid w:val="00027104"/>
    <w:rsid w:val="00027AC9"/>
    <w:rsid w:val="00027B5E"/>
    <w:rsid w:val="00027DE2"/>
    <w:rsid w:val="000304B8"/>
    <w:rsid w:val="000304F3"/>
    <w:rsid w:val="00030510"/>
    <w:rsid w:val="00030515"/>
    <w:rsid w:val="00030FDD"/>
    <w:rsid w:val="000317B5"/>
    <w:rsid w:val="00031939"/>
    <w:rsid w:val="00032D25"/>
    <w:rsid w:val="000331DA"/>
    <w:rsid w:val="00033AA4"/>
    <w:rsid w:val="00033C7B"/>
    <w:rsid w:val="00034246"/>
    <w:rsid w:val="00034A83"/>
    <w:rsid w:val="00035247"/>
    <w:rsid w:val="000358DA"/>
    <w:rsid w:val="00035BD5"/>
    <w:rsid w:val="0003646F"/>
    <w:rsid w:val="00036585"/>
    <w:rsid w:val="00036861"/>
    <w:rsid w:val="00036AC8"/>
    <w:rsid w:val="000370FD"/>
    <w:rsid w:val="000374A2"/>
    <w:rsid w:val="00037CD5"/>
    <w:rsid w:val="0004054C"/>
    <w:rsid w:val="00040C0A"/>
    <w:rsid w:val="00040C0C"/>
    <w:rsid w:val="00040D40"/>
    <w:rsid w:val="000417A5"/>
    <w:rsid w:val="00041A76"/>
    <w:rsid w:val="00041B25"/>
    <w:rsid w:val="00041E36"/>
    <w:rsid w:val="000430DD"/>
    <w:rsid w:val="00043557"/>
    <w:rsid w:val="0004375B"/>
    <w:rsid w:val="00043C6D"/>
    <w:rsid w:val="0004442B"/>
    <w:rsid w:val="00044E1F"/>
    <w:rsid w:val="000464CD"/>
    <w:rsid w:val="0004651C"/>
    <w:rsid w:val="00046779"/>
    <w:rsid w:val="00047767"/>
    <w:rsid w:val="00050AC4"/>
    <w:rsid w:val="0005219D"/>
    <w:rsid w:val="00052947"/>
    <w:rsid w:val="000533C4"/>
    <w:rsid w:val="0005354E"/>
    <w:rsid w:val="0005359D"/>
    <w:rsid w:val="00053C3A"/>
    <w:rsid w:val="00053CB1"/>
    <w:rsid w:val="00054845"/>
    <w:rsid w:val="0005496C"/>
    <w:rsid w:val="0005541B"/>
    <w:rsid w:val="0005568F"/>
    <w:rsid w:val="00055692"/>
    <w:rsid w:val="000559DF"/>
    <w:rsid w:val="00055FF5"/>
    <w:rsid w:val="00056D1F"/>
    <w:rsid w:val="0005726E"/>
    <w:rsid w:val="0005734D"/>
    <w:rsid w:val="0005753C"/>
    <w:rsid w:val="0006031E"/>
    <w:rsid w:val="00060597"/>
    <w:rsid w:val="0006153D"/>
    <w:rsid w:val="00061B1F"/>
    <w:rsid w:val="00061C56"/>
    <w:rsid w:val="00061EF9"/>
    <w:rsid w:val="00062943"/>
    <w:rsid w:val="00062E1A"/>
    <w:rsid w:val="000638B6"/>
    <w:rsid w:val="00063B00"/>
    <w:rsid w:val="00064074"/>
    <w:rsid w:val="00064452"/>
    <w:rsid w:val="00064A8C"/>
    <w:rsid w:val="000651ED"/>
    <w:rsid w:val="0006556C"/>
    <w:rsid w:val="000657A1"/>
    <w:rsid w:val="000657D0"/>
    <w:rsid w:val="00065C5F"/>
    <w:rsid w:val="000664DB"/>
    <w:rsid w:val="00066DA4"/>
    <w:rsid w:val="000672BD"/>
    <w:rsid w:val="000673D1"/>
    <w:rsid w:val="00067443"/>
    <w:rsid w:val="00067745"/>
    <w:rsid w:val="00067D4D"/>
    <w:rsid w:val="00067E0E"/>
    <w:rsid w:val="00070426"/>
    <w:rsid w:val="00070A61"/>
    <w:rsid w:val="00070D2A"/>
    <w:rsid w:val="00070F6F"/>
    <w:rsid w:val="0007127D"/>
    <w:rsid w:val="00071AE5"/>
    <w:rsid w:val="00071D73"/>
    <w:rsid w:val="00072E86"/>
    <w:rsid w:val="00072ECB"/>
    <w:rsid w:val="00072FB2"/>
    <w:rsid w:val="000731BC"/>
    <w:rsid w:val="00073249"/>
    <w:rsid w:val="00073A55"/>
    <w:rsid w:val="00073E9E"/>
    <w:rsid w:val="00073F1D"/>
    <w:rsid w:val="000742E1"/>
    <w:rsid w:val="00074772"/>
    <w:rsid w:val="00074783"/>
    <w:rsid w:val="00074A24"/>
    <w:rsid w:val="0007542D"/>
    <w:rsid w:val="00076077"/>
    <w:rsid w:val="00076276"/>
    <w:rsid w:val="00076278"/>
    <w:rsid w:val="00076C42"/>
    <w:rsid w:val="00076F81"/>
    <w:rsid w:val="000770F5"/>
    <w:rsid w:val="00077730"/>
    <w:rsid w:val="00077C0C"/>
    <w:rsid w:val="00077F68"/>
    <w:rsid w:val="000801E0"/>
    <w:rsid w:val="000803E4"/>
    <w:rsid w:val="00080934"/>
    <w:rsid w:val="000823C0"/>
    <w:rsid w:val="00082A29"/>
    <w:rsid w:val="00082ADE"/>
    <w:rsid w:val="0008331D"/>
    <w:rsid w:val="00083851"/>
    <w:rsid w:val="00083C18"/>
    <w:rsid w:val="00083F1B"/>
    <w:rsid w:val="00084968"/>
    <w:rsid w:val="0008503D"/>
    <w:rsid w:val="00085721"/>
    <w:rsid w:val="00085F17"/>
    <w:rsid w:val="000865F7"/>
    <w:rsid w:val="00086A15"/>
    <w:rsid w:val="0008779D"/>
    <w:rsid w:val="00087916"/>
    <w:rsid w:val="00090896"/>
    <w:rsid w:val="00090BD8"/>
    <w:rsid w:val="00090CA3"/>
    <w:rsid w:val="0009118F"/>
    <w:rsid w:val="00092899"/>
    <w:rsid w:val="0009352E"/>
    <w:rsid w:val="00093789"/>
    <w:rsid w:val="000969C4"/>
    <w:rsid w:val="00097C10"/>
    <w:rsid w:val="000A0257"/>
    <w:rsid w:val="000A0622"/>
    <w:rsid w:val="000A0714"/>
    <w:rsid w:val="000A12A1"/>
    <w:rsid w:val="000A1498"/>
    <w:rsid w:val="000A1644"/>
    <w:rsid w:val="000A16D9"/>
    <w:rsid w:val="000A178E"/>
    <w:rsid w:val="000A17E5"/>
    <w:rsid w:val="000A1842"/>
    <w:rsid w:val="000A1AAF"/>
    <w:rsid w:val="000A2238"/>
    <w:rsid w:val="000A26D4"/>
    <w:rsid w:val="000A3717"/>
    <w:rsid w:val="000A3884"/>
    <w:rsid w:val="000A3AE8"/>
    <w:rsid w:val="000A3C39"/>
    <w:rsid w:val="000A3DD2"/>
    <w:rsid w:val="000A4641"/>
    <w:rsid w:val="000A53B8"/>
    <w:rsid w:val="000A54C8"/>
    <w:rsid w:val="000A557E"/>
    <w:rsid w:val="000A621E"/>
    <w:rsid w:val="000A66F1"/>
    <w:rsid w:val="000A691E"/>
    <w:rsid w:val="000A718E"/>
    <w:rsid w:val="000A7C8F"/>
    <w:rsid w:val="000A7E5B"/>
    <w:rsid w:val="000B0157"/>
    <w:rsid w:val="000B0415"/>
    <w:rsid w:val="000B058F"/>
    <w:rsid w:val="000B0F7A"/>
    <w:rsid w:val="000B1115"/>
    <w:rsid w:val="000B1178"/>
    <w:rsid w:val="000B1459"/>
    <w:rsid w:val="000B1E87"/>
    <w:rsid w:val="000B210C"/>
    <w:rsid w:val="000B38AB"/>
    <w:rsid w:val="000B487F"/>
    <w:rsid w:val="000B4ED8"/>
    <w:rsid w:val="000B5404"/>
    <w:rsid w:val="000B5799"/>
    <w:rsid w:val="000B58C1"/>
    <w:rsid w:val="000B63FA"/>
    <w:rsid w:val="000B693F"/>
    <w:rsid w:val="000B6C74"/>
    <w:rsid w:val="000B6E71"/>
    <w:rsid w:val="000B6EC5"/>
    <w:rsid w:val="000B6F73"/>
    <w:rsid w:val="000C09AC"/>
    <w:rsid w:val="000C0A63"/>
    <w:rsid w:val="000C11E2"/>
    <w:rsid w:val="000C18B2"/>
    <w:rsid w:val="000C1CEC"/>
    <w:rsid w:val="000C24EE"/>
    <w:rsid w:val="000C2D55"/>
    <w:rsid w:val="000C3BE9"/>
    <w:rsid w:val="000C3D9A"/>
    <w:rsid w:val="000C41AE"/>
    <w:rsid w:val="000C4202"/>
    <w:rsid w:val="000C4297"/>
    <w:rsid w:val="000C4323"/>
    <w:rsid w:val="000C437E"/>
    <w:rsid w:val="000C4B5B"/>
    <w:rsid w:val="000C4C48"/>
    <w:rsid w:val="000C4DB5"/>
    <w:rsid w:val="000C4EF0"/>
    <w:rsid w:val="000C61B2"/>
    <w:rsid w:val="000C6280"/>
    <w:rsid w:val="000C67B9"/>
    <w:rsid w:val="000C755B"/>
    <w:rsid w:val="000C78F8"/>
    <w:rsid w:val="000D00FE"/>
    <w:rsid w:val="000D0A29"/>
    <w:rsid w:val="000D0BC9"/>
    <w:rsid w:val="000D1491"/>
    <w:rsid w:val="000D18FF"/>
    <w:rsid w:val="000D1C68"/>
    <w:rsid w:val="000D2490"/>
    <w:rsid w:val="000D2756"/>
    <w:rsid w:val="000D2ABB"/>
    <w:rsid w:val="000D2C57"/>
    <w:rsid w:val="000D2E60"/>
    <w:rsid w:val="000D2E92"/>
    <w:rsid w:val="000D3545"/>
    <w:rsid w:val="000D360B"/>
    <w:rsid w:val="000D4D55"/>
    <w:rsid w:val="000D4DC4"/>
    <w:rsid w:val="000D5704"/>
    <w:rsid w:val="000D6B5B"/>
    <w:rsid w:val="000D6E85"/>
    <w:rsid w:val="000D753A"/>
    <w:rsid w:val="000D79D8"/>
    <w:rsid w:val="000E09B1"/>
    <w:rsid w:val="000E09F4"/>
    <w:rsid w:val="000E1185"/>
    <w:rsid w:val="000E1492"/>
    <w:rsid w:val="000E15F8"/>
    <w:rsid w:val="000E165E"/>
    <w:rsid w:val="000E16D7"/>
    <w:rsid w:val="000E1B2D"/>
    <w:rsid w:val="000E1D40"/>
    <w:rsid w:val="000E1F65"/>
    <w:rsid w:val="000E2003"/>
    <w:rsid w:val="000E2701"/>
    <w:rsid w:val="000E280D"/>
    <w:rsid w:val="000E3051"/>
    <w:rsid w:val="000E33BF"/>
    <w:rsid w:val="000E3965"/>
    <w:rsid w:val="000E3F54"/>
    <w:rsid w:val="000E4835"/>
    <w:rsid w:val="000E5F16"/>
    <w:rsid w:val="000E61C9"/>
    <w:rsid w:val="000E6803"/>
    <w:rsid w:val="000E7F87"/>
    <w:rsid w:val="000F0BFD"/>
    <w:rsid w:val="000F0CCE"/>
    <w:rsid w:val="000F107B"/>
    <w:rsid w:val="000F1F2D"/>
    <w:rsid w:val="000F2754"/>
    <w:rsid w:val="000F2B9F"/>
    <w:rsid w:val="000F3050"/>
    <w:rsid w:val="000F3429"/>
    <w:rsid w:val="000F443C"/>
    <w:rsid w:val="000F4452"/>
    <w:rsid w:val="000F49F4"/>
    <w:rsid w:val="000F4A31"/>
    <w:rsid w:val="000F4DC2"/>
    <w:rsid w:val="000F5162"/>
    <w:rsid w:val="000F5B1F"/>
    <w:rsid w:val="000F5C63"/>
    <w:rsid w:val="000F5DCF"/>
    <w:rsid w:val="000F6276"/>
    <w:rsid w:val="000F6620"/>
    <w:rsid w:val="000F6768"/>
    <w:rsid w:val="000F6910"/>
    <w:rsid w:val="000F6A50"/>
    <w:rsid w:val="000F6DA1"/>
    <w:rsid w:val="000F6E7C"/>
    <w:rsid w:val="000F701B"/>
    <w:rsid w:val="000F756D"/>
    <w:rsid w:val="000F75B2"/>
    <w:rsid w:val="00100007"/>
    <w:rsid w:val="001000E6"/>
    <w:rsid w:val="001011B3"/>
    <w:rsid w:val="0010231B"/>
    <w:rsid w:val="0010266C"/>
    <w:rsid w:val="00102971"/>
    <w:rsid w:val="00102DD1"/>
    <w:rsid w:val="0010326A"/>
    <w:rsid w:val="001032DE"/>
    <w:rsid w:val="001038FA"/>
    <w:rsid w:val="0010391A"/>
    <w:rsid w:val="00103D73"/>
    <w:rsid w:val="00103E79"/>
    <w:rsid w:val="001042F3"/>
    <w:rsid w:val="00104AB2"/>
    <w:rsid w:val="00105142"/>
    <w:rsid w:val="001056A0"/>
    <w:rsid w:val="00105BFC"/>
    <w:rsid w:val="00106015"/>
    <w:rsid w:val="0010690F"/>
    <w:rsid w:val="00106961"/>
    <w:rsid w:val="00106DBA"/>
    <w:rsid w:val="001073E7"/>
    <w:rsid w:val="001079BE"/>
    <w:rsid w:val="00107FB8"/>
    <w:rsid w:val="00110E24"/>
    <w:rsid w:val="00110FBD"/>
    <w:rsid w:val="00111022"/>
    <w:rsid w:val="0011144F"/>
    <w:rsid w:val="00112251"/>
    <w:rsid w:val="001124B3"/>
    <w:rsid w:val="00112821"/>
    <w:rsid w:val="00112A5E"/>
    <w:rsid w:val="00112BA2"/>
    <w:rsid w:val="00112DBD"/>
    <w:rsid w:val="0011349A"/>
    <w:rsid w:val="00113F58"/>
    <w:rsid w:val="00114299"/>
    <w:rsid w:val="00114F8C"/>
    <w:rsid w:val="00115181"/>
    <w:rsid w:val="00115279"/>
    <w:rsid w:val="00115902"/>
    <w:rsid w:val="001161CA"/>
    <w:rsid w:val="00116A82"/>
    <w:rsid w:val="00116D77"/>
    <w:rsid w:val="00117459"/>
    <w:rsid w:val="0011749A"/>
    <w:rsid w:val="001178FB"/>
    <w:rsid w:val="00121C63"/>
    <w:rsid w:val="001224CD"/>
    <w:rsid w:val="00122CC9"/>
    <w:rsid w:val="00122E90"/>
    <w:rsid w:val="00123092"/>
    <w:rsid w:val="00123F3D"/>
    <w:rsid w:val="00124B54"/>
    <w:rsid w:val="0012609B"/>
    <w:rsid w:val="001266CC"/>
    <w:rsid w:val="00126AE6"/>
    <w:rsid w:val="00126DEF"/>
    <w:rsid w:val="0012717C"/>
    <w:rsid w:val="00127526"/>
    <w:rsid w:val="001277E9"/>
    <w:rsid w:val="00127A68"/>
    <w:rsid w:val="00130025"/>
    <w:rsid w:val="00130CCA"/>
    <w:rsid w:val="00130EBE"/>
    <w:rsid w:val="00130F82"/>
    <w:rsid w:val="00131594"/>
    <w:rsid w:val="00131666"/>
    <w:rsid w:val="00132398"/>
    <w:rsid w:val="001331E6"/>
    <w:rsid w:val="0013475D"/>
    <w:rsid w:val="00134CB5"/>
    <w:rsid w:val="00135613"/>
    <w:rsid w:val="00135C7C"/>
    <w:rsid w:val="00136440"/>
    <w:rsid w:val="00136CF3"/>
    <w:rsid w:val="00136EC8"/>
    <w:rsid w:val="001373EA"/>
    <w:rsid w:val="00137AF3"/>
    <w:rsid w:val="00137D23"/>
    <w:rsid w:val="00140B13"/>
    <w:rsid w:val="00140DA6"/>
    <w:rsid w:val="00141006"/>
    <w:rsid w:val="00141467"/>
    <w:rsid w:val="00141B68"/>
    <w:rsid w:val="00141C28"/>
    <w:rsid w:val="00142748"/>
    <w:rsid w:val="0014308C"/>
    <w:rsid w:val="001439F5"/>
    <w:rsid w:val="0014451C"/>
    <w:rsid w:val="00144821"/>
    <w:rsid w:val="00144F17"/>
    <w:rsid w:val="0014581E"/>
    <w:rsid w:val="00145A8F"/>
    <w:rsid w:val="00146374"/>
    <w:rsid w:val="001466DA"/>
    <w:rsid w:val="0014747F"/>
    <w:rsid w:val="0014763E"/>
    <w:rsid w:val="001476D4"/>
    <w:rsid w:val="00147748"/>
    <w:rsid w:val="00147C9E"/>
    <w:rsid w:val="001509EC"/>
    <w:rsid w:val="00150E56"/>
    <w:rsid w:val="00150F8C"/>
    <w:rsid w:val="00151361"/>
    <w:rsid w:val="00151EC9"/>
    <w:rsid w:val="001521D3"/>
    <w:rsid w:val="00152597"/>
    <w:rsid w:val="00152CC6"/>
    <w:rsid w:val="00153115"/>
    <w:rsid w:val="001532EA"/>
    <w:rsid w:val="001534C8"/>
    <w:rsid w:val="001536F6"/>
    <w:rsid w:val="001538E4"/>
    <w:rsid w:val="00153D1F"/>
    <w:rsid w:val="001541ED"/>
    <w:rsid w:val="0015494F"/>
    <w:rsid w:val="00154DE1"/>
    <w:rsid w:val="00155556"/>
    <w:rsid w:val="001555CD"/>
    <w:rsid w:val="00155793"/>
    <w:rsid w:val="00155903"/>
    <w:rsid w:val="00155B40"/>
    <w:rsid w:val="00155D8A"/>
    <w:rsid w:val="0015697A"/>
    <w:rsid w:val="00156F83"/>
    <w:rsid w:val="00157289"/>
    <w:rsid w:val="00157435"/>
    <w:rsid w:val="00157DAB"/>
    <w:rsid w:val="0016020A"/>
    <w:rsid w:val="001602BB"/>
    <w:rsid w:val="0016062A"/>
    <w:rsid w:val="00161106"/>
    <w:rsid w:val="00161219"/>
    <w:rsid w:val="001612AF"/>
    <w:rsid w:val="001621AC"/>
    <w:rsid w:val="0016260E"/>
    <w:rsid w:val="00162BEA"/>
    <w:rsid w:val="00162CDA"/>
    <w:rsid w:val="0016310D"/>
    <w:rsid w:val="00163D9E"/>
    <w:rsid w:val="00163EEA"/>
    <w:rsid w:val="00165003"/>
    <w:rsid w:val="00165FB1"/>
    <w:rsid w:val="00166210"/>
    <w:rsid w:val="00166525"/>
    <w:rsid w:val="00166E5C"/>
    <w:rsid w:val="00167901"/>
    <w:rsid w:val="00167A07"/>
    <w:rsid w:val="00167E48"/>
    <w:rsid w:val="00167E88"/>
    <w:rsid w:val="0017046A"/>
    <w:rsid w:val="001704A3"/>
    <w:rsid w:val="0017068F"/>
    <w:rsid w:val="001708B1"/>
    <w:rsid w:val="00170C30"/>
    <w:rsid w:val="00171ADF"/>
    <w:rsid w:val="00172485"/>
    <w:rsid w:val="001729E8"/>
    <w:rsid w:val="00172CF6"/>
    <w:rsid w:val="00173206"/>
    <w:rsid w:val="0017362F"/>
    <w:rsid w:val="00173A3F"/>
    <w:rsid w:val="00173AD4"/>
    <w:rsid w:val="00173E86"/>
    <w:rsid w:val="0017504D"/>
    <w:rsid w:val="001751C4"/>
    <w:rsid w:val="00175261"/>
    <w:rsid w:val="00175383"/>
    <w:rsid w:val="001755E9"/>
    <w:rsid w:val="00175AB0"/>
    <w:rsid w:val="00176270"/>
    <w:rsid w:val="00177422"/>
    <w:rsid w:val="001778E3"/>
    <w:rsid w:val="00181B86"/>
    <w:rsid w:val="001829EE"/>
    <w:rsid w:val="00182B6C"/>
    <w:rsid w:val="0018413D"/>
    <w:rsid w:val="001844FB"/>
    <w:rsid w:val="00184C35"/>
    <w:rsid w:val="00184D78"/>
    <w:rsid w:val="00184F10"/>
    <w:rsid w:val="00185010"/>
    <w:rsid w:val="00185546"/>
    <w:rsid w:val="00185567"/>
    <w:rsid w:val="00185AD5"/>
    <w:rsid w:val="00185D41"/>
    <w:rsid w:val="00186244"/>
    <w:rsid w:val="00186698"/>
    <w:rsid w:val="0018670E"/>
    <w:rsid w:val="0018697A"/>
    <w:rsid w:val="00186BB3"/>
    <w:rsid w:val="0018756C"/>
    <w:rsid w:val="0019006C"/>
    <w:rsid w:val="00190438"/>
    <w:rsid w:val="001904CF"/>
    <w:rsid w:val="0019062B"/>
    <w:rsid w:val="001906C9"/>
    <w:rsid w:val="00190B83"/>
    <w:rsid w:val="00190DE6"/>
    <w:rsid w:val="0019146B"/>
    <w:rsid w:val="001914C8"/>
    <w:rsid w:val="001917B2"/>
    <w:rsid w:val="001917D8"/>
    <w:rsid w:val="00191B04"/>
    <w:rsid w:val="00193576"/>
    <w:rsid w:val="00193C6D"/>
    <w:rsid w:val="00193C86"/>
    <w:rsid w:val="00194398"/>
    <w:rsid w:val="00194794"/>
    <w:rsid w:val="00194A25"/>
    <w:rsid w:val="00194DD9"/>
    <w:rsid w:val="00195353"/>
    <w:rsid w:val="00195759"/>
    <w:rsid w:val="00196032"/>
    <w:rsid w:val="00196340"/>
    <w:rsid w:val="00196710"/>
    <w:rsid w:val="00196C51"/>
    <w:rsid w:val="0019736D"/>
    <w:rsid w:val="0019771A"/>
    <w:rsid w:val="00197E5D"/>
    <w:rsid w:val="00197FCE"/>
    <w:rsid w:val="001A057F"/>
    <w:rsid w:val="001A0A5D"/>
    <w:rsid w:val="001A14E3"/>
    <w:rsid w:val="001A2A12"/>
    <w:rsid w:val="001A2F1A"/>
    <w:rsid w:val="001A32E2"/>
    <w:rsid w:val="001A388A"/>
    <w:rsid w:val="001A4231"/>
    <w:rsid w:val="001A480B"/>
    <w:rsid w:val="001A5493"/>
    <w:rsid w:val="001A55BA"/>
    <w:rsid w:val="001A58A3"/>
    <w:rsid w:val="001A5C80"/>
    <w:rsid w:val="001A6007"/>
    <w:rsid w:val="001A628E"/>
    <w:rsid w:val="001A6576"/>
    <w:rsid w:val="001A68EE"/>
    <w:rsid w:val="001A722E"/>
    <w:rsid w:val="001A775A"/>
    <w:rsid w:val="001A7C7F"/>
    <w:rsid w:val="001A7D2A"/>
    <w:rsid w:val="001B0581"/>
    <w:rsid w:val="001B1077"/>
    <w:rsid w:val="001B1B5E"/>
    <w:rsid w:val="001B2229"/>
    <w:rsid w:val="001B2738"/>
    <w:rsid w:val="001B3A59"/>
    <w:rsid w:val="001B3B97"/>
    <w:rsid w:val="001B4087"/>
    <w:rsid w:val="001B42AF"/>
    <w:rsid w:val="001B43A7"/>
    <w:rsid w:val="001B50B2"/>
    <w:rsid w:val="001B574C"/>
    <w:rsid w:val="001B64E2"/>
    <w:rsid w:val="001B764E"/>
    <w:rsid w:val="001B7BD6"/>
    <w:rsid w:val="001C0059"/>
    <w:rsid w:val="001C0995"/>
    <w:rsid w:val="001C0AF9"/>
    <w:rsid w:val="001C145D"/>
    <w:rsid w:val="001C155A"/>
    <w:rsid w:val="001C2762"/>
    <w:rsid w:val="001C2EE1"/>
    <w:rsid w:val="001C348A"/>
    <w:rsid w:val="001C3DFE"/>
    <w:rsid w:val="001C48C0"/>
    <w:rsid w:val="001C5665"/>
    <w:rsid w:val="001C6193"/>
    <w:rsid w:val="001C6290"/>
    <w:rsid w:val="001C67A1"/>
    <w:rsid w:val="001C7823"/>
    <w:rsid w:val="001C7FAC"/>
    <w:rsid w:val="001C7FEF"/>
    <w:rsid w:val="001D0057"/>
    <w:rsid w:val="001D0686"/>
    <w:rsid w:val="001D117E"/>
    <w:rsid w:val="001D12C8"/>
    <w:rsid w:val="001D1360"/>
    <w:rsid w:val="001D148C"/>
    <w:rsid w:val="001D1AC8"/>
    <w:rsid w:val="001D1C19"/>
    <w:rsid w:val="001D1F6F"/>
    <w:rsid w:val="001D2B21"/>
    <w:rsid w:val="001D369D"/>
    <w:rsid w:val="001D396C"/>
    <w:rsid w:val="001D3CD5"/>
    <w:rsid w:val="001D3EE0"/>
    <w:rsid w:val="001D42B4"/>
    <w:rsid w:val="001D45D7"/>
    <w:rsid w:val="001D527E"/>
    <w:rsid w:val="001D568B"/>
    <w:rsid w:val="001D588A"/>
    <w:rsid w:val="001D61A1"/>
    <w:rsid w:val="001D6726"/>
    <w:rsid w:val="001D67A0"/>
    <w:rsid w:val="001D6C30"/>
    <w:rsid w:val="001D6C9E"/>
    <w:rsid w:val="001D6F07"/>
    <w:rsid w:val="001D722C"/>
    <w:rsid w:val="001D7712"/>
    <w:rsid w:val="001E07E2"/>
    <w:rsid w:val="001E09B1"/>
    <w:rsid w:val="001E0D64"/>
    <w:rsid w:val="001E13B8"/>
    <w:rsid w:val="001E1A5D"/>
    <w:rsid w:val="001E1F44"/>
    <w:rsid w:val="001E2E14"/>
    <w:rsid w:val="001E2E4D"/>
    <w:rsid w:val="001E3647"/>
    <w:rsid w:val="001E3664"/>
    <w:rsid w:val="001E496A"/>
    <w:rsid w:val="001E4E2C"/>
    <w:rsid w:val="001E4FC3"/>
    <w:rsid w:val="001E4FE1"/>
    <w:rsid w:val="001E51F7"/>
    <w:rsid w:val="001E5374"/>
    <w:rsid w:val="001E54C6"/>
    <w:rsid w:val="001E57B5"/>
    <w:rsid w:val="001E5895"/>
    <w:rsid w:val="001E5F1D"/>
    <w:rsid w:val="001E613A"/>
    <w:rsid w:val="001E6252"/>
    <w:rsid w:val="001E65BC"/>
    <w:rsid w:val="001E6F22"/>
    <w:rsid w:val="001E7194"/>
    <w:rsid w:val="001E7326"/>
    <w:rsid w:val="001E7591"/>
    <w:rsid w:val="001E771F"/>
    <w:rsid w:val="001E7E1C"/>
    <w:rsid w:val="001E7E96"/>
    <w:rsid w:val="001F0AA4"/>
    <w:rsid w:val="001F0E47"/>
    <w:rsid w:val="001F1116"/>
    <w:rsid w:val="001F18B3"/>
    <w:rsid w:val="001F1A46"/>
    <w:rsid w:val="001F1B90"/>
    <w:rsid w:val="001F1FE5"/>
    <w:rsid w:val="001F2192"/>
    <w:rsid w:val="001F2752"/>
    <w:rsid w:val="001F2C90"/>
    <w:rsid w:val="001F2E0A"/>
    <w:rsid w:val="001F3347"/>
    <w:rsid w:val="001F3C40"/>
    <w:rsid w:val="001F3D25"/>
    <w:rsid w:val="001F4195"/>
    <w:rsid w:val="001F4440"/>
    <w:rsid w:val="001F4ADE"/>
    <w:rsid w:val="001F4BA2"/>
    <w:rsid w:val="001F4F3C"/>
    <w:rsid w:val="001F5071"/>
    <w:rsid w:val="001F555D"/>
    <w:rsid w:val="001F6677"/>
    <w:rsid w:val="001F6702"/>
    <w:rsid w:val="001F6818"/>
    <w:rsid w:val="001F69E4"/>
    <w:rsid w:val="001F795C"/>
    <w:rsid w:val="001F7D9F"/>
    <w:rsid w:val="00200621"/>
    <w:rsid w:val="00200B59"/>
    <w:rsid w:val="00200D69"/>
    <w:rsid w:val="00200FCC"/>
    <w:rsid w:val="00200FEA"/>
    <w:rsid w:val="0020155E"/>
    <w:rsid w:val="002016DC"/>
    <w:rsid w:val="00202B63"/>
    <w:rsid w:val="00202B74"/>
    <w:rsid w:val="00202FE5"/>
    <w:rsid w:val="002030B7"/>
    <w:rsid w:val="00204E88"/>
    <w:rsid w:val="0020563E"/>
    <w:rsid w:val="00205D70"/>
    <w:rsid w:val="00205DCA"/>
    <w:rsid w:val="00206939"/>
    <w:rsid w:val="00206957"/>
    <w:rsid w:val="00206A65"/>
    <w:rsid w:val="002075D0"/>
    <w:rsid w:val="00207C9E"/>
    <w:rsid w:val="00207F92"/>
    <w:rsid w:val="00210144"/>
    <w:rsid w:val="0021054F"/>
    <w:rsid w:val="002105D5"/>
    <w:rsid w:val="0021073F"/>
    <w:rsid w:val="0021077D"/>
    <w:rsid w:val="0021081D"/>
    <w:rsid w:val="00210946"/>
    <w:rsid w:val="0021167E"/>
    <w:rsid w:val="002124E8"/>
    <w:rsid w:val="00212702"/>
    <w:rsid w:val="002129F7"/>
    <w:rsid w:val="00212D31"/>
    <w:rsid w:val="002130C7"/>
    <w:rsid w:val="00213BF0"/>
    <w:rsid w:val="002148FB"/>
    <w:rsid w:val="00214AAC"/>
    <w:rsid w:val="00215967"/>
    <w:rsid w:val="00215FC6"/>
    <w:rsid w:val="00216096"/>
    <w:rsid w:val="00216341"/>
    <w:rsid w:val="00216634"/>
    <w:rsid w:val="00216833"/>
    <w:rsid w:val="002172D5"/>
    <w:rsid w:val="00217947"/>
    <w:rsid w:val="002201E0"/>
    <w:rsid w:val="00220454"/>
    <w:rsid w:val="0022084E"/>
    <w:rsid w:val="00220A83"/>
    <w:rsid w:val="00221532"/>
    <w:rsid w:val="002218A8"/>
    <w:rsid w:val="002224AE"/>
    <w:rsid w:val="00222A9E"/>
    <w:rsid w:val="00222AE0"/>
    <w:rsid w:val="0022306D"/>
    <w:rsid w:val="0022397A"/>
    <w:rsid w:val="00223F42"/>
    <w:rsid w:val="00224520"/>
    <w:rsid w:val="00224550"/>
    <w:rsid w:val="00224678"/>
    <w:rsid w:val="00225DB0"/>
    <w:rsid w:val="00225FFB"/>
    <w:rsid w:val="00226080"/>
    <w:rsid w:val="0022615E"/>
    <w:rsid w:val="00226574"/>
    <w:rsid w:val="00226634"/>
    <w:rsid w:val="00226904"/>
    <w:rsid w:val="00226E91"/>
    <w:rsid w:val="00226F8E"/>
    <w:rsid w:val="00227660"/>
    <w:rsid w:val="002278EC"/>
    <w:rsid w:val="002311CE"/>
    <w:rsid w:val="0023121F"/>
    <w:rsid w:val="0023168A"/>
    <w:rsid w:val="00231CA5"/>
    <w:rsid w:val="00231D59"/>
    <w:rsid w:val="002321FF"/>
    <w:rsid w:val="00233364"/>
    <w:rsid w:val="00233A37"/>
    <w:rsid w:val="00233B27"/>
    <w:rsid w:val="00233FE8"/>
    <w:rsid w:val="0023411F"/>
    <w:rsid w:val="00234A5A"/>
    <w:rsid w:val="0023525E"/>
    <w:rsid w:val="002355C3"/>
    <w:rsid w:val="002357C7"/>
    <w:rsid w:val="00235DBF"/>
    <w:rsid w:val="00236048"/>
    <w:rsid w:val="002367C4"/>
    <w:rsid w:val="002376F7"/>
    <w:rsid w:val="00240354"/>
    <w:rsid w:val="00240513"/>
    <w:rsid w:val="002405D5"/>
    <w:rsid w:val="00240700"/>
    <w:rsid w:val="00240DCF"/>
    <w:rsid w:val="0024212C"/>
    <w:rsid w:val="002424DD"/>
    <w:rsid w:val="00242600"/>
    <w:rsid w:val="00242AD8"/>
    <w:rsid w:val="002430A4"/>
    <w:rsid w:val="00243713"/>
    <w:rsid w:val="00243CCE"/>
    <w:rsid w:val="00244011"/>
    <w:rsid w:val="00244789"/>
    <w:rsid w:val="00244B79"/>
    <w:rsid w:val="00244BD7"/>
    <w:rsid w:val="00244F18"/>
    <w:rsid w:val="002450E9"/>
    <w:rsid w:val="00246145"/>
    <w:rsid w:val="002469E7"/>
    <w:rsid w:val="002469ED"/>
    <w:rsid w:val="00247C67"/>
    <w:rsid w:val="002501BF"/>
    <w:rsid w:val="0025045D"/>
    <w:rsid w:val="0025088D"/>
    <w:rsid w:val="002514B7"/>
    <w:rsid w:val="0025175C"/>
    <w:rsid w:val="00251EFA"/>
    <w:rsid w:val="00252223"/>
    <w:rsid w:val="0025250C"/>
    <w:rsid w:val="0025285F"/>
    <w:rsid w:val="00253415"/>
    <w:rsid w:val="00253867"/>
    <w:rsid w:val="0025390E"/>
    <w:rsid w:val="00253941"/>
    <w:rsid w:val="00254101"/>
    <w:rsid w:val="0025439B"/>
    <w:rsid w:val="002543E3"/>
    <w:rsid w:val="00255270"/>
    <w:rsid w:val="002566BD"/>
    <w:rsid w:val="00256786"/>
    <w:rsid w:val="0025679E"/>
    <w:rsid w:val="00256FD0"/>
    <w:rsid w:val="00256FFF"/>
    <w:rsid w:val="0025775D"/>
    <w:rsid w:val="002579B0"/>
    <w:rsid w:val="00257A5D"/>
    <w:rsid w:val="00257DF6"/>
    <w:rsid w:val="00257F01"/>
    <w:rsid w:val="00257F91"/>
    <w:rsid w:val="00260306"/>
    <w:rsid w:val="00260509"/>
    <w:rsid w:val="00260A23"/>
    <w:rsid w:val="00260C68"/>
    <w:rsid w:val="002613E2"/>
    <w:rsid w:val="00261E42"/>
    <w:rsid w:val="0026260C"/>
    <w:rsid w:val="00262A22"/>
    <w:rsid w:val="00262A28"/>
    <w:rsid w:val="002630F6"/>
    <w:rsid w:val="002642CD"/>
    <w:rsid w:val="0026437C"/>
    <w:rsid w:val="002648B0"/>
    <w:rsid w:val="002649B9"/>
    <w:rsid w:val="002655E4"/>
    <w:rsid w:val="00265763"/>
    <w:rsid w:val="0026599F"/>
    <w:rsid w:val="00265CB3"/>
    <w:rsid w:val="00265ED5"/>
    <w:rsid w:val="00265FB0"/>
    <w:rsid w:val="002664E8"/>
    <w:rsid w:val="002666D7"/>
    <w:rsid w:val="00267E03"/>
    <w:rsid w:val="00267E92"/>
    <w:rsid w:val="00271725"/>
    <w:rsid w:val="00271A16"/>
    <w:rsid w:val="00271C2A"/>
    <w:rsid w:val="00272071"/>
    <w:rsid w:val="002721B9"/>
    <w:rsid w:val="00272DD7"/>
    <w:rsid w:val="00272E4A"/>
    <w:rsid w:val="00272F86"/>
    <w:rsid w:val="00273070"/>
    <w:rsid w:val="00273192"/>
    <w:rsid w:val="002733B0"/>
    <w:rsid w:val="0027391B"/>
    <w:rsid w:val="00273FCF"/>
    <w:rsid w:val="002740F8"/>
    <w:rsid w:val="0027474E"/>
    <w:rsid w:val="00275271"/>
    <w:rsid w:val="0027535E"/>
    <w:rsid w:val="0027565E"/>
    <w:rsid w:val="00275AA6"/>
    <w:rsid w:val="00275BCF"/>
    <w:rsid w:val="002763AA"/>
    <w:rsid w:val="00277FE0"/>
    <w:rsid w:val="0028031B"/>
    <w:rsid w:val="00280596"/>
    <w:rsid w:val="002806E6"/>
    <w:rsid w:val="002807D5"/>
    <w:rsid w:val="00281448"/>
    <w:rsid w:val="002816FC"/>
    <w:rsid w:val="00281D66"/>
    <w:rsid w:val="00282398"/>
    <w:rsid w:val="00282818"/>
    <w:rsid w:val="0028295C"/>
    <w:rsid w:val="00282A81"/>
    <w:rsid w:val="00282CCD"/>
    <w:rsid w:val="0028361E"/>
    <w:rsid w:val="002843A1"/>
    <w:rsid w:val="002844B2"/>
    <w:rsid w:val="0028474A"/>
    <w:rsid w:val="00284BF9"/>
    <w:rsid w:val="00286097"/>
    <w:rsid w:val="0028632A"/>
    <w:rsid w:val="00286840"/>
    <w:rsid w:val="00286B20"/>
    <w:rsid w:val="00287EF6"/>
    <w:rsid w:val="002901C4"/>
    <w:rsid w:val="00290524"/>
    <w:rsid w:val="00290CD8"/>
    <w:rsid w:val="00290EAF"/>
    <w:rsid w:val="002910F9"/>
    <w:rsid w:val="00291814"/>
    <w:rsid w:val="00291BB9"/>
    <w:rsid w:val="00291FE4"/>
    <w:rsid w:val="002923F0"/>
    <w:rsid w:val="0029242C"/>
    <w:rsid w:val="0029257B"/>
    <w:rsid w:val="002933EE"/>
    <w:rsid w:val="002934D7"/>
    <w:rsid w:val="002937D5"/>
    <w:rsid w:val="00293BFC"/>
    <w:rsid w:val="00293F5C"/>
    <w:rsid w:val="002941EB"/>
    <w:rsid w:val="0029454B"/>
    <w:rsid w:val="00295BFB"/>
    <w:rsid w:val="00295E4A"/>
    <w:rsid w:val="002962A5"/>
    <w:rsid w:val="002964B9"/>
    <w:rsid w:val="00296607"/>
    <w:rsid w:val="002968E9"/>
    <w:rsid w:val="002970D4"/>
    <w:rsid w:val="0029790C"/>
    <w:rsid w:val="00297C9B"/>
    <w:rsid w:val="00297DB7"/>
    <w:rsid w:val="002A0174"/>
    <w:rsid w:val="002A06CF"/>
    <w:rsid w:val="002A099C"/>
    <w:rsid w:val="002A0EEC"/>
    <w:rsid w:val="002A168C"/>
    <w:rsid w:val="002A1E9F"/>
    <w:rsid w:val="002A217A"/>
    <w:rsid w:val="002A2982"/>
    <w:rsid w:val="002A2A7C"/>
    <w:rsid w:val="002A2C48"/>
    <w:rsid w:val="002A39C7"/>
    <w:rsid w:val="002A3EC8"/>
    <w:rsid w:val="002A3EED"/>
    <w:rsid w:val="002A46B8"/>
    <w:rsid w:val="002A4A39"/>
    <w:rsid w:val="002A51EE"/>
    <w:rsid w:val="002A5573"/>
    <w:rsid w:val="002A5A17"/>
    <w:rsid w:val="002A636F"/>
    <w:rsid w:val="002A6425"/>
    <w:rsid w:val="002A6638"/>
    <w:rsid w:val="002A6A86"/>
    <w:rsid w:val="002B09BB"/>
    <w:rsid w:val="002B22BC"/>
    <w:rsid w:val="002B26DD"/>
    <w:rsid w:val="002B2A51"/>
    <w:rsid w:val="002B2C27"/>
    <w:rsid w:val="002B3651"/>
    <w:rsid w:val="002B3855"/>
    <w:rsid w:val="002B3DC4"/>
    <w:rsid w:val="002B49E2"/>
    <w:rsid w:val="002B58F8"/>
    <w:rsid w:val="002B6495"/>
    <w:rsid w:val="002B678C"/>
    <w:rsid w:val="002B69D2"/>
    <w:rsid w:val="002B721D"/>
    <w:rsid w:val="002B7A8B"/>
    <w:rsid w:val="002B7B00"/>
    <w:rsid w:val="002B7C44"/>
    <w:rsid w:val="002B7E79"/>
    <w:rsid w:val="002C0DBB"/>
    <w:rsid w:val="002C1106"/>
    <w:rsid w:val="002C1388"/>
    <w:rsid w:val="002C145F"/>
    <w:rsid w:val="002C16C8"/>
    <w:rsid w:val="002C1730"/>
    <w:rsid w:val="002C17A4"/>
    <w:rsid w:val="002C1C5E"/>
    <w:rsid w:val="002C2210"/>
    <w:rsid w:val="002C3546"/>
    <w:rsid w:val="002C3B50"/>
    <w:rsid w:val="002C3C6A"/>
    <w:rsid w:val="002C4041"/>
    <w:rsid w:val="002C4380"/>
    <w:rsid w:val="002C4731"/>
    <w:rsid w:val="002C475B"/>
    <w:rsid w:val="002C5992"/>
    <w:rsid w:val="002C6EBE"/>
    <w:rsid w:val="002C7F6E"/>
    <w:rsid w:val="002D0025"/>
    <w:rsid w:val="002D007C"/>
    <w:rsid w:val="002D0F92"/>
    <w:rsid w:val="002D1530"/>
    <w:rsid w:val="002D1539"/>
    <w:rsid w:val="002D1D48"/>
    <w:rsid w:val="002D236C"/>
    <w:rsid w:val="002D27EC"/>
    <w:rsid w:val="002D3B5C"/>
    <w:rsid w:val="002D405E"/>
    <w:rsid w:val="002D428C"/>
    <w:rsid w:val="002D42DB"/>
    <w:rsid w:val="002D457F"/>
    <w:rsid w:val="002D47A3"/>
    <w:rsid w:val="002D4C67"/>
    <w:rsid w:val="002D4C6F"/>
    <w:rsid w:val="002D57B3"/>
    <w:rsid w:val="002D5A89"/>
    <w:rsid w:val="002D5ECE"/>
    <w:rsid w:val="002D6A15"/>
    <w:rsid w:val="002D73F3"/>
    <w:rsid w:val="002D7502"/>
    <w:rsid w:val="002D7643"/>
    <w:rsid w:val="002D78CC"/>
    <w:rsid w:val="002D7D25"/>
    <w:rsid w:val="002E05DD"/>
    <w:rsid w:val="002E0A25"/>
    <w:rsid w:val="002E1069"/>
    <w:rsid w:val="002E173A"/>
    <w:rsid w:val="002E1775"/>
    <w:rsid w:val="002E1ABC"/>
    <w:rsid w:val="002E1CA3"/>
    <w:rsid w:val="002E1F04"/>
    <w:rsid w:val="002E1F3A"/>
    <w:rsid w:val="002E20EF"/>
    <w:rsid w:val="002E2483"/>
    <w:rsid w:val="002E298A"/>
    <w:rsid w:val="002E2CE8"/>
    <w:rsid w:val="002E2DFF"/>
    <w:rsid w:val="002E3316"/>
    <w:rsid w:val="002E341A"/>
    <w:rsid w:val="002E35AA"/>
    <w:rsid w:val="002E3988"/>
    <w:rsid w:val="002E3F98"/>
    <w:rsid w:val="002E49DC"/>
    <w:rsid w:val="002E4A61"/>
    <w:rsid w:val="002E4A9B"/>
    <w:rsid w:val="002E4E2B"/>
    <w:rsid w:val="002E5325"/>
    <w:rsid w:val="002E57DD"/>
    <w:rsid w:val="002E57E8"/>
    <w:rsid w:val="002E5800"/>
    <w:rsid w:val="002E5A1A"/>
    <w:rsid w:val="002E6001"/>
    <w:rsid w:val="002E7C23"/>
    <w:rsid w:val="002E7C5C"/>
    <w:rsid w:val="002F0191"/>
    <w:rsid w:val="002F02A4"/>
    <w:rsid w:val="002F05E5"/>
    <w:rsid w:val="002F1C10"/>
    <w:rsid w:val="002F272B"/>
    <w:rsid w:val="002F39BF"/>
    <w:rsid w:val="002F3AC9"/>
    <w:rsid w:val="002F4133"/>
    <w:rsid w:val="002F4358"/>
    <w:rsid w:val="002F47B2"/>
    <w:rsid w:val="002F490D"/>
    <w:rsid w:val="002F4A62"/>
    <w:rsid w:val="002F5D79"/>
    <w:rsid w:val="002F62C5"/>
    <w:rsid w:val="002F65F6"/>
    <w:rsid w:val="002F6841"/>
    <w:rsid w:val="002F68A1"/>
    <w:rsid w:val="002F6BE2"/>
    <w:rsid w:val="002F6DAB"/>
    <w:rsid w:val="002F6F1F"/>
    <w:rsid w:val="002F6F7D"/>
    <w:rsid w:val="002F7C6D"/>
    <w:rsid w:val="003004CF"/>
    <w:rsid w:val="0030101E"/>
    <w:rsid w:val="00301381"/>
    <w:rsid w:val="003023FF"/>
    <w:rsid w:val="003027E4"/>
    <w:rsid w:val="0030332C"/>
    <w:rsid w:val="00303548"/>
    <w:rsid w:val="00303D9A"/>
    <w:rsid w:val="00303EA4"/>
    <w:rsid w:val="0030413C"/>
    <w:rsid w:val="0030474C"/>
    <w:rsid w:val="003047D6"/>
    <w:rsid w:val="00304D8F"/>
    <w:rsid w:val="00304DDB"/>
    <w:rsid w:val="003050A6"/>
    <w:rsid w:val="00305C39"/>
    <w:rsid w:val="00305FAF"/>
    <w:rsid w:val="003061DD"/>
    <w:rsid w:val="0030649C"/>
    <w:rsid w:val="00306748"/>
    <w:rsid w:val="0030681B"/>
    <w:rsid w:val="00306AE3"/>
    <w:rsid w:val="00306EDC"/>
    <w:rsid w:val="00306EFC"/>
    <w:rsid w:val="0030762A"/>
    <w:rsid w:val="00307D5E"/>
    <w:rsid w:val="00307E50"/>
    <w:rsid w:val="003107E5"/>
    <w:rsid w:val="00310A3D"/>
    <w:rsid w:val="003119DA"/>
    <w:rsid w:val="003119F4"/>
    <w:rsid w:val="00312296"/>
    <w:rsid w:val="003122D1"/>
    <w:rsid w:val="003122EB"/>
    <w:rsid w:val="003124F6"/>
    <w:rsid w:val="0031340E"/>
    <w:rsid w:val="0031382B"/>
    <w:rsid w:val="00313A9B"/>
    <w:rsid w:val="0031412A"/>
    <w:rsid w:val="00314322"/>
    <w:rsid w:val="00314579"/>
    <w:rsid w:val="00314754"/>
    <w:rsid w:val="003147EC"/>
    <w:rsid w:val="00314BCD"/>
    <w:rsid w:val="00314E3F"/>
    <w:rsid w:val="00315215"/>
    <w:rsid w:val="003154EB"/>
    <w:rsid w:val="00316464"/>
    <w:rsid w:val="0031670D"/>
    <w:rsid w:val="00316719"/>
    <w:rsid w:val="00316A74"/>
    <w:rsid w:val="00317BF0"/>
    <w:rsid w:val="00317E23"/>
    <w:rsid w:val="00320003"/>
    <w:rsid w:val="0032040D"/>
    <w:rsid w:val="0032073A"/>
    <w:rsid w:val="00320937"/>
    <w:rsid w:val="00320AFF"/>
    <w:rsid w:val="00320BF9"/>
    <w:rsid w:val="003210E5"/>
    <w:rsid w:val="0032117C"/>
    <w:rsid w:val="00321D8E"/>
    <w:rsid w:val="00323213"/>
    <w:rsid w:val="0032330B"/>
    <w:rsid w:val="0032379E"/>
    <w:rsid w:val="00323883"/>
    <w:rsid w:val="00323CCF"/>
    <w:rsid w:val="0032414F"/>
    <w:rsid w:val="00325425"/>
    <w:rsid w:val="0032585C"/>
    <w:rsid w:val="003268FF"/>
    <w:rsid w:val="00327045"/>
    <w:rsid w:val="0033028B"/>
    <w:rsid w:val="00330638"/>
    <w:rsid w:val="00330705"/>
    <w:rsid w:val="00331699"/>
    <w:rsid w:val="00331CDE"/>
    <w:rsid w:val="0033225B"/>
    <w:rsid w:val="00332279"/>
    <w:rsid w:val="00332BF4"/>
    <w:rsid w:val="00332FE3"/>
    <w:rsid w:val="003336DE"/>
    <w:rsid w:val="00333C01"/>
    <w:rsid w:val="0033425D"/>
    <w:rsid w:val="0033468A"/>
    <w:rsid w:val="00334819"/>
    <w:rsid w:val="00334996"/>
    <w:rsid w:val="00335907"/>
    <w:rsid w:val="00335BF1"/>
    <w:rsid w:val="00335EE8"/>
    <w:rsid w:val="003360E9"/>
    <w:rsid w:val="00336969"/>
    <w:rsid w:val="003369C9"/>
    <w:rsid w:val="00336C52"/>
    <w:rsid w:val="00336D9E"/>
    <w:rsid w:val="00336F4A"/>
    <w:rsid w:val="0033740E"/>
    <w:rsid w:val="00340D70"/>
    <w:rsid w:val="003417BB"/>
    <w:rsid w:val="00341B3E"/>
    <w:rsid w:val="00341B42"/>
    <w:rsid w:val="003421B3"/>
    <w:rsid w:val="0034225E"/>
    <w:rsid w:val="00342CCB"/>
    <w:rsid w:val="003434B7"/>
    <w:rsid w:val="003444A1"/>
    <w:rsid w:val="00344CD4"/>
    <w:rsid w:val="00344F86"/>
    <w:rsid w:val="00345154"/>
    <w:rsid w:val="0034560E"/>
    <w:rsid w:val="00345ED4"/>
    <w:rsid w:val="0034604B"/>
    <w:rsid w:val="00346699"/>
    <w:rsid w:val="0034695D"/>
    <w:rsid w:val="00346D05"/>
    <w:rsid w:val="00347672"/>
    <w:rsid w:val="00347E24"/>
    <w:rsid w:val="0035001D"/>
    <w:rsid w:val="0035024E"/>
    <w:rsid w:val="003502B2"/>
    <w:rsid w:val="00350523"/>
    <w:rsid w:val="00350602"/>
    <w:rsid w:val="00350C07"/>
    <w:rsid w:val="00351133"/>
    <w:rsid w:val="003512C5"/>
    <w:rsid w:val="00351DED"/>
    <w:rsid w:val="003523C5"/>
    <w:rsid w:val="00352975"/>
    <w:rsid w:val="00352F33"/>
    <w:rsid w:val="00353648"/>
    <w:rsid w:val="003537A7"/>
    <w:rsid w:val="003539CD"/>
    <w:rsid w:val="00353E03"/>
    <w:rsid w:val="0035427F"/>
    <w:rsid w:val="003546BB"/>
    <w:rsid w:val="00356273"/>
    <w:rsid w:val="00356563"/>
    <w:rsid w:val="0035668B"/>
    <w:rsid w:val="00356868"/>
    <w:rsid w:val="00360039"/>
    <w:rsid w:val="0036006E"/>
    <w:rsid w:val="0036028F"/>
    <w:rsid w:val="00360663"/>
    <w:rsid w:val="00360DC3"/>
    <w:rsid w:val="00361201"/>
    <w:rsid w:val="00361329"/>
    <w:rsid w:val="00361453"/>
    <w:rsid w:val="0036197E"/>
    <w:rsid w:val="00362CA6"/>
    <w:rsid w:val="00363AB1"/>
    <w:rsid w:val="00364134"/>
    <w:rsid w:val="00364175"/>
    <w:rsid w:val="0036440E"/>
    <w:rsid w:val="003647C7"/>
    <w:rsid w:val="0036485B"/>
    <w:rsid w:val="00364A33"/>
    <w:rsid w:val="00364C6F"/>
    <w:rsid w:val="00365088"/>
    <w:rsid w:val="00365455"/>
    <w:rsid w:val="00365AD7"/>
    <w:rsid w:val="0036631B"/>
    <w:rsid w:val="00366692"/>
    <w:rsid w:val="00367022"/>
    <w:rsid w:val="00367309"/>
    <w:rsid w:val="00367B8C"/>
    <w:rsid w:val="00367D99"/>
    <w:rsid w:val="003700D8"/>
    <w:rsid w:val="00370785"/>
    <w:rsid w:val="003710FC"/>
    <w:rsid w:val="0037121F"/>
    <w:rsid w:val="00371279"/>
    <w:rsid w:val="00371519"/>
    <w:rsid w:val="00371686"/>
    <w:rsid w:val="0037184B"/>
    <w:rsid w:val="00371D2C"/>
    <w:rsid w:val="00371DCE"/>
    <w:rsid w:val="00371DF3"/>
    <w:rsid w:val="00371F98"/>
    <w:rsid w:val="003722E7"/>
    <w:rsid w:val="003725AF"/>
    <w:rsid w:val="00373B0D"/>
    <w:rsid w:val="00373B48"/>
    <w:rsid w:val="00373F0A"/>
    <w:rsid w:val="00373F40"/>
    <w:rsid w:val="00374241"/>
    <w:rsid w:val="003744A7"/>
    <w:rsid w:val="00374BE7"/>
    <w:rsid w:val="00374D62"/>
    <w:rsid w:val="00374F8E"/>
    <w:rsid w:val="00375253"/>
    <w:rsid w:val="00376008"/>
    <w:rsid w:val="0037687D"/>
    <w:rsid w:val="00376988"/>
    <w:rsid w:val="00376A9F"/>
    <w:rsid w:val="00376FA0"/>
    <w:rsid w:val="0037711B"/>
    <w:rsid w:val="003777AC"/>
    <w:rsid w:val="00377D48"/>
    <w:rsid w:val="00380115"/>
    <w:rsid w:val="0038029C"/>
    <w:rsid w:val="00380305"/>
    <w:rsid w:val="0038038F"/>
    <w:rsid w:val="0038055D"/>
    <w:rsid w:val="00380F8E"/>
    <w:rsid w:val="0038114B"/>
    <w:rsid w:val="003817BE"/>
    <w:rsid w:val="00381A72"/>
    <w:rsid w:val="00381B25"/>
    <w:rsid w:val="00381F5A"/>
    <w:rsid w:val="0038328B"/>
    <w:rsid w:val="00383F22"/>
    <w:rsid w:val="00384827"/>
    <w:rsid w:val="003858C3"/>
    <w:rsid w:val="00385934"/>
    <w:rsid w:val="00385C1C"/>
    <w:rsid w:val="00386166"/>
    <w:rsid w:val="0038660A"/>
    <w:rsid w:val="003866F7"/>
    <w:rsid w:val="00386766"/>
    <w:rsid w:val="00386798"/>
    <w:rsid w:val="00390485"/>
    <w:rsid w:val="00390A9E"/>
    <w:rsid w:val="00390B75"/>
    <w:rsid w:val="00390B80"/>
    <w:rsid w:val="00390C0D"/>
    <w:rsid w:val="00390C84"/>
    <w:rsid w:val="003911F3"/>
    <w:rsid w:val="0039129B"/>
    <w:rsid w:val="003913DA"/>
    <w:rsid w:val="00391485"/>
    <w:rsid w:val="00391677"/>
    <w:rsid w:val="00391EF5"/>
    <w:rsid w:val="00391F50"/>
    <w:rsid w:val="0039232C"/>
    <w:rsid w:val="0039236A"/>
    <w:rsid w:val="003924F4"/>
    <w:rsid w:val="00392F12"/>
    <w:rsid w:val="00392F87"/>
    <w:rsid w:val="003934C4"/>
    <w:rsid w:val="00393A1A"/>
    <w:rsid w:val="00393AA5"/>
    <w:rsid w:val="00393BD3"/>
    <w:rsid w:val="00393F7A"/>
    <w:rsid w:val="00394593"/>
    <w:rsid w:val="00394832"/>
    <w:rsid w:val="00394DAB"/>
    <w:rsid w:val="00395D7E"/>
    <w:rsid w:val="003967B9"/>
    <w:rsid w:val="00396D63"/>
    <w:rsid w:val="00397915"/>
    <w:rsid w:val="0039798C"/>
    <w:rsid w:val="00397C59"/>
    <w:rsid w:val="00397FEA"/>
    <w:rsid w:val="003A0530"/>
    <w:rsid w:val="003A08B4"/>
    <w:rsid w:val="003A111E"/>
    <w:rsid w:val="003A1948"/>
    <w:rsid w:val="003A19FA"/>
    <w:rsid w:val="003A2077"/>
    <w:rsid w:val="003A2569"/>
    <w:rsid w:val="003A27F8"/>
    <w:rsid w:val="003A2843"/>
    <w:rsid w:val="003A2C75"/>
    <w:rsid w:val="003A2EBD"/>
    <w:rsid w:val="003A3356"/>
    <w:rsid w:val="003A3A53"/>
    <w:rsid w:val="003A3EC9"/>
    <w:rsid w:val="003A4438"/>
    <w:rsid w:val="003A4836"/>
    <w:rsid w:val="003A4E03"/>
    <w:rsid w:val="003A5B4F"/>
    <w:rsid w:val="003A5C39"/>
    <w:rsid w:val="003A5ED0"/>
    <w:rsid w:val="003B04AC"/>
    <w:rsid w:val="003B09A2"/>
    <w:rsid w:val="003B1153"/>
    <w:rsid w:val="003B14A1"/>
    <w:rsid w:val="003B152A"/>
    <w:rsid w:val="003B241A"/>
    <w:rsid w:val="003B25B6"/>
    <w:rsid w:val="003B2842"/>
    <w:rsid w:val="003B3690"/>
    <w:rsid w:val="003B422F"/>
    <w:rsid w:val="003B4502"/>
    <w:rsid w:val="003B4C56"/>
    <w:rsid w:val="003B4D67"/>
    <w:rsid w:val="003B537E"/>
    <w:rsid w:val="003B545B"/>
    <w:rsid w:val="003B646A"/>
    <w:rsid w:val="003B6655"/>
    <w:rsid w:val="003B6D30"/>
    <w:rsid w:val="003B6E9B"/>
    <w:rsid w:val="003B7149"/>
    <w:rsid w:val="003B74C9"/>
    <w:rsid w:val="003B75D6"/>
    <w:rsid w:val="003B7715"/>
    <w:rsid w:val="003C027F"/>
    <w:rsid w:val="003C0662"/>
    <w:rsid w:val="003C0B34"/>
    <w:rsid w:val="003C1005"/>
    <w:rsid w:val="003C1256"/>
    <w:rsid w:val="003C187B"/>
    <w:rsid w:val="003C1BDF"/>
    <w:rsid w:val="003C2473"/>
    <w:rsid w:val="003C249A"/>
    <w:rsid w:val="003C2FC5"/>
    <w:rsid w:val="003C3704"/>
    <w:rsid w:val="003C38AB"/>
    <w:rsid w:val="003C3F72"/>
    <w:rsid w:val="003C436D"/>
    <w:rsid w:val="003C47C0"/>
    <w:rsid w:val="003C4F8F"/>
    <w:rsid w:val="003C5F49"/>
    <w:rsid w:val="003C5F56"/>
    <w:rsid w:val="003C60EC"/>
    <w:rsid w:val="003C675D"/>
    <w:rsid w:val="003C6A23"/>
    <w:rsid w:val="003C6F55"/>
    <w:rsid w:val="003C786E"/>
    <w:rsid w:val="003C78D2"/>
    <w:rsid w:val="003C7C8A"/>
    <w:rsid w:val="003D0D1F"/>
    <w:rsid w:val="003D0F29"/>
    <w:rsid w:val="003D1676"/>
    <w:rsid w:val="003D16DD"/>
    <w:rsid w:val="003D2136"/>
    <w:rsid w:val="003D244D"/>
    <w:rsid w:val="003D2F0C"/>
    <w:rsid w:val="003D374F"/>
    <w:rsid w:val="003D3A58"/>
    <w:rsid w:val="003D3EE9"/>
    <w:rsid w:val="003D41BF"/>
    <w:rsid w:val="003D4C97"/>
    <w:rsid w:val="003D4EA4"/>
    <w:rsid w:val="003D50BE"/>
    <w:rsid w:val="003D52FD"/>
    <w:rsid w:val="003D65AF"/>
    <w:rsid w:val="003D7821"/>
    <w:rsid w:val="003D78E4"/>
    <w:rsid w:val="003D797A"/>
    <w:rsid w:val="003E0E75"/>
    <w:rsid w:val="003E0ED4"/>
    <w:rsid w:val="003E1200"/>
    <w:rsid w:val="003E1482"/>
    <w:rsid w:val="003E1716"/>
    <w:rsid w:val="003E1D8F"/>
    <w:rsid w:val="003E21CD"/>
    <w:rsid w:val="003E2D10"/>
    <w:rsid w:val="003E38A0"/>
    <w:rsid w:val="003E3C50"/>
    <w:rsid w:val="003E3D69"/>
    <w:rsid w:val="003E456A"/>
    <w:rsid w:val="003E538D"/>
    <w:rsid w:val="003E59CD"/>
    <w:rsid w:val="003E5ADE"/>
    <w:rsid w:val="003E5CF1"/>
    <w:rsid w:val="003E65D8"/>
    <w:rsid w:val="003E6922"/>
    <w:rsid w:val="003E6DC7"/>
    <w:rsid w:val="003E718D"/>
    <w:rsid w:val="003E7681"/>
    <w:rsid w:val="003F0123"/>
    <w:rsid w:val="003F04EE"/>
    <w:rsid w:val="003F0809"/>
    <w:rsid w:val="003F1525"/>
    <w:rsid w:val="003F1C75"/>
    <w:rsid w:val="003F1CB1"/>
    <w:rsid w:val="003F1FAF"/>
    <w:rsid w:val="003F2324"/>
    <w:rsid w:val="003F2958"/>
    <w:rsid w:val="003F2F04"/>
    <w:rsid w:val="003F32D3"/>
    <w:rsid w:val="003F3952"/>
    <w:rsid w:val="003F3AF2"/>
    <w:rsid w:val="003F461B"/>
    <w:rsid w:val="003F506E"/>
    <w:rsid w:val="003F51A9"/>
    <w:rsid w:val="003F54AA"/>
    <w:rsid w:val="003F57C0"/>
    <w:rsid w:val="003F5860"/>
    <w:rsid w:val="003F5C32"/>
    <w:rsid w:val="003F5DA3"/>
    <w:rsid w:val="003F6032"/>
    <w:rsid w:val="003F611C"/>
    <w:rsid w:val="003F65F2"/>
    <w:rsid w:val="003F6AC8"/>
    <w:rsid w:val="003F6DAC"/>
    <w:rsid w:val="003F755C"/>
    <w:rsid w:val="003F775D"/>
    <w:rsid w:val="003F7A76"/>
    <w:rsid w:val="0040021C"/>
    <w:rsid w:val="00400574"/>
    <w:rsid w:val="0040078A"/>
    <w:rsid w:val="00400FC6"/>
    <w:rsid w:val="004012CC"/>
    <w:rsid w:val="00401535"/>
    <w:rsid w:val="00401AAC"/>
    <w:rsid w:val="00401C1A"/>
    <w:rsid w:val="00401FC9"/>
    <w:rsid w:val="00402939"/>
    <w:rsid w:val="00403343"/>
    <w:rsid w:val="004034C1"/>
    <w:rsid w:val="0040365C"/>
    <w:rsid w:val="0040371F"/>
    <w:rsid w:val="00403845"/>
    <w:rsid w:val="00403AE4"/>
    <w:rsid w:val="00403EFF"/>
    <w:rsid w:val="00403FD8"/>
    <w:rsid w:val="00404456"/>
    <w:rsid w:val="004047A2"/>
    <w:rsid w:val="0040496C"/>
    <w:rsid w:val="00405281"/>
    <w:rsid w:val="00405E36"/>
    <w:rsid w:val="00405F4F"/>
    <w:rsid w:val="00406007"/>
    <w:rsid w:val="004067D8"/>
    <w:rsid w:val="004069DF"/>
    <w:rsid w:val="00406EA2"/>
    <w:rsid w:val="00406F01"/>
    <w:rsid w:val="00406FB0"/>
    <w:rsid w:val="00407BC4"/>
    <w:rsid w:val="00410010"/>
    <w:rsid w:val="0041046D"/>
    <w:rsid w:val="004109E5"/>
    <w:rsid w:val="00410D57"/>
    <w:rsid w:val="00410E50"/>
    <w:rsid w:val="00410FCB"/>
    <w:rsid w:val="004110E3"/>
    <w:rsid w:val="004113D1"/>
    <w:rsid w:val="004117CE"/>
    <w:rsid w:val="00411B36"/>
    <w:rsid w:val="00411C44"/>
    <w:rsid w:val="004121D7"/>
    <w:rsid w:val="00412B0D"/>
    <w:rsid w:val="00412F80"/>
    <w:rsid w:val="00413690"/>
    <w:rsid w:val="00413E13"/>
    <w:rsid w:val="00413ED7"/>
    <w:rsid w:val="0041407B"/>
    <w:rsid w:val="00414CCC"/>
    <w:rsid w:val="004150A3"/>
    <w:rsid w:val="00415280"/>
    <w:rsid w:val="00415546"/>
    <w:rsid w:val="00415A3F"/>
    <w:rsid w:val="004163AF"/>
    <w:rsid w:val="00416D50"/>
    <w:rsid w:val="00417772"/>
    <w:rsid w:val="00417799"/>
    <w:rsid w:val="00420184"/>
    <w:rsid w:val="004204B8"/>
    <w:rsid w:val="00420BE3"/>
    <w:rsid w:val="00420CA1"/>
    <w:rsid w:val="00420E05"/>
    <w:rsid w:val="00420E16"/>
    <w:rsid w:val="00420E59"/>
    <w:rsid w:val="00420E6A"/>
    <w:rsid w:val="004211D9"/>
    <w:rsid w:val="00422002"/>
    <w:rsid w:val="00422107"/>
    <w:rsid w:val="004227C3"/>
    <w:rsid w:val="00422A23"/>
    <w:rsid w:val="00423FD9"/>
    <w:rsid w:val="00424DD2"/>
    <w:rsid w:val="004254CA"/>
    <w:rsid w:val="0042593E"/>
    <w:rsid w:val="00425D8C"/>
    <w:rsid w:val="00426FA9"/>
    <w:rsid w:val="004302C0"/>
    <w:rsid w:val="00430718"/>
    <w:rsid w:val="004316F1"/>
    <w:rsid w:val="00431B70"/>
    <w:rsid w:val="00432292"/>
    <w:rsid w:val="00432BC1"/>
    <w:rsid w:val="00433CA9"/>
    <w:rsid w:val="004341D3"/>
    <w:rsid w:val="004347D4"/>
    <w:rsid w:val="00434CD7"/>
    <w:rsid w:val="0043521D"/>
    <w:rsid w:val="00435310"/>
    <w:rsid w:val="0043560B"/>
    <w:rsid w:val="004357AF"/>
    <w:rsid w:val="004357CC"/>
    <w:rsid w:val="004360D2"/>
    <w:rsid w:val="00436228"/>
    <w:rsid w:val="00436CE4"/>
    <w:rsid w:val="004372C9"/>
    <w:rsid w:val="004377E5"/>
    <w:rsid w:val="00437C34"/>
    <w:rsid w:val="004400FC"/>
    <w:rsid w:val="00440C0A"/>
    <w:rsid w:val="00440E2C"/>
    <w:rsid w:val="004411E5"/>
    <w:rsid w:val="0044121D"/>
    <w:rsid w:val="00441D3B"/>
    <w:rsid w:val="00442024"/>
    <w:rsid w:val="0044254C"/>
    <w:rsid w:val="0044260E"/>
    <w:rsid w:val="0044268A"/>
    <w:rsid w:val="004427B0"/>
    <w:rsid w:val="00442AD0"/>
    <w:rsid w:val="00443F6A"/>
    <w:rsid w:val="004440B8"/>
    <w:rsid w:val="004444D0"/>
    <w:rsid w:val="00444D98"/>
    <w:rsid w:val="00444E9F"/>
    <w:rsid w:val="0044557B"/>
    <w:rsid w:val="004457ED"/>
    <w:rsid w:val="00446AB7"/>
    <w:rsid w:val="00446CF5"/>
    <w:rsid w:val="00446E3D"/>
    <w:rsid w:val="00446EF9"/>
    <w:rsid w:val="0044739D"/>
    <w:rsid w:val="0045039E"/>
    <w:rsid w:val="00450689"/>
    <w:rsid w:val="00450A17"/>
    <w:rsid w:val="00450A6C"/>
    <w:rsid w:val="00450DA9"/>
    <w:rsid w:val="0045124C"/>
    <w:rsid w:val="0045126C"/>
    <w:rsid w:val="004512FE"/>
    <w:rsid w:val="0045170D"/>
    <w:rsid w:val="00451F0F"/>
    <w:rsid w:val="0045227E"/>
    <w:rsid w:val="00452315"/>
    <w:rsid w:val="00452466"/>
    <w:rsid w:val="00452BC0"/>
    <w:rsid w:val="00453322"/>
    <w:rsid w:val="00454AEC"/>
    <w:rsid w:val="00455110"/>
    <w:rsid w:val="00455306"/>
    <w:rsid w:val="00455641"/>
    <w:rsid w:val="004559EF"/>
    <w:rsid w:val="00455A19"/>
    <w:rsid w:val="004567A3"/>
    <w:rsid w:val="00456FDC"/>
    <w:rsid w:val="00457337"/>
    <w:rsid w:val="00457D0D"/>
    <w:rsid w:val="004602D6"/>
    <w:rsid w:val="004603A4"/>
    <w:rsid w:val="0046050C"/>
    <w:rsid w:val="00460BFD"/>
    <w:rsid w:val="00460BFE"/>
    <w:rsid w:val="00460E92"/>
    <w:rsid w:val="0046133E"/>
    <w:rsid w:val="00461894"/>
    <w:rsid w:val="004620EC"/>
    <w:rsid w:val="004622F6"/>
    <w:rsid w:val="0046239F"/>
    <w:rsid w:val="00462DC3"/>
    <w:rsid w:val="004630B0"/>
    <w:rsid w:val="00464BF9"/>
    <w:rsid w:val="00465084"/>
    <w:rsid w:val="004650AF"/>
    <w:rsid w:val="004658D0"/>
    <w:rsid w:val="00466047"/>
    <w:rsid w:val="00466321"/>
    <w:rsid w:val="004670E7"/>
    <w:rsid w:val="004672AF"/>
    <w:rsid w:val="00467317"/>
    <w:rsid w:val="004674BB"/>
    <w:rsid w:val="00467989"/>
    <w:rsid w:val="00470000"/>
    <w:rsid w:val="00470454"/>
    <w:rsid w:val="004704A7"/>
    <w:rsid w:val="00470BB6"/>
    <w:rsid w:val="004717C4"/>
    <w:rsid w:val="00471A1E"/>
    <w:rsid w:val="00471E3D"/>
    <w:rsid w:val="004727B0"/>
    <w:rsid w:val="00472A3D"/>
    <w:rsid w:val="00472D66"/>
    <w:rsid w:val="004731E2"/>
    <w:rsid w:val="004761B6"/>
    <w:rsid w:val="00476711"/>
    <w:rsid w:val="00476FB8"/>
    <w:rsid w:val="004773D4"/>
    <w:rsid w:val="004774EA"/>
    <w:rsid w:val="00477712"/>
    <w:rsid w:val="00480247"/>
    <w:rsid w:val="0048081D"/>
    <w:rsid w:val="00480984"/>
    <w:rsid w:val="00480D15"/>
    <w:rsid w:val="00480E02"/>
    <w:rsid w:val="00480ECA"/>
    <w:rsid w:val="00480ED4"/>
    <w:rsid w:val="0048117E"/>
    <w:rsid w:val="00481FC9"/>
    <w:rsid w:val="004825BE"/>
    <w:rsid w:val="004825DD"/>
    <w:rsid w:val="00482746"/>
    <w:rsid w:val="00482B20"/>
    <w:rsid w:val="00482D56"/>
    <w:rsid w:val="00482FB8"/>
    <w:rsid w:val="00482FF9"/>
    <w:rsid w:val="0048335F"/>
    <w:rsid w:val="004835E3"/>
    <w:rsid w:val="00483647"/>
    <w:rsid w:val="004844AA"/>
    <w:rsid w:val="00484734"/>
    <w:rsid w:val="00484F21"/>
    <w:rsid w:val="004855F6"/>
    <w:rsid w:val="0048570F"/>
    <w:rsid w:val="00485713"/>
    <w:rsid w:val="004858B4"/>
    <w:rsid w:val="00485A87"/>
    <w:rsid w:val="00485D91"/>
    <w:rsid w:val="00486C10"/>
    <w:rsid w:val="00486F0C"/>
    <w:rsid w:val="00486FEB"/>
    <w:rsid w:val="0048768E"/>
    <w:rsid w:val="0048779B"/>
    <w:rsid w:val="00487A52"/>
    <w:rsid w:val="00487D53"/>
    <w:rsid w:val="00487DBB"/>
    <w:rsid w:val="00490417"/>
    <w:rsid w:val="00490455"/>
    <w:rsid w:val="004905BB"/>
    <w:rsid w:val="004908D7"/>
    <w:rsid w:val="00491048"/>
    <w:rsid w:val="0049149D"/>
    <w:rsid w:val="004915CE"/>
    <w:rsid w:val="00491CC1"/>
    <w:rsid w:val="00491CF5"/>
    <w:rsid w:val="00492228"/>
    <w:rsid w:val="00492553"/>
    <w:rsid w:val="00493581"/>
    <w:rsid w:val="00493583"/>
    <w:rsid w:val="00493595"/>
    <w:rsid w:val="00493AFE"/>
    <w:rsid w:val="00493DBB"/>
    <w:rsid w:val="00493EBC"/>
    <w:rsid w:val="0049452E"/>
    <w:rsid w:val="00494670"/>
    <w:rsid w:val="00494815"/>
    <w:rsid w:val="00494CC2"/>
    <w:rsid w:val="004962EB"/>
    <w:rsid w:val="00496587"/>
    <w:rsid w:val="0049681C"/>
    <w:rsid w:val="0049755C"/>
    <w:rsid w:val="00497E30"/>
    <w:rsid w:val="004A08FE"/>
    <w:rsid w:val="004A0EB4"/>
    <w:rsid w:val="004A178E"/>
    <w:rsid w:val="004A1C44"/>
    <w:rsid w:val="004A236F"/>
    <w:rsid w:val="004A2E32"/>
    <w:rsid w:val="004A33F4"/>
    <w:rsid w:val="004A34D8"/>
    <w:rsid w:val="004A3823"/>
    <w:rsid w:val="004A43C3"/>
    <w:rsid w:val="004A51F9"/>
    <w:rsid w:val="004A54FC"/>
    <w:rsid w:val="004A59BB"/>
    <w:rsid w:val="004A5C4A"/>
    <w:rsid w:val="004A5E98"/>
    <w:rsid w:val="004A67DB"/>
    <w:rsid w:val="004A6D00"/>
    <w:rsid w:val="004A6E47"/>
    <w:rsid w:val="004B05B1"/>
    <w:rsid w:val="004B0AED"/>
    <w:rsid w:val="004B1330"/>
    <w:rsid w:val="004B18EA"/>
    <w:rsid w:val="004B2B33"/>
    <w:rsid w:val="004B2F11"/>
    <w:rsid w:val="004B2F4B"/>
    <w:rsid w:val="004B3559"/>
    <w:rsid w:val="004B36D7"/>
    <w:rsid w:val="004B3B9A"/>
    <w:rsid w:val="004B3F33"/>
    <w:rsid w:val="004B3F62"/>
    <w:rsid w:val="004B4217"/>
    <w:rsid w:val="004B43A3"/>
    <w:rsid w:val="004B45C9"/>
    <w:rsid w:val="004B4861"/>
    <w:rsid w:val="004B4C49"/>
    <w:rsid w:val="004B58A5"/>
    <w:rsid w:val="004B5CB9"/>
    <w:rsid w:val="004B5E4D"/>
    <w:rsid w:val="004B5F9B"/>
    <w:rsid w:val="004B63D9"/>
    <w:rsid w:val="004B63FA"/>
    <w:rsid w:val="004B646C"/>
    <w:rsid w:val="004B6C32"/>
    <w:rsid w:val="004C0571"/>
    <w:rsid w:val="004C06CF"/>
    <w:rsid w:val="004C0882"/>
    <w:rsid w:val="004C0C43"/>
    <w:rsid w:val="004C10F6"/>
    <w:rsid w:val="004C13B6"/>
    <w:rsid w:val="004C1823"/>
    <w:rsid w:val="004C1B36"/>
    <w:rsid w:val="004C2601"/>
    <w:rsid w:val="004C329B"/>
    <w:rsid w:val="004C3497"/>
    <w:rsid w:val="004C3517"/>
    <w:rsid w:val="004C3769"/>
    <w:rsid w:val="004C3B67"/>
    <w:rsid w:val="004C5324"/>
    <w:rsid w:val="004C5501"/>
    <w:rsid w:val="004C55BE"/>
    <w:rsid w:val="004C5AE4"/>
    <w:rsid w:val="004C5C83"/>
    <w:rsid w:val="004C5EF0"/>
    <w:rsid w:val="004C5FBE"/>
    <w:rsid w:val="004C63F4"/>
    <w:rsid w:val="004C68DD"/>
    <w:rsid w:val="004C7230"/>
    <w:rsid w:val="004C7D0E"/>
    <w:rsid w:val="004C7DA6"/>
    <w:rsid w:val="004D0B8B"/>
    <w:rsid w:val="004D0F06"/>
    <w:rsid w:val="004D10C9"/>
    <w:rsid w:val="004D1B0D"/>
    <w:rsid w:val="004D1BAF"/>
    <w:rsid w:val="004D1C22"/>
    <w:rsid w:val="004D1E8B"/>
    <w:rsid w:val="004D2286"/>
    <w:rsid w:val="004D2829"/>
    <w:rsid w:val="004D31A3"/>
    <w:rsid w:val="004D3321"/>
    <w:rsid w:val="004D3967"/>
    <w:rsid w:val="004D425D"/>
    <w:rsid w:val="004D4348"/>
    <w:rsid w:val="004D4376"/>
    <w:rsid w:val="004D5064"/>
    <w:rsid w:val="004D5CD1"/>
    <w:rsid w:val="004D6B0B"/>
    <w:rsid w:val="004D6E27"/>
    <w:rsid w:val="004D74B5"/>
    <w:rsid w:val="004D7C46"/>
    <w:rsid w:val="004D7ED7"/>
    <w:rsid w:val="004E02EB"/>
    <w:rsid w:val="004E0386"/>
    <w:rsid w:val="004E03E5"/>
    <w:rsid w:val="004E06AE"/>
    <w:rsid w:val="004E098D"/>
    <w:rsid w:val="004E0DF5"/>
    <w:rsid w:val="004E20AD"/>
    <w:rsid w:val="004E23C4"/>
    <w:rsid w:val="004E245E"/>
    <w:rsid w:val="004E2FBB"/>
    <w:rsid w:val="004E3034"/>
    <w:rsid w:val="004E3151"/>
    <w:rsid w:val="004E3374"/>
    <w:rsid w:val="004E3FFC"/>
    <w:rsid w:val="004E40F2"/>
    <w:rsid w:val="004E50E5"/>
    <w:rsid w:val="004E5432"/>
    <w:rsid w:val="004E544A"/>
    <w:rsid w:val="004E54E3"/>
    <w:rsid w:val="004E581F"/>
    <w:rsid w:val="004E59E5"/>
    <w:rsid w:val="004E5B30"/>
    <w:rsid w:val="004E5BE8"/>
    <w:rsid w:val="004E607A"/>
    <w:rsid w:val="004E6095"/>
    <w:rsid w:val="004E765E"/>
    <w:rsid w:val="004E771C"/>
    <w:rsid w:val="004E7CCC"/>
    <w:rsid w:val="004E7E39"/>
    <w:rsid w:val="004E7F19"/>
    <w:rsid w:val="004E7FA1"/>
    <w:rsid w:val="004F0779"/>
    <w:rsid w:val="004F08BD"/>
    <w:rsid w:val="004F1230"/>
    <w:rsid w:val="004F173F"/>
    <w:rsid w:val="004F174C"/>
    <w:rsid w:val="004F177C"/>
    <w:rsid w:val="004F2372"/>
    <w:rsid w:val="004F2DCE"/>
    <w:rsid w:val="004F36EB"/>
    <w:rsid w:val="004F38A9"/>
    <w:rsid w:val="004F432B"/>
    <w:rsid w:val="004F458A"/>
    <w:rsid w:val="004F5C5B"/>
    <w:rsid w:val="004F6560"/>
    <w:rsid w:val="004F69FD"/>
    <w:rsid w:val="004F6D5D"/>
    <w:rsid w:val="004F728B"/>
    <w:rsid w:val="004F76AD"/>
    <w:rsid w:val="004F7F0F"/>
    <w:rsid w:val="004F7F16"/>
    <w:rsid w:val="004F7F2C"/>
    <w:rsid w:val="00500101"/>
    <w:rsid w:val="00500420"/>
    <w:rsid w:val="00500CE9"/>
    <w:rsid w:val="005014E4"/>
    <w:rsid w:val="005014EA"/>
    <w:rsid w:val="00501678"/>
    <w:rsid w:val="0050169C"/>
    <w:rsid w:val="005016A5"/>
    <w:rsid w:val="00501824"/>
    <w:rsid w:val="00502F7A"/>
    <w:rsid w:val="00502FDF"/>
    <w:rsid w:val="00503278"/>
    <w:rsid w:val="00503355"/>
    <w:rsid w:val="005039CB"/>
    <w:rsid w:val="00504C83"/>
    <w:rsid w:val="00505027"/>
    <w:rsid w:val="0050558F"/>
    <w:rsid w:val="00505663"/>
    <w:rsid w:val="00505706"/>
    <w:rsid w:val="0050571A"/>
    <w:rsid w:val="005057E0"/>
    <w:rsid w:val="00505BA8"/>
    <w:rsid w:val="00505F11"/>
    <w:rsid w:val="00506073"/>
    <w:rsid w:val="005060C0"/>
    <w:rsid w:val="00506286"/>
    <w:rsid w:val="005062AB"/>
    <w:rsid w:val="00506437"/>
    <w:rsid w:val="00506D8D"/>
    <w:rsid w:val="00506E11"/>
    <w:rsid w:val="00510110"/>
    <w:rsid w:val="00510447"/>
    <w:rsid w:val="00510813"/>
    <w:rsid w:val="0051112F"/>
    <w:rsid w:val="0051127C"/>
    <w:rsid w:val="00511339"/>
    <w:rsid w:val="005113F9"/>
    <w:rsid w:val="00511836"/>
    <w:rsid w:val="00511949"/>
    <w:rsid w:val="00511B45"/>
    <w:rsid w:val="00511B48"/>
    <w:rsid w:val="00511BC4"/>
    <w:rsid w:val="00511DE0"/>
    <w:rsid w:val="005123EB"/>
    <w:rsid w:val="005126EA"/>
    <w:rsid w:val="0051332B"/>
    <w:rsid w:val="00514279"/>
    <w:rsid w:val="0051477C"/>
    <w:rsid w:val="005151D8"/>
    <w:rsid w:val="00515BB5"/>
    <w:rsid w:val="00515F14"/>
    <w:rsid w:val="00515F47"/>
    <w:rsid w:val="0051623A"/>
    <w:rsid w:val="005166BC"/>
    <w:rsid w:val="00516800"/>
    <w:rsid w:val="00516EFE"/>
    <w:rsid w:val="00516FB4"/>
    <w:rsid w:val="0051731E"/>
    <w:rsid w:val="00517F02"/>
    <w:rsid w:val="00521723"/>
    <w:rsid w:val="00521874"/>
    <w:rsid w:val="00521DF7"/>
    <w:rsid w:val="005223ED"/>
    <w:rsid w:val="00522CDC"/>
    <w:rsid w:val="005230D4"/>
    <w:rsid w:val="005230D9"/>
    <w:rsid w:val="00524515"/>
    <w:rsid w:val="00524547"/>
    <w:rsid w:val="00524597"/>
    <w:rsid w:val="005247FF"/>
    <w:rsid w:val="005250D4"/>
    <w:rsid w:val="0052513E"/>
    <w:rsid w:val="00525782"/>
    <w:rsid w:val="005258A2"/>
    <w:rsid w:val="00525D38"/>
    <w:rsid w:val="00525FB9"/>
    <w:rsid w:val="00526C38"/>
    <w:rsid w:val="00526F0B"/>
    <w:rsid w:val="0052732A"/>
    <w:rsid w:val="00527A9C"/>
    <w:rsid w:val="00527C5E"/>
    <w:rsid w:val="00527E56"/>
    <w:rsid w:val="00530C45"/>
    <w:rsid w:val="00530F7C"/>
    <w:rsid w:val="0053132F"/>
    <w:rsid w:val="00531761"/>
    <w:rsid w:val="005319B2"/>
    <w:rsid w:val="0053249C"/>
    <w:rsid w:val="005329A3"/>
    <w:rsid w:val="00532CD4"/>
    <w:rsid w:val="0053384A"/>
    <w:rsid w:val="00533AAE"/>
    <w:rsid w:val="00533B25"/>
    <w:rsid w:val="00533E70"/>
    <w:rsid w:val="0053422A"/>
    <w:rsid w:val="00534567"/>
    <w:rsid w:val="00534888"/>
    <w:rsid w:val="00534A6F"/>
    <w:rsid w:val="00534F43"/>
    <w:rsid w:val="005351AF"/>
    <w:rsid w:val="005355CC"/>
    <w:rsid w:val="00535932"/>
    <w:rsid w:val="00535A84"/>
    <w:rsid w:val="00535C45"/>
    <w:rsid w:val="00536889"/>
    <w:rsid w:val="005369B9"/>
    <w:rsid w:val="00536EFE"/>
    <w:rsid w:val="005378B3"/>
    <w:rsid w:val="0053796F"/>
    <w:rsid w:val="00537D0A"/>
    <w:rsid w:val="00537D1A"/>
    <w:rsid w:val="0054137A"/>
    <w:rsid w:val="0054219E"/>
    <w:rsid w:val="0054284F"/>
    <w:rsid w:val="00542928"/>
    <w:rsid w:val="00542BF1"/>
    <w:rsid w:val="00542E07"/>
    <w:rsid w:val="00542E84"/>
    <w:rsid w:val="00543388"/>
    <w:rsid w:val="005433C3"/>
    <w:rsid w:val="0054349B"/>
    <w:rsid w:val="0054367B"/>
    <w:rsid w:val="00543DE0"/>
    <w:rsid w:val="0054401B"/>
    <w:rsid w:val="0054402B"/>
    <w:rsid w:val="00545CF5"/>
    <w:rsid w:val="00546179"/>
    <w:rsid w:val="0054685C"/>
    <w:rsid w:val="00546AEC"/>
    <w:rsid w:val="00546D0A"/>
    <w:rsid w:val="00546E04"/>
    <w:rsid w:val="00546E12"/>
    <w:rsid w:val="00546FBF"/>
    <w:rsid w:val="00547578"/>
    <w:rsid w:val="005500AC"/>
    <w:rsid w:val="00550B91"/>
    <w:rsid w:val="00550BD4"/>
    <w:rsid w:val="00551606"/>
    <w:rsid w:val="0055225F"/>
    <w:rsid w:val="00553ABD"/>
    <w:rsid w:val="00553C05"/>
    <w:rsid w:val="0055424F"/>
    <w:rsid w:val="00554A7B"/>
    <w:rsid w:val="00554CF3"/>
    <w:rsid w:val="005552EF"/>
    <w:rsid w:val="0055572C"/>
    <w:rsid w:val="005562D5"/>
    <w:rsid w:val="00556746"/>
    <w:rsid w:val="005573F3"/>
    <w:rsid w:val="0055752F"/>
    <w:rsid w:val="005578CF"/>
    <w:rsid w:val="00557962"/>
    <w:rsid w:val="00557967"/>
    <w:rsid w:val="00560162"/>
    <w:rsid w:val="00560271"/>
    <w:rsid w:val="0056064F"/>
    <w:rsid w:val="00560790"/>
    <w:rsid w:val="005608E3"/>
    <w:rsid w:val="00561B84"/>
    <w:rsid w:val="00561C3D"/>
    <w:rsid w:val="00562F14"/>
    <w:rsid w:val="0056329A"/>
    <w:rsid w:val="0056364E"/>
    <w:rsid w:val="0056378B"/>
    <w:rsid w:val="005637F8"/>
    <w:rsid w:val="00564776"/>
    <w:rsid w:val="00564827"/>
    <w:rsid w:val="00564AE3"/>
    <w:rsid w:val="00564FBF"/>
    <w:rsid w:val="005652A4"/>
    <w:rsid w:val="00565333"/>
    <w:rsid w:val="0056625F"/>
    <w:rsid w:val="00566417"/>
    <w:rsid w:val="00566AAD"/>
    <w:rsid w:val="005670AA"/>
    <w:rsid w:val="00567754"/>
    <w:rsid w:val="00567952"/>
    <w:rsid w:val="005701E7"/>
    <w:rsid w:val="00571334"/>
    <w:rsid w:val="0057155C"/>
    <w:rsid w:val="00571D98"/>
    <w:rsid w:val="00571E1F"/>
    <w:rsid w:val="005720AE"/>
    <w:rsid w:val="00572788"/>
    <w:rsid w:val="00573062"/>
    <w:rsid w:val="00573A87"/>
    <w:rsid w:val="0057403E"/>
    <w:rsid w:val="00574B87"/>
    <w:rsid w:val="00575568"/>
    <w:rsid w:val="005756F1"/>
    <w:rsid w:val="0057588A"/>
    <w:rsid w:val="00575A91"/>
    <w:rsid w:val="00575ACA"/>
    <w:rsid w:val="0057690D"/>
    <w:rsid w:val="0057698E"/>
    <w:rsid w:val="00576A3B"/>
    <w:rsid w:val="00576E0F"/>
    <w:rsid w:val="00577A51"/>
    <w:rsid w:val="0058030D"/>
    <w:rsid w:val="00580478"/>
    <w:rsid w:val="005805E1"/>
    <w:rsid w:val="00580B21"/>
    <w:rsid w:val="0058195C"/>
    <w:rsid w:val="00582045"/>
    <w:rsid w:val="00582074"/>
    <w:rsid w:val="005820CC"/>
    <w:rsid w:val="005822A6"/>
    <w:rsid w:val="005826AC"/>
    <w:rsid w:val="00582BF0"/>
    <w:rsid w:val="00582ECD"/>
    <w:rsid w:val="00583110"/>
    <w:rsid w:val="00583787"/>
    <w:rsid w:val="0058434C"/>
    <w:rsid w:val="005856CD"/>
    <w:rsid w:val="0058595E"/>
    <w:rsid w:val="00585B34"/>
    <w:rsid w:val="00585BE4"/>
    <w:rsid w:val="00585CE2"/>
    <w:rsid w:val="00585FE3"/>
    <w:rsid w:val="00586272"/>
    <w:rsid w:val="0058688B"/>
    <w:rsid w:val="00586944"/>
    <w:rsid w:val="00586E40"/>
    <w:rsid w:val="0058733E"/>
    <w:rsid w:val="00590AE3"/>
    <w:rsid w:val="00591059"/>
    <w:rsid w:val="0059134B"/>
    <w:rsid w:val="005916B2"/>
    <w:rsid w:val="005918F1"/>
    <w:rsid w:val="00591977"/>
    <w:rsid w:val="005923FD"/>
    <w:rsid w:val="00593658"/>
    <w:rsid w:val="00593740"/>
    <w:rsid w:val="00593AF8"/>
    <w:rsid w:val="00594974"/>
    <w:rsid w:val="00594A4E"/>
    <w:rsid w:val="00594ED6"/>
    <w:rsid w:val="005954DC"/>
    <w:rsid w:val="00595800"/>
    <w:rsid w:val="00596479"/>
    <w:rsid w:val="00597163"/>
    <w:rsid w:val="005979DF"/>
    <w:rsid w:val="005A0226"/>
    <w:rsid w:val="005A06B7"/>
    <w:rsid w:val="005A0B8F"/>
    <w:rsid w:val="005A0C0E"/>
    <w:rsid w:val="005A1426"/>
    <w:rsid w:val="005A1759"/>
    <w:rsid w:val="005A1B0E"/>
    <w:rsid w:val="005A1BD3"/>
    <w:rsid w:val="005A219E"/>
    <w:rsid w:val="005A24E1"/>
    <w:rsid w:val="005A2658"/>
    <w:rsid w:val="005A2933"/>
    <w:rsid w:val="005A2988"/>
    <w:rsid w:val="005A32B0"/>
    <w:rsid w:val="005A333D"/>
    <w:rsid w:val="005A337E"/>
    <w:rsid w:val="005A38B0"/>
    <w:rsid w:val="005A3A12"/>
    <w:rsid w:val="005A44DF"/>
    <w:rsid w:val="005A452F"/>
    <w:rsid w:val="005A462A"/>
    <w:rsid w:val="005A4A25"/>
    <w:rsid w:val="005A4F35"/>
    <w:rsid w:val="005A50CC"/>
    <w:rsid w:val="005A587B"/>
    <w:rsid w:val="005A62BC"/>
    <w:rsid w:val="005A6628"/>
    <w:rsid w:val="005A67AC"/>
    <w:rsid w:val="005A6D18"/>
    <w:rsid w:val="005A72C8"/>
    <w:rsid w:val="005B023D"/>
    <w:rsid w:val="005B03A0"/>
    <w:rsid w:val="005B05EC"/>
    <w:rsid w:val="005B0BE5"/>
    <w:rsid w:val="005B0CF0"/>
    <w:rsid w:val="005B0D90"/>
    <w:rsid w:val="005B1240"/>
    <w:rsid w:val="005B17FD"/>
    <w:rsid w:val="005B2647"/>
    <w:rsid w:val="005B40AD"/>
    <w:rsid w:val="005B4EFB"/>
    <w:rsid w:val="005B53BB"/>
    <w:rsid w:val="005B696E"/>
    <w:rsid w:val="005B6DC8"/>
    <w:rsid w:val="005B7264"/>
    <w:rsid w:val="005B7531"/>
    <w:rsid w:val="005B7E90"/>
    <w:rsid w:val="005B7F07"/>
    <w:rsid w:val="005C20F5"/>
    <w:rsid w:val="005C2341"/>
    <w:rsid w:val="005C26DC"/>
    <w:rsid w:val="005C28EF"/>
    <w:rsid w:val="005C296B"/>
    <w:rsid w:val="005C2B2F"/>
    <w:rsid w:val="005C31C1"/>
    <w:rsid w:val="005C39B3"/>
    <w:rsid w:val="005C3E68"/>
    <w:rsid w:val="005C41EC"/>
    <w:rsid w:val="005C4741"/>
    <w:rsid w:val="005C476A"/>
    <w:rsid w:val="005C4E36"/>
    <w:rsid w:val="005C52E2"/>
    <w:rsid w:val="005C6319"/>
    <w:rsid w:val="005C6C04"/>
    <w:rsid w:val="005C6CEF"/>
    <w:rsid w:val="005C7475"/>
    <w:rsid w:val="005C74D2"/>
    <w:rsid w:val="005C78B3"/>
    <w:rsid w:val="005C7B7A"/>
    <w:rsid w:val="005C7C2F"/>
    <w:rsid w:val="005D0369"/>
    <w:rsid w:val="005D118A"/>
    <w:rsid w:val="005D163D"/>
    <w:rsid w:val="005D1B9A"/>
    <w:rsid w:val="005D1D29"/>
    <w:rsid w:val="005D21C5"/>
    <w:rsid w:val="005D2496"/>
    <w:rsid w:val="005D33FD"/>
    <w:rsid w:val="005D3BF3"/>
    <w:rsid w:val="005D4193"/>
    <w:rsid w:val="005D4670"/>
    <w:rsid w:val="005D4B11"/>
    <w:rsid w:val="005D4B55"/>
    <w:rsid w:val="005D53FE"/>
    <w:rsid w:val="005D5493"/>
    <w:rsid w:val="005D5E31"/>
    <w:rsid w:val="005D6C50"/>
    <w:rsid w:val="005D6E26"/>
    <w:rsid w:val="005D7875"/>
    <w:rsid w:val="005D7A0F"/>
    <w:rsid w:val="005D7C63"/>
    <w:rsid w:val="005D7CEB"/>
    <w:rsid w:val="005E0438"/>
    <w:rsid w:val="005E0A75"/>
    <w:rsid w:val="005E15DF"/>
    <w:rsid w:val="005E1791"/>
    <w:rsid w:val="005E2B0A"/>
    <w:rsid w:val="005E2CE6"/>
    <w:rsid w:val="005E2E26"/>
    <w:rsid w:val="005E3784"/>
    <w:rsid w:val="005E37C7"/>
    <w:rsid w:val="005E3B0F"/>
    <w:rsid w:val="005E3D18"/>
    <w:rsid w:val="005E3E13"/>
    <w:rsid w:val="005E3FED"/>
    <w:rsid w:val="005E4881"/>
    <w:rsid w:val="005E4C59"/>
    <w:rsid w:val="005E53F4"/>
    <w:rsid w:val="005E6324"/>
    <w:rsid w:val="005E69DB"/>
    <w:rsid w:val="005E6F29"/>
    <w:rsid w:val="005E7320"/>
    <w:rsid w:val="005E7B7E"/>
    <w:rsid w:val="005E7E72"/>
    <w:rsid w:val="005F0037"/>
    <w:rsid w:val="005F0EE0"/>
    <w:rsid w:val="005F11A5"/>
    <w:rsid w:val="005F11A7"/>
    <w:rsid w:val="005F1BCB"/>
    <w:rsid w:val="005F228B"/>
    <w:rsid w:val="005F2485"/>
    <w:rsid w:val="005F280C"/>
    <w:rsid w:val="005F2823"/>
    <w:rsid w:val="005F2885"/>
    <w:rsid w:val="005F29CD"/>
    <w:rsid w:val="005F2D95"/>
    <w:rsid w:val="005F31E3"/>
    <w:rsid w:val="005F353E"/>
    <w:rsid w:val="005F35D9"/>
    <w:rsid w:val="005F383C"/>
    <w:rsid w:val="005F402F"/>
    <w:rsid w:val="005F49ED"/>
    <w:rsid w:val="005F4DFB"/>
    <w:rsid w:val="005F5D2E"/>
    <w:rsid w:val="005F5DC4"/>
    <w:rsid w:val="005F6C2B"/>
    <w:rsid w:val="005F6CC0"/>
    <w:rsid w:val="005F716B"/>
    <w:rsid w:val="005F7496"/>
    <w:rsid w:val="005F78C2"/>
    <w:rsid w:val="006005A1"/>
    <w:rsid w:val="006015B2"/>
    <w:rsid w:val="0060167D"/>
    <w:rsid w:val="0060318E"/>
    <w:rsid w:val="006034C4"/>
    <w:rsid w:val="0060386B"/>
    <w:rsid w:val="00603E5B"/>
    <w:rsid w:val="00604354"/>
    <w:rsid w:val="006047E3"/>
    <w:rsid w:val="00604BC8"/>
    <w:rsid w:val="00604D54"/>
    <w:rsid w:val="00604DA8"/>
    <w:rsid w:val="00605312"/>
    <w:rsid w:val="0060577B"/>
    <w:rsid w:val="00605ED4"/>
    <w:rsid w:val="00605F1F"/>
    <w:rsid w:val="0060604A"/>
    <w:rsid w:val="006063B4"/>
    <w:rsid w:val="0060645A"/>
    <w:rsid w:val="00606877"/>
    <w:rsid w:val="00606B75"/>
    <w:rsid w:val="00606DD9"/>
    <w:rsid w:val="0060754C"/>
    <w:rsid w:val="00607726"/>
    <w:rsid w:val="00607AD3"/>
    <w:rsid w:val="00607C7C"/>
    <w:rsid w:val="00607F6F"/>
    <w:rsid w:val="006103A9"/>
    <w:rsid w:val="00610B80"/>
    <w:rsid w:val="00611167"/>
    <w:rsid w:val="006120B9"/>
    <w:rsid w:val="00612127"/>
    <w:rsid w:val="00612853"/>
    <w:rsid w:val="00612E6C"/>
    <w:rsid w:val="006138E7"/>
    <w:rsid w:val="0061421A"/>
    <w:rsid w:val="0061444A"/>
    <w:rsid w:val="00615345"/>
    <w:rsid w:val="00615B4C"/>
    <w:rsid w:val="00615B5D"/>
    <w:rsid w:val="00615C2E"/>
    <w:rsid w:val="00616345"/>
    <w:rsid w:val="006174A7"/>
    <w:rsid w:val="006176AE"/>
    <w:rsid w:val="006178E1"/>
    <w:rsid w:val="00617A99"/>
    <w:rsid w:val="00617B68"/>
    <w:rsid w:val="00620522"/>
    <w:rsid w:val="006208EB"/>
    <w:rsid w:val="00620DFC"/>
    <w:rsid w:val="0062146F"/>
    <w:rsid w:val="00621BCE"/>
    <w:rsid w:val="00621C7B"/>
    <w:rsid w:val="00621D1D"/>
    <w:rsid w:val="00621F70"/>
    <w:rsid w:val="006229DE"/>
    <w:rsid w:val="00622BBE"/>
    <w:rsid w:val="00622E73"/>
    <w:rsid w:val="00622FE1"/>
    <w:rsid w:val="006234B0"/>
    <w:rsid w:val="0062421C"/>
    <w:rsid w:val="006242EC"/>
    <w:rsid w:val="0062456F"/>
    <w:rsid w:val="00624F8F"/>
    <w:rsid w:val="0062532B"/>
    <w:rsid w:val="006255EA"/>
    <w:rsid w:val="006255FB"/>
    <w:rsid w:val="0062615F"/>
    <w:rsid w:val="006263CB"/>
    <w:rsid w:val="006266C0"/>
    <w:rsid w:val="006267A7"/>
    <w:rsid w:val="00626DBC"/>
    <w:rsid w:val="00626EA5"/>
    <w:rsid w:val="006270E0"/>
    <w:rsid w:val="0062721A"/>
    <w:rsid w:val="00627520"/>
    <w:rsid w:val="00627A87"/>
    <w:rsid w:val="00627D4B"/>
    <w:rsid w:val="0063070C"/>
    <w:rsid w:val="0063128F"/>
    <w:rsid w:val="00632362"/>
    <w:rsid w:val="00632407"/>
    <w:rsid w:val="00632AB9"/>
    <w:rsid w:val="00632F41"/>
    <w:rsid w:val="00633172"/>
    <w:rsid w:val="00633635"/>
    <w:rsid w:val="00633B73"/>
    <w:rsid w:val="00633FB7"/>
    <w:rsid w:val="00634302"/>
    <w:rsid w:val="006343AF"/>
    <w:rsid w:val="00634418"/>
    <w:rsid w:val="00634FC2"/>
    <w:rsid w:val="0063634A"/>
    <w:rsid w:val="00636368"/>
    <w:rsid w:val="006368BB"/>
    <w:rsid w:val="006377DD"/>
    <w:rsid w:val="006379AD"/>
    <w:rsid w:val="00640298"/>
    <w:rsid w:val="006412A6"/>
    <w:rsid w:val="006413A4"/>
    <w:rsid w:val="006413D0"/>
    <w:rsid w:val="0064250D"/>
    <w:rsid w:val="00643980"/>
    <w:rsid w:val="00643E84"/>
    <w:rsid w:val="00643F54"/>
    <w:rsid w:val="006444B9"/>
    <w:rsid w:val="006452B8"/>
    <w:rsid w:val="006459CE"/>
    <w:rsid w:val="00645D39"/>
    <w:rsid w:val="00645F41"/>
    <w:rsid w:val="00645F46"/>
    <w:rsid w:val="00646575"/>
    <w:rsid w:val="0064674C"/>
    <w:rsid w:val="00646980"/>
    <w:rsid w:val="00646D97"/>
    <w:rsid w:val="00647359"/>
    <w:rsid w:val="00647B97"/>
    <w:rsid w:val="006503D5"/>
    <w:rsid w:val="00650751"/>
    <w:rsid w:val="00650B69"/>
    <w:rsid w:val="006519FE"/>
    <w:rsid w:val="00651A85"/>
    <w:rsid w:val="00652C61"/>
    <w:rsid w:val="00653421"/>
    <w:rsid w:val="006535EB"/>
    <w:rsid w:val="006539FF"/>
    <w:rsid w:val="00653B9A"/>
    <w:rsid w:val="0065405C"/>
    <w:rsid w:val="00654354"/>
    <w:rsid w:val="006550F0"/>
    <w:rsid w:val="0065561A"/>
    <w:rsid w:val="00655762"/>
    <w:rsid w:val="00655984"/>
    <w:rsid w:val="00655CAF"/>
    <w:rsid w:val="0065619D"/>
    <w:rsid w:val="00656607"/>
    <w:rsid w:val="00656AC0"/>
    <w:rsid w:val="00656C68"/>
    <w:rsid w:val="00657495"/>
    <w:rsid w:val="006575C0"/>
    <w:rsid w:val="0066105D"/>
    <w:rsid w:val="006611E7"/>
    <w:rsid w:val="0066151E"/>
    <w:rsid w:val="0066159D"/>
    <w:rsid w:val="006622C2"/>
    <w:rsid w:val="006626C2"/>
    <w:rsid w:val="0066280D"/>
    <w:rsid w:val="00662D00"/>
    <w:rsid w:val="00663016"/>
    <w:rsid w:val="00663444"/>
    <w:rsid w:val="006637EC"/>
    <w:rsid w:val="00663D43"/>
    <w:rsid w:val="00663F58"/>
    <w:rsid w:val="00664329"/>
    <w:rsid w:val="00664A66"/>
    <w:rsid w:val="00664F29"/>
    <w:rsid w:val="00665585"/>
    <w:rsid w:val="00665AB7"/>
    <w:rsid w:val="00665C1A"/>
    <w:rsid w:val="00667A52"/>
    <w:rsid w:val="00667B2C"/>
    <w:rsid w:val="00670068"/>
    <w:rsid w:val="006705FB"/>
    <w:rsid w:val="0067065C"/>
    <w:rsid w:val="00670BBA"/>
    <w:rsid w:val="00670E7D"/>
    <w:rsid w:val="006711BD"/>
    <w:rsid w:val="0067135C"/>
    <w:rsid w:val="00671991"/>
    <w:rsid w:val="00671A46"/>
    <w:rsid w:val="00671CC1"/>
    <w:rsid w:val="006723C4"/>
    <w:rsid w:val="00672612"/>
    <w:rsid w:val="00673315"/>
    <w:rsid w:val="0067457F"/>
    <w:rsid w:val="00674605"/>
    <w:rsid w:val="006748B8"/>
    <w:rsid w:val="00674A2D"/>
    <w:rsid w:val="00674E16"/>
    <w:rsid w:val="00674F4F"/>
    <w:rsid w:val="0067514A"/>
    <w:rsid w:val="00675BE4"/>
    <w:rsid w:val="00675D7A"/>
    <w:rsid w:val="00675D9F"/>
    <w:rsid w:val="00676051"/>
    <w:rsid w:val="0067622C"/>
    <w:rsid w:val="00676743"/>
    <w:rsid w:val="00676767"/>
    <w:rsid w:val="00676CF8"/>
    <w:rsid w:val="006770D1"/>
    <w:rsid w:val="00677186"/>
    <w:rsid w:val="00677B00"/>
    <w:rsid w:val="00677B15"/>
    <w:rsid w:val="00677E2C"/>
    <w:rsid w:val="00677E91"/>
    <w:rsid w:val="00680F22"/>
    <w:rsid w:val="006813AA"/>
    <w:rsid w:val="00681EDB"/>
    <w:rsid w:val="00682580"/>
    <w:rsid w:val="00683500"/>
    <w:rsid w:val="006836C9"/>
    <w:rsid w:val="006838FC"/>
    <w:rsid w:val="00683D28"/>
    <w:rsid w:val="0068449A"/>
    <w:rsid w:val="0068454D"/>
    <w:rsid w:val="00684DE1"/>
    <w:rsid w:val="006850BE"/>
    <w:rsid w:val="006851D6"/>
    <w:rsid w:val="0068535B"/>
    <w:rsid w:val="006857B6"/>
    <w:rsid w:val="0068596C"/>
    <w:rsid w:val="006861E3"/>
    <w:rsid w:val="006861EB"/>
    <w:rsid w:val="0068668E"/>
    <w:rsid w:val="006866A3"/>
    <w:rsid w:val="00687054"/>
    <w:rsid w:val="0068736E"/>
    <w:rsid w:val="0068746D"/>
    <w:rsid w:val="006879D6"/>
    <w:rsid w:val="00690AF1"/>
    <w:rsid w:val="00691C3E"/>
    <w:rsid w:val="00691CC7"/>
    <w:rsid w:val="006922AE"/>
    <w:rsid w:val="00692527"/>
    <w:rsid w:val="0069280A"/>
    <w:rsid w:val="0069290A"/>
    <w:rsid w:val="00692A32"/>
    <w:rsid w:val="00692E7E"/>
    <w:rsid w:val="00693C32"/>
    <w:rsid w:val="0069422C"/>
    <w:rsid w:val="00694B2A"/>
    <w:rsid w:val="00694E95"/>
    <w:rsid w:val="00695196"/>
    <w:rsid w:val="006951E6"/>
    <w:rsid w:val="00695906"/>
    <w:rsid w:val="0069644D"/>
    <w:rsid w:val="00696B0A"/>
    <w:rsid w:val="00696EE2"/>
    <w:rsid w:val="00696F04"/>
    <w:rsid w:val="00696F21"/>
    <w:rsid w:val="00696FE3"/>
    <w:rsid w:val="00697032"/>
    <w:rsid w:val="006971DF"/>
    <w:rsid w:val="006975AC"/>
    <w:rsid w:val="0069760E"/>
    <w:rsid w:val="006A09F0"/>
    <w:rsid w:val="006A12D7"/>
    <w:rsid w:val="006A15FB"/>
    <w:rsid w:val="006A1D88"/>
    <w:rsid w:val="006A1FAD"/>
    <w:rsid w:val="006A22AF"/>
    <w:rsid w:val="006A2A23"/>
    <w:rsid w:val="006A2AC5"/>
    <w:rsid w:val="006A2B6E"/>
    <w:rsid w:val="006A2D3C"/>
    <w:rsid w:val="006A3B3A"/>
    <w:rsid w:val="006A46ED"/>
    <w:rsid w:val="006A47EB"/>
    <w:rsid w:val="006A4CCD"/>
    <w:rsid w:val="006A4D23"/>
    <w:rsid w:val="006A5C6C"/>
    <w:rsid w:val="006A6828"/>
    <w:rsid w:val="006A6DF3"/>
    <w:rsid w:val="006A72BF"/>
    <w:rsid w:val="006A7647"/>
    <w:rsid w:val="006A7B43"/>
    <w:rsid w:val="006B0644"/>
    <w:rsid w:val="006B0AC4"/>
    <w:rsid w:val="006B1243"/>
    <w:rsid w:val="006B137E"/>
    <w:rsid w:val="006B1778"/>
    <w:rsid w:val="006B189D"/>
    <w:rsid w:val="006B194F"/>
    <w:rsid w:val="006B19A8"/>
    <w:rsid w:val="006B1AAF"/>
    <w:rsid w:val="006B1F6B"/>
    <w:rsid w:val="006B2D36"/>
    <w:rsid w:val="006B2DC1"/>
    <w:rsid w:val="006B332A"/>
    <w:rsid w:val="006B33BD"/>
    <w:rsid w:val="006B403E"/>
    <w:rsid w:val="006B411E"/>
    <w:rsid w:val="006B4168"/>
    <w:rsid w:val="006B443C"/>
    <w:rsid w:val="006B4E71"/>
    <w:rsid w:val="006B54A6"/>
    <w:rsid w:val="006B5BCB"/>
    <w:rsid w:val="006B5F21"/>
    <w:rsid w:val="006B65A5"/>
    <w:rsid w:val="006B67C2"/>
    <w:rsid w:val="006B6D4F"/>
    <w:rsid w:val="006B716B"/>
    <w:rsid w:val="006B7197"/>
    <w:rsid w:val="006B7AB0"/>
    <w:rsid w:val="006B7B54"/>
    <w:rsid w:val="006C0B29"/>
    <w:rsid w:val="006C1521"/>
    <w:rsid w:val="006C1685"/>
    <w:rsid w:val="006C1D93"/>
    <w:rsid w:val="006C1E78"/>
    <w:rsid w:val="006C22DF"/>
    <w:rsid w:val="006C238E"/>
    <w:rsid w:val="006C2553"/>
    <w:rsid w:val="006C2F74"/>
    <w:rsid w:val="006C39EF"/>
    <w:rsid w:val="006C3F75"/>
    <w:rsid w:val="006C41DE"/>
    <w:rsid w:val="006C4442"/>
    <w:rsid w:val="006C47BE"/>
    <w:rsid w:val="006C4B5F"/>
    <w:rsid w:val="006C525D"/>
    <w:rsid w:val="006C650F"/>
    <w:rsid w:val="006C66CE"/>
    <w:rsid w:val="006C6842"/>
    <w:rsid w:val="006C6922"/>
    <w:rsid w:val="006C6EDD"/>
    <w:rsid w:val="006C6FDE"/>
    <w:rsid w:val="006D0395"/>
    <w:rsid w:val="006D04FC"/>
    <w:rsid w:val="006D0F3C"/>
    <w:rsid w:val="006D1120"/>
    <w:rsid w:val="006D170E"/>
    <w:rsid w:val="006D1F5B"/>
    <w:rsid w:val="006D2F88"/>
    <w:rsid w:val="006D348A"/>
    <w:rsid w:val="006D39AB"/>
    <w:rsid w:val="006D41AA"/>
    <w:rsid w:val="006D4C5B"/>
    <w:rsid w:val="006D4DA0"/>
    <w:rsid w:val="006D583F"/>
    <w:rsid w:val="006D65D7"/>
    <w:rsid w:val="006D65DA"/>
    <w:rsid w:val="006D6704"/>
    <w:rsid w:val="006D6C5E"/>
    <w:rsid w:val="006D6F2D"/>
    <w:rsid w:val="006D73CB"/>
    <w:rsid w:val="006D7A24"/>
    <w:rsid w:val="006D7EDE"/>
    <w:rsid w:val="006D7FA6"/>
    <w:rsid w:val="006E0161"/>
    <w:rsid w:val="006E06AF"/>
    <w:rsid w:val="006E1427"/>
    <w:rsid w:val="006E1486"/>
    <w:rsid w:val="006E1978"/>
    <w:rsid w:val="006E270E"/>
    <w:rsid w:val="006E285C"/>
    <w:rsid w:val="006E2A6B"/>
    <w:rsid w:val="006E2A6C"/>
    <w:rsid w:val="006E2F12"/>
    <w:rsid w:val="006E2F3F"/>
    <w:rsid w:val="006E3490"/>
    <w:rsid w:val="006E3CD4"/>
    <w:rsid w:val="006E3D4C"/>
    <w:rsid w:val="006E4238"/>
    <w:rsid w:val="006E4AD3"/>
    <w:rsid w:val="006E4D7D"/>
    <w:rsid w:val="006E53D1"/>
    <w:rsid w:val="006E5B75"/>
    <w:rsid w:val="006E5F1B"/>
    <w:rsid w:val="006E5FEE"/>
    <w:rsid w:val="006E68B8"/>
    <w:rsid w:val="006E6BAD"/>
    <w:rsid w:val="006F0215"/>
    <w:rsid w:val="006F0B21"/>
    <w:rsid w:val="006F0E3F"/>
    <w:rsid w:val="006F1789"/>
    <w:rsid w:val="006F3C9B"/>
    <w:rsid w:val="006F403C"/>
    <w:rsid w:val="006F583A"/>
    <w:rsid w:val="006F58BF"/>
    <w:rsid w:val="006F58D5"/>
    <w:rsid w:val="006F5A98"/>
    <w:rsid w:val="006F5BD5"/>
    <w:rsid w:val="006F6295"/>
    <w:rsid w:val="006F6498"/>
    <w:rsid w:val="006F65D8"/>
    <w:rsid w:val="006F6C12"/>
    <w:rsid w:val="006F6C47"/>
    <w:rsid w:val="006F6F21"/>
    <w:rsid w:val="006F6F97"/>
    <w:rsid w:val="006F7274"/>
    <w:rsid w:val="006F791D"/>
    <w:rsid w:val="006F7AAA"/>
    <w:rsid w:val="006F7C24"/>
    <w:rsid w:val="007003C7"/>
    <w:rsid w:val="007003CD"/>
    <w:rsid w:val="0070078D"/>
    <w:rsid w:val="007014D3"/>
    <w:rsid w:val="007019CA"/>
    <w:rsid w:val="007027ED"/>
    <w:rsid w:val="0070386B"/>
    <w:rsid w:val="00703ACF"/>
    <w:rsid w:val="00704B74"/>
    <w:rsid w:val="00705178"/>
    <w:rsid w:val="007059CE"/>
    <w:rsid w:val="00705FD0"/>
    <w:rsid w:val="00706630"/>
    <w:rsid w:val="00706AFA"/>
    <w:rsid w:val="00706C5D"/>
    <w:rsid w:val="0070778F"/>
    <w:rsid w:val="00707CB8"/>
    <w:rsid w:val="00707CB9"/>
    <w:rsid w:val="00710033"/>
    <w:rsid w:val="0071049D"/>
    <w:rsid w:val="00710736"/>
    <w:rsid w:val="00710CDF"/>
    <w:rsid w:val="00710F5F"/>
    <w:rsid w:val="007118E6"/>
    <w:rsid w:val="00711D3F"/>
    <w:rsid w:val="00711F16"/>
    <w:rsid w:val="0071240E"/>
    <w:rsid w:val="00712458"/>
    <w:rsid w:val="00712B91"/>
    <w:rsid w:val="00712C51"/>
    <w:rsid w:val="00714560"/>
    <w:rsid w:val="0071494F"/>
    <w:rsid w:val="007152AC"/>
    <w:rsid w:val="007153EB"/>
    <w:rsid w:val="0071562C"/>
    <w:rsid w:val="007157EB"/>
    <w:rsid w:val="00715AC2"/>
    <w:rsid w:val="00716383"/>
    <w:rsid w:val="007164B7"/>
    <w:rsid w:val="007164E0"/>
    <w:rsid w:val="00716748"/>
    <w:rsid w:val="00716755"/>
    <w:rsid w:val="00716CF0"/>
    <w:rsid w:val="00720016"/>
    <w:rsid w:val="00720E54"/>
    <w:rsid w:val="00721176"/>
    <w:rsid w:val="00721187"/>
    <w:rsid w:val="00721381"/>
    <w:rsid w:val="00721A4B"/>
    <w:rsid w:val="00721A65"/>
    <w:rsid w:val="00721CD6"/>
    <w:rsid w:val="007224F8"/>
    <w:rsid w:val="007225C9"/>
    <w:rsid w:val="00722659"/>
    <w:rsid w:val="00722C0B"/>
    <w:rsid w:val="007235C5"/>
    <w:rsid w:val="0072397F"/>
    <w:rsid w:val="00723A44"/>
    <w:rsid w:val="00723BB1"/>
    <w:rsid w:val="00723DAB"/>
    <w:rsid w:val="00724983"/>
    <w:rsid w:val="00724F2B"/>
    <w:rsid w:val="0072514D"/>
    <w:rsid w:val="00725174"/>
    <w:rsid w:val="0072580D"/>
    <w:rsid w:val="00725E06"/>
    <w:rsid w:val="00725E81"/>
    <w:rsid w:val="007268A1"/>
    <w:rsid w:val="00726BEA"/>
    <w:rsid w:val="00726E67"/>
    <w:rsid w:val="00726FA2"/>
    <w:rsid w:val="00727E2C"/>
    <w:rsid w:val="00731173"/>
    <w:rsid w:val="00731212"/>
    <w:rsid w:val="00731E10"/>
    <w:rsid w:val="0073202C"/>
    <w:rsid w:val="0073301A"/>
    <w:rsid w:val="00733179"/>
    <w:rsid w:val="00733BCF"/>
    <w:rsid w:val="007347AD"/>
    <w:rsid w:val="007347BB"/>
    <w:rsid w:val="00734805"/>
    <w:rsid w:val="00734C8F"/>
    <w:rsid w:val="00734DF6"/>
    <w:rsid w:val="00734F25"/>
    <w:rsid w:val="00734F68"/>
    <w:rsid w:val="007358D3"/>
    <w:rsid w:val="00735BAB"/>
    <w:rsid w:val="00735CD7"/>
    <w:rsid w:val="00736EB7"/>
    <w:rsid w:val="00737659"/>
    <w:rsid w:val="00737E31"/>
    <w:rsid w:val="00740170"/>
    <w:rsid w:val="007406AE"/>
    <w:rsid w:val="00740B4F"/>
    <w:rsid w:val="00740B62"/>
    <w:rsid w:val="00740C12"/>
    <w:rsid w:val="0074134A"/>
    <w:rsid w:val="007413BB"/>
    <w:rsid w:val="007417D8"/>
    <w:rsid w:val="00741C99"/>
    <w:rsid w:val="0074275C"/>
    <w:rsid w:val="007439AA"/>
    <w:rsid w:val="00744881"/>
    <w:rsid w:val="00744EB2"/>
    <w:rsid w:val="00745825"/>
    <w:rsid w:val="00746053"/>
    <w:rsid w:val="0074663B"/>
    <w:rsid w:val="007467EC"/>
    <w:rsid w:val="00746A0C"/>
    <w:rsid w:val="00747256"/>
    <w:rsid w:val="0074766D"/>
    <w:rsid w:val="00747FD6"/>
    <w:rsid w:val="007508DB"/>
    <w:rsid w:val="00750B02"/>
    <w:rsid w:val="00750CD7"/>
    <w:rsid w:val="00751ACD"/>
    <w:rsid w:val="00751AEC"/>
    <w:rsid w:val="00752226"/>
    <w:rsid w:val="00752958"/>
    <w:rsid w:val="00752AAD"/>
    <w:rsid w:val="00753569"/>
    <w:rsid w:val="007537A2"/>
    <w:rsid w:val="00753AAD"/>
    <w:rsid w:val="00753C36"/>
    <w:rsid w:val="00753D1E"/>
    <w:rsid w:val="00754034"/>
    <w:rsid w:val="00754587"/>
    <w:rsid w:val="00754BF1"/>
    <w:rsid w:val="0075550A"/>
    <w:rsid w:val="00755A26"/>
    <w:rsid w:val="00755A30"/>
    <w:rsid w:val="00755E1C"/>
    <w:rsid w:val="00756310"/>
    <w:rsid w:val="00756556"/>
    <w:rsid w:val="00756AB1"/>
    <w:rsid w:val="00756EBB"/>
    <w:rsid w:val="00757BEE"/>
    <w:rsid w:val="00760092"/>
    <w:rsid w:val="00760838"/>
    <w:rsid w:val="00761000"/>
    <w:rsid w:val="007612A8"/>
    <w:rsid w:val="0076132B"/>
    <w:rsid w:val="007623AE"/>
    <w:rsid w:val="007638DF"/>
    <w:rsid w:val="00763916"/>
    <w:rsid w:val="00763BB7"/>
    <w:rsid w:val="007652DD"/>
    <w:rsid w:val="00765414"/>
    <w:rsid w:val="0076555A"/>
    <w:rsid w:val="00765586"/>
    <w:rsid w:val="00765AFB"/>
    <w:rsid w:val="00766BE0"/>
    <w:rsid w:val="00767058"/>
    <w:rsid w:val="00767304"/>
    <w:rsid w:val="00767619"/>
    <w:rsid w:val="00767E44"/>
    <w:rsid w:val="00770AAF"/>
    <w:rsid w:val="00770B19"/>
    <w:rsid w:val="00770FCC"/>
    <w:rsid w:val="00771295"/>
    <w:rsid w:val="0077139E"/>
    <w:rsid w:val="00771C19"/>
    <w:rsid w:val="00771E12"/>
    <w:rsid w:val="00772622"/>
    <w:rsid w:val="00772D5E"/>
    <w:rsid w:val="0077314E"/>
    <w:rsid w:val="00773572"/>
    <w:rsid w:val="00773E01"/>
    <w:rsid w:val="00773EE4"/>
    <w:rsid w:val="0077402D"/>
    <w:rsid w:val="00774F1E"/>
    <w:rsid w:val="00774FA0"/>
    <w:rsid w:val="00775006"/>
    <w:rsid w:val="00775129"/>
    <w:rsid w:val="007751F7"/>
    <w:rsid w:val="007752C1"/>
    <w:rsid w:val="00776620"/>
    <w:rsid w:val="00776AF0"/>
    <w:rsid w:val="007772F3"/>
    <w:rsid w:val="007773EC"/>
    <w:rsid w:val="0077742A"/>
    <w:rsid w:val="00777557"/>
    <w:rsid w:val="00777B6D"/>
    <w:rsid w:val="00777FDD"/>
    <w:rsid w:val="007807BF"/>
    <w:rsid w:val="007813CF"/>
    <w:rsid w:val="00781A75"/>
    <w:rsid w:val="00782278"/>
    <w:rsid w:val="0078274C"/>
    <w:rsid w:val="00782822"/>
    <w:rsid w:val="00782BE1"/>
    <w:rsid w:val="00782FF4"/>
    <w:rsid w:val="0078333D"/>
    <w:rsid w:val="00783343"/>
    <w:rsid w:val="00783B1F"/>
    <w:rsid w:val="00783F80"/>
    <w:rsid w:val="00784095"/>
    <w:rsid w:val="00784419"/>
    <w:rsid w:val="00784855"/>
    <w:rsid w:val="00784F39"/>
    <w:rsid w:val="00785206"/>
    <w:rsid w:val="0078545C"/>
    <w:rsid w:val="0078600D"/>
    <w:rsid w:val="007860F0"/>
    <w:rsid w:val="00786888"/>
    <w:rsid w:val="00787458"/>
    <w:rsid w:val="00787832"/>
    <w:rsid w:val="007905C5"/>
    <w:rsid w:val="007906C4"/>
    <w:rsid w:val="00790877"/>
    <w:rsid w:val="00791169"/>
    <w:rsid w:val="0079150B"/>
    <w:rsid w:val="007920B0"/>
    <w:rsid w:val="0079226A"/>
    <w:rsid w:val="00792296"/>
    <w:rsid w:val="00792664"/>
    <w:rsid w:val="00792709"/>
    <w:rsid w:val="00792BE0"/>
    <w:rsid w:val="00792DE5"/>
    <w:rsid w:val="0079301B"/>
    <w:rsid w:val="007931CD"/>
    <w:rsid w:val="00793D6D"/>
    <w:rsid w:val="00793FF1"/>
    <w:rsid w:val="007940EA"/>
    <w:rsid w:val="00794493"/>
    <w:rsid w:val="00794C60"/>
    <w:rsid w:val="007955E1"/>
    <w:rsid w:val="007963E8"/>
    <w:rsid w:val="007965D8"/>
    <w:rsid w:val="007967E8"/>
    <w:rsid w:val="00796E36"/>
    <w:rsid w:val="00796E50"/>
    <w:rsid w:val="00796F3C"/>
    <w:rsid w:val="007971D6"/>
    <w:rsid w:val="007974F3"/>
    <w:rsid w:val="007976D4"/>
    <w:rsid w:val="00797E4D"/>
    <w:rsid w:val="007A16EE"/>
    <w:rsid w:val="007A1C66"/>
    <w:rsid w:val="007A2155"/>
    <w:rsid w:val="007A2429"/>
    <w:rsid w:val="007A2600"/>
    <w:rsid w:val="007A267E"/>
    <w:rsid w:val="007A27D2"/>
    <w:rsid w:val="007A333A"/>
    <w:rsid w:val="007A33BA"/>
    <w:rsid w:val="007A3C69"/>
    <w:rsid w:val="007A4B8F"/>
    <w:rsid w:val="007A50AF"/>
    <w:rsid w:val="007A525B"/>
    <w:rsid w:val="007A5777"/>
    <w:rsid w:val="007A57A1"/>
    <w:rsid w:val="007A5803"/>
    <w:rsid w:val="007A59C4"/>
    <w:rsid w:val="007A60D9"/>
    <w:rsid w:val="007A62EF"/>
    <w:rsid w:val="007A63F2"/>
    <w:rsid w:val="007A6654"/>
    <w:rsid w:val="007A6D70"/>
    <w:rsid w:val="007A6FB5"/>
    <w:rsid w:val="007A6FE8"/>
    <w:rsid w:val="007A721A"/>
    <w:rsid w:val="007A72C9"/>
    <w:rsid w:val="007A7A84"/>
    <w:rsid w:val="007A7B05"/>
    <w:rsid w:val="007A7B42"/>
    <w:rsid w:val="007A7CCF"/>
    <w:rsid w:val="007B0019"/>
    <w:rsid w:val="007B0166"/>
    <w:rsid w:val="007B0202"/>
    <w:rsid w:val="007B0499"/>
    <w:rsid w:val="007B0520"/>
    <w:rsid w:val="007B0586"/>
    <w:rsid w:val="007B0A5D"/>
    <w:rsid w:val="007B0BE9"/>
    <w:rsid w:val="007B0F34"/>
    <w:rsid w:val="007B112D"/>
    <w:rsid w:val="007B15BC"/>
    <w:rsid w:val="007B1A3C"/>
    <w:rsid w:val="007B2B21"/>
    <w:rsid w:val="007B2FF8"/>
    <w:rsid w:val="007B5469"/>
    <w:rsid w:val="007B5791"/>
    <w:rsid w:val="007B5A73"/>
    <w:rsid w:val="007B5D06"/>
    <w:rsid w:val="007B5D4F"/>
    <w:rsid w:val="007B64B6"/>
    <w:rsid w:val="007B6723"/>
    <w:rsid w:val="007B68CF"/>
    <w:rsid w:val="007B68DE"/>
    <w:rsid w:val="007B70EC"/>
    <w:rsid w:val="007B7A31"/>
    <w:rsid w:val="007B7DD8"/>
    <w:rsid w:val="007C1857"/>
    <w:rsid w:val="007C1BF9"/>
    <w:rsid w:val="007C1C07"/>
    <w:rsid w:val="007C1C97"/>
    <w:rsid w:val="007C1EF2"/>
    <w:rsid w:val="007C257C"/>
    <w:rsid w:val="007C263D"/>
    <w:rsid w:val="007C26D6"/>
    <w:rsid w:val="007C2CA5"/>
    <w:rsid w:val="007C38C7"/>
    <w:rsid w:val="007C4082"/>
    <w:rsid w:val="007C439A"/>
    <w:rsid w:val="007C48AD"/>
    <w:rsid w:val="007C4901"/>
    <w:rsid w:val="007C514F"/>
    <w:rsid w:val="007C5172"/>
    <w:rsid w:val="007C51AD"/>
    <w:rsid w:val="007C5BAA"/>
    <w:rsid w:val="007C68C0"/>
    <w:rsid w:val="007C6934"/>
    <w:rsid w:val="007C6F69"/>
    <w:rsid w:val="007C73A0"/>
    <w:rsid w:val="007C7410"/>
    <w:rsid w:val="007C7E8A"/>
    <w:rsid w:val="007D08D7"/>
    <w:rsid w:val="007D0A97"/>
    <w:rsid w:val="007D0C1C"/>
    <w:rsid w:val="007D0F95"/>
    <w:rsid w:val="007D12FF"/>
    <w:rsid w:val="007D198A"/>
    <w:rsid w:val="007D29D5"/>
    <w:rsid w:val="007D33D2"/>
    <w:rsid w:val="007D3539"/>
    <w:rsid w:val="007D36AF"/>
    <w:rsid w:val="007D467E"/>
    <w:rsid w:val="007D48C7"/>
    <w:rsid w:val="007D48F9"/>
    <w:rsid w:val="007D4951"/>
    <w:rsid w:val="007D4B9F"/>
    <w:rsid w:val="007D6175"/>
    <w:rsid w:val="007D62A6"/>
    <w:rsid w:val="007D676E"/>
    <w:rsid w:val="007D699D"/>
    <w:rsid w:val="007D6B0F"/>
    <w:rsid w:val="007D6B91"/>
    <w:rsid w:val="007D728F"/>
    <w:rsid w:val="007D77E2"/>
    <w:rsid w:val="007D796F"/>
    <w:rsid w:val="007D7991"/>
    <w:rsid w:val="007D7C46"/>
    <w:rsid w:val="007D7ECB"/>
    <w:rsid w:val="007E1158"/>
    <w:rsid w:val="007E1F58"/>
    <w:rsid w:val="007E2179"/>
    <w:rsid w:val="007E2199"/>
    <w:rsid w:val="007E25A1"/>
    <w:rsid w:val="007E2B49"/>
    <w:rsid w:val="007E2E82"/>
    <w:rsid w:val="007E32EF"/>
    <w:rsid w:val="007E3720"/>
    <w:rsid w:val="007E38E7"/>
    <w:rsid w:val="007E3F10"/>
    <w:rsid w:val="007E42B8"/>
    <w:rsid w:val="007E45B5"/>
    <w:rsid w:val="007E4B85"/>
    <w:rsid w:val="007E4BD2"/>
    <w:rsid w:val="007E4ED9"/>
    <w:rsid w:val="007E5053"/>
    <w:rsid w:val="007E51D2"/>
    <w:rsid w:val="007E6238"/>
    <w:rsid w:val="007E708E"/>
    <w:rsid w:val="007E7145"/>
    <w:rsid w:val="007E7C45"/>
    <w:rsid w:val="007F1CB2"/>
    <w:rsid w:val="007F260A"/>
    <w:rsid w:val="007F26F5"/>
    <w:rsid w:val="007F28B6"/>
    <w:rsid w:val="007F2C54"/>
    <w:rsid w:val="007F2CA1"/>
    <w:rsid w:val="007F3770"/>
    <w:rsid w:val="007F3916"/>
    <w:rsid w:val="007F3CE3"/>
    <w:rsid w:val="007F4BFE"/>
    <w:rsid w:val="007F4F20"/>
    <w:rsid w:val="007F5010"/>
    <w:rsid w:val="007F5022"/>
    <w:rsid w:val="007F50B0"/>
    <w:rsid w:val="007F52B5"/>
    <w:rsid w:val="007F52F7"/>
    <w:rsid w:val="007F5D0C"/>
    <w:rsid w:val="007F6150"/>
    <w:rsid w:val="007F62A9"/>
    <w:rsid w:val="007F6AD3"/>
    <w:rsid w:val="007F6D10"/>
    <w:rsid w:val="007F6E9B"/>
    <w:rsid w:val="007F74E2"/>
    <w:rsid w:val="007F791E"/>
    <w:rsid w:val="0080066A"/>
    <w:rsid w:val="008006CC"/>
    <w:rsid w:val="0080084C"/>
    <w:rsid w:val="00800BCD"/>
    <w:rsid w:val="00801179"/>
    <w:rsid w:val="00801329"/>
    <w:rsid w:val="00801433"/>
    <w:rsid w:val="00801961"/>
    <w:rsid w:val="00801BA9"/>
    <w:rsid w:val="008021B9"/>
    <w:rsid w:val="00802479"/>
    <w:rsid w:val="008024FC"/>
    <w:rsid w:val="00802C71"/>
    <w:rsid w:val="00802ED6"/>
    <w:rsid w:val="00802EDE"/>
    <w:rsid w:val="0080349C"/>
    <w:rsid w:val="00803687"/>
    <w:rsid w:val="008038DF"/>
    <w:rsid w:val="00803D75"/>
    <w:rsid w:val="00804032"/>
    <w:rsid w:val="00804671"/>
    <w:rsid w:val="00804743"/>
    <w:rsid w:val="00804878"/>
    <w:rsid w:val="00805372"/>
    <w:rsid w:val="008054F3"/>
    <w:rsid w:val="00805B7B"/>
    <w:rsid w:val="00805FA6"/>
    <w:rsid w:val="00806A6B"/>
    <w:rsid w:val="00806EC9"/>
    <w:rsid w:val="00807248"/>
    <w:rsid w:val="0080740D"/>
    <w:rsid w:val="008109F4"/>
    <w:rsid w:val="00810C6C"/>
    <w:rsid w:val="00810F08"/>
    <w:rsid w:val="008111D0"/>
    <w:rsid w:val="00811B63"/>
    <w:rsid w:val="008121DF"/>
    <w:rsid w:val="00812421"/>
    <w:rsid w:val="008126BF"/>
    <w:rsid w:val="008127CE"/>
    <w:rsid w:val="00812864"/>
    <w:rsid w:val="0081293E"/>
    <w:rsid w:val="00812ED1"/>
    <w:rsid w:val="008130D2"/>
    <w:rsid w:val="008139FB"/>
    <w:rsid w:val="00813A72"/>
    <w:rsid w:val="00813CFD"/>
    <w:rsid w:val="008147A4"/>
    <w:rsid w:val="00814FFB"/>
    <w:rsid w:val="00815031"/>
    <w:rsid w:val="00815219"/>
    <w:rsid w:val="00815738"/>
    <w:rsid w:val="00815A6F"/>
    <w:rsid w:val="00816C2A"/>
    <w:rsid w:val="008173C1"/>
    <w:rsid w:val="008174FD"/>
    <w:rsid w:val="0081787B"/>
    <w:rsid w:val="0081797A"/>
    <w:rsid w:val="00817F05"/>
    <w:rsid w:val="00817F46"/>
    <w:rsid w:val="00820568"/>
    <w:rsid w:val="00820B75"/>
    <w:rsid w:val="00820FB3"/>
    <w:rsid w:val="00821918"/>
    <w:rsid w:val="008222D4"/>
    <w:rsid w:val="00822393"/>
    <w:rsid w:val="008228F4"/>
    <w:rsid w:val="008247A9"/>
    <w:rsid w:val="008248F9"/>
    <w:rsid w:val="0082544D"/>
    <w:rsid w:val="008259C4"/>
    <w:rsid w:val="00826816"/>
    <w:rsid w:val="00826BE1"/>
    <w:rsid w:val="0082729D"/>
    <w:rsid w:val="008276E3"/>
    <w:rsid w:val="00827790"/>
    <w:rsid w:val="00827D93"/>
    <w:rsid w:val="00827E55"/>
    <w:rsid w:val="00830EF7"/>
    <w:rsid w:val="0083119B"/>
    <w:rsid w:val="008316DA"/>
    <w:rsid w:val="008319A5"/>
    <w:rsid w:val="00831A80"/>
    <w:rsid w:val="00832945"/>
    <w:rsid w:val="00832C88"/>
    <w:rsid w:val="008331D8"/>
    <w:rsid w:val="008332C8"/>
    <w:rsid w:val="00833596"/>
    <w:rsid w:val="008336DF"/>
    <w:rsid w:val="00833743"/>
    <w:rsid w:val="0083385B"/>
    <w:rsid w:val="00833B4A"/>
    <w:rsid w:val="00833E64"/>
    <w:rsid w:val="008340A4"/>
    <w:rsid w:val="00834604"/>
    <w:rsid w:val="008358F6"/>
    <w:rsid w:val="00836799"/>
    <w:rsid w:val="00837028"/>
    <w:rsid w:val="00837057"/>
    <w:rsid w:val="00837131"/>
    <w:rsid w:val="008372B6"/>
    <w:rsid w:val="008401DD"/>
    <w:rsid w:val="00840276"/>
    <w:rsid w:val="0084062B"/>
    <w:rsid w:val="00840987"/>
    <w:rsid w:val="00841092"/>
    <w:rsid w:val="00841B44"/>
    <w:rsid w:val="00841C44"/>
    <w:rsid w:val="00841DF6"/>
    <w:rsid w:val="00842946"/>
    <w:rsid w:val="00842A57"/>
    <w:rsid w:val="0084324B"/>
    <w:rsid w:val="00843831"/>
    <w:rsid w:val="008440EB"/>
    <w:rsid w:val="0084495E"/>
    <w:rsid w:val="00844C0C"/>
    <w:rsid w:val="00844D8F"/>
    <w:rsid w:val="00845531"/>
    <w:rsid w:val="00845683"/>
    <w:rsid w:val="00845BA9"/>
    <w:rsid w:val="00845BC2"/>
    <w:rsid w:val="00845C4A"/>
    <w:rsid w:val="00845F57"/>
    <w:rsid w:val="0084612B"/>
    <w:rsid w:val="00846628"/>
    <w:rsid w:val="008468D8"/>
    <w:rsid w:val="00847F8E"/>
    <w:rsid w:val="008500C3"/>
    <w:rsid w:val="0085090F"/>
    <w:rsid w:val="008510AF"/>
    <w:rsid w:val="00851184"/>
    <w:rsid w:val="0085155F"/>
    <w:rsid w:val="00851A9F"/>
    <w:rsid w:val="008521E0"/>
    <w:rsid w:val="008525B0"/>
    <w:rsid w:val="0085313E"/>
    <w:rsid w:val="0085484D"/>
    <w:rsid w:val="00855502"/>
    <w:rsid w:val="00855AED"/>
    <w:rsid w:val="008563FC"/>
    <w:rsid w:val="0085690A"/>
    <w:rsid w:val="00856CB4"/>
    <w:rsid w:val="0085729D"/>
    <w:rsid w:val="008572EC"/>
    <w:rsid w:val="00857957"/>
    <w:rsid w:val="00860090"/>
    <w:rsid w:val="00860A32"/>
    <w:rsid w:val="00860F3D"/>
    <w:rsid w:val="00861169"/>
    <w:rsid w:val="00861428"/>
    <w:rsid w:val="008614E9"/>
    <w:rsid w:val="00861688"/>
    <w:rsid w:val="00861FC7"/>
    <w:rsid w:val="0086251F"/>
    <w:rsid w:val="008626BB"/>
    <w:rsid w:val="00862758"/>
    <w:rsid w:val="0086299B"/>
    <w:rsid w:val="00862A34"/>
    <w:rsid w:val="00862F10"/>
    <w:rsid w:val="008630B5"/>
    <w:rsid w:val="008634AA"/>
    <w:rsid w:val="00863621"/>
    <w:rsid w:val="00864341"/>
    <w:rsid w:val="00864401"/>
    <w:rsid w:val="008653F5"/>
    <w:rsid w:val="00865722"/>
    <w:rsid w:val="00865826"/>
    <w:rsid w:val="0086586A"/>
    <w:rsid w:val="00865BE2"/>
    <w:rsid w:val="00865E2F"/>
    <w:rsid w:val="00865FF9"/>
    <w:rsid w:val="00866090"/>
    <w:rsid w:val="00866DC9"/>
    <w:rsid w:val="0086763B"/>
    <w:rsid w:val="00867CBC"/>
    <w:rsid w:val="008705CD"/>
    <w:rsid w:val="0087087F"/>
    <w:rsid w:val="00871319"/>
    <w:rsid w:val="008715D2"/>
    <w:rsid w:val="0087167E"/>
    <w:rsid w:val="00871C84"/>
    <w:rsid w:val="00871CB7"/>
    <w:rsid w:val="0087256F"/>
    <w:rsid w:val="008726F9"/>
    <w:rsid w:val="00873575"/>
    <w:rsid w:val="00873761"/>
    <w:rsid w:val="008746F9"/>
    <w:rsid w:val="0087513A"/>
    <w:rsid w:val="008752AE"/>
    <w:rsid w:val="00875516"/>
    <w:rsid w:val="00875EAB"/>
    <w:rsid w:val="008762F8"/>
    <w:rsid w:val="00876938"/>
    <w:rsid w:val="00876C30"/>
    <w:rsid w:val="00877017"/>
    <w:rsid w:val="00877316"/>
    <w:rsid w:val="008773C0"/>
    <w:rsid w:val="00877DD4"/>
    <w:rsid w:val="00877E52"/>
    <w:rsid w:val="00880364"/>
    <w:rsid w:val="008818ED"/>
    <w:rsid w:val="0088190A"/>
    <w:rsid w:val="00881CC2"/>
    <w:rsid w:val="00882BD9"/>
    <w:rsid w:val="008832F5"/>
    <w:rsid w:val="00883BC1"/>
    <w:rsid w:val="00884024"/>
    <w:rsid w:val="008847CD"/>
    <w:rsid w:val="00884901"/>
    <w:rsid w:val="00884DC2"/>
    <w:rsid w:val="00884E1F"/>
    <w:rsid w:val="00885472"/>
    <w:rsid w:val="00885E6E"/>
    <w:rsid w:val="00886079"/>
    <w:rsid w:val="00886719"/>
    <w:rsid w:val="00886876"/>
    <w:rsid w:val="00886C4C"/>
    <w:rsid w:val="0088711C"/>
    <w:rsid w:val="00887186"/>
    <w:rsid w:val="00887C68"/>
    <w:rsid w:val="00890C0B"/>
    <w:rsid w:val="00891716"/>
    <w:rsid w:val="0089179D"/>
    <w:rsid w:val="0089227B"/>
    <w:rsid w:val="008924A7"/>
    <w:rsid w:val="00892676"/>
    <w:rsid w:val="00892E52"/>
    <w:rsid w:val="00892ECF"/>
    <w:rsid w:val="00892F06"/>
    <w:rsid w:val="0089300C"/>
    <w:rsid w:val="00893CA3"/>
    <w:rsid w:val="00893DA3"/>
    <w:rsid w:val="00894094"/>
    <w:rsid w:val="00894133"/>
    <w:rsid w:val="008941A8"/>
    <w:rsid w:val="00894285"/>
    <w:rsid w:val="00894726"/>
    <w:rsid w:val="00894960"/>
    <w:rsid w:val="0089613F"/>
    <w:rsid w:val="008962EB"/>
    <w:rsid w:val="0089662E"/>
    <w:rsid w:val="00896B81"/>
    <w:rsid w:val="00896E2A"/>
    <w:rsid w:val="00897174"/>
    <w:rsid w:val="00897FBD"/>
    <w:rsid w:val="008A046A"/>
    <w:rsid w:val="008A1253"/>
    <w:rsid w:val="008A178E"/>
    <w:rsid w:val="008A19FF"/>
    <w:rsid w:val="008A1B3D"/>
    <w:rsid w:val="008A2254"/>
    <w:rsid w:val="008A2307"/>
    <w:rsid w:val="008A237E"/>
    <w:rsid w:val="008A2A38"/>
    <w:rsid w:val="008A3388"/>
    <w:rsid w:val="008A33D3"/>
    <w:rsid w:val="008A37FA"/>
    <w:rsid w:val="008A40AE"/>
    <w:rsid w:val="008A417D"/>
    <w:rsid w:val="008A419F"/>
    <w:rsid w:val="008A45B9"/>
    <w:rsid w:val="008A4821"/>
    <w:rsid w:val="008A4994"/>
    <w:rsid w:val="008A4BC0"/>
    <w:rsid w:val="008A4BD5"/>
    <w:rsid w:val="008A4CEA"/>
    <w:rsid w:val="008A4E05"/>
    <w:rsid w:val="008A4E19"/>
    <w:rsid w:val="008A53BB"/>
    <w:rsid w:val="008A5928"/>
    <w:rsid w:val="008A5C42"/>
    <w:rsid w:val="008A5C75"/>
    <w:rsid w:val="008A67C5"/>
    <w:rsid w:val="008A6B5A"/>
    <w:rsid w:val="008A6FDA"/>
    <w:rsid w:val="008A7884"/>
    <w:rsid w:val="008A7887"/>
    <w:rsid w:val="008B046A"/>
    <w:rsid w:val="008B05A4"/>
    <w:rsid w:val="008B1494"/>
    <w:rsid w:val="008B1885"/>
    <w:rsid w:val="008B197F"/>
    <w:rsid w:val="008B1EFB"/>
    <w:rsid w:val="008B22E1"/>
    <w:rsid w:val="008B3C2A"/>
    <w:rsid w:val="008B3C78"/>
    <w:rsid w:val="008B410C"/>
    <w:rsid w:val="008B419D"/>
    <w:rsid w:val="008B46B1"/>
    <w:rsid w:val="008B4AE9"/>
    <w:rsid w:val="008B4B27"/>
    <w:rsid w:val="008B4F45"/>
    <w:rsid w:val="008B5037"/>
    <w:rsid w:val="008B57FD"/>
    <w:rsid w:val="008B5D12"/>
    <w:rsid w:val="008B5D67"/>
    <w:rsid w:val="008B6CDA"/>
    <w:rsid w:val="008B72E7"/>
    <w:rsid w:val="008B754E"/>
    <w:rsid w:val="008B7C43"/>
    <w:rsid w:val="008C055C"/>
    <w:rsid w:val="008C0F6D"/>
    <w:rsid w:val="008C1021"/>
    <w:rsid w:val="008C1239"/>
    <w:rsid w:val="008C1574"/>
    <w:rsid w:val="008C1629"/>
    <w:rsid w:val="008C29FE"/>
    <w:rsid w:val="008C2AD5"/>
    <w:rsid w:val="008C2B8C"/>
    <w:rsid w:val="008C30AD"/>
    <w:rsid w:val="008C3100"/>
    <w:rsid w:val="008C3683"/>
    <w:rsid w:val="008C3880"/>
    <w:rsid w:val="008C3920"/>
    <w:rsid w:val="008C43C0"/>
    <w:rsid w:val="008C47D0"/>
    <w:rsid w:val="008C4FC5"/>
    <w:rsid w:val="008C4FC8"/>
    <w:rsid w:val="008C5647"/>
    <w:rsid w:val="008C5FA1"/>
    <w:rsid w:val="008C6D00"/>
    <w:rsid w:val="008C71BE"/>
    <w:rsid w:val="008C72DE"/>
    <w:rsid w:val="008C769D"/>
    <w:rsid w:val="008C7937"/>
    <w:rsid w:val="008C7F31"/>
    <w:rsid w:val="008D068E"/>
    <w:rsid w:val="008D0D0E"/>
    <w:rsid w:val="008D0F7A"/>
    <w:rsid w:val="008D1D8F"/>
    <w:rsid w:val="008D2034"/>
    <w:rsid w:val="008D2716"/>
    <w:rsid w:val="008D30E5"/>
    <w:rsid w:val="008D3E17"/>
    <w:rsid w:val="008D3F0B"/>
    <w:rsid w:val="008D4011"/>
    <w:rsid w:val="008D4579"/>
    <w:rsid w:val="008D4B93"/>
    <w:rsid w:val="008D55D7"/>
    <w:rsid w:val="008D6269"/>
    <w:rsid w:val="008D63BE"/>
    <w:rsid w:val="008D6522"/>
    <w:rsid w:val="008D670E"/>
    <w:rsid w:val="008D679F"/>
    <w:rsid w:val="008D68AA"/>
    <w:rsid w:val="008D6C68"/>
    <w:rsid w:val="008D703B"/>
    <w:rsid w:val="008D7C39"/>
    <w:rsid w:val="008E0004"/>
    <w:rsid w:val="008E047D"/>
    <w:rsid w:val="008E056A"/>
    <w:rsid w:val="008E0AB3"/>
    <w:rsid w:val="008E0CFF"/>
    <w:rsid w:val="008E27C9"/>
    <w:rsid w:val="008E2D16"/>
    <w:rsid w:val="008E31FB"/>
    <w:rsid w:val="008E32FE"/>
    <w:rsid w:val="008E33B4"/>
    <w:rsid w:val="008E3C2B"/>
    <w:rsid w:val="008E400F"/>
    <w:rsid w:val="008E45F0"/>
    <w:rsid w:val="008E4661"/>
    <w:rsid w:val="008E4C63"/>
    <w:rsid w:val="008E5114"/>
    <w:rsid w:val="008E52F8"/>
    <w:rsid w:val="008E54FE"/>
    <w:rsid w:val="008E56C9"/>
    <w:rsid w:val="008E5B91"/>
    <w:rsid w:val="008E5D6B"/>
    <w:rsid w:val="008E62C2"/>
    <w:rsid w:val="008E689B"/>
    <w:rsid w:val="008E6AC8"/>
    <w:rsid w:val="008E7152"/>
    <w:rsid w:val="008E76F0"/>
    <w:rsid w:val="008F03B4"/>
    <w:rsid w:val="008F090C"/>
    <w:rsid w:val="008F15FE"/>
    <w:rsid w:val="008F2A94"/>
    <w:rsid w:val="008F2D7B"/>
    <w:rsid w:val="008F32F8"/>
    <w:rsid w:val="008F3484"/>
    <w:rsid w:val="008F3677"/>
    <w:rsid w:val="008F36A6"/>
    <w:rsid w:val="008F3C6A"/>
    <w:rsid w:val="008F3CFF"/>
    <w:rsid w:val="008F3DE6"/>
    <w:rsid w:val="008F3E92"/>
    <w:rsid w:val="008F4009"/>
    <w:rsid w:val="008F45FD"/>
    <w:rsid w:val="008F4910"/>
    <w:rsid w:val="008F5187"/>
    <w:rsid w:val="008F571C"/>
    <w:rsid w:val="008F57D5"/>
    <w:rsid w:val="008F5FF9"/>
    <w:rsid w:val="008F63DF"/>
    <w:rsid w:val="008F709C"/>
    <w:rsid w:val="008F7122"/>
    <w:rsid w:val="008F7BF5"/>
    <w:rsid w:val="008F7C6B"/>
    <w:rsid w:val="008F7DC2"/>
    <w:rsid w:val="00900004"/>
    <w:rsid w:val="00900301"/>
    <w:rsid w:val="009006A7"/>
    <w:rsid w:val="009009AA"/>
    <w:rsid w:val="00900D49"/>
    <w:rsid w:val="00901162"/>
    <w:rsid w:val="009011DD"/>
    <w:rsid w:val="00901263"/>
    <w:rsid w:val="00901AE2"/>
    <w:rsid w:val="00901CBC"/>
    <w:rsid w:val="00901E45"/>
    <w:rsid w:val="0090250C"/>
    <w:rsid w:val="00902727"/>
    <w:rsid w:val="0090312B"/>
    <w:rsid w:val="009034CC"/>
    <w:rsid w:val="00903CE7"/>
    <w:rsid w:val="00903D7F"/>
    <w:rsid w:val="00903EB2"/>
    <w:rsid w:val="00904961"/>
    <w:rsid w:val="00904B81"/>
    <w:rsid w:val="00905923"/>
    <w:rsid w:val="00905AB3"/>
    <w:rsid w:val="00905FC7"/>
    <w:rsid w:val="00906053"/>
    <w:rsid w:val="00906B61"/>
    <w:rsid w:val="00906D1F"/>
    <w:rsid w:val="00907391"/>
    <w:rsid w:val="0090748D"/>
    <w:rsid w:val="0090765B"/>
    <w:rsid w:val="00907A82"/>
    <w:rsid w:val="00907B4C"/>
    <w:rsid w:val="00907F09"/>
    <w:rsid w:val="00910E04"/>
    <w:rsid w:val="00910F09"/>
    <w:rsid w:val="009117E1"/>
    <w:rsid w:val="009125CF"/>
    <w:rsid w:val="009128D1"/>
    <w:rsid w:val="00912BC9"/>
    <w:rsid w:val="00912E50"/>
    <w:rsid w:val="0091340B"/>
    <w:rsid w:val="00914370"/>
    <w:rsid w:val="00914DA7"/>
    <w:rsid w:val="0091504D"/>
    <w:rsid w:val="009152C0"/>
    <w:rsid w:val="009159F6"/>
    <w:rsid w:val="0091632A"/>
    <w:rsid w:val="0091736D"/>
    <w:rsid w:val="0091752E"/>
    <w:rsid w:val="00917A91"/>
    <w:rsid w:val="00917AC0"/>
    <w:rsid w:val="00917F24"/>
    <w:rsid w:val="0092120D"/>
    <w:rsid w:val="00921567"/>
    <w:rsid w:val="009229CC"/>
    <w:rsid w:val="00922BDE"/>
    <w:rsid w:val="00922EF1"/>
    <w:rsid w:val="0092343C"/>
    <w:rsid w:val="0092346F"/>
    <w:rsid w:val="00923504"/>
    <w:rsid w:val="00923A3B"/>
    <w:rsid w:val="009240F3"/>
    <w:rsid w:val="00924746"/>
    <w:rsid w:val="00924BC2"/>
    <w:rsid w:val="0092577F"/>
    <w:rsid w:val="00925D37"/>
    <w:rsid w:val="00926060"/>
    <w:rsid w:val="0092701C"/>
    <w:rsid w:val="00927042"/>
    <w:rsid w:val="00927B3B"/>
    <w:rsid w:val="00927EC0"/>
    <w:rsid w:val="009305D0"/>
    <w:rsid w:val="009305D7"/>
    <w:rsid w:val="009305EA"/>
    <w:rsid w:val="0093068C"/>
    <w:rsid w:val="00930B85"/>
    <w:rsid w:val="00930B95"/>
    <w:rsid w:val="00931001"/>
    <w:rsid w:val="009310F3"/>
    <w:rsid w:val="00931863"/>
    <w:rsid w:val="00931E13"/>
    <w:rsid w:val="00932244"/>
    <w:rsid w:val="00932A85"/>
    <w:rsid w:val="00933169"/>
    <w:rsid w:val="00933419"/>
    <w:rsid w:val="00933524"/>
    <w:rsid w:val="009335BB"/>
    <w:rsid w:val="0093374F"/>
    <w:rsid w:val="00933BAD"/>
    <w:rsid w:val="0093432B"/>
    <w:rsid w:val="0093436A"/>
    <w:rsid w:val="009357BA"/>
    <w:rsid w:val="00935A0D"/>
    <w:rsid w:val="00935D4A"/>
    <w:rsid w:val="00935D8D"/>
    <w:rsid w:val="00937577"/>
    <w:rsid w:val="009376EE"/>
    <w:rsid w:val="0093774A"/>
    <w:rsid w:val="00937BA0"/>
    <w:rsid w:val="0094014F"/>
    <w:rsid w:val="00940378"/>
    <w:rsid w:val="009403BC"/>
    <w:rsid w:val="009406D8"/>
    <w:rsid w:val="00940A99"/>
    <w:rsid w:val="00940DCA"/>
    <w:rsid w:val="0094125A"/>
    <w:rsid w:val="00941263"/>
    <w:rsid w:val="00941873"/>
    <w:rsid w:val="00941A94"/>
    <w:rsid w:val="00942083"/>
    <w:rsid w:val="009423C3"/>
    <w:rsid w:val="0094242A"/>
    <w:rsid w:val="00942456"/>
    <w:rsid w:val="0094278D"/>
    <w:rsid w:val="00942F64"/>
    <w:rsid w:val="00943EE8"/>
    <w:rsid w:val="009443DF"/>
    <w:rsid w:val="00944586"/>
    <w:rsid w:val="009446CB"/>
    <w:rsid w:val="00944FFB"/>
    <w:rsid w:val="00945187"/>
    <w:rsid w:val="009453F5"/>
    <w:rsid w:val="00945C84"/>
    <w:rsid w:val="00945EBA"/>
    <w:rsid w:val="009465D4"/>
    <w:rsid w:val="0094681F"/>
    <w:rsid w:val="00946E2D"/>
    <w:rsid w:val="00950787"/>
    <w:rsid w:val="00950A4F"/>
    <w:rsid w:val="00950EAF"/>
    <w:rsid w:val="00951376"/>
    <w:rsid w:val="009519BD"/>
    <w:rsid w:val="00952ACA"/>
    <w:rsid w:val="0095308A"/>
    <w:rsid w:val="0095394C"/>
    <w:rsid w:val="00953A11"/>
    <w:rsid w:val="00953BFC"/>
    <w:rsid w:val="00953E1F"/>
    <w:rsid w:val="00954206"/>
    <w:rsid w:val="0095437D"/>
    <w:rsid w:val="0095446C"/>
    <w:rsid w:val="00954FF2"/>
    <w:rsid w:val="00955299"/>
    <w:rsid w:val="00955AEE"/>
    <w:rsid w:val="00956072"/>
    <w:rsid w:val="00956116"/>
    <w:rsid w:val="0095687A"/>
    <w:rsid w:val="00956E1A"/>
    <w:rsid w:val="00956E74"/>
    <w:rsid w:val="00956F14"/>
    <w:rsid w:val="009570B7"/>
    <w:rsid w:val="009579D4"/>
    <w:rsid w:val="00957D34"/>
    <w:rsid w:val="00960586"/>
    <w:rsid w:val="00960C21"/>
    <w:rsid w:val="00960D08"/>
    <w:rsid w:val="00961CEE"/>
    <w:rsid w:val="009620FD"/>
    <w:rsid w:val="0096247A"/>
    <w:rsid w:val="00962845"/>
    <w:rsid w:val="00962CFB"/>
    <w:rsid w:val="00962DF3"/>
    <w:rsid w:val="0096323A"/>
    <w:rsid w:val="00963355"/>
    <w:rsid w:val="00963EF6"/>
    <w:rsid w:val="00964390"/>
    <w:rsid w:val="009646E8"/>
    <w:rsid w:val="00964820"/>
    <w:rsid w:val="009655FD"/>
    <w:rsid w:val="009657D3"/>
    <w:rsid w:val="00965C73"/>
    <w:rsid w:val="00965C76"/>
    <w:rsid w:val="00965F4B"/>
    <w:rsid w:val="00966142"/>
    <w:rsid w:val="00966C05"/>
    <w:rsid w:val="00966D37"/>
    <w:rsid w:val="00967E93"/>
    <w:rsid w:val="00967FEE"/>
    <w:rsid w:val="00970F8A"/>
    <w:rsid w:val="00971497"/>
    <w:rsid w:val="00971AA1"/>
    <w:rsid w:val="00971FB5"/>
    <w:rsid w:val="009725FE"/>
    <w:rsid w:val="00972CEA"/>
    <w:rsid w:val="00972D2A"/>
    <w:rsid w:val="00972DB4"/>
    <w:rsid w:val="00972DF0"/>
    <w:rsid w:val="00972E06"/>
    <w:rsid w:val="00973041"/>
    <w:rsid w:val="00973735"/>
    <w:rsid w:val="00973C08"/>
    <w:rsid w:val="00974230"/>
    <w:rsid w:val="009743AF"/>
    <w:rsid w:val="0097592B"/>
    <w:rsid w:val="00975CC5"/>
    <w:rsid w:val="00975FC7"/>
    <w:rsid w:val="00976036"/>
    <w:rsid w:val="00976328"/>
    <w:rsid w:val="0097668E"/>
    <w:rsid w:val="00976B4E"/>
    <w:rsid w:val="00976E40"/>
    <w:rsid w:val="00977DD1"/>
    <w:rsid w:val="00977E2B"/>
    <w:rsid w:val="00980769"/>
    <w:rsid w:val="0098139C"/>
    <w:rsid w:val="009813C9"/>
    <w:rsid w:val="00981AA4"/>
    <w:rsid w:val="00982089"/>
    <w:rsid w:val="00982366"/>
    <w:rsid w:val="00982437"/>
    <w:rsid w:val="00982D9B"/>
    <w:rsid w:val="009840EB"/>
    <w:rsid w:val="0098439A"/>
    <w:rsid w:val="00984458"/>
    <w:rsid w:val="00984A4F"/>
    <w:rsid w:val="00985283"/>
    <w:rsid w:val="00985429"/>
    <w:rsid w:val="009854A4"/>
    <w:rsid w:val="00985C93"/>
    <w:rsid w:val="0098675C"/>
    <w:rsid w:val="00986F0D"/>
    <w:rsid w:val="00986F66"/>
    <w:rsid w:val="00986FCA"/>
    <w:rsid w:val="00987322"/>
    <w:rsid w:val="00987702"/>
    <w:rsid w:val="009879C3"/>
    <w:rsid w:val="00987CA9"/>
    <w:rsid w:val="0099044A"/>
    <w:rsid w:val="009910D7"/>
    <w:rsid w:val="00992005"/>
    <w:rsid w:val="009928B6"/>
    <w:rsid w:val="00993C7C"/>
    <w:rsid w:val="009940C0"/>
    <w:rsid w:val="009942B1"/>
    <w:rsid w:val="009949AD"/>
    <w:rsid w:val="00994FDA"/>
    <w:rsid w:val="0099528A"/>
    <w:rsid w:val="0099655B"/>
    <w:rsid w:val="0099668D"/>
    <w:rsid w:val="0099777B"/>
    <w:rsid w:val="00997A79"/>
    <w:rsid w:val="00997B3A"/>
    <w:rsid w:val="00997DD3"/>
    <w:rsid w:val="009A02AE"/>
    <w:rsid w:val="009A0917"/>
    <w:rsid w:val="009A0CF4"/>
    <w:rsid w:val="009A0F3B"/>
    <w:rsid w:val="009A1328"/>
    <w:rsid w:val="009A1850"/>
    <w:rsid w:val="009A1E66"/>
    <w:rsid w:val="009A1F95"/>
    <w:rsid w:val="009A2BE3"/>
    <w:rsid w:val="009A2D20"/>
    <w:rsid w:val="009A3466"/>
    <w:rsid w:val="009A36B8"/>
    <w:rsid w:val="009A37B6"/>
    <w:rsid w:val="009A3B34"/>
    <w:rsid w:val="009A3D5C"/>
    <w:rsid w:val="009A411C"/>
    <w:rsid w:val="009A4798"/>
    <w:rsid w:val="009A51EF"/>
    <w:rsid w:val="009A5874"/>
    <w:rsid w:val="009A61FA"/>
    <w:rsid w:val="009A64C1"/>
    <w:rsid w:val="009A656A"/>
    <w:rsid w:val="009A6A5B"/>
    <w:rsid w:val="009A6B02"/>
    <w:rsid w:val="009A72C7"/>
    <w:rsid w:val="009A74DC"/>
    <w:rsid w:val="009B02C5"/>
    <w:rsid w:val="009B02F7"/>
    <w:rsid w:val="009B0897"/>
    <w:rsid w:val="009B0E7A"/>
    <w:rsid w:val="009B11BA"/>
    <w:rsid w:val="009B11F8"/>
    <w:rsid w:val="009B1DD6"/>
    <w:rsid w:val="009B21D0"/>
    <w:rsid w:val="009B25B1"/>
    <w:rsid w:val="009B2BF9"/>
    <w:rsid w:val="009B3269"/>
    <w:rsid w:val="009B3676"/>
    <w:rsid w:val="009B418E"/>
    <w:rsid w:val="009B42CE"/>
    <w:rsid w:val="009B4C94"/>
    <w:rsid w:val="009B57FD"/>
    <w:rsid w:val="009B5878"/>
    <w:rsid w:val="009B5F38"/>
    <w:rsid w:val="009B6E76"/>
    <w:rsid w:val="009B7003"/>
    <w:rsid w:val="009B7B05"/>
    <w:rsid w:val="009B7BCC"/>
    <w:rsid w:val="009B7E5B"/>
    <w:rsid w:val="009C164E"/>
    <w:rsid w:val="009C1D38"/>
    <w:rsid w:val="009C1EEB"/>
    <w:rsid w:val="009C27E0"/>
    <w:rsid w:val="009C2AC8"/>
    <w:rsid w:val="009C32D0"/>
    <w:rsid w:val="009C3627"/>
    <w:rsid w:val="009C36CC"/>
    <w:rsid w:val="009C37EE"/>
    <w:rsid w:val="009C3BD3"/>
    <w:rsid w:val="009C3FFC"/>
    <w:rsid w:val="009C517F"/>
    <w:rsid w:val="009C5C86"/>
    <w:rsid w:val="009C62EB"/>
    <w:rsid w:val="009C67F7"/>
    <w:rsid w:val="009C6E8F"/>
    <w:rsid w:val="009C7432"/>
    <w:rsid w:val="009C7898"/>
    <w:rsid w:val="009C7997"/>
    <w:rsid w:val="009C7C6B"/>
    <w:rsid w:val="009D03C4"/>
    <w:rsid w:val="009D0852"/>
    <w:rsid w:val="009D10A4"/>
    <w:rsid w:val="009D1339"/>
    <w:rsid w:val="009D147E"/>
    <w:rsid w:val="009D17BD"/>
    <w:rsid w:val="009D1969"/>
    <w:rsid w:val="009D1C06"/>
    <w:rsid w:val="009D1FBF"/>
    <w:rsid w:val="009D21B3"/>
    <w:rsid w:val="009D28A8"/>
    <w:rsid w:val="009D3332"/>
    <w:rsid w:val="009D39AE"/>
    <w:rsid w:val="009D3D4B"/>
    <w:rsid w:val="009D45F0"/>
    <w:rsid w:val="009D474C"/>
    <w:rsid w:val="009D4ADC"/>
    <w:rsid w:val="009D51F5"/>
    <w:rsid w:val="009D5417"/>
    <w:rsid w:val="009D5595"/>
    <w:rsid w:val="009D58D1"/>
    <w:rsid w:val="009D5D04"/>
    <w:rsid w:val="009D5FD6"/>
    <w:rsid w:val="009D6067"/>
    <w:rsid w:val="009D6241"/>
    <w:rsid w:val="009D64A0"/>
    <w:rsid w:val="009D64F0"/>
    <w:rsid w:val="009D7789"/>
    <w:rsid w:val="009E06AC"/>
    <w:rsid w:val="009E0828"/>
    <w:rsid w:val="009E0BE6"/>
    <w:rsid w:val="009E189C"/>
    <w:rsid w:val="009E2045"/>
    <w:rsid w:val="009E25E2"/>
    <w:rsid w:val="009E26FA"/>
    <w:rsid w:val="009E2848"/>
    <w:rsid w:val="009E3086"/>
    <w:rsid w:val="009E352D"/>
    <w:rsid w:val="009E36A5"/>
    <w:rsid w:val="009E399C"/>
    <w:rsid w:val="009E3B61"/>
    <w:rsid w:val="009E43C1"/>
    <w:rsid w:val="009E5A95"/>
    <w:rsid w:val="009E5DB2"/>
    <w:rsid w:val="009E60B2"/>
    <w:rsid w:val="009E64B4"/>
    <w:rsid w:val="009E6890"/>
    <w:rsid w:val="009E7E95"/>
    <w:rsid w:val="009F0AF0"/>
    <w:rsid w:val="009F0B0A"/>
    <w:rsid w:val="009F116F"/>
    <w:rsid w:val="009F1957"/>
    <w:rsid w:val="009F1AC6"/>
    <w:rsid w:val="009F1EEC"/>
    <w:rsid w:val="009F24FE"/>
    <w:rsid w:val="009F256F"/>
    <w:rsid w:val="009F2AF1"/>
    <w:rsid w:val="009F2C43"/>
    <w:rsid w:val="009F329E"/>
    <w:rsid w:val="009F3EDE"/>
    <w:rsid w:val="009F4E83"/>
    <w:rsid w:val="009F4FA1"/>
    <w:rsid w:val="009F58AF"/>
    <w:rsid w:val="009F5B9D"/>
    <w:rsid w:val="009F5D2F"/>
    <w:rsid w:val="009F5E3C"/>
    <w:rsid w:val="009F6052"/>
    <w:rsid w:val="009F694E"/>
    <w:rsid w:val="009F6C7D"/>
    <w:rsid w:val="009F71AF"/>
    <w:rsid w:val="009F73DD"/>
    <w:rsid w:val="009F7ED3"/>
    <w:rsid w:val="00A009AF"/>
    <w:rsid w:val="00A00B41"/>
    <w:rsid w:val="00A00EA8"/>
    <w:rsid w:val="00A01989"/>
    <w:rsid w:val="00A01E91"/>
    <w:rsid w:val="00A026D9"/>
    <w:rsid w:val="00A029F7"/>
    <w:rsid w:val="00A03607"/>
    <w:rsid w:val="00A046A7"/>
    <w:rsid w:val="00A046C9"/>
    <w:rsid w:val="00A047FF"/>
    <w:rsid w:val="00A04833"/>
    <w:rsid w:val="00A04FEF"/>
    <w:rsid w:val="00A05F6C"/>
    <w:rsid w:val="00A06207"/>
    <w:rsid w:val="00A06467"/>
    <w:rsid w:val="00A06941"/>
    <w:rsid w:val="00A078FD"/>
    <w:rsid w:val="00A07CDA"/>
    <w:rsid w:val="00A106BA"/>
    <w:rsid w:val="00A10738"/>
    <w:rsid w:val="00A10CC5"/>
    <w:rsid w:val="00A1102C"/>
    <w:rsid w:val="00A11A19"/>
    <w:rsid w:val="00A11D11"/>
    <w:rsid w:val="00A11D15"/>
    <w:rsid w:val="00A11D7F"/>
    <w:rsid w:val="00A11E3A"/>
    <w:rsid w:val="00A11E90"/>
    <w:rsid w:val="00A122CD"/>
    <w:rsid w:val="00A12A32"/>
    <w:rsid w:val="00A12DA8"/>
    <w:rsid w:val="00A13278"/>
    <w:rsid w:val="00A134D3"/>
    <w:rsid w:val="00A13A54"/>
    <w:rsid w:val="00A13B9D"/>
    <w:rsid w:val="00A14248"/>
    <w:rsid w:val="00A14516"/>
    <w:rsid w:val="00A14947"/>
    <w:rsid w:val="00A14D50"/>
    <w:rsid w:val="00A1531C"/>
    <w:rsid w:val="00A1589E"/>
    <w:rsid w:val="00A15C08"/>
    <w:rsid w:val="00A160AB"/>
    <w:rsid w:val="00A16508"/>
    <w:rsid w:val="00A16B61"/>
    <w:rsid w:val="00A17677"/>
    <w:rsid w:val="00A17698"/>
    <w:rsid w:val="00A20012"/>
    <w:rsid w:val="00A20945"/>
    <w:rsid w:val="00A20EB9"/>
    <w:rsid w:val="00A210F6"/>
    <w:rsid w:val="00A21357"/>
    <w:rsid w:val="00A22DA8"/>
    <w:rsid w:val="00A23C1E"/>
    <w:rsid w:val="00A23DC5"/>
    <w:rsid w:val="00A24A47"/>
    <w:rsid w:val="00A24EB5"/>
    <w:rsid w:val="00A250E1"/>
    <w:rsid w:val="00A255FE"/>
    <w:rsid w:val="00A25612"/>
    <w:rsid w:val="00A25A3A"/>
    <w:rsid w:val="00A26DCC"/>
    <w:rsid w:val="00A26E9E"/>
    <w:rsid w:val="00A2715F"/>
    <w:rsid w:val="00A2796B"/>
    <w:rsid w:val="00A27B72"/>
    <w:rsid w:val="00A304FA"/>
    <w:rsid w:val="00A30600"/>
    <w:rsid w:val="00A31C36"/>
    <w:rsid w:val="00A3322D"/>
    <w:rsid w:val="00A33508"/>
    <w:rsid w:val="00A33618"/>
    <w:rsid w:val="00A33FF6"/>
    <w:rsid w:val="00A34028"/>
    <w:rsid w:val="00A34A82"/>
    <w:rsid w:val="00A3546F"/>
    <w:rsid w:val="00A35568"/>
    <w:rsid w:val="00A355AF"/>
    <w:rsid w:val="00A356B0"/>
    <w:rsid w:val="00A36A2C"/>
    <w:rsid w:val="00A37056"/>
    <w:rsid w:val="00A37FAA"/>
    <w:rsid w:val="00A410D8"/>
    <w:rsid w:val="00A41A44"/>
    <w:rsid w:val="00A42606"/>
    <w:rsid w:val="00A430AB"/>
    <w:rsid w:val="00A43276"/>
    <w:rsid w:val="00A4358F"/>
    <w:rsid w:val="00A43901"/>
    <w:rsid w:val="00A44292"/>
    <w:rsid w:val="00A4453F"/>
    <w:rsid w:val="00A44717"/>
    <w:rsid w:val="00A44EF4"/>
    <w:rsid w:val="00A45491"/>
    <w:rsid w:val="00A45CAC"/>
    <w:rsid w:val="00A45D0A"/>
    <w:rsid w:val="00A462C6"/>
    <w:rsid w:val="00A46B5B"/>
    <w:rsid w:val="00A46F67"/>
    <w:rsid w:val="00A47473"/>
    <w:rsid w:val="00A476EF"/>
    <w:rsid w:val="00A47789"/>
    <w:rsid w:val="00A47C50"/>
    <w:rsid w:val="00A507E2"/>
    <w:rsid w:val="00A509F4"/>
    <w:rsid w:val="00A50D9B"/>
    <w:rsid w:val="00A50F1E"/>
    <w:rsid w:val="00A51658"/>
    <w:rsid w:val="00A534A9"/>
    <w:rsid w:val="00A5358B"/>
    <w:rsid w:val="00A535BB"/>
    <w:rsid w:val="00A53904"/>
    <w:rsid w:val="00A53B40"/>
    <w:rsid w:val="00A541BC"/>
    <w:rsid w:val="00A54354"/>
    <w:rsid w:val="00A5485A"/>
    <w:rsid w:val="00A54AA1"/>
    <w:rsid w:val="00A54C2B"/>
    <w:rsid w:val="00A55104"/>
    <w:rsid w:val="00A555F0"/>
    <w:rsid w:val="00A5582E"/>
    <w:rsid w:val="00A55953"/>
    <w:rsid w:val="00A55A75"/>
    <w:rsid w:val="00A55E3D"/>
    <w:rsid w:val="00A5618B"/>
    <w:rsid w:val="00A56334"/>
    <w:rsid w:val="00A56370"/>
    <w:rsid w:val="00A56842"/>
    <w:rsid w:val="00A568FF"/>
    <w:rsid w:val="00A57DD9"/>
    <w:rsid w:val="00A60118"/>
    <w:rsid w:val="00A607D6"/>
    <w:rsid w:val="00A60B2E"/>
    <w:rsid w:val="00A60DFE"/>
    <w:rsid w:val="00A612D2"/>
    <w:rsid w:val="00A61496"/>
    <w:rsid w:val="00A61833"/>
    <w:rsid w:val="00A61910"/>
    <w:rsid w:val="00A62161"/>
    <w:rsid w:val="00A624C6"/>
    <w:rsid w:val="00A6267B"/>
    <w:rsid w:val="00A63113"/>
    <w:rsid w:val="00A633A4"/>
    <w:rsid w:val="00A634BE"/>
    <w:rsid w:val="00A638E3"/>
    <w:rsid w:val="00A63CEC"/>
    <w:rsid w:val="00A63F2D"/>
    <w:rsid w:val="00A6404F"/>
    <w:rsid w:val="00A643A7"/>
    <w:rsid w:val="00A6453A"/>
    <w:rsid w:val="00A648F4"/>
    <w:rsid w:val="00A6536E"/>
    <w:rsid w:val="00A65662"/>
    <w:rsid w:val="00A65A31"/>
    <w:rsid w:val="00A65CE0"/>
    <w:rsid w:val="00A65EE3"/>
    <w:rsid w:val="00A67195"/>
    <w:rsid w:val="00A67942"/>
    <w:rsid w:val="00A700DE"/>
    <w:rsid w:val="00A7031E"/>
    <w:rsid w:val="00A70A8C"/>
    <w:rsid w:val="00A70D07"/>
    <w:rsid w:val="00A7138A"/>
    <w:rsid w:val="00A71B5E"/>
    <w:rsid w:val="00A72053"/>
    <w:rsid w:val="00A7210F"/>
    <w:rsid w:val="00A726F2"/>
    <w:rsid w:val="00A728B1"/>
    <w:rsid w:val="00A72F63"/>
    <w:rsid w:val="00A7315D"/>
    <w:rsid w:val="00A735E7"/>
    <w:rsid w:val="00A73875"/>
    <w:rsid w:val="00A73C5E"/>
    <w:rsid w:val="00A7456A"/>
    <w:rsid w:val="00A74EF7"/>
    <w:rsid w:val="00A75600"/>
    <w:rsid w:val="00A75F84"/>
    <w:rsid w:val="00A763DE"/>
    <w:rsid w:val="00A765A6"/>
    <w:rsid w:val="00A768B7"/>
    <w:rsid w:val="00A76F97"/>
    <w:rsid w:val="00A76FF1"/>
    <w:rsid w:val="00A77A07"/>
    <w:rsid w:val="00A77C4B"/>
    <w:rsid w:val="00A77EBC"/>
    <w:rsid w:val="00A803C7"/>
    <w:rsid w:val="00A803D6"/>
    <w:rsid w:val="00A80468"/>
    <w:rsid w:val="00A807AC"/>
    <w:rsid w:val="00A809B3"/>
    <w:rsid w:val="00A80A8E"/>
    <w:rsid w:val="00A80E41"/>
    <w:rsid w:val="00A8109E"/>
    <w:rsid w:val="00A81282"/>
    <w:rsid w:val="00A81C26"/>
    <w:rsid w:val="00A81C2F"/>
    <w:rsid w:val="00A81C9D"/>
    <w:rsid w:val="00A82403"/>
    <w:rsid w:val="00A82992"/>
    <w:rsid w:val="00A834DD"/>
    <w:rsid w:val="00A83A7D"/>
    <w:rsid w:val="00A84823"/>
    <w:rsid w:val="00A84FEA"/>
    <w:rsid w:val="00A85727"/>
    <w:rsid w:val="00A8573A"/>
    <w:rsid w:val="00A857E6"/>
    <w:rsid w:val="00A86798"/>
    <w:rsid w:val="00A86B31"/>
    <w:rsid w:val="00A86E3D"/>
    <w:rsid w:val="00A8713F"/>
    <w:rsid w:val="00A873AF"/>
    <w:rsid w:val="00A87F78"/>
    <w:rsid w:val="00A90060"/>
    <w:rsid w:val="00A90597"/>
    <w:rsid w:val="00A90EE8"/>
    <w:rsid w:val="00A90FF6"/>
    <w:rsid w:val="00A91167"/>
    <w:rsid w:val="00A9171C"/>
    <w:rsid w:val="00A918A4"/>
    <w:rsid w:val="00A91970"/>
    <w:rsid w:val="00A919A7"/>
    <w:rsid w:val="00A924E6"/>
    <w:rsid w:val="00A925BF"/>
    <w:rsid w:val="00A9265B"/>
    <w:rsid w:val="00A929BE"/>
    <w:rsid w:val="00A92A5E"/>
    <w:rsid w:val="00A92EC1"/>
    <w:rsid w:val="00A92FFD"/>
    <w:rsid w:val="00A93249"/>
    <w:rsid w:val="00A932FE"/>
    <w:rsid w:val="00A93A39"/>
    <w:rsid w:val="00A93E00"/>
    <w:rsid w:val="00A93E20"/>
    <w:rsid w:val="00A9409C"/>
    <w:rsid w:val="00A94393"/>
    <w:rsid w:val="00A95125"/>
    <w:rsid w:val="00A95894"/>
    <w:rsid w:val="00A95975"/>
    <w:rsid w:val="00A95C3C"/>
    <w:rsid w:val="00A95F73"/>
    <w:rsid w:val="00A965B4"/>
    <w:rsid w:val="00A96759"/>
    <w:rsid w:val="00A9708D"/>
    <w:rsid w:val="00A97553"/>
    <w:rsid w:val="00A97E3C"/>
    <w:rsid w:val="00AA093A"/>
    <w:rsid w:val="00AA0DFD"/>
    <w:rsid w:val="00AA159F"/>
    <w:rsid w:val="00AA1BCD"/>
    <w:rsid w:val="00AA1C9E"/>
    <w:rsid w:val="00AA240A"/>
    <w:rsid w:val="00AA24A0"/>
    <w:rsid w:val="00AA298C"/>
    <w:rsid w:val="00AA29A8"/>
    <w:rsid w:val="00AA2C17"/>
    <w:rsid w:val="00AA2DC3"/>
    <w:rsid w:val="00AA3748"/>
    <w:rsid w:val="00AA376C"/>
    <w:rsid w:val="00AA3D1E"/>
    <w:rsid w:val="00AA4172"/>
    <w:rsid w:val="00AA4451"/>
    <w:rsid w:val="00AA4703"/>
    <w:rsid w:val="00AA49EE"/>
    <w:rsid w:val="00AA500F"/>
    <w:rsid w:val="00AA65B5"/>
    <w:rsid w:val="00AA67BB"/>
    <w:rsid w:val="00AA69B3"/>
    <w:rsid w:val="00AA6DDA"/>
    <w:rsid w:val="00AA6ED2"/>
    <w:rsid w:val="00AA777C"/>
    <w:rsid w:val="00AA7F3A"/>
    <w:rsid w:val="00AB00FD"/>
    <w:rsid w:val="00AB05C7"/>
    <w:rsid w:val="00AB11D6"/>
    <w:rsid w:val="00AB173D"/>
    <w:rsid w:val="00AB1914"/>
    <w:rsid w:val="00AB19C6"/>
    <w:rsid w:val="00AB1D7D"/>
    <w:rsid w:val="00AB2096"/>
    <w:rsid w:val="00AB29B0"/>
    <w:rsid w:val="00AB2F54"/>
    <w:rsid w:val="00AB3220"/>
    <w:rsid w:val="00AB35C7"/>
    <w:rsid w:val="00AB394F"/>
    <w:rsid w:val="00AB426F"/>
    <w:rsid w:val="00AB477A"/>
    <w:rsid w:val="00AB4A99"/>
    <w:rsid w:val="00AB5246"/>
    <w:rsid w:val="00AB5330"/>
    <w:rsid w:val="00AB5615"/>
    <w:rsid w:val="00AB655E"/>
    <w:rsid w:val="00AB67ED"/>
    <w:rsid w:val="00AB6BC0"/>
    <w:rsid w:val="00AB6DF8"/>
    <w:rsid w:val="00AB76DC"/>
    <w:rsid w:val="00AB7747"/>
    <w:rsid w:val="00AB7871"/>
    <w:rsid w:val="00AC0695"/>
    <w:rsid w:val="00AC0F62"/>
    <w:rsid w:val="00AC12E8"/>
    <w:rsid w:val="00AC1420"/>
    <w:rsid w:val="00AC145B"/>
    <w:rsid w:val="00AC1744"/>
    <w:rsid w:val="00AC1ED1"/>
    <w:rsid w:val="00AC2532"/>
    <w:rsid w:val="00AC3527"/>
    <w:rsid w:val="00AC44A8"/>
    <w:rsid w:val="00AC4529"/>
    <w:rsid w:val="00AC4555"/>
    <w:rsid w:val="00AC543A"/>
    <w:rsid w:val="00AC5B3E"/>
    <w:rsid w:val="00AC6536"/>
    <w:rsid w:val="00AC6BF8"/>
    <w:rsid w:val="00AC6D47"/>
    <w:rsid w:val="00AC6E82"/>
    <w:rsid w:val="00AC7169"/>
    <w:rsid w:val="00AC7908"/>
    <w:rsid w:val="00AC7CB6"/>
    <w:rsid w:val="00AD0736"/>
    <w:rsid w:val="00AD0D4D"/>
    <w:rsid w:val="00AD105B"/>
    <w:rsid w:val="00AD1507"/>
    <w:rsid w:val="00AD18D4"/>
    <w:rsid w:val="00AD1D8D"/>
    <w:rsid w:val="00AD1DBD"/>
    <w:rsid w:val="00AD1EA6"/>
    <w:rsid w:val="00AD2571"/>
    <w:rsid w:val="00AD286C"/>
    <w:rsid w:val="00AD3225"/>
    <w:rsid w:val="00AD352E"/>
    <w:rsid w:val="00AD3E46"/>
    <w:rsid w:val="00AD4009"/>
    <w:rsid w:val="00AD4247"/>
    <w:rsid w:val="00AD4486"/>
    <w:rsid w:val="00AD4632"/>
    <w:rsid w:val="00AD477A"/>
    <w:rsid w:val="00AD4C72"/>
    <w:rsid w:val="00AD4EBE"/>
    <w:rsid w:val="00AD5A70"/>
    <w:rsid w:val="00AD5D29"/>
    <w:rsid w:val="00AD5DA7"/>
    <w:rsid w:val="00AD6698"/>
    <w:rsid w:val="00AD68D8"/>
    <w:rsid w:val="00AD738B"/>
    <w:rsid w:val="00AD7CFB"/>
    <w:rsid w:val="00AD7D40"/>
    <w:rsid w:val="00AE070F"/>
    <w:rsid w:val="00AE0725"/>
    <w:rsid w:val="00AE080E"/>
    <w:rsid w:val="00AE0902"/>
    <w:rsid w:val="00AE0D34"/>
    <w:rsid w:val="00AE0E49"/>
    <w:rsid w:val="00AE0E76"/>
    <w:rsid w:val="00AE19B0"/>
    <w:rsid w:val="00AE1BF4"/>
    <w:rsid w:val="00AE1C8B"/>
    <w:rsid w:val="00AE1EC1"/>
    <w:rsid w:val="00AE28AF"/>
    <w:rsid w:val="00AE3542"/>
    <w:rsid w:val="00AE36C0"/>
    <w:rsid w:val="00AE38BD"/>
    <w:rsid w:val="00AE3FB6"/>
    <w:rsid w:val="00AE3FE8"/>
    <w:rsid w:val="00AE412C"/>
    <w:rsid w:val="00AE45A2"/>
    <w:rsid w:val="00AE54FE"/>
    <w:rsid w:val="00AE5AC4"/>
    <w:rsid w:val="00AE5D97"/>
    <w:rsid w:val="00AE5DE6"/>
    <w:rsid w:val="00AE6794"/>
    <w:rsid w:val="00AE75BD"/>
    <w:rsid w:val="00AE79AF"/>
    <w:rsid w:val="00AE7BEC"/>
    <w:rsid w:val="00AF03FE"/>
    <w:rsid w:val="00AF1B24"/>
    <w:rsid w:val="00AF2B20"/>
    <w:rsid w:val="00AF30BB"/>
    <w:rsid w:val="00AF4195"/>
    <w:rsid w:val="00AF494A"/>
    <w:rsid w:val="00AF4978"/>
    <w:rsid w:val="00AF563B"/>
    <w:rsid w:val="00AF5CBF"/>
    <w:rsid w:val="00AF655D"/>
    <w:rsid w:val="00AF6864"/>
    <w:rsid w:val="00AF6A22"/>
    <w:rsid w:val="00AF6D65"/>
    <w:rsid w:val="00AF7826"/>
    <w:rsid w:val="00B00F60"/>
    <w:rsid w:val="00B00F71"/>
    <w:rsid w:val="00B00F83"/>
    <w:rsid w:val="00B01110"/>
    <w:rsid w:val="00B016C5"/>
    <w:rsid w:val="00B01A2F"/>
    <w:rsid w:val="00B02262"/>
    <w:rsid w:val="00B02364"/>
    <w:rsid w:val="00B0274E"/>
    <w:rsid w:val="00B027E7"/>
    <w:rsid w:val="00B029D9"/>
    <w:rsid w:val="00B02B02"/>
    <w:rsid w:val="00B0300C"/>
    <w:rsid w:val="00B03107"/>
    <w:rsid w:val="00B03482"/>
    <w:rsid w:val="00B0353F"/>
    <w:rsid w:val="00B037F8"/>
    <w:rsid w:val="00B03CEC"/>
    <w:rsid w:val="00B03DFA"/>
    <w:rsid w:val="00B03EA5"/>
    <w:rsid w:val="00B03EDF"/>
    <w:rsid w:val="00B03FBF"/>
    <w:rsid w:val="00B04491"/>
    <w:rsid w:val="00B047E0"/>
    <w:rsid w:val="00B0484E"/>
    <w:rsid w:val="00B04B10"/>
    <w:rsid w:val="00B04B6E"/>
    <w:rsid w:val="00B05D71"/>
    <w:rsid w:val="00B062C6"/>
    <w:rsid w:val="00B06734"/>
    <w:rsid w:val="00B06B05"/>
    <w:rsid w:val="00B06BA4"/>
    <w:rsid w:val="00B06F84"/>
    <w:rsid w:val="00B077FE"/>
    <w:rsid w:val="00B07A80"/>
    <w:rsid w:val="00B07E1E"/>
    <w:rsid w:val="00B1083C"/>
    <w:rsid w:val="00B1085F"/>
    <w:rsid w:val="00B10A97"/>
    <w:rsid w:val="00B10CFC"/>
    <w:rsid w:val="00B11056"/>
    <w:rsid w:val="00B11548"/>
    <w:rsid w:val="00B11749"/>
    <w:rsid w:val="00B11B94"/>
    <w:rsid w:val="00B11C66"/>
    <w:rsid w:val="00B11D69"/>
    <w:rsid w:val="00B1209F"/>
    <w:rsid w:val="00B12859"/>
    <w:rsid w:val="00B12AD0"/>
    <w:rsid w:val="00B12FB5"/>
    <w:rsid w:val="00B13085"/>
    <w:rsid w:val="00B13162"/>
    <w:rsid w:val="00B13243"/>
    <w:rsid w:val="00B1341A"/>
    <w:rsid w:val="00B144D5"/>
    <w:rsid w:val="00B146D3"/>
    <w:rsid w:val="00B147EA"/>
    <w:rsid w:val="00B1510F"/>
    <w:rsid w:val="00B15360"/>
    <w:rsid w:val="00B15FA4"/>
    <w:rsid w:val="00B161A3"/>
    <w:rsid w:val="00B16859"/>
    <w:rsid w:val="00B16A08"/>
    <w:rsid w:val="00B16CB5"/>
    <w:rsid w:val="00B16FD1"/>
    <w:rsid w:val="00B16FF3"/>
    <w:rsid w:val="00B1756D"/>
    <w:rsid w:val="00B17C6C"/>
    <w:rsid w:val="00B2007F"/>
    <w:rsid w:val="00B20177"/>
    <w:rsid w:val="00B209C3"/>
    <w:rsid w:val="00B20D86"/>
    <w:rsid w:val="00B20DFF"/>
    <w:rsid w:val="00B2129A"/>
    <w:rsid w:val="00B21482"/>
    <w:rsid w:val="00B21580"/>
    <w:rsid w:val="00B21D3A"/>
    <w:rsid w:val="00B225B2"/>
    <w:rsid w:val="00B2262C"/>
    <w:rsid w:val="00B2299D"/>
    <w:rsid w:val="00B22C71"/>
    <w:rsid w:val="00B22DCB"/>
    <w:rsid w:val="00B2376E"/>
    <w:rsid w:val="00B247D3"/>
    <w:rsid w:val="00B24A72"/>
    <w:rsid w:val="00B24B4D"/>
    <w:rsid w:val="00B24E0B"/>
    <w:rsid w:val="00B24EB1"/>
    <w:rsid w:val="00B24F30"/>
    <w:rsid w:val="00B253D2"/>
    <w:rsid w:val="00B2572E"/>
    <w:rsid w:val="00B25870"/>
    <w:rsid w:val="00B25DD7"/>
    <w:rsid w:val="00B26808"/>
    <w:rsid w:val="00B27065"/>
    <w:rsid w:val="00B276ED"/>
    <w:rsid w:val="00B27857"/>
    <w:rsid w:val="00B279DD"/>
    <w:rsid w:val="00B27D5D"/>
    <w:rsid w:val="00B309E8"/>
    <w:rsid w:val="00B30C11"/>
    <w:rsid w:val="00B30C38"/>
    <w:rsid w:val="00B31823"/>
    <w:rsid w:val="00B31992"/>
    <w:rsid w:val="00B31ABF"/>
    <w:rsid w:val="00B32531"/>
    <w:rsid w:val="00B32807"/>
    <w:rsid w:val="00B32930"/>
    <w:rsid w:val="00B335AE"/>
    <w:rsid w:val="00B336C8"/>
    <w:rsid w:val="00B33F4D"/>
    <w:rsid w:val="00B342AF"/>
    <w:rsid w:val="00B346BC"/>
    <w:rsid w:val="00B34DC4"/>
    <w:rsid w:val="00B350A9"/>
    <w:rsid w:val="00B35162"/>
    <w:rsid w:val="00B352B6"/>
    <w:rsid w:val="00B35639"/>
    <w:rsid w:val="00B36711"/>
    <w:rsid w:val="00B3693B"/>
    <w:rsid w:val="00B36D0C"/>
    <w:rsid w:val="00B36D25"/>
    <w:rsid w:val="00B375B8"/>
    <w:rsid w:val="00B37978"/>
    <w:rsid w:val="00B37A2D"/>
    <w:rsid w:val="00B37CE1"/>
    <w:rsid w:val="00B400CD"/>
    <w:rsid w:val="00B40794"/>
    <w:rsid w:val="00B408A7"/>
    <w:rsid w:val="00B40ACF"/>
    <w:rsid w:val="00B40E6A"/>
    <w:rsid w:val="00B413BB"/>
    <w:rsid w:val="00B41BDE"/>
    <w:rsid w:val="00B41CC7"/>
    <w:rsid w:val="00B41CCB"/>
    <w:rsid w:val="00B422D0"/>
    <w:rsid w:val="00B42382"/>
    <w:rsid w:val="00B4263D"/>
    <w:rsid w:val="00B42A95"/>
    <w:rsid w:val="00B43A95"/>
    <w:rsid w:val="00B43DEB"/>
    <w:rsid w:val="00B44209"/>
    <w:rsid w:val="00B44369"/>
    <w:rsid w:val="00B446CA"/>
    <w:rsid w:val="00B44715"/>
    <w:rsid w:val="00B4500F"/>
    <w:rsid w:val="00B452D5"/>
    <w:rsid w:val="00B45D96"/>
    <w:rsid w:val="00B466D3"/>
    <w:rsid w:val="00B4678E"/>
    <w:rsid w:val="00B46BAA"/>
    <w:rsid w:val="00B47051"/>
    <w:rsid w:val="00B504BE"/>
    <w:rsid w:val="00B50B2F"/>
    <w:rsid w:val="00B50B5F"/>
    <w:rsid w:val="00B50B71"/>
    <w:rsid w:val="00B50D9C"/>
    <w:rsid w:val="00B5141E"/>
    <w:rsid w:val="00B51CD1"/>
    <w:rsid w:val="00B52C01"/>
    <w:rsid w:val="00B52D0F"/>
    <w:rsid w:val="00B534B5"/>
    <w:rsid w:val="00B54128"/>
    <w:rsid w:val="00B54731"/>
    <w:rsid w:val="00B5510B"/>
    <w:rsid w:val="00B553D0"/>
    <w:rsid w:val="00B55826"/>
    <w:rsid w:val="00B559D8"/>
    <w:rsid w:val="00B55CBD"/>
    <w:rsid w:val="00B5645B"/>
    <w:rsid w:val="00B571FD"/>
    <w:rsid w:val="00B60426"/>
    <w:rsid w:val="00B607BA"/>
    <w:rsid w:val="00B60A7A"/>
    <w:rsid w:val="00B60AA1"/>
    <w:rsid w:val="00B60AF9"/>
    <w:rsid w:val="00B60F6A"/>
    <w:rsid w:val="00B615CF"/>
    <w:rsid w:val="00B62273"/>
    <w:rsid w:val="00B622DD"/>
    <w:rsid w:val="00B627DF"/>
    <w:rsid w:val="00B62F7C"/>
    <w:rsid w:val="00B63522"/>
    <w:rsid w:val="00B63655"/>
    <w:rsid w:val="00B641BA"/>
    <w:rsid w:val="00B647E5"/>
    <w:rsid w:val="00B6480E"/>
    <w:rsid w:val="00B64CAE"/>
    <w:rsid w:val="00B64CD0"/>
    <w:rsid w:val="00B65170"/>
    <w:rsid w:val="00B651AC"/>
    <w:rsid w:val="00B659C3"/>
    <w:rsid w:val="00B659E4"/>
    <w:rsid w:val="00B65A9B"/>
    <w:rsid w:val="00B66D9B"/>
    <w:rsid w:val="00B673DE"/>
    <w:rsid w:val="00B673FA"/>
    <w:rsid w:val="00B67628"/>
    <w:rsid w:val="00B677EB"/>
    <w:rsid w:val="00B6785C"/>
    <w:rsid w:val="00B67CBE"/>
    <w:rsid w:val="00B70588"/>
    <w:rsid w:val="00B71418"/>
    <w:rsid w:val="00B71623"/>
    <w:rsid w:val="00B7189B"/>
    <w:rsid w:val="00B72520"/>
    <w:rsid w:val="00B7260D"/>
    <w:rsid w:val="00B72879"/>
    <w:rsid w:val="00B72B4F"/>
    <w:rsid w:val="00B72C06"/>
    <w:rsid w:val="00B72EE5"/>
    <w:rsid w:val="00B7340B"/>
    <w:rsid w:val="00B73478"/>
    <w:rsid w:val="00B743DE"/>
    <w:rsid w:val="00B74530"/>
    <w:rsid w:val="00B74737"/>
    <w:rsid w:val="00B75828"/>
    <w:rsid w:val="00B75D48"/>
    <w:rsid w:val="00B761D7"/>
    <w:rsid w:val="00B76930"/>
    <w:rsid w:val="00B76A12"/>
    <w:rsid w:val="00B76F1D"/>
    <w:rsid w:val="00B76F30"/>
    <w:rsid w:val="00B77328"/>
    <w:rsid w:val="00B776B3"/>
    <w:rsid w:val="00B77802"/>
    <w:rsid w:val="00B77A7A"/>
    <w:rsid w:val="00B8128D"/>
    <w:rsid w:val="00B8185D"/>
    <w:rsid w:val="00B8235B"/>
    <w:rsid w:val="00B8348E"/>
    <w:rsid w:val="00B838D0"/>
    <w:rsid w:val="00B845D2"/>
    <w:rsid w:val="00B84733"/>
    <w:rsid w:val="00B84E36"/>
    <w:rsid w:val="00B850A3"/>
    <w:rsid w:val="00B85392"/>
    <w:rsid w:val="00B85591"/>
    <w:rsid w:val="00B868B5"/>
    <w:rsid w:val="00B87389"/>
    <w:rsid w:val="00B8782A"/>
    <w:rsid w:val="00B87894"/>
    <w:rsid w:val="00B87F9E"/>
    <w:rsid w:val="00B91013"/>
    <w:rsid w:val="00B913CB"/>
    <w:rsid w:val="00B91404"/>
    <w:rsid w:val="00B915BE"/>
    <w:rsid w:val="00B91D64"/>
    <w:rsid w:val="00B92822"/>
    <w:rsid w:val="00B92A19"/>
    <w:rsid w:val="00B92E81"/>
    <w:rsid w:val="00B93717"/>
    <w:rsid w:val="00B93CA4"/>
    <w:rsid w:val="00B93D72"/>
    <w:rsid w:val="00B94005"/>
    <w:rsid w:val="00B9544C"/>
    <w:rsid w:val="00B95BAF"/>
    <w:rsid w:val="00B95FE8"/>
    <w:rsid w:val="00B963AC"/>
    <w:rsid w:val="00B963DD"/>
    <w:rsid w:val="00B966FB"/>
    <w:rsid w:val="00B96F74"/>
    <w:rsid w:val="00B97324"/>
    <w:rsid w:val="00B978BA"/>
    <w:rsid w:val="00B9798C"/>
    <w:rsid w:val="00B97B30"/>
    <w:rsid w:val="00B97C6F"/>
    <w:rsid w:val="00B97E0D"/>
    <w:rsid w:val="00B97F82"/>
    <w:rsid w:val="00BA021B"/>
    <w:rsid w:val="00BA0FD8"/>
    <w:rsid w:val="00BA1245"/>
    <w:rsid w:val="00BA15A2"/>
    <w:rsid w:val="00BA1BA0"/>
    <w:rsid w:val="00BA217C"/>
    <w:rsid w:val="00BA2464"/>
    <w:rsid w:val="00BA29E9"/>
    <w:rsid w:val="00BA3103"/>
    <w:rsid w:val="00BA335D"/>
    <w:rsid w:val="00BA3538"/>
    <w:rsid w:val="00BA38AA"/>
    <w:rsid w:val="00BA4372"/>
    <w:rsid w:val="00BA4F7C"/>
    <w:rsid w:val="00BA588B"/>
    <w:rsid w:val="00BA5A70"/>
    <w:rsid w:val="00BA5CF0"/>
    <w:rsid w:val="00BA611C"/>
    <w:rsid w:val="00BA64E3"/>
    <w:rsid w:val="00BA6C72"/>
    <w:rsid w:val="00BA6D60"/>
    <w:rsid w:val="00BA76C1"/>
    <w:rsid w:val="00BA7B62"/>
    <w:rsid w:val="00BB03AD"/>
    <w:rsid w:val="00BB0E8F"/>
    <w:rsid w:val="00BB1B31"/>
    <w:rsid w:val="00BB3246"/>
    <w:rsid w:val="00BB34C8"/>
    <w:rsid w:val="00BB3618"/>
    <w:rsid w:val="00BB3BDD"/>
    <w:rsid w:val="00BB3D6F"/>
    <w:rsid w:val="00BB40C0"/>
    <w:rsid w:val="00BB4159"/>
    <w:rsid w:val="00BB4653"/>
    <w:rsid w:val="00BB5004"/>
    <w:rsid w:val="00BB52B0"/>
    <w:rsid w:val="00BB56B7"/>
    <w:rsid w:val="00BB5A69"/>
    <w:rsid w:val="00BB5EB8"/>
    <w:rsid w:val="00BB669F"/>
    <w:rsid w:val="00BB6A63"/>
    <w:rsid w:val="00BB6BB4"/>
    <w:rsid w:val="00BB7115"/>
    <w:rsid w:val="00BB7723"/>
    <w:rsid w:val="00BB79AF"/>
    <w:rsid w:val="00BC0213"/>
    <w:rsid w:val="00BC0434"/>
    <w:rsid w:val="00BC0C9E"/>
    <w:rsid w:val="00BC137D"/>
    <w:rsid w:val="00BC1A9D"/>
    <w:rsid w:val="00BC1D00"/>
    <w:rsid w:val="00BC2888"/>
    <w:rsid w:val="00BC2CA8"/>
    <w:rsid w:val="00BC31E6"/>
    <w:rsid w:val="00BC32DC"/>
    <w:rsid w:val="00BC3347"/>
    <w:rsid w:val="00BC503B"/>
    <w:rsid w:val="00BC509C"/>
    <w:rsid w:val="00BC52C5"/>
    <w:rsid w:val="00BC676A"/>
    <w:rsid w:val="00BC6B58"/>
    <w:rsid w:val="00BC739C"/>
    <w:rsid w:val="00BC79CC"/>
    <w:rsid w:val="00BC7FE1"/>
    <w:rsid w:val="00BD07D0"/>
    <w:rsid w:val="00BD07D6"/>
    <w:rsid w:val="00BD0E53"/>
    <w:rsid w:val="00BD1855"/>
    <w:rsid w:val="00BD1B1E"/>
    <w:rsid w:val="00BD1B51"/>
    <w:rsid w:val="00BD2516"/>
    <w:rsid w:val="00BD2565"/>
    <w:rsid w:val="00BD2F16"/>
    <w:rsid w:val="00BD3E34"/>
    <w:rsid w:val="00BD4126"/>
    <w:rsid w:val="00BD4197"/>
    <w:rsid w:val="00BD47F6"/>
    <w:rsid w:val="00BD4C54"/>
    <w:rsid w:val="00BD4CEE"/>
    <w:rsid w:val="00BD5923"/>
    <w:rsid w:val="00BD5A46"/>
    <w:rsid w:val="00BD5EDF"/>
    <w:rsid w:val="00BD66AC"/>
    <w:rsid w:val="00BD7253"/>
    <w:rsid w:val="00BD743D"/>
    <w:rsid w:val="00BD7702"/>
    <w:rsid w:val="00BD7E40"/>
    <w:rsid w:val="00BD7E60"/>
    <w:rsid w:val="00BD7EF8"/>
    <w:rsid w:val="00BE03A0"/>
    <w:rsid w:val="00BE0DC5"/>
    <w:rsid w:val="00BE16AB"/>
    <w:rsid w:val="00BE1ACD"/>
    <w:rsid w:val="00BE1F89"/>
    <w:rsid w:val="00BE312D"/>
    <w:rsid w:val="00BE347C"/>
    <w:rsid w:val="00BE381C"/>
    <w:rsid w:val="00BE38D6"/>
    <w:rsid w:val="00BE3A77"/>
    <w:rsid w:val="00BE3FCA"/>
    <w:rsid w:val="00BE430F"/>
    <w:rsid w:val="00BE4945"/>
    <w:rsid w:val="00BE4A3A"/>
    <w:rsid w:val="00BE4B9B"/>
    <w:rsid w:val="00BE4EC7"/>
    <w:rsid w:val="00BE5AF0"/>
    <w:rsid w:val="00BE7390"/>
    <w:rsid w:val="00BE7632"/>
    <w:rsid w:val="00BE77A6"/>
    <w:rsid w:val="00BE7B3F"/>
    <w:rsid w:val="00BE7D53"/>
    <w:rsid w:val="00BF018D"/>
    <w:rsid w:val="00BF04CD"/>
    <w:rsid w:val="00BF167B"/>
    <w:rsid w:val="00BF1949"/>
    <w:rsid w:val="00BF1CE3"/>
    <w:rsid w:val="00BF247B"/>
    <w:rsid w:val="00BF29B7"/>
    <w:rsid w:val="00BF2B06"/>
    <w:rsid w:val="00BF3012"/>
    <w:rsid w:val="00BF301B"/>
    <w:rsid w:val="00BF333D"/>
    <w:rsid w:val="00BF3364"/>
    <w:rsid w:val="00BF3C8D"/>
    <w:rsid w:val="00BF467D"/>
    <w:rsid w:val="00BF4948"/>
    <w:rsid w:val="00BF4BB5"/>
    <w:rsid w:val="00BF552E"/>
    <w:rsid w:val="00BF55F3"/>
    <w:rsid w:val="00BF5919"/>
    <w:rsid w:val="00BF5DBC"/>
    <w:rsid w:val="00BF5EDC"/>
    <w:rsid w:val="00BF6DDA"/>
    <w:rsid w:val="00C0063A"/>
    <w:rsid w:val="00C0130E"/>
    <w:rsid w:val="00C01750"/>
    <w:rsid w:val="00C0176E"/>
    <w:rsid w:val="00C01CE7"/>
    <w:rsid w:val="00C01FD6"/>
    <w:rsid w:val="00C020AA"/>
    <w:rsid w:val="00C0265B"/>
    <w:rsid w:val="00C026F5"/>
    <w:rsid w:val="00C02DB4"/>
    <w:rsid w:val="00C02FC5"/>
    <w:rsid w:val="00C030D7"/>
    <w:rsid w:val="00C0324B"/>
    <w:rsid w:val="00C03611"/>
    <w:rsid w:val="00C03688"/>
    <w:rsid w:val="00C038BF"/>
    <w:rsid w:val="00C0390D"/>
    <w:rsid w:val="00C04031"/>
    <w:rsid w:val="00C04133"/>
    <w:rsid w:val="00C0462B"/>
    <w:rsid w:val="00C04D1D"/>
    <w:rsid w:val="00C04F84"/>
    <w:rsid w:val="00C053BF"/>
    <w:rsid w:val="00C05719"/>
    <w:rsid w:val="00C05DF4"/>
    <w:rsid w:val="00C05E28"/>
    <w:rsid w:val="00C05FCC"/>
    <w:rsid w:val="00C0607A"/>
    <w:rsid w:val="00C061F1"/>
    <w:rsid w:val="00C063CB"/>
    <w:rsid w:val="00C0649A"/>
    <w:rsid w:val="00C065F6"/>
    <w:rsid w:val="00C06E8F"/>
    <w:rsid w:val="00C070C8"/>
    <w:rsid w:val="00C075B4"/>
    <w:rsid w:val="00C10578"/>
    <w:rsid w:val="00C107BB"/>
    <w:rsid w:val="00C10AF5"/>
    <w:rsid w:val="00C114D0"/>
    <w:rsid w:val="00C126CC"/>
    <w:rsid w:val="00C136CB"/>
    <w:rsid w:val="00C13C16"/>
    <w:rsid w:val="00C14E69"/>
    <w:rsid w:val="00C15363"/>
    <w:rsid w:val="00C15B54"/>
    <w:rsid w:val="00C164F8"/>
    <w:rsid w:val="00C16BAC"/>
    <w:rsid w:val="00C16BE4"/>
    <w:rsid w:val="00C1773D"/>
    <w:rsid w:val="00C17CEE"/>
    <w:rsid w:val="00C17D62"/>
    <w:rsid w:val="00C17ED7"/>
    <w:rsid w:val="00C17F0A"/>
    <w:rsid w:val="00C21355"/>
    <w:rsid w:val="00C21C4E"/>
    <w:rsid w:val="00C21FDC"/>
    <w:rsid w:val="00C22083"/>
    <w:rsid w:val="00C227B3"/>
    <w:rsid w:val="00C23260"/>
    <w:rsid w:val="00C2333A"/>
    <w:rsid w:val="00C2357E"/>
    <w:rsid w:val="00C2368F"/>
    <w:rsid w:val="00C237DD"/>
    <w:rsid w:val="00C23D62"/>
    <w:rsid w:val="00C24B6D"/>
    <w:rsid w:val="00C24EE7"/>
    <w:rsid w:val="00C2524A"/>
    <w:rsid w:val="00C2596A"/>
    <w:rsid w:val="00C2604E"/>
    <w:rsid w:val="00C2629A"/>
    <w:rsid w:val="00C268F5"/>
    <w:rsid w:val="00C26945"/>
    <w:rsid w:val="00C26AB1"/>
    <w:rsid w:val="00C271BE"/>
    <w:rsid w:val="00C27425"/>
    <w:rsid w:val="00C2787E"/>
    <w:rsid w:val="00C27BD7"/>
    <w:rsid w:val="00C3000D"/>
    <w:rsid w:val="00C300C2"/>
    <w:rsid w:val="00C302C1"/>
    <w:rsid w:val="00C304F8"/>
    <w:rsid w:val="00C305F0"/>
    <w:rsid w:val="00C30647"/>
    <w:rsid w:val="00C3078D"/>
    <w:rsid w:val="00C30853"/>
    <w:rsid w:val="00C309C7"/>
    <w:rsid w:val="00C30A9A"/>
    <w:rsid w:val="00C30BEA"/>
    <w:rsid w:val="00C31B88"/>
    <w:rsid w:val="00C31C3D"/>
    <w:rsid w:val="00C328FE"/>
    <w:rsid w:val="00C33362"/>
    <w:rsid w:val="00C337BA"/>
    <w:rsid w:val="00C33A05"/>
    <w:rsid w:val="00C33ABD"/>
    <w:rsid w:val="00C34189"/>
    <w:rsid w:val="00C3476E"/>
    <w:rsid w:val="00C34772"/>
    <w:rsid w:val="00C34A5E"/>
    <w:rsid w:val="00C34B36"/>
    <w:rsid w:val="00C34F08"/>
    <w:rsid w:val="00C35940"/>
    <w:rsid w:val="00C35E0E"/>
    <w:rsid w:val="00C36B0D"/>
    <w:rsid w:val="00C36FB3"/>
    <w:rsid w:val="00C372EB"/>
    <w:rsid w:val="00C37305"/>
    <w:rsid w:val="00C37550"/>
    <w:rsid w:val="00C40764"/>
    <w:rsid w:val="00C40B5C"/>
    <w:rsid w:val="00C40F31"/>
    <w:rsid w:val="00C41855"/>
    <w:rsid w:val="00C42017"/>
    <w:rsid w:val="00C42500"/>
    <w:rsid w:val="00C425C2"/>
    <w:rsid w:val="00C42BCF"/>
    <w:rsid w:val="00C431CF"/>
    <w:rsid w:val="00C4327B"/>
    <w:rsid w:val="00C43A26"/>
    <w:rsid w:val="00C43DD4"/>
    <w:rsid w:val="00C43E63"/>
    <w:rsid w:val="00C4409D"/>
    <w:rsid w:val="00C445C8"/>
    <w:rsid w:val="00C44D0B"/>
    <w:rsid w:val="00C44DD5"/>
    <w:rsid w:val="00C450A1"/>
    <w:rsid w:val="00C455BE"/>
    <w:rsid w:val="00C45C1D"/>
    <w:rsid w:val="00C45D06"/>
    <w:rsid w:val="00C45E3D"/>
    <w:rsid w:val="00C460B7"/>
    <w:rsid w:val="00C47E27"/>
    <w:rsid w:val="00C5043F"/>
    <w:rsid w:val="00C507D1"/>
    <w:rsid w:val="00C50E7C"/>
    <w:rsid w:val="00C51050"/>
    <w:rsid w:val="00C51489"/>
    <w:rsid w:val="00C51768"/>
    <w:rsid w:val="00C51D12"/>
    <w:rsid w:val="00C51E5F"/>
    <w:rsid w:val="00C52349"/>
    <w:rsid w:val="00C52B4A"/>
    <w:rsid w:val="00C53573"/>
    <w:rsid w:val="00C53768"/>
    <w:rsid w:val="00C53E13"/>
    <w:rsid w:val="00C54DD7"/>
    <w:rsid w:val="00C55936"/>
    <w:rsid w:val="00C55A6D"/>
    <w:rsid w:val="00C55B5F"/>
    <w:rsid w:val="00C56980"/>
    <w:rsid w:val="00C56EBC"/>
    <w:rsid w:val="00C56FC0"/>
    <w:rsid w:val="00C6102A"/>
    <w:rsid w:val="00C611D3"/>
    <w:rsid w:val="00C61B1D"/>
    <w:rsid w:val="00C61B76"/>
    <w:rsid w:val="00C61CFA"/>
    <w:rsid w:val="00C61E4B"/>
    <w:rsid w:val="00C6263D"/>
    <w:rsid w:val="00C62B5E"/>
    <w:rsid w:val="00C62C32"/>
    <w:rsid w:val="00C62E3A"/>
    <w:rsid w:val="00C63FC0"/>
    <w:rsid w:val="00C6427D"/>
    <w:rsid w:val="00C644D2"/>
    <w:rsid w:val="00C64503"/>
    <w:rsid w:val="00C64A1F"/>
    <w:rsid w:val="00C64AD5"/>
    <w:rsid w:val="00C64BFF"/>
    <w:rsid w:val="00C64D39"/>
    <w:rsid w:val="00C65010"/>
    <w:rsid w:val="00C653FC"/>
    <w:rsid w:val="00C65456"/>
    <w:rsid w:val="00C6634F"/>
    <w:rsid w:val="00C66848"/>
    <w:rsid w:val="00C67065"/>
    <w:rsid w:val="00C670A8"/>
    <w:rsid w:val="00C6710B"/>
    <w:rsid w:val="00C67ED7"/>
    <w:rsid w:val="00C67F7C"/>
    <w:rsid w:val="00C7002B"/>
    <w:rsid w:val="00C70524"/>
    <w:rsid w:val="00C7074B"/>
    <w:rsid w:val="00C70883"/>
    <w:rsid w:val="00C70B56"/>
    <w:rsid w:val="00C70D71"/>
    <w:rsid w:val="00C71681"/>
    <w:rsid w:val="00C71BF3"/>
    <w:rsid w:val="00C72CD9"/>
    <w:rsid w:val="00C73060"/>
    <w:rsid w:val="00C73627"/>
    <w:rsid w:val="00C73AFF"/>
    <w:rsid w:val="00C73B85"/>
    <w:rsid w:val="00C74407"/>
    <w:rsid w:val="00C74C77"/>
    <w:rsid w:val="00C74E22"/>
    <w:rsid w:val="00C74E2F"/>
    <w:rsid w:val="00C74FE6"/>
    <w:rsid w:val="00C759E0"/>
    <w:rsid w:val="00C75F76"/>
    <w:rsid w:val="00C761B0"/>
    <w:rsid w:val="00C763C9"/>
    <w:rsid w:val="00C76A1F"/>
    <w:rsid w:val="00C76C34"/>
    <w:rsid w:val="00C76FCB"/>
    <w:rsid w:val="00C7715C"/>
    <w:rsid w:val="00C7733B"/>
    <w:rsid w:val="00C77509"/>
    <w:rsid w:val="00C7764A"/>
    <w:rsid w:val="00C77927"/>
    <w:rsid w:val="00C77A41"/>
    <w:rsid w:val="00C77FE6"/>
    <w:rsid w:val="00C80057"/>
    <w:rsid w:val="00C803C8"/>
    <w:rsid w:val="00C805D5"/>
    <w:rsid w:val="00C80826"/>
    <w:rsid w:val="00C80880"/>
    <w:rsid w:val="00C80C45"/>
    <w:rsid w:val="00C80DA1"/>
    <w:rsid w:val="00C80F63"/>
    <w:rsid w:val="00C8178B"/>
    <w:rsid w:val="00C81D35"/>
    <w:rsid w:val="00C82157"/>
    <w:rsid w:val="00C8222F"/>
    <w:rsid w:val="00C824C9"/>
    <w:rsid w:val="00C8261D"/>
    <w:rsid w:val="00C82C79"/>
    <w:rsid w:val="00C838FB"/>
    <w:rsid w:val="00C839C4"/>
    <w:rsid w:val="00C83B39"/>
    <w:rsid w:val="00C83EAD"/>
    <w:rsid w:val="00C8462D"/>
    <w:rsid w:val="00C84753"/>
    <w:rsid w:val="00C84CE3"/>
    <w:rsid w:val="00C84FB3"/>
    <w:rsid w:val="00C8589E"/>
    <w:rsid w:val="00C85900"/>
    <w:rsid w:val="00C8668F"/>
    <w:rsid w:val="00C86F2B"/>
    <w:rsid w:val="00C87096"/>
    <w:rsid w:val="00C87667"/>
    <w:rsid w:val="00C87D97"/>
    <w:rsid w:val="00C9068A"/>
    <w:rsid w:val="00C9078F"/>
    <w:rsid w:val="00C907BF"/>
    <w:rsid w:val="00C90A23"/>
    <w:rsid w:val="00C90E98"/>
    <w:rsid w:val="00C91284"/>
    <w:rsid w:val="00C913EB"/>
    <w:rsid w:val="00C91499"/>
    <w:rsid w:val="00C91504"/>
    <w:rsid w:val="00C91611"/>
    <w:rsid w:val="00C92221"/>
    <w:rsid w:val="00C926EC"/>
    <w:rsid w:val="00C937A9"/>
    <w:rsid w:val="00C94A82"/>
    <w:rsid w:val="00C94E0D"/>
    <w:rsid w:val="00C94E15"/>
    <w:rsid w:val="00C957C2"/>
    <w:rsid w:val="00C95FD2"/>
    <w:rsid w:val="00C964F6"/>
    <w:rsid w:val="00C97571"/>
    <w:rsid w:val="00CA056D"/>
    <w:rsid w:val="00CA07AE"/>
    <w:rsid w:val="00CA19EA"/>
    <w:rsid w:val="00CA1ADE"/>
    <w:rsid w:val="00CA2527"/>
    <w:rsid w:val="00CA2593"/>
    <w:rsid w:val="00CA27A8"/>
    <w:rsid w:val="00CA28FD"/>
    <w:rsid w:val="00CA2CBA"/>
    <w:rsid w:val="00CA2FD9"/>
    <w:rsid w:val="00CA3098"/>
    <w:rsid w:val="00CA3393"/>
    <w:rsid w:val="00CA3585"/>
    <w:rsid w:val="00CA3B76"/>
    <w:rsid w:val="00CA3D5A"/>
    <w:rsid w:val="00CA4A91"/>
    <w:rsid w:val="00CA4C7C"/>
    <w:rsid w:val="00CA4FA1"/>
    <w:rsid w:val="00CA5A03"/>
    <w:rsid w:val="00CA5D26"/>
    <w:rsid w:val="00CA6068"/>
    <w:rsid w:val="00CA6E2D"/>
    <w:rsid w:val="00CA6F0F"/>
    <w:rsid w:val="00CA703C"/>
    <w:rsid w:val="00CA70B4"/>
    <w:rsid w:val="00CA720F"/>
    <w:rsid w:val="00CA725D"/>
    <w:rsid w:val="00CA7772"/>
    <w:rsid w:val="00CA789C"/>
    <w:rsid w:val="00CA7BC9"/>
    <w:rsid w:val="00CA7E71"/>
    <w:rsid w:val="00CA7ED2"/>
    <w:rsid w:val="00CB0073"/>
    <w:rsid w:val="00CB0183"/>
    <w:rsid w:val="00CB01D9"/>
    <w:rsid w:val="00CB0333"/>
    <w:rsid w:val="00CB07F6"/>
    <w:rsid w:val="00CB10A2"/>
    <w:rsid w:val="00CB1921"/>
    <w:rsid w:val="00CB1ADB"/>
    <w:rsid w:val="00CB1EA3"/>
    <w:rsid w:val="00CB24FA"/>
    <w:rsid w:val="00CB2E74"/>
    <w:rsid w:val="00CB32D0"/>
    <w:rsid w:val="00CB3907"/>
    <w:rsid w:val="00CB3CE5"/>
    <w:rsid w:val="00CB40EC"/>
    <w:rsid w:val="00CB4BEA"/>
    <w:rsid w:val="00CB4FDD"/>
    <w:rsid w:val="00CB5382"/>
    <w:rsid w:val="00CB552C"/>
    <w:rsid w:val="00CB592A"/>
    <w:rsid w:val="00CB6208"/>
    <w:rsid w:val="00CB66E4"/>
    <w:rsid w:val="00CB6A9E"/>
    <w:rsid w:val="00CB6B2D"/>
    <w:rsid w:val="00CB7440"/>
    <w:rsid w:val="00CB7469"/>
    <w:rsid w:val="00CB7918"/>
    <w:rsid w:val="00CC0F81"/>
    <w:rsid w:val="00CC1EBF"/>
    <w:rsid w:val="00CC2BDA"/>
    <w:rsid w:val="00CC3104"/>
    <w:rsid w:val="00CC3C83"/>
    <w:rsid w:val="00CC3F01"/>
    <w:rsid w:val="00CC42C5"/>
    <w:rsid w:val="00CC44AA"/>
    <w:rsid w:val="00CC4FD9"/>
    <w:rsid w:val="00CC5098"/>
    <w:rsid w:val="00CC50CF"/>
    <w:rsid w:val="00CC5B46"/>
    <w:rsid w:val="00CC5EDC"/>
    <w:rsid w:val="00CC6181"/>
    <w:rsid w:val="00CC6277"/>
    <w:rsid w:val="00CC68F5"/>
    <w:rsid w:val="00CC724F"/>
    <w:rsid w:val="00CC733C"/>
    <w:rsid w:val="00CC7E4B"/>
    <w:rsid w:val="00CD0184"/>
    <w:rsid w:val="00CD102D"/>
    <w:rsid w:val="00CD1C7D"/>
    <w:rsid w:val="00CD1D6C"/>
    <w:rsid w:val="00CD27DD"/>
    <w:rsid w:val="00CD2BCD"/>
    <w:rsid w:val="00CD2F05"/>
    <w:rsid w:val="00CD2F26"/>
    <w:rsid w:val="00CD2F2E"/>
    <w:rsid w:val="00CD36AA"/>
    <w:rsid w:val="00CD3791"/>
    <w:rsid w:val="00CD41DC"/>
    <w:rsid w:val="00CD4824"/>
    <w:rsid w:val="00CD4910"/>
    <w:rsid w:val="00CD4FD0"/>
    <w:rsid w:val="00CD55AD"/>
    <w:rsid w:val="00CD5A28"/>
    <w:rsid w:val="00CD5D0E"/>
    <w:rsid w:val="00CD6403"/>
    <w:rsid w:val="00CD65B0"/>
    <w:rsid w:val="00CD670B"/>
    <w:rsid w:val="00CD6BF2"/>
    <w:rsid w:val="00CD6CD0"/>
    <w:rsid w:val="00CD6FEF"/>
    <w:rsid w:val="00CD7133"/>
    <w:rsid w:val="00CD74A7"/>
    <w:rsid w:val="00CD78D7"/>
    <w:rsid w:val="00CE02CD"/>
    <w:rsid w:val="00CE10E9"/>
    <w:rsid w:val="00CE2450"/>
    <w:rsid w:val="00CE2530"/>
    <w:rsid w:val="00CE25FF"/>
    <w:rsid w:val="00CE2AFD"/>
    <w:rsid w:val="00CE2E6E"/>
    <w:rsid w:val="00CE3165"/>
    <w:rsid w:val="00CE31A8"/>
    <w:rsid w:val="00CE33E7"/>
    <w:rsid w:val="00CE34FF"/>
    <w:rsid w:val="00CE3662"/>
    <w:rsid w:val="00CE446E"/>
    <w:rsid w:val="00CE48C5"/>
    <w:rsid w:val="00CE4913"/>
    <w:rsid w:val="00CE53FB"/>
    <w:rsid w:val="00CE5FD0"/>
    <w:rsid w:val="00CE614B"/>
    <w:rsid w:val="00CE61D5"/>
    <w:rsid w:val="00CE6340"/>
    <w:rsid w:val="00CE68BB"/>
    <w:rsid w:val="00CE701D"/>
    <w:rsid w:val="00CE7296"/>
    <w:rsid w:val="00CE7358"/>
    <w:rsid w:val="00CE7453"/>
    <w:rsid w:val="00CE7CA8"/>
    <w:rsid w:val="00CF07E8"/>
    <w:rsid w:val="00CF0A04"/>
    <w:rsid w:val="00CF0AF7"/>
    <w:rsid w:val="00CF0BAB"/>
    <w:rsid w:val="00CF0D24"/>
    <w:rsid w:val="00CF0FBC"/>
    <w:rsid w:val="00CF1B2F"/>
    <w:rsid w:val="00CF2109"/>
    <w:rsid w:val="00CF2A50"/>
    <w:rsid w:val="00CF2EDF"/>
    <w:rsid w:val="00CF2F6A"/>
    <w:rsid w:val="00CF3310"/>
    <w:rsid w:val="00CF4948"/>
    <w:rsid w:val="00CF5AE9"/>
    <w:rsid w:val="00CF5C03"/>
    <w:rsid w:val="00CF5DB5"/>
    <w:rsid w:val="00CF6EF7"/>
    <w:rsid w:val="00CF7F82"/>
    <w:rsid w:val="00D00302"/>
    <w:rsid w:val="00D0072E"/>
    <w:rsid w:val="00D0083D"/>
    <w:rsid w:val="00D00941"/>
    <w:rsid w:val="00D0173E"/>
    <w:rsid w:val="00D019EE"/>
    <w:rsid w:val="00D01DCA"/>
    <w:rsid w:val="00D01E37"/>
    <w:rsid w:val="00D023B9"/>
    <w:rsid w:val="00D0272E"/>
    <w:rsid w:val="00D0285A"/>
    <w:rsid w:val="00D03136"/>
    <w:rsid w:val="00D0316A"/>
    <w:rsid w:val="00D0390E"/>
    <w:rsid w:val="00D03A82"/>
    <w:rsid w:val="00D0409E"/>
    <w:rsid w:val="00D0430F"/>
    <w:rsid w:val="00D04B20"/>
    <w:rsid w:val="00D053EC"/>
    <w:rsid w:val="00D0546A"/>
    <w:rsid w:val="00D05CC7"/>
    <w:rsid w:val="00D05D2F"/>
    <w:rsid w:val="00D05D77"/>
    <w:rsid w:val="00D060BA"/>
    <w:rsid w:val="00D06526"/>
    <w:rsid w:val="00D06B60"/>
    <w:rsid w:val="00D06BF4"/>
    <w:rsid w:val="00D06E1C"/>
    <w:rsid w:val="00D0719F"/>
    <w:rsid w:val="00D0731E"/>
    <w:rsid w:val="00D1000C"/>
    <w:rsid w:val="00D1006E"/>
    <w:rsid w:val="00D10973"/>
    <w:rsid w:val="00D10BD9"/>
    <w:rsid w:val="00D10DCB"/>
    <w:rsid w:val="00D10F65"/>
    <w:rsid w:val="00D1199A"/>
    <w:rsid w:val="00D11A56"/>
    <w:rsid w:val="00D13153"/>
    <w:rsid w:val="00D13175"/>
    <w:rsid w:val="00D13B5A"/>
    <w:rsid w:val="00D14063"/>
    <w:rsid w:val="00D1424C"/>
    <w:rsid w:val="00D143AE"/>
    <w:rsid w:val="00D149A8"/>
    <w:rsid w:val="00D14AA4"/>
    <w:rsid w:val="00D14DD6"/>
    <w:rsid w:val="00D14F95"/>
    <w:rsid w:val="00D15727"/>
    <w:rsid w:val="00D15A95"/>
    <w:rsid w:val="00D15BAC"/>
    <w:rsid w:val="00D16332"/>
    <w:rsid w:val="00D163B5"/>
    <w:rsid w:val="00D165CF"/>
    <w:rsid w:val="00D16E1A"/>
    <w:rsid w:val="00D17738"/>
    <w:rsid w:val="00D17E5B"/>
    <w:rsid w:val="00D20249"/>
    <w:rsid w:val="00D20774"/>
    <w:rsid w:val="00D21171"/>
    <w:rsid w:val="00D211E6"/>
    <w:rsid w:val="00D21394"/>
    <w:rsid w:val="00D2194C"/>
    <w:rsid w:val="00D21F4E"/>
    <w:rsid w:val="00D22690"/>
    <w:rsid w:val="00D22F03"/>
    <w:rsid w:val="00D22FFC"/>
    <w:rsid w:val="00D2301B"/>
    <w:rsid w:val="00D232FE"/>
    <w:rsid w:val="00D2387E"/>
    <w:rsid w:val="00D238AF"/>
    <w:rsid w:val="00D23AEB"/>
    <w:rsid w:val="00D24972"/>
    <w:rsid w:val="00D24A77"/>
    <w:rsid w:val="00D24C99"/>
    <w:rsid w:val="00D24F07"/>
    <w:rsid w:val="00D2501A"/>
    <w:rsid w:val="00D250BE"/>
    <w:rsid w:val="00D2515E"/>
    <w:rsid w:val="00D25CA4"/>
    <w:rsid w:val="00D26562"/>
    <w:rsid w:val="00D26DC0"/>
    <w:rsid w:val="00D274AE"/>
    <w:rsid w:val="00D2775A"/>
    <w:rsid w:val="00D27E4D"/>
    <w:rsid w:val="00D30244"/>
    <w:rsid w:val="00D30710"/>
    <w:rsid w:val="00D308ED"/>
    <w:rsid w:val="00D31458"/>
    <w:rsid w:val="00D3148A"/>
    <w:rsid w:val="00D329FE"/>
    <w:rsid w:val="00D32FAA"/>
    <w:rsid w:val="00D345DF"/>
    <w:rsid w:val="00D34783"/>
    <w:rsid w:val="00D359CE"/>
    <w:rsid w:val="00D3626E"/>
    <w:rsid w:val="00D36293"/>
    <w:rsid w:val="00D36FEF"/>
    <w:rsid w:val="00D37061"/>
    <w:rsid w:val="00D3734C"/>
    <w:rsid w:val="00D377A7"/>
    <w:rsid w:val="00D37C3C"/>
    <w:rsid w:val="00D37D52"/>
    <w:rsid w:val="00D4087F"/>
    <w:rsid w:val="00D40883"/>
    <w:rsid w:val="00D40AF7"/>
    <w:rsid w:val="00D415D4"/>
    <w:rsid w:val="00D41811"/>
    <w:rsid w:val="00D43234"/>
    <w:rsid w:val="00D441E8"/>
    <w:rsid w:val="00D4433F"/>
    <w:rsid w:val="00D4460C"/>
    <w:rsid w:val="00D45039"/>
    <w:rsid w:val="00D4556C"/>
    <w:rsid w:val="00D45A8F"/>
    <w:rsid w:val="00D46E8D"/>
    <w:rsid w:val="00D47233"/>
    <w:rsid w:val="00D47864"/>
    <w:rsid w:val="00D4789A"/>
    <w:rsid w:val="00D47ACE"/>
    <w:rsid w:val="00D50C70"/>
    <w:rsid w:val="00D50CF4"/>
    <w:rsid w:val="00D510CA"/>
    <w:rsid w:val="00D5174A"/>
    <w:rsid w:val="00D51D9C"/>
    <w:rsid w:val="00D52A28"/>
    <w:rsid w:val="00D53503"/>
    <w:rsid w:val="00D535D2"/>
    <w:rsid w:val="00D540E9"/>
    <w:rsid w:val="00D541FB"/>
    <w:rsid w:val="00D54A34"/>
    <w:rsid w:val="00D554AD"/>
    <w:rsid w:val="00D56178"/>
    <w:rsid w:val="00D565B0"/>
    <w:rsid w:val="00D56CA2"/>
    <w:rsid w:val="00D56CF0"/>
    <w:rsid w:val="00D56F5C"/>
    <w:rsid w:val="00D5720C"/>
    <w:rsid w:val="00D57494"/>
    <w:rsid w:val="00D57911"/>
    <w:rsid w:val="00D57930"/>
    <w:rsid w:val="00D609E7"/>
    <w:rsid w:val="00D61609"/>
    <w:rsid w:val="00D61760"/>
    <w:rsid w:val="00D61A09"/>
    <w:rsid w:val="00D61A3A"/>
    <w:rsid w:val="00D61BE4"/>
    <w:rsid w:val="00D62143"/>
    <w:rsid w:val="00D62954"/>
    <w:rsid w:val="00D6306B"/>
    <w:rsid w:val="00D630AD"/>
    <w:rsid w:val="00D63402"/>
    <w:rsid w:val="00D63F1F"/>
    <w:rsid w:val="00D641D6"/>
    <w:rsid w:val="00D6461D"/>
    <w:rsid w:val="00D64935"/>
    <w:rsid w:val="00D64E53"/>
    <w:rsid w:val="00D64FBF"/>
    <w:rsid w:val="00D664F2"/>
    <w:rsid w:val="00D66572"/>
    <w:rsid w:val="00D667A1"/>
    <w:rsid w:val="00D66918"/>
    <w:rsid w:val="00D66B5D"/>
    <w:rsid w:val="00D66D49"/>
    <w:rsid w:val="00D677F6"/>
    <w:rsid w:val="00D67FB1"/>
    <w:rsid w:val="00D67FC1"/>
    <w:rsid w:val="00D70364"/>
    <w:rsid w:val="00D704B1"/>
    <w:rsid w:val="00D704C3"/>
    <w:rsid w:val="00D70B63"/>
    <w:rsid w:val="00D70B6D"/>
    <w:rsid w:val="00D7132A"/>
    <w:rsid w:val="00D7147C"/>
    <w:rsid w:val="00D717FA"/>
    <w:rsid w:val="00D71C12"/>
    <w:rsid w:val="00D71F3E"/>
    <w:rsid w:val="00D723E6"/>
    <w:rsid w:val="00D724F6"/>
    <w:rsid w:val="00D726DC"/>
    <w:rsid w:val="00D72978"/>
    <w:rsid w:val="00D72B92"/>
    <w:rsid w:val="00D72DE3"/>
    <w:rsid w:val="00D72ED4"/>
    <w:rsid w:val="00D733EA"/>
    <w:rsid w:val="00D734C8"/>
    <w:rsid w:val="00D73613"/>
    <w:rsid w:val="00D737B2"/>
    <w:rsid w:val="00D73A96"/>
    <w:rsid w:val="00D73C91"/>
    <w:rsid w:val="00D73EC7"/>
    <w:rsid w:val="00D73F61"/>
    <w:rsid w:val="00D74C95"/>
    <w:rsid w:val="00D754C0"/>
    <w:rsid w:val="00D75CDB"/>
    <w:rsid w:val="00D75CE2"/>
    <w:rsid w:val="00D75D95"/>
    <w:rsid w:val="00D75D9B"/>
    <w:rsid w:val="00D766E8"/>
    <w:rsid w:val="00D7678C"/>
    <w:rsid w:val="00D76BB6"/>
    <w:rsid w:val="00D76E1E"/>
    <w:rsid w:val="00D77574"/>
    <w:rsid w:val="00D77657"/>
    <w:rsid w:val="00D776A2"/>
    <w:rsid w:val="00D801C4"/>
    <w:rsid w:val="00D802E2"/>
    <w:rsid w:val="00D802EA"/>
    <w:rsid w:val="00D80414"/>
    <w:rsid w:val="00D8118B"/>
    <w:rsid w:val="00D81231"/>
    <w:rsid w:val="00D817F8"/>
    <w:rsid w:val="00D8180A"/>
    <w:rsid w:val="00D81883"/>
    <w:rsid w:val="00D821D9"/>
    <w:rsid w:val="00D821DD"/>
    <w:rsid w:val="00D823F2"/>
    <w:rsid w:val="00D82584"/>
    <w:rsid w:val="00D84213"/>
    <w:rsid w:val="00D843FD"/>
    <w:rsid w:val="00D84758"/>
    <w:rsid w:val="00D84C0C"/>
    <w:rsid w:val="00D85159"/>
    <w:rsid w:val="00D8541D"/>
    <w:rsid w:val="00D86B32"/>
    <w:rsid w:val="00D87491"/>
    <w:rsid w:val="00D904B1"/>
    <w:rsid w:val="00D90836"/>
    <w:rsid w:val="00D90870"/>
    <w:rsid w:val="00D90D45"/>
    <w:rsid w:val="00D91191"/>
    <w:rsid w:val="00D91277"/>
    <w:rsid w:val="00D9150B"/>
    <w:rsid w:val="00D916F0"/>
    <w:rsid w:val="00D91990"/>
    <w:rsid w:val="00D91A00"/>
    <w:rsid w:val="00D922E1"/>
    <w:rsid w:val="00D9262A"/>
    <w:rsid w:val="00D92736"/>
    <w:rsid w:val="00D93115"/>
    <w:rsid w:val="00D9344D"/>
    <w:rsid w:val="00D936E7"/>
    <w:rsid w:val="00D9377D"/>
    <w:rsid w:val="00D93EA2"/>
    <w:rsid w:val="00D94487"/>
    <w:rsid w:val="00D9491A"/>
    <w:rsid w:val="00D94FC0"/>
    <w:rsid w:val="00D95036"/>
    <w:rsid w:val="00D95896"/>
    <w:rsid w:val="00D95925"/>
    <w:rsid w:val="00D95CC6"/>
    <w:rsid w:val="00D95D92"/>
    <w:rsid w:val="00D96319"/>
    <w:rsid w:val="00D96B35"/>
    <w:rsid w:val="00D971DF"/>
    <w:rsid w:val="00D97559"/>
    <w:rsid w:val="00DA0055"/>
    <w:rsid w:val="00DA038F"/>
    <w:rsid w:val="00DA045F"/>
    <w:rsid w:val="00DA0903"/>
    <w:rsid w:val="00DA09C8"/>
    <w:rsid w:val="00DA0BD5"/>
    <w:rsid w:val="00DA1116"/>
    <w:rsid w:val="00DA1419"/>
    <w:rsid w:val="00DA152D"/>
    <w:rsid w:val="00DA1929"/>
    <w:rsid w:val="00DA1D2E"/>
    <w:rsid w:val="00DA2091"/>
    <w:rsid w:val="00DA23F9"/>
    <w:rsid w:val="00DA248A"/>
    <w:rsid w:val="00DA2DA3"/>
    <w:rsid w:val="00DA2DF6"/>
    <w:rsid w:val="00DA310E"/>
    <w:rsid w:val="00DA3587"/>
    <w:rsid w:val="00DA35DF"/>
    <w:rsid w:val="00DA3C22"/>
    <w:rsid w:val="00DA3DC2"/>
    <w:rsid w:val="00DA3F13"/>
    <w:rsid w:val="00DA3F29"/>
    <w:rsid w:val="00DA4644"/>
    <w:rsid w:val="00DA4897"/>
    <w:rsid w:val="00DA49C3"/>
    <w:rsid w:val="00DA55FA"/>
    <w:rsid w:val="00DA60C4"/>
    <w:rsid w:val="00DA6407"/>
    <w:rsid w:val="00DA6456"/>
    <w:rsid w:val="00DA6599"/>
    <w:rsid w:val="00DA6615"/>
    <w:rsid w:val="00DA6B1D"/>
    <w:rsid w:val="00DA6EA5"/>
    <w:rsid w:val="00DA76AE"/>
    <w:rsid w:val="00DA7D3D"/>
    <w:rsid w:val="00DB0293"/>
    <w:rsid w:val="00DB0370"/>
    <w:rsid w:val="00DB03B7"/>
    <w:rsid w:val="00DB064D"/>
    <w:rsid w:val="00DB085E"/>
    <w:rsid w:val="00DB089A"/>
    <w:rsid w:val="00DB0E21"/>
    <w:rsid w:val="00DB162F"/>
    <w:rsid w:val="00DB181E"/>
    <w:rsid w:val="00DB1C7A"/>
    <w:rsid w:val="00DB2983"/>
    <w:rsid w:val="00DB2C16"/>
    <w:rsid w:val="00DB2D04"/>
    <w:rsid w:val="00DB343D"/>
    <w:rsid w:val="00DB4904"/>
    <w:rsid w:val="00DB5579"/>
    <w:rsid w:val="00DB5A33"/>
    <w:rsid w:val="00DB5CFE"/>
    <w:rsid w:val="00DB722F"/>
    <w:rsid w:val="00DB727B"/>
    <w:rsid w:val="00DB78A3"/>
    <w:rsid w:val="00DB7991"/>
    <w:rsid w:val="00DB79F9"/>
    <w:rsid w:val="00DB7A2A"/>
    <w:rsid w:val="00DB7E42"/>
    <w:rsid w:val="00DB7E57"/>
    <w:rsid w:val="00DC0130"/>
    <w:rsid w:val="00DC03E9"/>
    <w:rsid w:val="00DC0986"/>
    <w:rsid w:val="00DC1012"/>
    <w:rsid w:val="00DC1016"/>
    <w:rsid w:val="00DC1342"/>
    <w:rsid w:val="00DC18E1"/>
    <w:rsid w:val="00DC1AC6"/>
    <w:rsid w:val="00DC23F0"/>
    <w:rsid w:val="00DC2654"/>
    <w:rsid w:val="00DC2A93"/>
    <w:rsid w:val="00DC459A"/>
    <w:rsid w:val="00DC4675"/>
    <w:rsid w:val="00DC4C70"/>
    <w:rsid w:val="00DC4FDC"/>
    <w:rsid w:val="00DC50E9"/>
    <w:rsid w:val="00DC5369"/>
    <w:rsid w:val="00DC5956"/>
    <w:rsid w:val="00DC5F7A"/>
    <w:rsid w:val="00DC72A6"/>
    <w:rsid w:val="00DC74EE"/>
    <w:rsid w:val="00DD0088"/>
    <w:rsid w:val="00DD06FC"/>
    <w:rsid w:val="00DD0CE6"/>
    <w:rsid w:val="00DD2113"/>
    <w:rsid w:val="00DD2303"/>
    <w:rsid w:val="00DD2357"/>
    <w:rsid w:val="00DD265E"/>
    <w:rsid w:val="00DD31A8"/>
    <w:rsid w:val="00DD33DB"/>
    <w:rsid w:val="00DD4145"/>
    <w:rsid w:val="00DD4197"/>
    <w:rsid w:val="00DD4286"/>
    <w:rsid w:val="00DD5669"/>
    <w:rsid w:val="00DD5BDD"/>
    <w:rsid w:val="00DD667E"/>
    <w:rsid w:val="00DD67F3"/>
    <w:rsid w:val="00DD6A25"/>
    <w:rsid w:val="00DD6ABE"/>
    <w:rsid w:val="00DD7C1F"/>
    <w:rsid w:val="00DD7D15"/>
    <w:rsid w:val="00DD7E2E"/>
    <w:rsid w:val="00DE016E"/>
    <w:rsid w:val="00DE0376"/>
    <w:rsid w:val="00DE07FF"/>
    <w:rsid w:val="00DE095D"/>
    <w:rsid w:val="00DE0E6D"/>
    <w:rsid w:val="00DE109B"/>
    <w:rsid w:val="00DE17A6"/>
    <w:rsid w:val="00DE17AD"/>
    <w:rsid w:val="00DE216D"/>
    <w:rsid w:val="00DE279C"/>
    <w:rsid w:val="00DE28E6"/>
    <w:rsid w:val="00DE2A92"/>
    <w:rsid w:val="00DE2E01"/>
    <w:rsid w:val="00DE37B3"/>
    <w:rsid w:val="00DE3961"/>
    <w:rsid w:val="00DE397C"/>
    <w:rsid w:val="00DE4A3E"/>
    <w:rsid w:val="00DE4DEB"/>
    <w:rsid w:val="00DE5709"/>
    <w:rsid w:val="00DE5828"/>
    <w:rsid w:val="00DE5AE5"/>
    <w:rsid w:val="00DE61D4"/>
    <w:rsid w:val="00DE6EF6"/>
    <w:rsid w:val="00DE71D2"/>
    <w:rsid w:val="00DE71D7"/>
    <w:rsid w:val="00DE768D"/>
    <w:rsid w:val="00DE76F7"/>
    <w:rsid w:val="00DF0137"/>
    <w:rsid w:val="00DF1930"/>
    <w:rsid w:val="00DF21AA"/>
    <w:rsid w:val="00DF3218"/>
    <w:rsid w:val="00DF3265"/>
    <w:rsid w:val="00DF3882"/>
    <w:rsid w:val="00DF4E7C"/>
    <w:rsid w:val="00DF514A"/>
    <w:rsid w:val="00DF52E4"/>
    <w:rsid w:val="00DF55AE"/>
    <w:rsid w:val="00DF5CE5"/>
    <w:rsid w:val="00DF65EE"/>
    <w:rsid w:val="00DF70D2"/>
    <w:rsid w:val="00DF74F1"/>
    <w:rsid w:val="00DF75A1"/>
    <w:rsid w:val="00DF7620"/>
    <w:rsid w:val="00DF7856"/>
    <w:rsid w:val="00E00183"/>
    <w:rsid w:val="00E006D1"/>
    <w:rsid w:val="00E00C3F"/>
    <w:rsid w:val="00E015D4"/>
    <w:rsid w:val="00E018DE"/>
    <w:rsid w:val="00E01DC5"/>
    <w:rsid w:val="00E0252D"/>
    <w:rsid w:val="00E025F3"/>
    <w:rsid w:val="00E026B6"/>
    <w:rsid w:val="00E02C4A"/>
    <w:rsid w:val="00E0358D"/>
    <w:rsid w:val="00E036C7"/>
    <w:rsid w:val="00E042BE"/>
    <w:rsid w:val="00E048EB"/>
    <w:rsid w:val="00E04B87"/>
    <w:rsid w:val="00E04DF7"/>
    <w:rsid w:val="00E0514A"/>
    <w:rsid w:val="00E05526"/>
    <w:rsid w:val="00E05CB2"/>
    <w:rsid w:val="00E06327"/>
    <w:rsid w:val="00E064FA"/>
    <w:rsid w:val="00E067A7"/>
    <w:rsid w:val="00E067F7"/>
    <w:rsid w:val="00E06B35"/>
    <w:rsid w:val="00E06F7B"/>
    <w:rsid w:val="00E06F87"/>
    <w:rsid w:val="00E079E4"/>
    <w:rsid w:val="00E07ADB"/>
    <w:rsid w:val="00E07BDB"/>
    <w:rsid w:val="00E07C4C"/>
    <w:rsid w:val="00E07C8D"/>
    <w:rsid w:val="00E07FF5"/>
    <w:rsid w:val="00E1009B"/>
    <w:rsid w:val="00E107EB"/>
    <w:rsid w:val="00E10E95"/>
    <w:rsid w:val="00E10F00"/>
    <w:rsid w:val="00E11575"/>
    <w:rsid w:val="00E11D5D"/>
    <w:rsid w:val="00E120D1"/>
    <w:rsid w:val="00E133D9"/>
    <w:rsid w:val="00E139A6"/>
    <w:rsid w:val="00E13A3F"/>
    <w:rsid w:val="00E13C8B"/>
    <w:rsid w:val="00E13CBF"/>
    <w:rsid w:val="00E148A4"/>
    <w:rsid w:val="00E14F41"/>
    <w:rsid w:val="00E1500C"/>
    <w:rsid w:val="00E15347"/>
    <w:rsid w:val="00E1545F"/>
    <w:rsid w:val="00E15A56"/>
    <w:rsid w:val="00E15B5C"/>
    <w:rsid w:val="00E15C84"/>
    <w:rsid w:val="00E15E8A"/>
    <w:rsid w:val="00E16235"/>
    <w:rsid w:val="00E16837"/>
    <w:rsid w:val="00E16DBF"/>
    <w:rsid w:val="00E174A2"/>
    <w:rsid w:val="00E17A33"/>
    <w:rsid w:val="00E17B43"/>
    <w:rsid w:val="00E17CC0"/>
    <w:rsid w:val="00E20282"/>
    <w:rsid w:val="00E203DD"/>
    <w:rsid w:val="00E2064B"/>
    <w:rsid w:val="00E20965"/>
    <w:rsid w:val="00E211D2"/>
    <w:rsid w:val="00E225EB"/>
    <w:rsid w:val="00E226CA"/>
    <w:rsid w:val="00E226FA"/>
    <w:rsid w:val="00E23AC7"/>
    <w:rsid w:val="00E242BE"/>
    <w:rsid w:val="00E24AD2"/>
    <w:rsid w:val="00E25239"/>
    <w:rsid w:val="00E25254"/>
    <w:rsid w:val="00E256DB"/>
    <w:rsid w:val="00E25939"/>
    <w:rsid w:val="00E25F46"/>
    <w:rsid w:val="00E262CF"/>
    <w:rsid w:val="00E265B1"/>
    <w:rsid w:val="00E26B00"/>
    <w:rsid w:val="00E26D94"/>
    <w:rsid w:val="00E275B0"/>
    <w:rsid w:val="00E277B2"/>
    <w:rsid w:val="00E27B0C"/>
    <w:rsid w:val="00E30003"/>
    <w:rsid w:val="00E306A8"/>
    <w:rsid w:val="00E31588"/>
    <w:rsid w:val="00E319F1"/>
    <w:rsid w:val="00E32014"/>
    <w:rsid w:val="00E32A84"/>
    <w:rsid w:val="00E33021"/>
    <w:rsid w:val="00E332A6"/>
    <w:rsid w:val="00E33923"/>
    <w:rsid w:val="00E342F7"/>
    <w:rsid w:val="00E34506"/>
    <w:rsid w:val="00E349B5"/>
    <w:rsid w:val="00E34E27"/>
    <w:rsid w:val="00E35467"/>
    <w:rsid w:val="00E361C5"/>
    <w:rsid w:val="00E36C80"/>
    <w:rsid w:val="00E3754F"/>
    <w:rsid w:val="00E3786E"/>
    <w:rsid w:val="00E40800"/>
    <w:rsid w:val="00E40E00"/>
    <w:rsid w:val="00E40F19"/>
    <w:rsid w:val="00E40FA3"/>
    <w:rsid w:val="00E412D0"/>
    <w:rsid w:val="00E41EF3"/>
    <w:rsid w:val="00E42A4F"/>
    <w:rsid w:val="00E42DE9"/>
    <w:rsid w:val="00E42F8E"/>
    <w:rsid w:val="00E430F5"/>
    <w:rsid w:val="00E433AC"/>
    <w:rsid w:val="00E43E8E"/>
    <w:rsid w:val="00E43F05"/>
    <w:rsid w:val="00E443A1"/>
    <w:rsid w:val="00E448A6"/>
    <w:rsid w:val="00E44CFC"/>
    <w:rsid w:val="00E44F51"/>
    <w:rsid w:val="00E454C9"/>
    <w:rsid w:val="00E462C5"/>
    <w:rsid w:val="00E46325"/>
    <w:rsid w:val="00E46AE2"/>
    <w:rsid w:val="00E476B0"/>
    <w:rsid w:val="00E47ACF"/>
    <w:rsid w:val="00E47CDB"/>
    <w:rsid w:val="00E504B6"/>
    <w:rsid w:val="00E51A1E"/>
    <w:rsid w:val="00E51D95"/>
    <w:rsid w:val="00E51F62"/>
    <w:rsid w:val="00E534A9"/>
    <w:rsid w:val="00E53854"/>
    <w:rsid w:val="00E5417D"/>
    <w:rsid w:val="00E54306"/>
    <w:rsid w:val="00E54310"/>
    <w:rsid w:val="00E54C1B"/>
    <w:rsid w:val="00E55225"/>
    <w:rsid w:val="00E556B0"/>
    <w:rsid w:val="00E55807"/>
    <w:rsid w:val="00E55BB9"/>
    <w:rsid w:val="00E560D5"/>
    <w:rsid w:val="00E566BC"/>
    <w:rsid w:val="00E56D2D"/>
    <w:rsid w:val="00E574EB"/>
    <w:rsid w:val="00E57DA5"/>
    <w:rsid w:val="00E57EAF"/>
    <w:rsid w:val="00E60131"/>
    <w:rsid w:val="00E60982"/>
    <w:rsid w:val="00E60C8D"/>
    <w:rsid w:val="00E60D4E"/>
    <w:rsid w:val="00E60D97"/>
    <w:rsid w:val="00E610BE"/>
    <w:rsid w:val="00E611C1"/>
    <w:rsid w:val="00E6141F"/>
    <w:rsid w:val="00E61421"/>
    <w:rsid w:val="00E6162F"/>
    <w:rsid w:val="00E616A0"/>
    <w:rsid w:val="00E61866"/>
    <w:rsid w:val="00E6250D"/>
    <w:rsid w:val="00E62633"/>
    <w:rsid w:val="00E62693"/>
    <w:rsid w:val="00E62F5E"/>
    <w:rsid w:val="00E62FC6"/>
    <w:rsid w:val="00E6311B"/>
    <w:rsid w:val="00E6353C"/>
    <w:rsid w:val="00E63883"/>
    <w:rsid w:val="00E639B9"/>
    <w:rsid w:val="00E64BBE"/>
    <w:rsid w:val="00E656D9"/>
    <w:rsid w:val="00E65833"/>
    <w:rsid w:val="00E65902"/>
    <w:rsid w:val="00E65A4E"/>
    <w:rsid w:val="00E65D97"/>
    <w:rsid w:val="00E660BD"/>
    <w:rsid w:val="00E67279"/>
    <w:rsid w:val="00E672ED"/>
    <w:rsid w:val="00E67A9D"/>
    <w:rsid w:val="00E67EFD"/>
    <w:rsid w:val="00E70053"/>
    <w:rsid w:val="00E70170"/>
    <w:rsid w:val="00E702DC"/>
    <w:rsid w:val="00E705B6"/>
    <w:rsid w:val="00E70D57"/>
    <w:rsid w:val="00E71A9B"/>
    <w:rsid w:val="00E71AA5"/>
    <w:rsid w:val="00E71FFB"/>
    <w:rsid w:val="00E7203A"/>
    <w:rsid w:val="00E72717"/>
    <w:rsid w:val="00E72B45"/>
    <w:rsid w:val="00E73537"/>
    <w:rsid w:val="00E73642"/>
    <w:rsid w:val="00E7366A"/>
    <w:rsid w:val="00E73AE1"/>
    <w:rsid w:val="00E73B9E"/>
    <w:rsid w:val="00E7405B"/>
    <w:rsid w:val="00E7485A"/>
    <w:rsid w:val="00E74D1C"/>
    <w:rsid w:val="00E75208"/>
    <w:rsid w:val="00E75428"/>
    <w:rsid w:val="00E75728"/>
    <w:rsid w:val="00E75C0F"/>
    <w:rsid w:val="00E76563"/>
    <w:rsid w:val="00E766AB"/>
    <w:rsid w:val="00E76D1D"/>
    <w:rsid w:val="00E77CF3"/>
    <w:rsid w:val="00E802FC"/>
    <w:rsid w:val="00E803AE"/>
    <w:rsid w:val="00E806F8"/>
    <w:rsid w:val="00E8096B"/>
    <w:rsid w:val="00E80A25"/>
    <w:rsid w:val="00E811C4"/>
    <w:rsid w:val="00E81223"/>
    <w:rsid w:val="00E81546"/>
    <w:rsid w:val="00E81FD1"/>
    <w:rsid w:val="00E829A0"/>
    <w:rsid w:val="00E83172"/>
    <w:rsid w:val="00E84B13"/>
    <w:rsid w:val="00E84C91"/>
    <w:rsid w:val="00E85194"/>
    <w:rsid w:val="00E85393"/>
    <w:rsid w:val="00E853BD"/>
    <w:rsid w:val="00E853CE"/>
    <w:rsid w:val="00E854F4"/>
    <w:rsid w:val="00E856DE"/>
    <w:rsid w:val="00E857CC"/>
    <w:rsid w:val="00E8600A"/>
    <w:rsid w:val="00E8619B"/>
    <w:rsid w:val="00E86516"/>
    <w:rsid w:val="00E86D09"/>
    <w:rsid w:val="00E87752"/>
    <w:rsid w:val="00E8793B"/>
    <w:rsid w:val="00E87C87"/>
    <w:rsid w:val="00E87F85"/>
    <w:rsid w:val="00E9020A"/>
    <w:rsid w:val="00E90F81"/>
    <w:rsid w:val="00E91549"/>
    <w:rsid w:val="00E91A6D"/>
    <w:rsid w:val="00E91B45"/>
    <w:rsid w:val="00E91EF6"/>
    <w:rsid w:val="00E9242D"/>
    <w:rsid w:val="00E92452"/>
    <w:rsid w:val="00E936E9"/>
    <w:rsid w:val="00E93905"/>
    <w:rsid w:val="00E93AEE"/>
    <w:rsid w:val="00E9430E"/>
    <w:rsid w:val="00E94953"/>
    <w:rsid w:val="00E952D3"/>
    <w:rsid w:val="00E95303"/>
    <w:rsid w:val="00E955A6"/>
    <w:rsid w:val="00E95D21"/>
    <w:rsid w:val="00E95D6D"/>
    <w:rsid w:val="00E95DF5"/>
    <w:rsid w:val="00E96515"/>
    <w:rsid w:val="00E9680B"/>
    <w:rsid w:val="00E968E1"/>
    <w:rsid w:val="00E97424"/>
    <w:rsid w:val="00EA09DB"/>
    <w:rsid w:val="00EA09F6"/>
    <w:rsid w:val="00EA0C30"/>
    <w:rsid w:val="00EA276A"/>
    <w:rsid w:val="00EA27F9"/>
    <w:rsid w:val="00EA284F"/>
    <w:rsid w:val="00EA2E04"/>
    <w:rsid w:val="00EA3173"/>
    <w:rsid w:val="00EA34EB"/>
    <w:rsid w:val="00EA35CA"/>
    <w:rsid w:val="00EA3C91"/>
    <w:rsid w:val="00EA3D3D"/>
    <w:rsid w:val="00EA4157"/>
    <w:rsid w:val="00EA4CE9"/>
    <w:rsid w:val="00EA5322"/>
    <w:rsid w:val="00EA56B7"/>
    <w:rsid w:val="00EA5840"/>
    <w:rsid w:val="00EA683C"/>
    <w:rsid w:val="00EA7B78"/>
    <w:rsid w:val="00EA7D3E"/>
    <w:rsid w:val="00EB041C"/>
    <w:rsid w:val="00EB1D1E"/>
    <w:rsid w:val="00EB2DA2"/>
    <w:rsid w:val="00EB3115"/>
    <w:rsid w:val="00EB3201"/>
    <w:rsid w:val="00EB3597"/>
    <w:rsid w:val="00EB37BB"/>
    <w:rsid w:val="00EB3A6E"/>
    <w:rsid w:val="00EB3BA6"/>
    <w:rsid w:val="00EB45F2"/>
    <w:rsid w:val="00EB4D8A"/>
    <w:rsid w:val="00EB5323"/>
    <w:rsid w:val="00EB5A35"/>
    <w:rsid w:val="00EB68B6"/>
    <w:rsid w:val="00EB6AB0"/>
    <w:rsid w:val="00EB6DB2"/>
    <w:rsid w:val="00EB7037"/>
    <w:rsid w:val="00EB70C9"/>
    <w:rsid w:val="00EB7269"/>
    <w:rsid w:val="00EB77EF"/>
    <w:rsid w:val="00EC0512"/>
    <w:rsid w:val="00EC0A69"/>
    <w:rsid w:val="00EC0D35"/>
    <w:rsid w:val="00EC194A"/>
    <w:rsid w:val="00EC1A38"/>
    <w:rsid w:val="00EC2CF2"/>
    <w:rsid w:val="00EC30EA"/>
    <w:rsid w:val="00EC346F"/>
    <w:rsid w:val="00EC35A8"/>
    <w:rsid w:val="00EC3779"/>
    <w:rsid w:val="00EC378F"/>
    <w:rsid w:val="00EC3C9E"/>
    <w:rsid w:val="00EC3D8F"/>
    <w:rsid w:val="00EC44BC"/>
    <w:rsid w:val="00EC4DDC"/>
    <w:rsid w:val="00EC53E3"/>
    <w:rsid w:val="00EC5874"/>
    <w:rsid w:val="00EC6424"/>
    <w:rsid w:val="00EC6908"/>
    <w:rsid w:val="00EC74AE"/>
    <w:rsid w:val="00EC7618"/>
    <w:rsid w:val="00EC78EF"/>
    <w:rsid w:val="00ED0170"/>
    <w:rsid w:val="00ED1679"/>
    <w:rsid w:val="00ED192D"/>
    <w:rsid w:val="00ED1E6C"/>
    <w:rsid w:val="00ED255A"/>
    <w:rsid w:val="00ED2BA5"/>
    <w:rsid w:val="00ED30B4"/>
    <w:rsid w:val="00ED3156"/>
    <w:rsid w:val="00ED31C7"/>
    <w:rsid w:val="00ED31F5"/>
    <w:rsid w:val="00ED3457"/>
    <w:rsid w:val="00ED4422"/>
    <w:rsid w:val="00ED44EB"/>
    <w:rsid w:val="00ED45CF"/>
    <w:rsid w:val="00ED4E29"/>
    <w:rsid w:val="00ED59CF"/>
    <w:rsid w:val="00ED5EAD"/>
    <w:rsid w:val="00ED6FD5"/>
    <w:rsid w:val="00ED7241"/>
    <w:rsid w:val="00ED7A67"/>
    <w:rsid w:val="00ED7E94"/>
    <w:rsid w:val="00EE02F1"/>
    <w:rsid w:val="00EE076D"/>
    <w:rsid w:val="00EE0B88"/>
    <w:rsid w:val="00EE0D6D"/>
    <w:rsid w:val="00EE10C4"/>
    <w:rsid w:val="00EE1726"/>
    <w:rsid w:val="00EE183F"/>
    <w:rsid w:val="00EE27FB"/>
    <w:rsid w:val="00EE2889"/>
    <w:rsid w:val="00EE300C"/>
    <w:rsid w:val="00EE31D8"/>
    <w:rsid w:val="00EE371F"/>
    <w:rsid w:val="00EE3AB7"/>
    <w:rsid w:val="00EE3C3B"/>
    <w:rsid w:val="00EE539E"/>
    <w:rsid w:val="00EE5FE9"/>
    <w:rsid w:val="00EE7457"/>
    <w:rsid w:val="00EE74B3"/>
    <w:rsid w:val="00EF00C2"/>
    <w:rsid w:val="00EF00CA"/>
    <w:rsid w:val="00EF06C1"/>
    <w:rsid w:val="00EF06EA"/>
    <w:rsid w:val="00EF0827"/>
    <w:rsid w:val="00EF0FC0"/>
    <w:rsid w:val="00EF158C"/>
    <w:rsid w:val="00EF15F6"/>
    <w:rsid w:val="00EF18CA"/>
    <w:rsid w:val="00EF19EE"/>
    <w:rsid w:val="00EF2489"/>
    <w:rsid w:val="00EF2759"/>
    <w:rsid w:val="00EF2D8B"/>
    <w:rsid w:val="00EF2E88"/>
    <w:rsid w:val="00EF368F"/>
    <w:rsid w:val="00EF3754"/>
    <w:rsid w:val="00EF37E9"/>
    <w:rsid w:val="00EF38B4"/>
    <w:rsid w:val="00EF45EB"/>
    <w:rsid w:val="00EF5099"/>
    <w:rsid w:val="00EF5766"/>
    <w:rsid w:val="00EF5E33"/>
    <w:rsid w:val="00EF655C"/>
    <w:rsid w:val="00EF7827"/>
    <w:rsid w:val="00EF79EE"/>
    <w:rsid w:val="00F00075"/>
    <w:rsid w:val="00F0035F"/>
    <w:rsid w:val="00F006E8"/>
    <w:rsid w:val="00F02003"/>
    <w:rsid w:val="00F02671"/>
    <w:rsid w:val="00F02C48"/>
    <w:rsid w:val="00F03984"/>
    <w:rsid w:val="00F04179"/>
    <w:rsid w:val="00F047A0"/>
    <w:rsid w:val="00F04FF9"/>
    <w:rsid w:val="00F052A1"/>
    <w:rsid w:val="00F05ED6"/>
    <w:rsid w:val="00F06101"/>
    <w:rsid w:val="00F065C5"/>
    <w:rsid w:val="00F0688C"/>
    <w:rsid w:val="00F06CE5"/>
    <w:rsid w:val="00F06DBB"/>
    <w:rsid w:val="00F06ECD"/>
    <w:rsid w:val="00F06F8A"/>
    <w:rsid w:val="00F07626"/>
    <w:rsid w:val="00F07822"/>
    <w:rsid w:val="00F11DED"/>
    <w:rsid w:val="00F1245F"/>
    <w:rsid w:val="00F12B7A"/>
    <w:rsid w:val="00F133AD"/>
    <w:rsid w:val="00F149DA"/>
    <w:rsid w:val="00F149DC"/>
    <w:rsid w:val="00F1575E"/>
    <w:rsid w:val="00F159F6"/>
    <w:rsid w:val="00F15C95"/>
    <w:rsid w:val="00F15FD3"/>
    <w:rsid w:val="00F161D8"/>
    <w:rsid w:val="00F16B15"/>
    <w:rsid w:val="00F16CE5"/>
    <w:rsid w:val="00F17C74"/>
    <w:rsid w:val="00F17D8F"/>
    <w:rsid w:val="00F17E54"/>
    <w:rsid w:val="00F20686"/>
    <w:rsid w:val="00F20D56"/>
    <w:rsid w:val="00F2105E"/>
    <w:rsid w:val="00F22008"/>
    <w:rsid w:val="00F22197"/>
    <w:rsid w:val="00F22732"/>
    <w:rsid w:val="00F22985"/>
    <w:rsid w:val="00F230EE"/>
    <w:rsid w:val="00F23B37"/>
    <w:rsid w:val="00F23C5B"/>
    <w:rsid w:val="00F24008"/>
    <w:rsid w:val="00F241AB"/>
    <w:rsid w:val="00F24A6D"/>
    <w:rsid w:val="00F24DDE"/>
    <w:rsid w:val="00F2644A"/>
    <w:rsid w:val="00F26B43"/>
    <w:rsid w:val="00F273A9"/>
    <w:rsid w:val="00F27A84"/>
    <w:rsid w:val="00F3072C"/>
    <w:rsid w:val="00F30C25"/>
    <w:rsid w:val="00F31382"/>
    <w:rsid w:val="00F3152F"/>
    <w:rsid w:val="00F31922"/>
    <w:rsid w:val="00F31AEF"/>
    <w:rsid w:val="00F32415"/>
    <w:rsid w:val="00F32738"/>
    <w:rsid w:val="00F3278B"/>
    <w:rsid w:val="00F32909"/>
    <w:rsid w:val="00F32B17"/>
    <w:rsid w:val="00F32E58"/>
    <w:rsid w:val="00F33F94"/>
    <w:rsid w:val="00F3475E"/>
    <w:rsid w:val="00F347D2"/>
    <w:rsid w:val="00F34928"/>
    <w:rsid w:val="00F35479"/>
    <w:rsid w:val="00F35829"/>
    <w:rsid w:val="00F35AAC"/>
    <w:rsid w:val="00F35B51"/>
    <w:rsid w:val="00F35EB1"/>
    <w:rsid w:val="00F3663D"/>
    <w:rsid w:val="00F36A2F"/>
    <w:rsid w:val="00F37343"/>
    <w:rsid w:val="00F374B1"/>
    <w:rsid w:val="00F376B7"/>
    <w:rsid w:val="00F37D4C"/>
    <w:rsid w:val="00F401A4"/>
    <w:rsid w:val="00F40833"/>
    <w:rsid w:val="00F40C6B"/>
    <w:rsid w:val="00F40DB1"/>
    <w:rsid w:val="00F411B5"/>
    <w:rsid w:val="00F4124E"/>
    <w:rsid w:val="00F4128C"/>
    <w:rsid w:val="00F4161C"/>
    <w:rsid w:val="00F41673"/>
    <w:rsid w:val="00F416EF"/>
    <w:rsid w:val="00F42868"/>
    <w:rsid w:val="00F42974"/>
    <w:rsid w:val="00F42EDD"/>
    <w:rsid w:val="00F4310C"/>
    <w:rsid w:val="00F431AD"/>
    <w:rsid w:val="00F4371C"/>
    <w:rsid w:val="00F437C5"/>
    <w:rsid w:val="00F43BE5"/>
    <w:rsid w:val="00F43C66"/>
    <w:rsid w:val="00F43EE7"/>
    <w:rsid w:val="00F443C9"/>
    <w:rsid w:val="00F44BF3"/>
    <w:rsid w:val="00F45214"/>
    <w:rsid w:val="00F465A7"/>
    <w:rsid w:val="00F4735E"/>
    <w:rsid w:val="00F477A9"/>
    <w:rsid w:val="00F4787A"/>
    <w:rsid w:val="00F504F5"/>
    <w:rsid w:val="00F50619"/>
    <w:rsid w:val="00F50B7C"/>
    <w:rsid w:val="00F50E02"/>
    <w:rsid w:val="00F51365"/>
    <w:rsid w:val="00F51392"/>
    <w:rsid w:val="00F51B07"/>
    <w:rsid w:val="00F51D02"/>
    <w:rsid w:val="00F5202D"/>
    <w:rsid w:val="00F526C2"/>
    <w:rsid w:val="00F52881"/>
    <w:rsid w:val="00F52C3A"/>
    <w:rsid w:val="00F52CF6"/>
    <w:rsid w:val="00F52ECB"/>
    <w:rsid w:val="00F532AE"/>
    <w:rsid w:val="00F53333"/>
    <w:rsid w:val="00F53824"/>
    <w:rsid w:val="00F5425B"/>
    <w:rsid w:val="00F54496"/>
    <w:rsid w:val="00F54CCC"/>
    <w:rsid w:val="00F55066"/>
    <w:rsid w:val="00F565CC"/>
    <w:rsid w:val="00F56910"/>
    <w:rsid w:val="00F5692B"/>
    <w:rsid w:val="00F60325"/>
    <w:rsid w:val="00F60536"/>
    <w:rsid w:val="00F607ED"/>
    <w:rsid w:val="00F61097"/>
    <w:rsid w:val="00F611A1"/>
    <w:rsid w:val="00F6136B"/>
    <w:rsid w:val="00F62701"/>
    <w:rsid w:val="00F62B56"/>
    <w:rsid w:val="00F63229"/>
    <w:rsid w:val="00F632D4"/>
    <w:rsid w:val="00F642F1"/>
    <w:rsid w:val="00F646A3"/>
    <w:rsid w:val="00F650D2"/>
    <w:rsid w:val="00F65BBD"/>
    <w:rsid w:val="00F66513"/>
    <w:rsid w:val="00F66A36"/>
    <w:rsid w:val="00F66BB3"/>
    <w:rsid w:val="00F66F07"/>
    <w:rsid w:val="00F70043"/>
    <w:rsid w:val="00F70F5B"/>
    <w:rsid w:val="00F70FEF"/>
    <w:rsid w:val="00F7128D"/>
    <w:rsid w:val="00F726A3"/>
    <w:rsid w:val="00F72886"/>
    <w:rsid w:val="00F72CDB"/>
    <w:rsid w:val="00F73303"/>
    <w:rsid w:val="00F7350E"/>
    <w:rsid w:val="00F73517"/>
    <w:rsid w:val="00F735AC"/>
    <w:rsid w:val="00F7388D"/>
    <w:rsid w:val="00F738C7"/>
    <w:rsid w:val="00F73BE2"/>
    <w:rsid w:val="00F742A6"/>
    <w:rsid w:val="00F74345"/>
    <w:rsid w:val="00F74441"/>
    <w:rsid w:val="00F7509D"/>
    <w:rsid w:val="00F750FB"/>
    <w:rsid w:val="00F75168"/>
    <w:rsid w:val="00F75499"/>
    <w:rsid w:val="00F7557A"/>
    <w:rsid w:val="00F75D26"/>
    <w:rsid w:val="00F75F4A"/>
    <w:rsid w:val="00F7665C"/>
    <w:rsid w:val="00F767F3"/>
    <w:rsid w:val="00F7683D"/>
    <w:rsid w:val="00F76CC2"/>
    <w:rsid w:val="00F770AB"/>
    <w:rsid w:val="00F776E3"/>
    <w:rsid w:val="00F77F30"/>
    <w:rsid w:val="00F80345"/>
    <w:rsid w:val="00F80F22"/>
    <w:rsid w:val="00F81267"/>
    <w:rsid w:val="00F81464"/>
    <w:rsid w:val="00F81C9B"/>
    <w:rsid w:val="00F82589"/>
    <w:rsid w:val="00F825B6"/>
    <w:rsid w:val="00F82AC8"/>
    <w:rsid w:val="00F82B19"/>
    <w:rsid w:val="00F83A32"/>
    <w:rsid w:val="00F83AD9"/>
    <w:rsid w:val="00F845C6"/>
    <w:rsid w:val="00F84B42"/>
    <w:rsid w:val="00F84D00"/>
    <w:rsid w:val="00F84D80"/>
    <w:rsid w:val="00F8521D"/>
    <w:rsid w:val="00F85711"/>
    <w:rsid w:val="00F85833"/>
    <w:rsid w:val="00F8599C"/>
    <w:rsid w:val="00F86249"/>
    <w:rsid w:val="00F864A9"/>
    <w:rsid w:val="00F864E3"/>
    <w:rsid w:val="00F86A3C"/>
    <w:rsid w:val="00F86D9F"/>
    <w:rsid w:val="00F8713D"/>
    <w:rsid w:val="00F878D3"/>
    <w:rsid w:val="00F87A76"/>
    <w:rsid w:val="00F87B0C"/>
    <w:rsid w:val="00F9097C"/>
    <w:rsid w:val="00F90AA7"/>
    <w:rsid w:val="00F91997"/>
    <w:rsid w:val="00F91BEF"/>
    <w:rsid w:val="00F92070"/>
    <w:rsid w:val="00F9212D"/>
    <w:rsid w:val="00F9234A"/>
    <w:rsid w:val="00F927F5"/>
    <w:rsid w:val="00F92C47"/>
    <w:rsid w:val="00F934CF"/>
    <w:rsid w:val="00F94313"/>
    <w:rsid w:val="00F95907"/>
    <w:rsid w:val="00F95CBF"/>
    <w:rsid w:val="00F96329"/>
    <w:rsid w:val="00F963E6"/>
    <w:rsid w:val="00F96947"/>
    <w:rsid w:val="00F96B69"/>
    <w:rsid w:val="00F97167"/>
    <w:rsid w:val="00F975C3"/>
    <w:rsid w:val="00F9760A"/>
    <w:rsid w:val="00F97C93"/>
    <w:rsid w:val="00FA098F"/>
    <w:rsid w:val="00FA0EE5"/>
    <w:rsid w:val="00FA0F37"/>
    <w:rsid w:val="00FA1283"/>
    <w:rsid w:val="00FA18DB"/>
    <w:rsid w:val="00FA24DA"/>
    <w:rsid w:val="00FA27D0"/>
    <w:rsid w:val="00FA292D"/>
    <w:rsid w:val="00FA2999"/>
    <w:rsid w:val="00FA2C17"/>
    <w:rsid w:val="00FA2F11"/>
    <w:rsid w:val="00FA301A"/>
    <w:rsid w:val="00FA406A"/>
    <w:rsid w:val="00FA4488"/>
    <w:rsid w:val="00FA53FA"/>
    <w:rsid w:val="00FA59DB"/>
    <w:rsid w:val="00FA5CB6"/>
    <w:rsid w:val="00FA650F"/>
    <w:rsid w:val="00FA6912"/>
    <w:rsid w:val="00FA6AD0"/>
    <w:rsid w:val="00FA6D9B"/>
    <w:rsid w:val="00FB0284"/>
    <w:rsid w:val="00FB14CC"/>
    <w:rsid w:val="00FB1AE7"/>
    <w:rsid w:val="00FB2B5E"/>
    <w:rsid w:val="00FB2E26"/>
    <w:rsid w:val="00FB3145"/>
    <w:rsid w:val="00FB3178"/>
    <w:rsid w:val="00FB3305"/>
    <w:rsid w:val="00FB3343"/>
    <w:rsid w:val="00FB3462"/>
    <w:rsid w:val="00FB3B9A"/>
    <w:rsid w:val="00FB3F28"/>
    <w:rsid w:val="00FB5311"/>
    <w:rsid w:val="00FB594B"/>
    <w:rsid w:val="00FB62BC"/>
    <w:rsid w:val="00FB6DC6"/>
    <w:rsid w:val="00FB730B"/>
    <w:rsid w:val="00FB74D4"/>
    <w:rsid w:val="00FC0390"/>
    <w:rsid w:val="00FC03CB"/>
    <w:rsid w:val="00FC09D6"/>
    <w:rsid w:val="00FC1224"/>
    <w:rsid w:val="00FC17FC"/>
    <w:rsid w:val="00FC1AA1"/>
    <w:rsid w:val="00FC1FD1"/>
    <w:rsid w:val="00FC28C3"/>
    <w:rsid w:val="00FC2D3B"/>
    <w:rsid w:val="00FC34D2"/>
    <w:rsid w:val="00FC3533"/>
    <w:rsid w:val="00FC3DBF"/>
    <w:rsid w:val="00FC404F"/>
    <w:rsid w:val="00FC41DC"/>
    <w:rsid w:val="00FC440F"/>
    <w:rsid w:val="00FC4925"/>
    <w:rsid w:val="00FC4A95"/>
    <w:rsid w:val="00FC4AF1"/>
    <w:rsid w:val="00FC4F5A"/>
    <w:rsid w:val="00FC553D"/>
    <w:rsid w:val="00FC5CA6"/>
    <w:rsid w:val="00FC5CC7"/>
    <w:rsid w:val="00FC61E0"/>
    <w:rsid w:val="00FC6673"/>
    <w:rsid w:val="00FC66AC"/>
    <w:rsid w:val="00FC6FC5"/>
    <w:rsid w:val="00FC7050"/>
    <w:rsid w:val="00FC71CE"/>
    <w:rsid w:val="00FD0569"/>
    <w:rsid w:val="00FD0644"/>
    <w:rsid w:val="00FD0EE5"/>
    <w:rsid w:val="00FD10E3"/>
    <w:rsid w:val="00FD1352"/>
    <w:rsid w:val="00FD18F4"/>
    <w:rsid w:val="00FD19F9"/>
    <w:rsid w:val="00FD1BA7"/>
    <w:rsid w:val="00FD1BF7"/>
    <w:rsid w:val="00FD1C42"/>
    <w:rsid w:val="00FD1D2C"/>
    <w:rsid w:val="00FD2A26"/>
    <w:rsid w:val="00FD2AD1"/>
    <w:rsid w:val="00FD3645"/>
    <w:rsid w:val="00FD3AC3"/>
    <w:rsid w:val="00FD4117"/>
    <w:rsid w:val="00FD4273"/>
    <w:rsid w:val="00FD4277"/>
    <w:rsid w:val="00FD4980"/>
    <w:rsid w:val="00FD49B2"/>
    <w:rsid w:val="00FD4D64"/>
    <w:rsid w:val="00FD534E"/>
    <w:rsid w:val="00FD5FB2"/>
    <w:rsid w:val="00FD6448"/>
    <w:rsid w:val="00FD66D9"/>
    <w:rsid w:val="00FD6A71"/>
    <w:rsid w:val="00FD6D80"/>
    <w:rsid w:val="00FD725C"/>
    <w:rsid w:val="00FD74B4"/>
    <w:rsid w:val="00FD7565"/>
    <w:rsid w:val="00FD757C"/>
    <w:rsid w:val="00FD7795"/>
    <w:rsid w:val="00FD7835"/>
    <w:rsid w:val="00FD79D7"/>
    <w:rsid w:val="00FD7B08"/>
    <w:rsid w:val="00FD7D5E"/>
    <w:rsid w:val="00FE08C8"/>
    <w:rsid w:val="00FE0C25"/>
    <w:rsid w:val="00FE1589"/>
    <w:rsid w:val="00FE2210"/>
    <w:rsid w:val="00FE230C"/>
    <w:rsid w:val="00FE2603"/>
    <w:rsid w:val="00FE282A"/>
    <w:rsid w:val="00FE29BF"/>
    <w:rsid w:val="00FE2F99"/>
    <w:rsid w:val="00FE376D"/>
    <w:rsid w:val="00FE4177"/>
    <w:rsid w:val="00FE53B9"/>
    <w:rsid w:val="00FE5472"/>
    <w:rsid w:val="00FE55C7"/>
    <w:rsid w:val="00FE5C63"/>
    <w:rsid w:val="00FE5E47"/>
    <w:rsid w:val="00FE6C78"/>
    <w:rsid w:val="00FE70D2"/>
    <w:rsid w:val="00FE798D"/>
    <w:rsid w:val="00FE7CF5"/>
    <w:rsid w:val="00FE7DE9"/>
    <w:rsid w:val="00FE7EFE"/>
    <w:rsid w:val="00FF0510"/>
    <w:rsid w:val="00FF090C"/>
    <w:rsid w:val="00FF0B64"/>
    <w:rsid w:val="00FF0ECA"/>
    <w:rsid w:val="00FF0F6B"/>
    <w:rsid w:val="00FF11F5"/>
    <w:rsid w:val="00FF1524"/>
    <w:rsid w:val="00FF1E07"/>
    <w:rsid w:val="00FF3067"/>
    <w:rsid w:val="00FF3091"/>
    <w:rsid w:val="00FF3A03"/>
    <w:rsid w:val="00FF3C6D"/>
    <w:rsid w:val="00FF4267"/>
    <w:rsid w:val="00FF4694"/>
    <w:rsid w:val="00FF49E4"/>
    <w:rsid w:val="00FF4CE8"/>
    <w:rsid w:val="00FF5250"/>
    <w:rsid w:val="00FF54B2"/>
    <w:rsid w:val="00FF593F"/>
    <w:rsid w:val="00FF5F1D"/>
    <w:rsid w:val="00FF5FEC"/>
    <w:rsid w:val="00FF61B5"/>
    <w:rsid w:val="00FF6858"/>
    <w:rsid w:val="00FF6CC0"/>
    <w:rsid w:val="00FF6EA1"/>
    <w:rsid w:val="00FF6FCE"/>
    <w:rsid w:val="00FF7286"/>
    <w:rsid w:val="00FF72DD"/>
    <w:rsid w:val="00FF7518"/>
    <w:rsid w:val="00FF7B32"/>
    <w:rsid w:val="00FF7D6D"/>
    <w:rsid w:val="00FF7FD8"/>
    <w:rsid w:val="05742AC8"/>
    <w:rsid w:val="06352F05"/>
    <w:rsid w:val="063E7D85"/>
    <w:rsid w:val="070875E0"/>
    <w:rsid w:val="07293586"/>
    <w:rsid w:val="07295285"/>
    <w:rsid w:val="07770C56"/>
    <w:rsid w:val="092217DD"/>
    <w:rsid w:val="093A7294"/>
    <w:rsid w:val="0BD27BF6"/>
    <w:rsid w:val="0C5E2A7D"/>
    <w:rsid w:val="0E110D06"/>
    <w:rsid w:val="0F13775A"/>
    <w:rsid w:val="0F9A112B"/>
    <w:rsid w:val="106D2F64"/>
    <w:rsid w:val="10B63710"/>
    <w:rsid w:val="111C2F7A"/>
    <w:rsid w:val="113013DE"/>
    <w:rsid w:val="122B06C2"/>
    <w:rsid w:val="13951726"/>
    <w:rsid w:val="13B642FE"/>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4F3B10"/>
    <w:rsid w:val="20963CB8"/>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5B216A9"/>
    <w:rsid w:val="36074A7F"/>
    <w:rsid w:val="36923549"/>
    <w:rsid w:val="36B75FBF"/>
    <w:rsid w:val="36FB4891"/>
    <w:rsid w:val="38F12CD3"/>
    <w:rsid w:val="38F94775"/>
    <w:rsid w:val="392971ED"/>
    <w:rsid w:val="3B3763D1"/>
    <w:rsid w:val="3CDA245A"/>
    <w:rsid w:val="3CEE0A37"/>
    <w:rsid w:val="3F660E74"/>
    <w:rsid w:val="407A6407"/>
    <w:rsid w:val="423A3BCC"/>
    <w:rsid w:val="433A6FE6"/>
    <w:rsid w:val="4350713C"/>
    <w:rsid w:val="436653E0"/>
    <w:rsid w:val="44CC014F"/>
    <w:rsid w:val="44CD14E0"/>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DF87A0F"/>
    <w:rsid w:val="5E535ED4"/>
    <w:rsid w:val="5F1A2B43"/>
    <w:rsid w:val="5FB837BB"/>
    <w:rsid w:val="62364782"/>
    <w:rsid w:val="63D40BE9"/>
    <w:rsid w:val="63E0211F"/>
    <w:rsid w:val="65373578"/>
    <w:rsid w:val="673F2C7A"/>
    <w:rsid w:val="681F6961"/>
    <w:rsid w:val="68610A2F"/>
    <w:rsid w:val="68805514"/>
    <w:rsid w:val="694E2071"/>
    <w:rsid w:val="697A3B33"/>
    <w:rsid w:val="699E2456"/>
    <w:rsid w:val="6B322639"/>
    <w:rsid w:val="6C1838DB"/>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semiHidden="0" w:name="heading 2" w:locked="1"/>
    <w:lsdException w:qFormat="1" w:uiPriority="9" w:semiHidden="0" w:name="heading 3" w:locked="1"/>
    <w:lsdException w:qFormat="1" w:uiPriority="9" w:semiHidden="0" w:name="heading 4" w:locked="1"/>
    <w:lsdException w:qFormat="1" w:uiPriority="9" w:semiHidden="0" w:name="heading 5" w:locked="1"/>
    <w:lsdException w:qFormat="1" w:uiPriority="9" w:semiHidden="0" w:name="heading 6" w:locked="1"/>
    <w:lsdException w:qFormat="1" w:uiPriority="9" w:semiHidden="0" w:name="heading 7" w:locked="1"/>
    <w:lsdException w:qFormat="1" w:uiPriority="9" w:semiHidden="0" w:name="heading 8" w:locked="1"/>
    <w:lsdException w:qFormat="1" w:uiPriority="9" w:semiHidden="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ocked="1"/>
    <w:lsdException w:qFormat="1" w:uiPriority="39" w:semiHidden="0" w:name="toc 2" w:locked="1"/>
    <w:lsdException w:uiPriority="39" w:semiHidden="0" w:name="toc 3" w:locked="1"/>
    <w:lsdException w:qFormat="1" w:uiPriority="39" w:semiHidden="0" w:name="toc 4" w:locked="1"/>
    <w:lsdException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unhideWhenUsed="0" w:uiPriority="0" w:semiHidden="0" w:name="Normal Indent"/>
    <w:lsdException w:uiPriority="0" w:name="footnote text"/>
    <w:lsdException w:qFormat="1" w:unhideWhenUsed="0" w:uiPriority="0" w:semiHidden="0" w:name="annotation text"/>
    <w:lsdException w:uiPriority="99" w:semiHidden="0" w:name="header"/>
    <w:lsdException w:qFormat="1" w:uiPriority="0" w:semiHidden="0" w:name="footer"/>
    <w:lsdException w:uiPriority="0" w:name="index heading"/>
    <w:lsdException w:qFormat="1" w:uiPriority="35"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iPriority="99"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ocked="1"/>
    <w:lsdException w:uiPriority="0" w:name="Closing"/>
    <w:lsdException w:uiPriority="0" w:name="Signature"/>
    <w:lsdException w:uiPriority="1" w:name="Default Paragraph Font"/>
    <w:lsdException w:qFormat="1" w:uiPriority="99" w:semiHidden="0" w:name="Body Text"/>
    <w:lsdException w:qFormat="1" w:unhideWhenUsed="0"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ocked="1"/>
    <w:lsdException w:unhideWhenUsed="0" w:uiPriority="0" w:semiHidden="0" w:name="Salutation"/>
    <w:lsdException w:qFormat="1" w:unhideWhenUsed="0" w:uiPriority="0" w:semiHidden="0" w:name="Date"/>
    <w:lsdException w:qFormat="1" w:uiPriority="99"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99" w:semiHidden="0" w:name="Hyperlink"/>
    <w:lsdException w:uiPriority="0" w:name="FollowedHyperlink"/>
    <w:lsdException w:qFormat="1" w:unhideWhenUsed="0" w:uiPriority="22" w:semiHidden="0" w:name="Strong" w:locked="1"/>
    <w:lsdException w:qFormat="1" w:unhideWhenUsed="0" w:uiPriority="20" w:semiHidden="0" w:name="Emphasis" w:locked="1"/>
    <w:lsdException w:qFormat="1" w:uiPriority="99"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99" w:semiHidden="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59" w:semiHidden="0" w:name="Table Grid"/>
    <w:lsdException w:uiPriority="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lang w:val="en-US" w:eastAsia="zh-CN" w:bidi="ar-SA"/>
    </w:rPr>
  </w:style>
  <w:style w:type="paragraph" w:styleId="2">
    <w:name w:val="heading 1"/>
    <w:basedOn w:val="1"/>
    <w:next w:val="3"/>
    <w:link w:val="50"/>
    <w:qFormat/>
    <w:uiPriority w:val="9"/>
    <w:pPr>
      <w:keepNext/>
      <w:keepLines/>
      <w:numPr>
        <w:ilvl w:val="0"/>
        <w:numId w:val="1"/>
      </w:numPr>
      <w:adjustRightInd w:val="0"/>
      <w:snapToGrid w:val="0"/>
      <w:spacing w:line="360" w:lineRule="auto"/>
      <w:outlineLvl w:val="0"/>
    </w:pPr>
    <w:rPr>
      <w:rFonts w:eastAsia="黑体"/>
      <w:bCs/>
      <w:kern w:val="44"/>
      <w:sz w:val="24"/>
      <w:szCs w:val="44"/>
    </w:rPr>
  </w:style>
  <w:style w:type="paragraph" w:styleId="5">
    <w:name w:val="heading 2"/>
    <w:basedOn w:val="1"/>
    <w:next w:val="3"/>
    <w:link w:val="51"/>
    <w:unhideWhenUsed/>
    <w:qFormat/>
    <w:locked/>
    <w:uiPriority w:val="9"/>
    <w:pPr>
      <w:keepNext/>
      <w:keepLines/>
      <w:numPr>
        <w:ilvl w:val="1"/>
        <w:numId w:val="1"/>
      </w:numPr>
      <w:adjustRightInd w:val="0"/>
      <w:snapToGrid w:val="0"/>
      <w:spacing w:line="360" w:lineRule="auto"/>
      <w:outlineLvl w:val="1"/>
    </w:pPr>
    <w:rPr>
      <w:rFonts w:eastAsia="黑体"/>
      <w:bCs/>
      <w:sz w:val="24"/>
      <w:szCs w:val="32"/>
    </w:rPr>
  </w:style>
  <w:style w:type="paragraph" w:styleId="6">
    <w:name w:val="heading 3"/>
    <w:basedOn w:val="1"/>
    <w:next w:val="3"/>
    <w:link w:val="52"/>
    <w:unhideWhenUsed/>
    <w:qFormat/>
    <w:locked/>
    <w:uiPriority w:val="9"/>
    <w:pPr>
      <w:keepNext/>
      <w:keepLines/>
      <w:numPr>
        <w:ilvl w:val="2"/>
        <w:numId w:val="1"/>
      </w:numPr>
      <w:adjustRightInd w:val="0"/>
      <w:snapToGrid w:val="0"/>
      <w:spacing w:line="360" w:lineRule="auto"/>
      <w:outlineLvl w:val="2"/>
    </w:pPr>
    <w:rPr>
      <w:bCs/>
      <w:sz w:val="24"/>
      <w:szCs w:val="32"/>
    </w:rPr>
  </w:style>
  <w:style w:type="paragraph" w:styleId="7">
    <w:name w:val="heading 4"/>
    <w:basedOn w:val="1"/>
    <w:next w:val="3"/>
    <w:link w:val="53"/>
    <w:unhideWhenUsed/>
    <w:qFormat/>
    <w:locked/>
    <w:uiPriority w:val="9"/>
    <w:pPr>
      <w:keepNext/>
      <w:keepLines/>
      <w:numPr>
        <w:ilvl w:val="3"/>
        <w:numId w:val="1"/>
      </w:numPr>
      <w:adjustRightInd w:val="0"/>
      <w:snapToGrid w:val="0"/>
      <w:spacing w:line="360" w:lineRule="auto"/>
      <w:jc w:val="left"/>
      <w:outlineLvl w:val="3"/>
    </w:pPr>
    <w:rPr>
      <w:bCs/>
      <w:sz w:val="24"/>
      <w:szCs w:val="28"/>
    </w:rPr>
  </w:style>
  <w:style w:type="paragraph" w:styleId="8">
    <w:name w:val="heading 5"/>
    <w:basedOn w:val="1"/>
    <w:next w:val="3"/>
    <w:link w:val="54"/>
    <w:autoRedefine/>
    <w:unhideWhenUsed/>
    <w:qFormat/>
    <w:locked/>
    <w:uiPriority w:val="9"/>
    <w:pPr>
      <w:keepNext/>
      <w:keepLines/>
      <w:numPr>
        <w:ilvl w:val="4"/>
        <w:numId w:val="1"/>
      </w:numPr>
      <w:spacing w:before="120" w:line="360" w:lineRule="auto"/>
      <w:outlineLvl w:val="4"/>
    </w:pPr>
    <w:rPr>
      <w:bCs/>
      <w:sz w:val="24"/>
      <w:szCs w:val="28"/>
    </w:rPr>
  </w:style>
  <w:style w:type="paragraph" w:styleId="9">
    <w:name w:val="heading 6"/>
    <w:basedOn w:val="1"/>
    <w:next w:val="1"/>
    <w:link w:val="55"/>
    <w:unhideWhenUsed/>
    <w:qFormat/>
    <w:locked/>
    <w:uiPriority w:val="9"/>
    <w:pPr>
      <w:keepNext/>
      <w:keepLines/>
      <w:numPr>
        <w:ilvl w:val="5"/>
        <w:numId w:val="1"/>
      </w:numPr>
      <w:spacing w:before="240" w:after="64" w:line="320" w:lineRule="auto"/>
      <w:outlineLvl w:val="5"/>
    </w:pPr>
    <w:rPr>
      <w:rFonts w:ascii="Cambria" w:hAnsi="Cambria"/>
      <w:b/>
      <w:bCs/>
      <w:sz w:val="24"/>
      <w:szCs w:val="24"/>
    </w:rPr>
  </w:style>
  <w:style w:type="paragraph" w:styleId="10">
    <w:name w:val="heading 7"/>
    <w:basedOn w:val="1"/>
    <w:next w:val="1"/>
    <w:link w:val="56"/>
    <w:unhideWhenUsed/>
    <w:qFormat/>
    <w:locked/>
    <w:uiPriority w:val="9"/>
    <w:pPr>
      <w:keepNext/>
      <w:keepLines/>
      <w:numPr>
        <w:ilvl w:val="6"/>
        <w:numId w:val="1"/>
      </w:numPr>
      <w:spacing w:before="240" w:after="64" w:line="320" w:lineRule="auto"/>
      <w:outlineLvl w:val="6"/>
    </w:pPr>
    <w:rPr>
      <w:b/>
      <w:bCs/>
      <w:sz w:val="24"/>
      <w:szCs w:val="24"/>
    </w:rPr>
  </w:style>
  <w:style w:type="paragraph" w:styleId="11">
    <w:name w:val="heading 8"/>
    <w:basedOn w:val="1"/>
    <w:next w:val="1"/>
    <w:link w:val="57"/>
    <w:unhideWhenUsed/>
    <w:qFormat/>
    <w:locked/>
    <w:uiPriority w:val="9"/>
    <w:pPr>
      <w:keepNext/>
      <w:keepLines/>
      <w:numPr>
        <w:ilvl w:val="7"/>
        <w:numId w:val="1"/>
      </w:numPr>
      <w:spacing w:before="240" w:after="64" w:line="320" w:lineRule="auto"/>
      <w:outlineLvl w:val="7"/>
    </w:pPr>
    <w:rPr>
      <w:rFonts w:ascii="Cambria" w:hAnsi="Cambria"/>
      <w:sz w:val="24"/>
      <w:szCs w:val="24"/>
    </w:rPr>
  </w:style>
  <w:style w:type="paragraph" w:styleId="12">
    <w:name w:val="heading 9"/>
    <w:basedOn w:val="1"/>
    <w:next w:val="1"/>
    <w:link w:val="58"/>
    <w:unhideWhenUsed/>
    <w:qFormat/>
    <w:locked/>
    <w:uiPriority w:val="9"/>
    <w:pPr>
      <w:keepNext/>
      <w:keepLines/>
      <w:numPr>
        <w:ilvl w:val="8"/>
        <w:numId w:val="1"/>
      </w:numPr>
      <w:spacing w:before="240" w:after="64" w:line="320" w:lineRule="auto"/>
      <w:outlineLvl w:val="8"/>
    </w:pPr>
    <w:rPr>
      <w:rFonts w:ascii="Cambria" w:hAnsi="Cambria"/>
    </w:rPr>
  </w:style>
  <w:style w:type="character" w:default="1" w:styleId="42">
    <w:name w:val="Default Paragraph Font"/>
    <w:semiHidden/>
    <w:unhideWhenUsed/>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3">
    <w:name w:val="Body Text First Indent"/>
    <w:basedOn w:val="4"/>
    <w:link w:val="49"/>
    <w:unhideWhenUsed/>
    <w:qFormat/>
    <w:uiPriority w:val="99"/>
    <w:pPr>
      <w:adjustRightInd w:val="0"/>
      <w:snapToGrid w:val="0"/>
      <w:spacing w:line="360" w:lineRule="auto"/>
      <w:ind w:firstLine="200" w:firstLineChars="200"/>
    </w:pPr>
    <w:rPr>
      <w:sz w:val="24"/>
    </w:rPr>
  </w:style>
  <w:style w:type="paragraph" w:styleId="4">
    <w:name w:val="Body Text"/>
    <w:basedOn w:val="1"/>
    <w:link w:val="48"/>
    <w:unhideWhenUsed/>
    <w:qFormat/>
    <w:uiPriority w:val="99"/>
  </w:style>
  <w:style w:type="paragraph" w:styleId="13">
    <w:name w:val="toc 7"/>
    <w:basedOn w:val="1"/>
    <w:next w:val="1"/>
    <w:unhideWhenUsed/>
    <w:qFormat/>
    <w:locked/>
    <w:uiPriority w:val="39"/>
    <w:pPr>
      <w:ind w:left="1200"/>
      <w:jc w:val="left"/>
    </w:pPr>
    <w:rPr>
      <w:rFonts w:ascii="等线" w:eastAsia="等线"/>
      <w:sz w:val="18"/>
      <w:szCs w:val="18"/>
    </w:rPr>
  </w:style>
  <w:style w:type="paragraph" w:styleId="14">
    <w:name w:val="List Number"/>
    <w:basedOn w:val="1"/>
    <w:unhideWhenUsed/>
    <w:qFormat/>
    <w:uiPriority w:val="99"/>
    <w:pPr>
      <w:numPr>
        <w:ilvl w:val="0"/>
        <w:numId w:val="2"/>
      </w:numPr>
      <w:adjustRightInd w:val="0"/>
      <w:snapToGrid w:val="0"/>
      <w:spacing w:line="360" w:lineRule="auto"/>
    </w:pPr>
    <w:rPr>
      <w:sz w:val="24"/>
    </w:rPr>
  </w:style>
  <w:style w:type="paragraph" w:styleId="15">
    <w:name w:val="Normal Indent"/>
    <w:basedOn w:val="1"/>
    <w:autoRedefine/>
    <w:uiPriority w:val="0"/>
    <w:pPr>
      <w:jc w:val="center"/>
    </w:pPr>
    <w:rPr>
      <w:rFonts w:eastAsia="黑体"/>
      <w:kern w:val="0"/>
    </w:rPr>
  </w:style>
  <w:style w:type="paragraph" w:styleId="16">
    <w:name w:val="caption"/>
    <w:basedOn w:val="1"/>
    <w:link w:val="59"/>
    <w:unhideWhenUsed/>
    <w:qFormat/>
    <w:locked/>
    <w:uiPriority w:val="35"/>
    <w:pPr>
      <w:adjustRightInd w:val="0"/>
      <w:snapToGrid w:val="0"/>
      <w:spacing w:line="360" w:lineRule="auto"/>
      <w:jc w:val="left"/>
    </w:pPr>
    <w:rPr>
      <w:rFonts w:eastAsia="黑体"/>
      <w:sz w:val="24"/>
    </w:rPr>
  </w:style>
  <w:style w:type="paragraph" w:styleId="17">
    <w:name w:val="Document Map"/>
    <w:basedOn w:val="1"/>
    <w:link w:val="60"/>
    <w:unhideWhenUsed/>
    <w:qFormat/>
    <w:uiPriority w:val="99"/>
    <w:rPr>
      <w:rFonts w:ascii="宋体"/>
      <w:sz w:val="18"/>
      <w:szCs w:val="18"/>
    </w:rPr>
  </w:style>
  <w:style w:type="paragraph" w:styleId="18">
    <w:name w:val="annotation text"/>
    <w:basedOn w:val="1"/>
    <w:link w:val="61"/>
    <w:qFormat/>
    <w:uiPriority w:val="0"/>
    <w:pPr>
      <w:jc w:val="left"/>
    </w:pPr>
    <w:rPr>
      <w:kern w:val="0"/>
    </w:rPr>
  </w:style>
  <w:style w:type="paragraph" w:styleId="19">
    <w:name w:val="Body Text Indent"/>
    <w:basedOn w:val="1"/>
    <w:link w:val="62"/>
    <w:semiHidden/>
    <w:qFormat/>
    <w:uiPriority w:val="0"/>
    <w:pPr>
      <w:spacing w:after="120"/>
      <w:ind w:left="420" w:leftChars="200"/>
    </w:pPr>
  </w:style>
  <w:style w:type="paragraph" w:styleId="20">
    <w:name w:val="toc 5"/>
    <w:basedOn w:val="1"/>
    <w:next w:val="1"/>
    <w:unhideWhenUsed/>
    <w:locked/>
    <w:uiPriority w:val="39"/>
    <w:pPr>
      <w:ind w:left="800"/>
      <w:jc w:val="left"/>
    </w:pPr>
    <w:rPr>
      <w:rFonts w:ascii="等线" w:eastAsia="等线"/>
      <w:sz w:val="18"/>
      <w:szCs w:val="18"/>
    </w:rPr>
  </w:style>
  <w:style w:type="paragraph" w:styleId="21">
    <w:name w:val="toc 3"/>
    <w:basedOn w:val="1"/>
    <w:next w:val="1"/>
    <w:unhideWhenUsed/>
    <w:locked/>
    <w:uiPriority w:val="39"/>
    <w:pPr>
      <w:ind w:left="400"/>
      <w:jc w:val="left"/>
    </w:pPr>
    <w:rPr>
      <w:rFonts w:ascii="等线" w:eastAsia="等线"/>
      <w:i/>
      <w:iCs/>
    </w:rPr>
  </w:style>
  <w:style w:type="paragraph" w:styleId="22">
    <w:name w:val="Plain Text"/>
    <w:basedOn w:val="1"/>
    <w:next w:val="1"/>
    <w:link w:val="63"/>
    <w:qFormat/>
    <w:uiPriority w:val="0"/>
    <w:rPr>
      <w:rFonts w:ascii="宋体" w:hAnsi="Courier New"/>
      <w:sz w:val="21"/>
    </w:rPr>
  </w:style>
  <w:style w:type="paragraph" w:styleId="23">
    <w:name w:val="toc 8"/>
    <w:basedOn w:val="1"/>
    <w:next w:val="1"/>
    <w:unhideWhenUsed/>
    <w:qFormat/>
    <w:locked/>
    <w:uiPriority w:val="39"/>
    <w:pPr>
      <w:ind w:left="1400"/>
      <w:jc w:val="left"/>
    </w:pPr>
    <w:rPr>
      <w:rFonts w:ascii="等线" w:eastAsia="等线"/>
      <w:sz w:val="18"/>
      <w:szCs w:val="18"/>
    </w:rPr>
  </w:style>
  <w:style w:type="paragraph" w:styleId="24">
    <w:name w:val="Date"/>
    <w:basedOn w:val="1"/>
    <w:next w:val="1"/>
    <w:link w:val="64"/>
    <w:qFormat/>
    <w:uiPriority w:val="0"/>
    <w:pPr>
      <w:ind w:left="100" w:leftChars="2500"/>
    </w:pPr>
    <w:rPr>
      <w:kern w:val="0"/>
    </w:rPr>
  </w:style>
  <w:style w:type="paragraph" w:styleId="25">
    <w:name w:val="Body Text Indent 2"/>
    <w:basedOn w:val="1"/>
    <w:link w:val="65"/>
    <w:qFormat/>
    <w:uiPriority w:val="0"/>
    <w:pPr>
      <w:spacing w:after="120" w:line="480" w:lineRule="auto"/>
      <w:ind w:left="420" w:leftChars="200"/>
    </w:pPr>
  </w:style>
  <w:style w:type="paragraph" w:styleId="26">
    <w:name w:val="Balloon Text"/>
    <w:basedOn w:val="1"/>
    <w:link w:val="66"/>
    <w:semiHidden/>
    <w:unhideWhenUsed/>
    <w:qFormat/>
    <w:uiPriority w:val="99"/>
    <w:rPr>
      <w:sz w:val="18"/>
      <w:szCs w:val="18"/>
    </w:rPr>
  </w:style>
  <w:style w:type="paragraph" w:styleId="27">
    <w:name w:val="footer"/>
    <w:basedOn w:val="1"/>
    <w:link w:val="67"/>
    <w:unhideWhenUsed/>
    <w:qFormat/>
    <w:uiPriority w:val="0"/>
    <w:pPr>
      <w:tabs>
        <w:tab w:val="center" w:pos="4153"/>
        <w:tab w:val="right" w:pos="8306"/>
      </w:tabs>
      <w:snapToGrid w:val="0"/>
      <w:jc w:val="left"/>
    </w:pPr>
    <w:rPr>
      <w:sz w:val="18"/>
      <w:szCs w:val="18"/>
    </w:rPr>
  </w:style>
  <w:style w:type="paragraph" w:styleId="28">
    <w:name w:val="header"/>
    <w:basedOn w:val="1"/>
    <w:link w:val="68"/>
    <w:unhideWhenUsed/>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unhideWhenUsed/>
    <w:qFormat/>
    <w:locked/>
    <w:uiPriority w:val="39"/>
    <w:pPr>
      <w:spacing w:before="120" w:after="120"/>
      <w:jc w:val="left"/>
    </w:pPr>
    <w:rPr>
      <w:rFonts w:ascii="等线" w:eastAsia="等线"/>
      <w:b/>
      <w:bCs/>
      <w:caps/>
    </w:rPr>
  </w:style>
  <w:style w:type="paragraph" w:styleId="30">
    <w:name w:val="toc 4"/>
    <w:basedOn w:val="1"/>
    <w:next w:val="1"/>
    <w:unhideWhenUsed/>
    <w:qFormat/>
    <w:locked/>
    <w:uiPriority w:val="39"/>
    <w:pPr>
      <w:ind w:left="600"/>
      <w:jc w:val="left"/>
    </w:pPr>
    <w:rPr>
      <w:rFonts w:ascii="等线" w:eastAsia="等线"/>
      <w:sz w:val="18"/>
      <w:szCs w:val="18"/>
    </w:rPr>
  </w:style>
  <w:style w:type="paragraph" w:styleId="31">
    <w:name w:val="Subtitle"/>
    <w:basedOn w:val="1"/>
    <w:next w:val="1"/>
    <w:link w:val="69"/>
    <w:qFormat/>
    <w:locked/>
    <w:uiPriority w:val="11"/>
    <w:pPr>
      <w:spacing w:before="240" w:after="60" w:line="312" w:lineRule="auto"/>
      <w:jc w:val="center"/>
      <w:outlineLvl w:val="1"/>
    </w:pPr>
    <w:rPr>
      <w:rFonts w:ascii="Cambria" w:hAnsi="Cambria"/>
      <w:b/>
      <w:bCs/>
      <w:kern w:val="28"/>
      <w:sz w:val="32"/>
      <w:szCs w:val="32"/>
    </w:rPr>
  </w:style>
  <w:style w:type="paragraph" w:styleId="32">
    <w:name w:val="toc 6"/>
    <w:basedOn w:val="1"/>
    <w:next w:val="1"/>
    <w:unhideWhenUsed/>
    <w:qFormat/>
    <w:locked/>
    <w:uiPriority w:val="39"/>
    <w:pPr>
      <w:ind w:left="1000"/>
      <w:jc w:val="left"/>
    </w:pPr>
    <w:rPr>
      <w:rFonts w:ascii="等线" w:eastAsia="等线"/>
      <w:sz w:val="18"/>
      <w:szCs w:val="18"/>
    </w:rPr>
  </w:style>
  <w:style w:type="paragraph" w:styleId="33">
    <w:name w:val="Body Text Indent 3"/>
    <w:basedOn w:val="1"/>
    <w:link w:val="70"/>
    <w:qFormat/>
    <w:uiPriority w:val="0"/>
    <w:pPr>
      <w:spacing w:after="120"/>
      <w:ind w:left="420" w:leftChars="200"/>
    </w:pPr>
    <w:rPr>
      <w:sz w:val="16"/>
      <w:szCs w:val="16"/>
    </w:rPr>
  </w:style>
  <w:style w:type="paragraph" w:styleId="34">
    <w:name w:val="toc 2"/>
    <w:basedOn w:val="1"/>
    <w:next w:val="1"/>
    <w:unhideWhenUsed/>
    <w:qFormat/>
    <w:locked/>
    <w:uiPriority w:val="39"/>
    <w:pPr>
      <w:ind w:left="200"/>
      <w:jc w:val="left"/>
    </w:pPr>
    <w:rPr>
      <w:rFonts w:ascii="等线" w:eastAsia="等线"/>
      <w:smallCaps/>
    </w:rPr>
  </w:style>
  <w:style w:type="paragraph" w:styleId="35">
    <w:name w:val="toc 9"/>
    <w:basedOn w:val="1"/>
    <w:next w:val="1"/>
    <w:unhideWhenUsed/>
    <w:qFormat/>
    <w:locked/>
    <w:uiPriority w:val="39"/>
    <w:pPr>
      <w:ind w:left="1600"/>
      <w:jc w:val="left"/>
    </w:pPr>
    <w:rPr>
      <w:rFonts w:ascii="等线" w:eastAsia="等线"/>
      <w:sz w:val="18"/>
      <w:szCs w:val="18"/>
    </w:rPr>
  </w:style>
  <w:style w:type="paragraph" w:styleId="36">
    <w:name w:val="HTML Preformatted"/>
    <w:basedOn w:val="1"/>
    <w:link w:val="71"/>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37">
    <w:name w:val="Normal (Web)"/>
    <w:basedOn w:val="1"/>
    <w:link w:val="72"/>
    <w:qFormat/>
    <w:uiPriority w:val="99"/>
    <w:pPr>
      <w:widowControl/>
      <w:spacing w:before="100" w:beforeAutospacing="1" w:after="100" w:afterAutospacing="1"/>
      <w:jc w:val="left"/>
    </w:pPr>
    <w:rPr>
      <w:rFonts w:ascii="宋体" w:hAnsi="宋体"/>
      <w:kern w:val="0"/>
      <w:sz w:val="24"/>
    </w:rPr>
  </w:style>
  <w:style w:type="paragraph" w:styleId="38">
    <w:name w:val="Title"/>
    <w:basedOn w:val="1"/>
    <w:next w:val="3"/>
    <w:link w:val="73"/>
    <w:qFormat/>
    <w:locked/>
    <w:uiPriority w:val="99"/>
    <w:pPr>
      <w:adjustRightInd w:val="0"/>
      <w:snapToGrid w:val="0"/>
      <w:spacing w:line="360" w:lineRule="auto"/>
      <w:jc w:val="center"/>
    </w:pPr>
    <w:rPr>
      <w:rFonts w:eastAsia="黑体"/>
      <w:bCs/>
      <w:sz w:val="36"/>
      <w:szCs w:val="32"/>
    </w:rPr>
  </w:style>
  <w:style w:type="paragraph" w:styleId="39">
    <w:name w:val="annotation subject"/>
    <w:basedOn w:val="18"/>
    <w:next w:val="18"/>
    <w:link w:val="74"/>
    <w:semiHidden/>
    <w:qFormat/>
    <w:uiPriority w:val="0"/>
    <w:rPr>
      <w:b/>
      <w:bCs/>
    </w:rPr>
  </w:style>
  <w:style w:type="table" w:styleId="41">
    <w:name w:val="Table Grid"/>
    <w:basedOn w:val="40"/>
    <w:qFormat/>
    <w:uiPriority w:val="59"/>
    <w:pPr>
      <w:adjustRightInd w:val="0"/>
      <w:snapToGrid w:val="0"/>
      <w:jc w:val="center"/>
    </w:pPr>
    <w:rPr>
      <w:kern w:val="2"/>
      <w:sz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character" w:styleId="43">
    <w:name w:val="Strong"/>
    <w:qFormat/>
    <w:locked/>
    <w:uiPriority w:val="22"/>
    <w:rPr>
      <w:b/>
      <w:bCs/>
    </w:rPr>
  </w:style>
  <w:style w:type="character" w:styleId="44">
    <w:name w:val="page number"/>
    <w:basedOn w:val="42"/>
    <w:qFormat/>
    <w:uiPriority w:val="0"/>
  </w:style>
  <w:style w:type="character" w:styleId="45">
    <w:name w:val="Emphasis"/>
    <w:qFormat/>
    <w:locked/>
    <w:uiPriority w:val="20"/>
    <w:rPr>
      <w:i/>
      <w:iCs/>
    </w:rPr>
  </w:style>
  <w:style w:type="character" w:styleId="46">
    <w:name w:val="Hyperlink"/>
    <w:unhideWhenUsed/>
    <w:qFormat/>
    <w:uiPriority w:val="99"/>
    <w:rPr>
      <w:color w:val="0000FF"/>
      <w:u w:val="single"/>
    </w:rPr>
  </w:style>
  <w:style w:type="character" w:styleId="47">
    <w:name w:val="annotation reference"/>
    <w:qFormat/>
    <w:uiPriority w:val="0"/>
    <w:rPr>
      <w:sz w:val="21"/>
    </w:rPr>
  </w:style>
  <w:style w:type="character" w:customStyle="1" w:styleId="48">
    <w:name w:val="正文文本 字符"/>
    <w:link w:val="4"/>
    <w:qFormat/>
    <w:locked/>
    <w:uiPriority w:val="99"/>
    <w:rPr>
      <w:kern w:val="2"/>
    </w:rPr>
  </w:style>
  <w:style w:type="character" w:customStyle="1" w:styleId="49">
    <w:name w:val="正文首行缩进 字符"/>
    <w:link w:val="3"/>
    <w:qFormat/>
    <w:uiPriority w:val="99"/>
    <w:rPr>
      <w:kern w:val="2"/>
      <w:sz w:val="24"/>
    </w:rPr>
  </w:style>
  <w:style w:type="character" w:customStyle="1" w:styleId="50">
    <w:name w:val="标题 1 字符"/>
    <w:link w:val="2"/>
    <w:autoRedefine/>
    <w:qFormat/>
    <w:uiPriority w:val="9"/>
    <w:rPr>
      <w:rFonts w:eastAsia="黑体"/>
      <w:bCs/>
      <w:kern w:val="44"/>
      <w:sz w:val="24"/>
      <w:szCs w:val="44"/>
    </w:rPr>
  </w:style>
  <w:style w:type="character" w:customStyle="1" w:styleId="51">
    <w:name w:val="标题 2 字符"/>
    <w:link w:val="5"/>
    <w:qFormat/>
    <w:uiPriority w:val="9"/>
    <w:rPr>
      <w:rFonts w:eastAsia="黑体"/>
      <w:bCs/>
      <w:kern w:val="2"/>
      <w:sz w:val="24"/>
      <w:szCs w:val="32"/>
    </w:rPr>
  </w:style>
  <w:style w:type="character" w:customStyle="1" w:styleId="52">
    <w:name w:val="标题 3 字符"/>
    <w:link w:val="6"/>
    <w:qFormat/>
    <w:uiPriority w:val="9"/>
    <w:rPr>
      <w:bCs/>
      <w:kern w:val="2"/>
      <w:sz w:val="24"/>
      <w:szCs w:val="32"/>
    </w:rPr>
  </w:style>
  <w:style w:type="character" w:customStyle="1" w:styleId="53">
    <w:name w:val="标题 4 字符"/>
    <w:link w:val="7"/>
    <w:qFormat/>
    <w:uiPriority w:val="9"/>
    <w:rPr>
      <w:bCs/>
      <w:kern w:val="2"/>
      <w:sz w:val="24"/>
      <w:szCs w:val="28"/>
    </w:rPr>
  </w:style>
  <w:style w:type="character" w:customStyle="1" w:styleId="54">
    <w:name w:val="标题 5 字符"/>
    <w:link w:val="8"/>
    <w:qFormat/>
    <w:uiPriority w:val="9"/>
    <w:rPr>
      <w:bCs/>
      <w:kern w:val="2"/>
      <w:sz w:val="24"/>
      <w:szCs w:val="28"/>
    </w:rPr>
  </w:style>
  <w:style w:type="character" w:customStyle="1" w:styleId="55">
    <w:name w:val="标题 6 字符"/>
    <w:link w:val="9"/>
    <w:qFormat/>
    <w:uiPriority w:val="9"/>
    <w:rPr>
      <w:rFonts w:ascii="Cambria" w:hAnsi="Cambria"/>
      <w:b/>
      <w:bCs/>
      <w:kern w:val="2"/>
      <w:sz w:val="24"/>
      <w:szCs w:val="24"/>
    </w:rPr>
  </w:style>
  <w:style w:type="character" w:customStyle="1" w:styleId="56">
    <w:name w:val="标题 7 字符"/>
    <w:link w:val="10"/>
    <w:qFormat/>
    <w:uiPriority w:val="9"/>
    <w:rPr>
      <w:b/>
      <w:bCs/>
      <w:kern w:val="2"/>
      <w:sz w:val="24"/>
      <w:szCs w:val="24"/>
    </w:rPr>
  </w:style>
  <w:style w:type="character" w:customStyle="1" w:styleId="57">
    <w:name w:val="标题 8 字符"/>
    <w:link w:val="11"/>
    <w:uiPriority w:val="9"/>
    <w:rPr>
      <w:rFonts w:ascii="Cambria" w:hAnsi="Cambria"/>
      <w:kern w:val="2"/>
      <w:sz w:val="24"/>
      <w:szCs w:val="24"/>
    </w:rPr>
  </w:style>
  <w:style w:type="character" w:customStyle="1" w:styleId="58">
    <w:name w:val="标题 9 字符"/>
    <w:link w:val="12"/>
    <w:uiPriority w:val="9"/>
    <w:rPr>
      <w:rFonts w:ascii="Cambria" w:hAnsi="Cambria"/>
      <w:kern w:val="2"/>
    </w:rPr>
  </w:style>
  <w:style w:type="character" w:customStyle="1" w:styleId="59">
    <w:name w:val="题注 字符2"/>
    <w:link w:val="16"/>
    <w:autoRedefine/>
    <w:qFormat/>
    <w:uiPriority w:val="35"/>
    <w:rPr>
      <w:rFonts w:eastAsia="黑体"/>
      <w:kern w:val="2"/>
      <w:sz w:val="24"/>
    </w:rPr>
  </w:style>
  <w:style w:type="character" w:customStyle="1" w:styleId="60">
    <w:name w:val="文档结构图 字符"/>
    <w:link w:val="17"/>
    <w:autoRedefine/>
    <w:qFormat/>
    <w:uiPriority w:val="99"/>
    <w:rPr>
      <w:rFonts w:ascii="宋体"/>
      <w:kern w:val="2"/>
      <w:sz w:val="18"/>
      <w:szCs w:val="18"/>
    </w:rPr>
  </w:style>
  <w:style w:type="character" w:customStyle="1" w:styleId="61">
    <w:name w:val="批注文字 字符2"/>
    <w:link w:val="18"/>
    <w:qFormat/>
    <w:locked/>
    <w:uiPriority w:val="0"/>
    <w:rPr>
      <w:rFonts w:ascii="Times New Roman" w:hAnsi="Times New Roman" w:eastAsia="宋体"/>
      <w:sz w:val="24"/>
    </w:rPr>
  </w:style>
  <w:style w:type="character" w:customStyle="1" w:styleId="62">
    <w:name w:val="正文文本缩进 字符"/>
    <w:link w:val="19"/>
    <w:semiHidden/>
    <w:qFormat/>
    <w:locked/>
    <w:uiPriority w:val="0"/>
    <w:rPr>
      <w:rFonts w:ascii="Times New Roman" w:hAnsi="Times New Roman" w:eastAsia="宋体" w:cs="Times New Roman"/>
      <w:sz w:val="24"/>
      <w:szCs w:val="24"/>
    </w:rPr>
  </w:style>
  <w:style w:type="character" w:customStyle="1" w:styleId="63">
    <w:name w:val="纯文本 字符"/>
    <w:link w:val="22"/>
    <w:autoRedefine/>
    <w:qFormat/>
    <w:uiPriority w:val="0"/>
    <w:rPr>
      <w:rFonts w:ascii="宋体" w:hAnsi="Courier New"/>
      <w:kern w:val="2"/>
      <w:sz w:val="21"/>
      <w:szCs w:val="24"/>
    </w:rPr>
  </w:style>
  <w:style w:type="character" w:customStyle="1" w:styleId="64">
    <w:name w:val="日期 字符1"/>
    <w:link w:val="24"/>
    <w:qFormat/>
    <w:locked/>
    <w:uiPriority w:val="0"/>
    <w:rPr>
      <w:rFonts w:ascii="Times New Roman" w:hAnsi="Times New Roman" w:eastAsia="宋体"/>
      <w:sz w:val="24"/>
    </w:rPr>
  </w:style>
  <w:style w:type="character" w:customStyle="1" w:styleId="65">
    <w:name w:val="正文文本缩进 2 字符"/>
    <w:basedOn w:val="42"/>
    <w:link w:val="25"/>
    <w:autoRedefine/>
    <w:qFormat/>
    <w:uiPriority w:val="0"/>
    <w:rPr>
      <w:kern w:val="2"/>
    </w:rPr>
  </w:style>
  <w:style w:type="character" w:customStyle="1" w:styleId="66">
    <w:name w:val="批注框文本 字符"/>
    <w:link w:val="26"/>
    <w:semiHidden/>
    <w:qFormat/>
    <w:locked/>
    <w:uiPriority w:val="99"/>
    <w:rPr>
      <w:kern w:val="2"/>
      <w:sz w:val="18"/>
      <w:szCs w:val="18"/>
    </w:rPr>
  </w:style>
  <w:style w:type="character" w:customStyle="1" w:styleId="67">
    <w:name w:val="页脚 字符"/>
    <w:link w:val="27"/>
    <w:qFormat/>
    <w:locked/>
    <w:uiPriority w:val="0"/>
    <w:rPr>
      <w:kern w:val="2"/>
      <w:sz w:val="18"/>
      <w:szCs w:val="18"/>
    </w:rPr>
  </w:style>
  <w:style w:type="character" w:customStyle="1" w:styleId="68">
    <w:name w:val="页眉 字符"/>
    <w:link w:val="28"/>
    <w:qFormat/>
    <w:locked/>
    <w:uiPriority w:val="99"/>
    <w:rPr>
      <w:kern w:val="2"/>
      <w:sz w:val="18"/>
      <w:szCs w:val="18"/>
    </w:rPr>
  </w:style>
  <w:style w:type="character" w:customStyle="1" w:styleId="69">
    <w:name w:val="副标题 字符"/>
    <w:link w:val="31"/>
    <w:autoRedefine/>
    <w:qFormat/>
    <w:uiPriority w:val="11"/>
    <w:rPr>
      <w:rFonts w:ascii="Cambria" w:hAnsi="Cambria"/>
      <w:b/>
      <w:bCs/>
      <w:kern w:val="28"/>
      <w:sz w:val="32"/>
      <w:szCs w:val="32"/>
    </w:rPr>
  </w:style>
  <w:style w:type="character" w:customStyle="1" w:styleId="70">
    <w:name w:val="正文文本缩进 3 字符"/>
    <w:link w:val="33"/>
    <w:autoRedefine/>
    <w:qFormat/>
    <w:uiPriority w:val="0"/>
    <w:rPr>
      <w:kern w:val="2"/>
      <w:sz w:val="16"/>
      <w:szCs w:val="16"/>
    </w:rPr>
  </w:style>
  <w:style w:type="character" w:customStyle="1" w:styleId="71">
    <w:name w:val="HTML 预设格式 字符"/>
    <w:link w:val="36"/>
    <w:autoRedefine/>
    <w:qFormat/>
    <w:uiPriority w:val="99"/>
    <w:rPr>
      <w:rFonts w:ascii="宋体" w:hAnsi="宋体" w:cs="宋体"/>
      <w:sz w:val="24"/>
      <w:szCs w:val="24"/>
    </w:rPr>
  </w:style>
  <w:style w:type="character" w:customStyle="1" w:styleId="72">
    <w:name w:val="普通(网站) 字符"/>
    <w:link w:val="37"/>
    <w:qFormat/>
    <w:locked/>
    <w:uiPriority w:val="99"/>
    <w:rPr>
      <w:rFonts w:ascii="宋体" w:hAnsi="宋体" w:eastAsia="宋体"/>
      <w:sz w:val="24"/>
    </w:rPr>
  </w:style>
  <w:style w:type="character" w:customStyle="1" w:styleId="73">
    <w:name w:val="标题 字符"/>
    <w:link w:val="38"/>
    <w:qFormat/>
    <w:uiPriority w:val="99"/>
    <w:rPr>
      <w:rFonts w:eastAsia="黑体"/>
      <w:bCs/>
      <w:kern w:val="2"/>
      <w:sz w:val="36"/>
      <w:szCs w:val="32"/>
    </w:rPr>
  </w:style>
  <w:style w:type="character" w:customStyle="1" w:styleId="74">
    <w:name w:val="批注主题 字符"/>
    <w:link w:val="39"/>
    <w:semiHidden/>
    <w:qFormat/>
    <w:locked/>
    <w:uiPriority w:val="0"/>
    <w:rPr>
      <w:rFonts w:ascii="Times New Roman" w:hAnsi="Times New Roman" w:eastAsia="宋体" w:cs="Times New Roman"/>
      <w:b/>
      <w:bCs/>
      <w:kern w:val="2"/>
      <w:sz w:val="24"/>
      <w:szCs w:val="24"/>
    </w:rPr>
  </w:style>
  <w:style w:type="character" w:customStyle="1" w:styleId="75">
    <w:name w:val="日期 字符"/>
    <w:semiHidden/>
    <w:qFormat/>
    <w:uiPriority w:val="0"/>
    <w:rPr>
      <w:rFonts w:ascii="Times New Roman" w:hAnsi="Times New Roman" w:eastAsia="宋体" w:cs="Times New Roman"/>
      <w:sz w:val="24"/>
      <w:szCs w:val="24"/>
    </w:rPr>
  </w:style>
  <w:style w:type="character" w:customStyle="1" w:styleId="76">
    <w:name w:val="正文文本 字符1"/>
    <w:semiHidden/>
    <w:qFormat/>
    <w:uiPriority w:val="0"/>
    <w:rPr>
      <w:rFonts w:ascii="Times New Roman" w:hAnsi="Times New Roman" w:eastAsia="宋体" w:cs="Times New Roman"/>
      <w:sz w:val="24"/>
      <w:szCs w:val="24"/>
    </w:rPr>
  </w:style>
  <w:style w:type="paragraph" w:customStyle="1" w:styleId="77">
    <w:name w:val="普通(网站)2"/>
    <w:basedOn w:val="1"/>
    <w:qFormat/>
    <w:uiPriority w:val="0"/>
    <w:pPr>
      <w:widowControl/>
      <w:spacing w:before="100" w:beforeAutospacing="1" w:after="100" w:afterAutospacing="1"/>
      <w:jc w:val="left"/>
    </w:pPr>
    <w:rPr>
      <w:rFonts w:ascii="宋体" w:hAnsi="宋体"/>
      <w:sz w:val="24"/>
    </w:rPr>
  </w:style>
  <w:style w:type="character" w:customStyle="1" w:styleId="78">
    <w:name w:val="表格 Char"/>
    <w:link w:val="79"/>
    <w:qFormat/>
    <w:locked/>
    <w:uiPriority w:val="0"/>
    <w:rPr>
      <w:rFonts w:ascii="宋体"/>
      <w:sz w:val="21"/>
    </w:rPr>
  </w:style>
  <w:style w:type="paragraph" w:customStyle="1" w:styleId="79">
    <w:name w:val="表格"/>
    <w:basedOn w:val="1"/>
    <w:next w:val="1"/>
    <w:link w:val="78"/>
    <w:qFormat/>
    <w:uiPriority w:val="0"/>
    <w:pPr>
      <w:adjustRightInd w:val="0"/>
      <w:snapToGrid w:val="0"/>
      <w:spacing w:beforeLines="10" w:afterLines="10" w:line="259" w:lineRule="auto"/>
      <w:jc w:val="center"/>
    </w:pPr>
    <w:rPr>
      <w:rFonts w:ascii="宋体"/>
      <w:kern w:val="0"/>
      <w:szCs w:val="21"/>
    </w:rPr>
  </w:style>
  <w:style w:type="character" w:customStyle="1" w:styleId="80">
    <w:name w:val="批注文字 字符1"/>
    <w:semiHidden/>
    <w:qFormat/>
    <w:uiPriority w:val="0"/>
    <w:rPr>
      <w:rFonts w:ascii="Times New Roman" w:hAnsi="Times New Roman" w:eastAsia="宋体" w:cs="Times New Roman"/>
      <w:sz w:val="24"/>
      <w:szCs w:val="24"/>
    </w:rPr>
  </w:style>
  <w:style w:type="character" w:customStyle="1" w:styleId="81">
    <w:name w:val="普通(网站) Char"/>
    <w:qFormat/>
    <w:locked/>
    <w:uiPriority w:val="0"/>
    <w:rPr>
      <w:rFonts w:ascii="宋体" w:hAnsi="宋体" w:eastAsia="宋体"/>
      <w:sz w:val="24"/>
    </w:rPr>
  </w:style>
  <w:style w:type="paragraph" w:customStyle="1" w:styleId="82">
    <w:name w:val="表格1"/>
    <w:basedOn w:val="79"/>
    <w:link w:val="83"/>
    <w:qFormat/>
    <w:uiPriority w:val="0"/>
    <w:pPr>
      <w:autoSpaceDE w:val="0"/>
      <w:autoSpaceDN w:val="0"/>
    </w:pPr>
    <w:rPr>
      <w:rFonts w:ascii="Times New Roman" w:cs="宋体"/>
      <w:sz w:val="21"/>
    </w:rPr>
  </w:style>
  <w:style w:type="character" w:customStyle="1" w:styleId="83">
    <w:name w:val="表格1 字符"/>
    <w:link w:val="82"/>
    <w:qFormat/>
    <w:uiPriority w:val="0"/>
    <w:rPr>
      <w:rFonts w:cs="宋体"/>
      <w:sz w:val="21"/>
      <w:szCs w:val="21"/>
    </w:rPr>
  </w:style>
  <w:style w:type="paragraph" w:customStyle="1" w:styleId="84">
    <w:name w:val="表头"/>
    <w:basedOn w:val="1"/>
    <w:link w:val="85"/>
    <w:qFormat/>
    <w:uiPriority w:val="0"/>
    <w:pPr>
      <w:autoSpaceDE w:val="0"/>
      <w:autoSpaceDN w:val="0"/>
      <w:adjustRightInd w:val="0"/>
      <w:snapToGrid w:val="0"/>
      <w:spacing w:line="360" w:lineRule="auto"/>
      <w:jc w:val="center"/>
    </w:pPr>
    <w:rPr>
      <w:rFonts w:eastAsia="黑体"/>
      <w:sz w:val="24"/>
    </w:rPr>
  </w:style>
  <w:style w:type="character" w:customStyle="1" w:styleId="85">
    <w:name w:val="表头 字符"/>
    <w:link w:val="84"/>
    <w:qFormat/>
    <w:uiPriority w:val="0"/>
    <w:rPr>
      <w:rFonts w:eastAsia="黑体"/>
      <w:kern w:val="2"/>
      <w:sz w:val="24"/>
    </w:rPr>
  </w:style>
  <w:style w:type="paragraph" w:customStyle="1" w:styleId="86">
    <w:name w:val="模板表头"/>
    <w:basedOn w:val="1"/>
    <w:link w:val="87"/>
    <w:autoRedefine/>
    <w:qFormat/>
    <w:uiPriority w:val="0"/>
    <w:pPr>
      <w:adjustRightInd w:val="0"/>
      <w:snapToGrid w:val="0"/>
      <w:jc w:val="center"/>
    </w:pPr>
    <w:rPr>
      <w:rFonts w:cs="宋体"/>
      <w:kern w:val="0"/>
      <w:sz w:val="24"/>
      <w:szCs w:val="24"/>
    </w:rPr>
  </w:style>
  <w:style w:type="character" w:customStyle="1" w:styleId="87">
    <w:name w:val="模板表头 字符"/>
    <w:link w:val="86"/>
    <w:qFormat/>
    <w:uiPriority w:val="0"/>
    <w:rPr>
      <w:rFonts w:cs="宋体"/>
      <w:sz w:val="24"/>
      <w:szCs w:val="24"/>
    </w:rPr>
  </w:style>
  <w:style w:type="paragraph" w:customStyle="1" w:styleId="88">
    <w:name w:val="表格内容"/>
    <w:basedOn w:val="1"/>
    <w:link w:val="89"/>
    <w:autoRedefine/>
    <w:uiPriority w:val="0"/>
    <w:pPr>
      <w:widowControl/>
      <w:jc w:val="center"/>
    </w:pPr>
    <w:rPr>
      <w:rFonts w:ascii="Calibri" w:hAnsi="Calibri" w:cs="宋体"/>
      <w:kern w:val="0"/>
      <w:sz w:val="21"/>
    </w:rPr>
  </w:style>
  <w:style w:type="character" w:customStyle="1" w:styleId="89">
    <w:name w:val="表格内容 Char"/>
    <w:link w:val="88"/>
    <w:autoRedefine/>
    <w:qFormat/>
    <w:uiPriority w:val="0"/>
    <w:rPr>
      <w:rFonts w:ascii="Calibri" w:hAnsi="Calibri" w:cs="宋体"/>
      <w:sz w:val="21"/>
    </w:rPr>
  </w:style>
  <w:style w:type="paragraph" w:customStyle="1" w:styleId="90">
    <w:name w:val="标题1"/>
    <w:basedOn w:val="1"/>
    <w:link w:val="91"/>
    <w:qFormat/>
    <w:uiPriority w:val="0"/>
    <w:pPr>
      <w:ind w:firstLine="480"/>
    </w:pPr>
  </w:style>
  <w:style w:type="character" w:customStyle="1" w:styleId="91">
    <w:name w:val="标题1 字符"/>
    <w:link w:val="90"/>
    <w:qFormat/>
    <w:uiPriority w:val="0"/>
    <w:rPr>
      <w:kern w:val="2"/>
      <w:sz w:val="24"/>
      <w:szCs w:val="24"/>
    </w:rPr>
  </w:style>
  <w:style w:type="paragraph" w:customStyle="1" w:styleId="92">
    <w:name w:val="表格标题"/>
    <w:basedOn w:val="1"/>
    <w:next w:val="93"/>
    <w:link w:val="95"/>
    <w:autoRedefine/>
    <w:qFormat/>
    <w:uiPriority w:val="0"/>
    <w:pPr>
      <w:spacing w:line="360" w:lineRule="auto"/>
      <w:jc w:val="center"/>
      <w:outlineLvl w:val="5"/>
    </w:pPr>
    <w:rPr>
      <w:rFonts w:eastAsia="黑体"/>
      <w:sz w:val="24"/>
    </w:rPr>
  </w:style>
  <w:style w:type="paragraph" w:customStyle="1" w:styleId="93">
    <w:name w:val="表格文字"/>
    <w:basedOn w:val="3"/>
    <w:link w:val="94"/>
    <w:autoRedefine/>
    <w:qFormat/>
    <w:uiPriority w:val="0"/>
    <w:pPr>
      <w:spacing w:line="240" w:lineRule="auto"/>
      <w:ind w:firstLine="0" w:firstLineChars="0"/>
      <w:jc w:val="center"/>
    </w:pPr>
  </w:style>
  <w:style w:type="character" w:customStyle="1" w:styleId="94">
    <w:name w:val="表格文字 Char"/>
    <w:link w:val="93"/>
    <w:autoRedefine/>
    <w:qFormat/>
    <w:uiPriority w:val="0"/>
    <w:rPr>
      <w:kern w:val="2"/>
      <w:sz w:val="24"/>
    </w:rPr>
  </w:style>
  <w:style w:type="character" w:customStyle="1" w:styleId="95">
    <w:name w:val="表格标题 字符"/>
    <w:link w:val="92"/>
    <w:autoRedefine/>
    <w:qFormat/>
    <w:uiPriority w:val="0"/>
    <w:rPr>
      <w:rFonts w:eastAsia="黑体"/>
      <w:kern w:val="2"/>
      <w:sz w:val="24"/>
    </w:rPr>
  </w:style>
  <w:style w:type="character" w:customStyle="1" w:styleId="96">
    <w:name w:val="不明显参考1"/>
    <w:autoRedefine/>
    <w:qFormat/>
    <w:uiPriority w:val="31"/>
    <w:rPr>
      <w:smallCaps/>
      <w:color w:val="C0504D"/>
      <w:u w:val="single"/>
    </w:rPr>
  </w:style>
  <w:style w:type="character" w:customStyle="1" w:styleId="97">
    <w:name w:val="不明显强调1"/>
    <w:qFormat/>
    <w:uiPriority w:val="19"/>
    <w:rPr>
      <w:i/>
      <w:iCs/>
      <w:color w:val="808080"/>
    </w:rPr>
  </w:style>
  <w:style w:type="paragraph" w:styleId="98">
    <w:name w:val="List Paragraph"/>
    <w:basedOn w:val="1"/>
    <w:autoRedefine/>
    <w:qFormat/>
    <w:uiPriority w:val="34"/>
    <w:pPr>
      <w:ind w:firstLine="420" w:firstLineChars="200"/>
    </w:pPr>
  </w:style>
  <w:style w:type="character" w:customStyle="1" w:styleId="99">
    <w:name w:val="明显参考1"/>
    <w:autoRedefine/>
    <w:qFormat/>
    <w:uiPriority w:val="32"/>
    <w:rPr>
      <w:b/>
      <w:bCs/>
      <w:smallCaps/>
      <w:color w:val="C0504D"/>
      <w:spacing w:val="5"/>
      <w:u w:val="single"/>
    </w:rPr>
  </w:style>
  <w:style w:type="character" w:customStyle="1" w:styleId="100">
    <w:name w:val="明显强调1"/>
    <w:autoRedefine/>
    <w:qFormat/>
    <w:uiPriority w:val="21"/>
    <w:rPr>
      <w:b/>
      <w:bCs/>
      <w:i/>
      <w:iCs/>
      <w:color w:val="4F81BD"/>
    </w:rPr>
  </w:style>
  <w:style w:type="paragraph" w:styleId="101">
    <w:name w:val="Intense Quote"/>
    <w:basedOn w:val="1"/>
    <w:next w:val="1"/>
    <w:link w:val="102"/>
    <w:autoRedefine/>
    <w:qFormat/>
    <w:uiPriority w:val="30"/>
    <w:pPr>
      <w:pBdr>
        <w:bottom w:val="single" w:color="4F81BD" w:sz="4" w:space="4"/>
      </w:pBdr>
      <w:spacing w:before="200" w:after="280"/>
      <w:ind w:left="936" w:right="936"/>
    </w:pPr>
    <w:rPr>
      <w:b/>
      <w:bCs/>
      <w:i/>
      <w:iCs/>
      <w:color w:val="4F81BD"/>
    </w:rPr>
  </w:style>
  <w:style w:type="character" w:customStyle="1" w:styleId="102">
    <w:name w:val="明显引用 字符"/>
    <w:link w:val="101"/>
    <w:autoRedefine/>
    <w:qFormat/>
    <w:uiPriority w:val="30"/>
    <w:rPr>
      <w:b/>
      <w:bCs/>
      <w:i/>
      <w:iCs/>
      <w:color w:val="4F81BD"/>
      <w:kern w:val="2"/>
    </w:rPr>
  </w:style>
  <w:style w:type="character" w:customStyle="1" w:styleId="103">
    <w:name w:val="书籍标题1"/>
    <w:autoRedefine/>
    <w:qFormat/>
    <w:uiPriority w:val="33"/>
    <w:rPr>
      <w:b/>
      <w:bCs/>
      <w:smallCaps/>
      <w:spacing w:val="5"/>
    </w:rPr>
  </w:style>
  <w:style w:type="paragraph" w:styleId="104">
    <w:name w:val="No Spacing"/>
    <w:autoRedefine/>
    <w:qFormat/>
    <w:uiPriority w:val="1"/>
    <w:pPr>
      <w:widowControl w:val="0"/>
      <w:jc w:val="both"/>
    </w:pPr>
    <w:rPr>
      <w:rFonts w:ascii="Times New Roman" w:hAnsi="Times New Roman" w:eastAsia="宋体" w:cs="Times New Roman"/>
      <w:kern w:val="2"/>
      <w:lang w:val="en-US" w:eastAsia="zh-CN" w:bidi="ar-SA"/>
    </w:rPr>
  </w:style>
  <w:style w:type="paragraph" w:styleId="105">
    <w:name w:val="Quote"/>
    <w:basedOn w:val="1"/>
    <w:next w:val="1"/>
    <w:link w:val="106"/>
    <w:autoRedefine/>
    <w:qFormat/>
    <w:uiPriority w:val="29"/>
    <w:rPr>
      <w:i/>
      <w:iCs/>
      <w:color w:val="000000"/>
    </w:rPr>
  </w:style>
  <w:style w:type="character" w:customStyle="1" w:styleId="106">
    <w:name w:val="引用 字符"/>
    <w:link w:val="105"/>
    <w:autoRedefine/>
    <w:qFormat/>
    <w:uiPriority w:val="29"/>
    <w:rPr>
      <w:i/>
      <w:iCs/>
      <w:color w:val="000000"/>
      <w:kern w:val="2"/>
    </w:rPr>
  </w:style>
  <w:style w:type="paragraph" w:customStyle="1" w:styleId="107">
    <w:name w:val="修订1"/>
    <w:autoRedefine/>
    <w:hidden/>
    <w:semiHidden/>
    <w:qFormat/>
    <w:uiPriority w:val="99"/>
    <w:rPr>
      <w:rFonts w:ascii="Times New Roman" w:hAnsi="Times New Roman" w:eastAsia="宋体" w:cs="Times New Roman"/>
      <w:kern w:val="2"/>
      <w:lang w:val="en-US" w:eastAsia="zh-CN" w:bidi="ar-SA"/>
    </w:rPr>
  </w:style>
  <w:style w:type="character" w:customStyle="1" w:styleId="108">
    <w:name w:val="正文首行缩进 Char"/>
    <w:autoRedefine/>
    <w:qFormat/>
    <w:uiPriority w:val="0"/>
    <w:rPr>
      <w:sz w:val="24"/>
    </w:rPr>
  </w:style>
  <w:style w:type="character" w:customStyle="1" w:styleId="109">
    <w:name w:val="表格标题 Char"/>
    <w:autoRedefine/>
    <w:qFormat/>
    <w:uiPriority w:val="0"/>
    <w:rPr>
      <w:rFonts w:eastAsia="黑体"/>
      <w:kern w:val="2"/>
      <w:sz w:val="24"/>
    </w:rPr>
  </w:style>
  <w:style w:type="character" w:customStyle="1" w:styleId="110">
    <w:name w:val="表格名称 Char"/>
    <w:link w:val="111"/>
    <w:autoRedefine/>
    <w:qFormat/>
    <w:uiPriority w:val="0"/>
    <w:rPr>
      <w:sz w:val="21"/>
    </w:rPr>
  </w:style>
  <w:style w:type="paragraph" w:customStyle="1" w:styleId="111">
    <w:name w:val="表格名称"/>
    <w:basedOn w:val="1"/>
    <w:link w:val="110"/>
    <w:autoRedefine/>
    <w:qFormat/>
    <w:uiPriority w:val="0"/>
    <w:pPr>
      <w:jc w:val="center"/>
    </w:pPr>
    <w:rPr>
      <w:kern w:val="0"/>
      <w:sz w:val="21"/>
    </w:rPr>
  </w:style>
  <w:style w:type="character" w:customStyle="1" w:styleId="112">
    <w:name w:val="标题 3 Char"/>
    <w:autoRedefine/>
    <w:qFormat/>
    <w:uiPriority w:val="9"/>
    <w:rPr>
      <w:bCs/>
      <w:sz w:val="24"/>
      <w:szCs w:val="32"/>
    </w:rPr>
  </w:style>
  <w:style w:type="character" w:customStyle="1" w:styleId="113">
    <w:name w:val="标题 4 Char"/>
    <w:autoRedefine/>
    <w:qFormat/>
    <w:uiPriority w:val="0"/>
    <w:rPr>
      <w:rFonts w:cs="Times New Roman"/>
      <w:bCs/>
      <w:sz w:val="24"/>
      <w:szCs w:val="28"/>
    </w:rPr>
  </w:style>
  <w:style w:type="character" w:customStyle="1" w:styleId="114">
    <w:name w:val="HTML 预设格式 Char2"/>
    <w:autoRedefine/>
    <w:semiHidden/>
    <w:qFormat/>
    <w:uiPriority w:val="99"/>
    <w:rPr>
      <w:rFonts w:ascii="Courier New" w:hAnsi="Courier New" w:cs="Courier New"/>
      <w:kern w:val="2"/>
    </w:rPr>
  </w:style>
  <w:style w:type="paragraph" w:customStyle="1" w:styleId="115">
    <w:name w:val="TOC 标题1"/>
    <w:basedOn w:val="2"/>
    <w:next w:val="1"/>
    <w:autoRedefine/>
    <w:unhideWhenUsed/>
    <w:qFormat/>
    <w:uiPriority w:val="39"/>
    <w:pPr>
      <w:widowControl/>
      <w:numPr>
        <w:numId w:val="0"/>
      </w:numPr>
      <w:adjustRightInd/>
      <w:snapToGrid/>
      <w:spacing w:before="240" w:line="259" w:lineRule="auto"/>
      <w:jc w:val="left"/>
      <w:outlineLvl w:val="9"/>
    </w:pPr>
    <w:rPr>
      <w:rFonts w:ascii="等线 Light" w:hAnsi="等线 Light" w:eastAsia="等线 Light"/>
      <w:bCs w:val="0"/>
      <w:color w:val="2E74B5"/>
      <w:kern w:val="0"/>
      <w:sz w:val="32"/>
      <w:szCs w:val="32"/>
    </w:rPr>
  </w:style>
  <w:style w:type="paragraph" w:customStyle="1" w:styleId="116">
    <w:name w:val="表蚊子"/>
    <w:basedOn w:val="1"/>
    <w:autoRedefine/>
    <w:qFormat/>
    <w:uiPriority w:val="0"/>
    <w:pPr>
      <w:widowControl/>
      <w:adjustRightInd w:val="0"/>
      <w:snapToGrid w:val="0"/>
      <w:jc w:val="center"/>
    </w:pPr>
    <w:rPr>
      <w:rFonts w:ascii="宋体" w:hAnsi="宋体" w:eastAsia="仿宋_GB2312" w:cs="宋体"/>
      <w:bCs/>
      <w:sz w:val="21"/>
      <w:szCs w:val="18"/>
    </w:rPr>
  </w:style>
  <w:style w:type="character" w:customStyle="1" w:styleId="117">
    <w:name w:val="题注 字符1"/>
    <w:autoRedefine/>
    <w:qFormat/>
    <w:uiPriority w:val="35"/>
    <w:rPr>
      <w:rFonts w:eastAsia="黑体"/>
      <w:sz w:val="24"/>
      <w:szCs w:val="24"/>
    </w:rPr>
  </w:style>
  <w:style w:type="character" w:customStyle="1" w:styleId="118">
    <w:name w:val="zw Char"/>
    <w:link w:val="119"/>
    <w:autoRedefine/>
    <w:qFormat/>
    <w:uiPriority w:val="0"/>
    <w:rPr>
      <w:color w:val="000000"/>
      <w:sz w:val="24"/>
      <w:szCs w:val="24"/>
      <w:lang w:val="zh-CN"/>
    </w:rPr>
  </w:style>
  <w:style w:type="paragraph" w:customStyle="1" w:styleId="119">
    <w:name w:val="zw"/>
    <w:basedOn w:val="1"/>
    <w:link w:val="118"/>
    <w:autoRedefine/>
    <w:qFormat/>
    <w:uiPriority w:val="0"/>
    <w:pPr>
      <w:spacing w:line="360" w:lineRule="auto"/>
      <w:ind w:firstLine="200" w:firstLineChars="200"/>
    </w:pPr>
    <w:rPr>
      <w:color w:val="000000"/>
      <w:kern w:val="0"/>
      <w:sz w:val="24"/>
      <w:szCs w:val="24"/>
      <w:lang w:val="zh-CN"/>
    </w:rPr>
  </w:style>
  <w:style w:type="character" w:customStyle="1" w:styleId="120">
    <w:name w:val="页眉 Char"/>
    <w:autoRedefine/>
    <w:qFormat/>
    <w:uiPriority w:val="0"/>
    <w:rPr>
      <w:rFonts w:eastAsia="宋体"/>
      <w:kern w:val="2"/>
      <w:sz w:val="18"/>
      <w:szCs w:val="18"/>
      <w:lang w:val="en-US" w:eastAsia="zh-CN" w:bidi="ar-SA"/>
    </w:rPr>
  </w:style>
  <w:style w:type="paragraph" w:customStyle="1" w:styleId="121">
    <w:name w:val="表格标题2（附图、附表）"/>
    <w:basedOn w:val="1"/>
    <w:autoRedefine/>
    <w:uiPriority w:val="0"/>
    <w:pPr>
      <w:spacing w:after="50" w:afterLines="50"/>
      <w:jc w:val="center"/>
    </w:pPr>
    <w:rPr>
      <w:rFonts w:hint="eastAsia"/>
      <w:b/>
      <w:bCs/>
      <w:sz w:val="21"/>
      <w:szCs w:val="21"/>
    </w:rPr>
  </w:style>
  <w:style w:type="paragraph" w:customStyle="1" w:styleId="122">
    <w:name w:val="表格中文本（表格-居中）"/>
    <w:basedOn w:val="1"/>
    <w:autoRedefine/>
    <w:qFormat/>
    <w:uiPriority w:val="0"/>
    <w:pPr>
      <w:widowControl/>
      <w:snapToGrid w:val="0"/>
      <w:spacing w:before="20" w:beforeLines="20" w:line="360" w:lineRule="auto"/>
      <w:jc w:val="center"/>
    </w:pPr>
    <w:rPr>
      <w:rFonts w:hint="eastAsia"/>
      <w:kern w:val="0"/>
      <w:sz w:val="21"/>
      <w:szCs w:val="21"/>
    </w:rPr>
  </w:style>
  <w:style w:type="paragraph" w:customStyle="1" w:styleId="123">
    <w:name w:val="表格中文（表格-缩进）"/>
    <w:basedOn w:val="1"/>
    <w:autoRedefine/>
    <w:qFormat/>
    <w:uiPriority w:val="0"/>
    <w:pPr>
      <w:widowControl/>
      <w:snapToGrid w:val="0"/>
      <w:spacing w:before="20" w:beforeLines="20" w:line="360" w:lineRule="auto"/>
      <w:ind w:firstLine="720" w:firstLineChars="200"/>
    </w:pPr>
    <w:rPr>
      <w:rFonts w:hint="eastAsia"/>
      <w:kern w:val="0"/>
      <w:sz w:val="21"/>
      <w:szCs w:val="21"/>
    </w:rPr>
  </w:style>
  <w:style w:type="paragraph" w:customStyle="1" w:styleId="124">
    <w:name w:val="正文1"/>
    <w:autoRedefine/>
    <w:qFormat/>
    <w:uiPriority w:val="0"/>
    <w:pPr>
      <w:jc w:val="both"/>
    </w:pPr>
    <w:rPr>
      <w:rFonts w:ascii="等线" w:hAnsi="等线" w:eastAsia="宋体" w:cs="宋体"/>
      <w:kern w:val="2"/>
      <w:sz w:val="21"/>
      <w:szCs w:val="21"/>
      <w:lang w:val="en-US" w:eastAsia="zh-CN" w:bidi="ar-SA"/>
    </w:rPr>
  </w:style>
  <w:style w:type="paragraph" w:customStyle="1" w:styleId="125">
    <w:name w:val="图表标题"/>
    <w:basedOn w:val="16"/>
    <w:link w:val="126"/>
    <w:autoRedefine/>
    <w:qFormat/>
    <w:uiPriority w:val="0"/>
    <w:pPr>
      <w:jc w:val="center"/>
      <w:outlineLvl w:val="3"/>
    </w:pPr>
  </w:style>
  <w:style w:type="character" w:customStyle="1" w:styleId="126">
    <w:name w:val="图表标题 字符"/>
    <w:link w:val="125"/>
    <w:autoRedefine/>
    <w:qFormat/>
    <w:uiPriority w:val="0"/>
    <w:rPr>
      <w:rFonts w:eastAsia="黑体"/>
      <w:kern w:val="2"/>
      <w:sz w:val="24"/>
    </w:rPr>
  </w:style>
  <w:style w:type="paragraph" w:customStyle="1" w:styleId="127">
    <w:name w:val="正文11"/>
    <w:basedOn w:val="1"/>
    <w:link w:val="128"/>
    <w:autoRedefine/>
    <w:uiPriority w:val="0"/>
    <w:pPr>
      <w:spacing w:after="156" w:afterLines="50" w:line="360" w:lineRule="auto"/>
      <w:ind w:firstLine="480" w:firstLineChars="200"/>
    </w:pPr>
    <w:rPr>
      <w:kern w:val="0"/>
      <w:sz w:val="24"/>
      <w:szCs w:val="24"/>
    </w:rPr>
  </w:style>
  <w:style w:type="character" w:customStyle="1" w:styleId="128">
    <w:name w:val="正文1 Char"/>
    <w:link w:val="127"/>
    <w:autoRedefine/>
    <w:qFormat/>
    <w:uiPriority w:val="0"/>
    <w:rPr>
      <w:sz w:val="24"/>
      <w:szCs w:val="24"/>
    </w:rPr>
  </w:style>
  <w:style w:type="character" w:styleId="129">
    <w:name w:val="Placeholder Text"/>
    <w:autoRedefine/>
    <w:qFormat/>
    <w:uiPriority w:val="99"/>
    <w:rPr>
      <w:color w:val="808080"/>
    </w:rPr>
  </w:style>
  <w:style w:type="paragraph" w:customStyle="1" w:styleId="130">
    <w:name w:val="普通(网站)1"/>
    <w:basedOn w:val="1"/>
    <w:autoRedefine/>
    <w:qFormat/>
    <w:uiPriority w:val="0"/>
    <w:pPr>
      <w:widowControl/>
      <w:spacing w:before="100" w:beforeAutospacing="1" w:after="100" w:afterAutospacing="1"/>
      <w:jc w:val="left"/>
    </w:pPr>
    <w:rPr>
      <w:rFonts w:hint="eastAsia" w:ascii="宋体" w:hAnsi="宋体"/>
      <w:sz w:val="24"/>
    </w:rPr>
  </w:style>
  <w:style w:type="paragraph" w:customStyle="1" w:styleId="131">
    <w:name w:val="正文文字"/>
    <w:basedOn w:val="15"/>
    <w:link w:val="132"/>
    <w:autoRedefine/>
    <w:qFormat/>
    <w:uiPriority w:val="0"/>
    <w:pPr>
      <w:adjustRightInd w:val="0"/>
      <w:snapToGrid w:val="0"/>
      <w:spacing w:line="360" w:lineRule="auto"/>
      <w:ind w:firstLine="200" w:firstLineChars="200"/>
      <w:jc w:val="both"/>
    </w:pPr>
    <w:rPr>
      <w:rFonts w:eastAsia="宋体"/>
      <w:sz w:val="24"/>
      <w:szCs w:val="24"/>
    </w:rPr>
  </w:style>
  <w:style w:type="character" w:customStyle="1" w:styleId="132">
    <w:name w:val="正文文字 Char1"/>
    <w:link w:val="131"/>
    <w:autoRedefine/>
    <w:qFormat/>
    <w:uiPriority w:val="0"/>
    <w:rPr>
      <w:sz w:val="24"/>
      <w:szCs w:val="24"/>
    </w:rPr>
  </w:style>
  <w:style w:type="character" w:customStyle="1" w:styleId="133">
    <w:name w:val="正文首行缩进 字符1"/>
    <w:autoRedefine/>
    <w:qFormat/>
    <w:uiPriority w:val="99"/>
    <w:rPr>
      <w:rFonts w:ascii="Times New Roman" w:hAnsi="Times New Roman" w:eastAsia="宋体"/>
      <w:sz w:val="24"/>
    </w:rPr>
  </w:style>
  <w:style w:type="paragraph" w:customStyle="1" w:styleId="134">
    <w:name w:val="普通(网站)12"/>
    <w:basedOn w:val="1"/>
    <w:autoRedefine/>
    <w:qFormat/>
    <w:uiPriority w:val="0"/>
    <w:pPr>
      <w:widowControl/>
      <w:spacing w:before="100" w:beforeAutospacing="1" w:after="100" w:afterAutospacing="1"/>
      <w:jc w:val="left"/>
    </w:pPr>
    <w:rPr>
      <w:rFonts w:hint="eastAsia" w:ascii="宋体" w:hAnsi="宋体"/>
      <w:sz w:val="24"/>
    </w:rPr>
  </w:style>
  <w:style w:type="character" w:customStyle="1" w:styleId="135">
    <w:name w:val="题注 字符"/>
    <w:autoRedefine/>
    <w:qFormat/>
    <w:uiPriority w:val="35"/>
    <w:rPr>
      <w:rFonts w:eastAsia="黑体"/>
      <w:sz w:val="24"/>
    </w:rPr>
  </w:style>
  <w:style w:type="character" w:customStyle="1" w:styleId="136">
    <w:name w:val="批注文字 Char1"/>
    <w:autoRedefine/>
    <w:semiHidden/>
    <w:qFormat/>
    <w:uiPriority w:val="99"/>
  </w:style>
  <w:style w:type="paragraph" w:customStyle="1" w:styleId="137">
    <w:name w:val="正文首行缩进 2 + Times New Roman"/>
    <w:basedOn w:val="1"/>
    <w:autoRedefine/>
    <w:qFormat/>
    <w:uiPriority w:val="0"/>
    <w:pPr>
      <w:tabs>
        <w:tab w:val="left" w:pos="0"/>
        <w:tab w:val="left" w:pos="870"/>
        <w:tab w:val="left" w:pos="3150"/>
      </w:tabs>
      <w:autoSpaceDE w:val="0"/>
      <w:autoSpaceDN w:val="0"/>
      <w:spacing w:line="360" w:lineRule="auto"/>
      <w:ind w:firstLine="512" w:firstLineChars="200"/>
      <w:jc w:val="left"/>
    </w:pPr>
    <w:rPr>
      <w:color w:val="000000"/>
      <w:spacing w:val="8"/>
      <w:kern w:val="0"/>
      <w:sz w:val="24"/>
    </w:rPr>
  </w:style>
  <w:style w:type="paragraph" w:customStyle="1" w:styleId="138">
    <w:name w:val="z表格文字"/>
    <w:basedOn w:val="3"/>
    <w:link w:val="139"/>
    <w:autoRedefine/>
    <w:qFormat/>
    <w:uiPriority w:val="0"/>
    <w:pPr>
      <w:spacing w:line="240" w:lineRule="auto"/>
      <w:ind w:firstLine="0" w:firstLineChars="0"/>
      <w:jc w:val="center"/>
    </w:pPr>
  </w:style>
  <w:style w:type="character" w:customStyle="1" w:styleId="139">
    <w:name w:val="z表格文字 字符"/>
    <w:basedOn w:val="49"/>
    <w:link w:val="138"/>
    <w:autoRedefine/>
    <w:qFormat/>
    <w:uiPriority w:val="0"/>
    <w:rPr>
      <w:kern w:val="2"/>
      <w:sz w:val="24"/>
    </w:rPr>
  </w:style>
  <w:style w:type="paragraph" w:customStyle="1" w:styleId="140">
    <w:name w:val="Default"/>
    <w:autoRedefine/>
    <w:unhideWhenUsed/>
    <w:qFormat/>
    <w:uiPriority w:val="0"/>
    <w:pPr>
      <w:widowControl w:val="0"/>
      <w:autoSpaceDE w:val="0"/>
      <w:autoSpaceDN w:val="0"/>
      <w:adjustRightInd w:val="0"/>
    </w:pPr>
    <w:rPr>
      <w:rFonts w:hint="eastAsia" w:ascii="黑体" w:hAnsi="黑体" w:eastAsia="黑体" w:cs="Times New Roman"/>
      <w:color w:val="000000"/>
      <w:sz w:val="24"/>
      <w:lang w:val="en-US" w:eastAsia="zh-CN" w:bidi="ar-SA"/>
    </w:rPr>
  </w:style>
  <w:style w:type="paragraph" w:customStyle="1" w:styleId="141">
    <w:name w:val="标题2wxy"/>
    <w:basedOn w:val="5"/>
    <w:autoRedefine/>
    <w:qFormat/>
    <w:uiPriority w:val="0"/>
    <w:pPr>
      <w:numPr>
        <w:numId w:val="3"/>
      </w:numPr>
      <w:tabs>
        <w:tab w:val="left" w:pos="95"/>
        <w:tab w:val="left" w:pos="576"/>
      </w:tabs>
      <w:adjustRightInd/>
      <w:snapToGrid/>
      <w:spacing w:before="120" w:after="120" w:line="560" w:lineRule="exact"/>
    </w:pPr>
    <w:rPr>
      <w:rFonts w:ascii="Arial Unicode MS" w:hAnsi="Arial Unicode MS"/>
      <w:b/>
      <w:sz w:val="32"/>
    </w:rPr>
  </w:style>
  <w:style w:type="character" w:customStyle="1" w:styleId="142">
    <w:name w:val="样式5 Char"/>
    <w:link w:val="143"/>
    <w:autoRedefine/>
    <w:qFormat/>
    <w:uiPriority w:val="0"/>
    <w:rPr>
      <w:sz w:val="28"/>
      <w:szCs w:val="28"/>
    </w:rPr>
  </w:style>
  <w:style w:type="paragraph" w:customStyle="1" w:styleId="143">
    <w:name w:val="样式5"/>
    <w:basedOn w:val="1"/>
    <w:link w:val="142"/>
    <w:autoRedefine/>
    <w:qFormat/>
    <w:uiPriority w:val="0"/>
    <w:pPr>
      <w:adjustRightInd w:val="0"/>
      <w:spacing w:line="560" w:lineRule="exact"/>
      <w:ind w:firstLine="560" w:firstLineChars="200"/>
      <w:textAlignment w:val="baseline"/>
    </w:pPr>
    <w:rPr>
      <w:kern w:val="0"/>
      <w:sz w:val="28"/>
      <w:szCs w:val="28"/>
    </w:rPr>
  </w:style>
  <w:style w:type="character" w:customStyle="1" w:styleId="144">
    <w:name w:val="15"/>
    <w:basedOn w:val="42"/>
    <w:autoRedefine/>
    <w:qFormat/>
    <w:uiPriority w:val="0"/>
  </w:style>
  <w:style w:type="character" w:customStyle="1" w:styleId="145">
    <w:name w:val="批注文字 字符"/>
    <w:autoRedefine/>
    <w:qFormat/>
    <w:locked/>
    <w:uiPriority w:val="0"/>
    <w:rPr>
      <w:rFonts w:ascii="Times New Roman" w:hAnsi="Times New Roman" w:eastAsia="宋体"/>
      <w:sz w:val="24"/>
    </w:rPr>
  </w:style>
  <w:style w:type="paragraph" w:customStyle="1" w:styleId="146">
    <w:name w:val="p0"/>
    <w:basedOn w:val="1"/>
    <w:autoRedefine/>
    <w:qFormat/>
    <w:uiPriority w:val="0"/>
    <w:pPr>
      <w:widowControl/>
    </w:pPr>
    <w:rPr>
      <w:rFonts w:hint="eastAsia"/>
      <w:sz w:val="21"/>
    </w:rPr>
  </w:style>
  <w:style w:type="paragraph" w:customStyle="1" w:styleId="147">
    <w:name w:val="修订2"/>
    <w:autoRedefine/>
    <w:hidden/>
    <w:semiHidden/>
    <w:qFormat/>
    <w:uiPriority w:val="99"/>
    <w:rPr>
      <w:rFonts w:ascii="Times New Roman" w:hAnsi="Times New Roman" w:eastAsia="宋体" w:cs="Times New Roman"/>
      <w:kern w:val="2"/>
      <w:lang w:val="en-US" w:eastAsia="zh-CN" w:bidi="ar-SA"/>
    </w:rPr>
  </w:style>
  <w:style w:type="paragraph" w:customStyle="1" w:styleId="148">
    <w:name w:val="lxc表头"/>
    <w:basedOn w:val="4"/>
    <w:next w:val="3"/>
    <w:link w:val="149"/>
    <w:autoRedefine/>
    <w:unhideWhenUsed/>
    <w:qFormat/>
    <w:uiPriority w:val="99"/>
    <w:pPr>
      <w:adjustRightInd w:val="0"/>
      <w:snapToGrid w:val="0"/>
      <w:jc w:val="center"/>
      <w:outlineLvl w:val="3"/>
    </w:pPr>
    <w:rPr>
      <w:rFonts w:eastAsia="黑体"/>
      <w:sz w:val="24"/>
    </w:rPr>
  </w:style>
  <w:style w:type="character" w:customStyle="1" w:styleId="149">
    <w:name w:val="lxc表头 字符"/>
    <w:link w:val="148"/>
    <w:autoRedefine/>
    <w:qFormat/>
    <w:uiPriority w:val="99"/>
    <w:rPr>
      <w:rFonts w:eastAsia="黑体"/>
      <w:kern w:val="2"/>
      <w:sz w:val="24"/>
    </w:rPr>
  </w:style>
  <w:style w:type="paragraph" w:customStyle="1" w:styleId="150">
    <w:name w:val="标题 3（桑2）"/>
    <w:basedOn w:val="6"/>
    <w:autoRedefine/>
    <w:semiHidden/>
    <w:qFormat/>
    <w:uiPriority w:val="0"/>
    <w:pPr>
      <w:keepNext w:val="0"/>
      <w:keepLines w:val="0"/>
      <w:numPr>
        <w:numId w:val="4"/>
      </w:numPr>
      <w:tabs>
        <w:tab w:val="left" w:pos="1145"/>
      </w:tabs>
      <w:overflowPunct w:val="0"/>
      <w:autoSpaceDE w:val="0"/>
      <w:autoSpaceDN w:val="0"/>
      <w:spacing w:before="20" w:after="20"/>
      <w:jc w:val="left"/>
      <w:textAlignment w:val="baseline"/>
    </w:pPr>
    <w:rPr>
      <w:rFonts w:ascii="Arial" w:hAnsi="Arial" w:eastAsia="黑体"/>
      <w:bCs w:val="0"/>
      <w:snapToGrid w:val="0"/>
      <w:kern w:val="20"/>
      <w:sz w:val="28"/>
      <w:szCs w:val="20"/>
    </w:rPr>
  </w:style>
  <w:style w:type="character" w:customStyle="1" w:styleId="151">
    <w:name w:val="表格文字 Char Char"/>
    <w:autoRedefine/>
    <w:uiPriority w:val="0"/>
    <w:rPr>
      <w:sz w:val="21"/>
    </w:rPr>
  </w:style>
  <w:style w:type="paragraph" w:customStyle="1" w:styleId="152">
    <w:name w:val="样式（ 表格 ）"/>
    <w:basedOn w:val="1"/>
    <w:autoRedefine/>
    <w:qFormat/>
    <w:uiPriority w:val="0"/>
    <w:pPr>
      <w:adjustRightInd w:val="0"/>
      <w:snapToGrid w:val="0"/>
      <w:spacing w:before="100" w:beforeAutospacing="1" w:after="100" w:afterAutospacing="1"/>
      <w:jc w:val="center"/>
    </w:pPr>
    <w:rPr>
      <w:rFonts w:ascii="Arial" w:hAnsi="Arial"/>
      <w:color w:val="0000FF"/>
      <w:kern w:val="0"/>
      <w:sz w:val="21"/>
    </w:rPr>
  </w:style>
  <w:style w:type="character" w:customStyle="1" w:styleId="153">
    <w:name w:val="zw Char Char"/>
    <w:autoRedefine/>
    <w:locked/>
    <w:uiPriority w:val="0"/>
    <w:rPr>
      <w:sz w:val="24"/>
      <w:szCs w:val="24"/>
      <w:shd w:val="clear" w:color="auto" w:fill="FFFFFF"/>
    </w:rPr>
  </w:style>
  <w:style w:type="paragraph" w:customStyle="1" w:styleId="154">
    <w:name w:val="样式 (中文) 宋体 小四 行距: 1.5 倍行距 首行缩进:  2 字符"/>
    <w:basedOn w:val="1"/>
    <w:autoRedefine/>
    <w:qFormat/>
    <w:uiPriority w:val="0"/>
    <w:pPr>
      <w:spacing w:line="360" w:lineRule="auto"/>
      <w:ind w:firstLine="200" w:firstLineChars="200"/>
    </w:pPr>
    <w:rPr>
      <w:rFonts w:eastAsia="Arial Unicode MS" w:cs="Arial Unicode MS"/>
      <w:sz w:val="24"/>
    </w:rPr>
  </w:style>
  <w:style w:type="paragraph" w:customStyle="1" w:styleId="155">
    <w:name w:val="标题3条"/>
    <w:basedOn w:val="6"/>
    <w:autoRedefine/>
    <w:qFormat/>
    <w:uiPriority w:val="0"/>
    <w:pPr>
      <w:numPr>
        <w:ilvl w:val="0"/>
        <w:numId w:val="0"/>
      </w:numPr>
      <w:tabs>
        <w:tab w:val="left" w:pos="720"/>
      </w:tabs>
      <w:jc w:val="left"/>
    </w:pPr>
    <w:rPr>
      <w:rFonts w:eastAsia="楷体_GB2312" w:cs="宋体"/>
      <w:b/>
      <w:snapToGrid w:val="0"/>
      <w:szCs w:val="20"/>
      <w:lang w:eastAsia="en-US" w:bidi="en-US"/>
    </w:rPr>
  </w:style>
  <w:style w:type="paragraph" w:customStyle="1" w:styleId="156">
    <w:name w:val="xdhb-0"/>
    <w:autoRedefine/>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57">
    <w:name w:val="默认段落字体 Para Char Char Char Char"/>
    <w:basedOn w:val="1"/>
    <w:autoRedefine/>
    <w:qFormat/>
    <w:uiPriority w:val="0"/>
    <w:pPr>
      <w:adjustRightInd w:val="0"/>
      <w:spacing w:line="360" w:lineRule="auto"/>
      <w:ind w:firstLine="200" w:firstLineChars="200"/>
      <w:textAlignment w:val="baseline"/>
    </w:pPr>
    <w:rPr>
      <w:rFonts w:ascii="楷体" w:hAnsi="楷体" w:cs="楷体"/>
      <w:kern w:val="0"/>
      <w:sz w:val="24"/>
    </w:rPr>
  </w:style>
  <w:style w:type="paragraph" w:customStyle="1" w:styleId="158">
    <w:name w:val="表标题-G"/>
    <w:basedOn w:val="98"/>
    <w:qFormat/>
    <w:uiPriority w:val="0"/>
    <w:pPr>
      <w:widowControl/>
      <w:tabs>
        <w:tab w:val="left" w:pos="3240"/>
      </w:tabs>
      <w:autoSpaceDE w:val="0"/>
      <w:autoSpaceDN w:val="0"/>
      <w:adjustRightInd w:val="0"/>
      <w:snapToGrid w:val="0"/>
      <w:spacing w:before="156" w:beforeLines="50" w:line="360" w:lineRule="auto"/>
      <w:ind w:left="420" w:firstLine="0" w:firstLineChars="0"/>
      <w:jc w:val="center"/>
      <w:textAlignment w:val="bottom"/>
    </w:pPr>
    <w:rPr>
      <w:rFonts w:eastAsia="黑体"/>
      <w:b/>
      <w:bCs/>
      <w:kern w:val="0"/>
      <w:sz w:val="24"/>
    </w:rPr>
  </w:style>
  <w:style w:type="paragraph" w:customStyle="1" w:styleId="159">
    <w:name w:val="lxc表内格式"/>
    <w:basedOn w:val="3"/>
    <w:link w:val="160"/>
    <w:qFormat/>
    <w:uiPriority w:val="0"/>
    <w:pPr>
      <w:spacing w:line="240" w:lineRule="auto"/>
      <w:ind w:firstLine="0" w:firstLineChars="0"/>
      <w:jc w:val="center"/>
    </w:pPr>
    <w:rPr>
      <w:sz w:val="21"/>
    </w:rPr>
  </w:style>
  <w:style w:type="character" w:customStyle="1" w:styleId="160">
    <w:name w:val="lxc表内格式 Char"/>
    <w:link w:val="159"/>
    <w:qFormat/>
    <w:uiPriority w:val="0"/>
    <w:rPr>
      <w:kern w:val="2"/>
      <w:sz w:val="21"/>
    </w:rPr>
  </w:style>
  <w:style w:type="paragraph" w:customStyle="1" w:styleId="161">
    <w:name w:val="S332正文"/>
    <w:link w:val="162"/>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62">
    <w:name w:val="S332正文 Char"/>
    <w:link w:val="161"/>
    <w:qFormat/>
    <w:uiPriority w:val="0"/>
    <w:rPr>
      <w:kern w:val="2"/>
      <w:sz w:val="24"/>
      <w:szCs w:val="24"/>
    </w:rPr>
  </w:style>
  <w:style w:type="paragraph" w:customStyle="1" w:styleId="163">
    <w:name w:val="S332表格标题"/>
    <w:basedOn w:val="3"/>
    <w:link w:val="164"/>
    <w:qFormat/>
    <w:uiPriority w:val="0"/>
    <w:pPr>
      <w:ind w:firstLine="0" w:firstLineChars="0"/>
      <w:jc w:val="center"/>
    </w:pPr>
    <w:rPr>
      <w:rFonts w:eastAsia="黑体"/>
      <w:lang w:val="zh-CN"/>
    </w:rPr>
  </w:style>
  <w:style w:type="character" w:customStyle="1" w:styleId="164">
    <w:name w:val="S332表格标题 Char"/>
    <w:link w:val="163"/>
    <w:qFormat/>
    <w:uiPriority w:val="0"/>
    <w:rPr>
      <w:rFonts w:eastAsia="黑体"/>
      <w:kern w:val="2"/>
      <w:sz w:val="24"/>
      <w:lang w:val="zh-CN"/>
    </w:rPr>
  </w:style>
  <w:style w:type="paragraph" w:customStyle="1" w:styleId="165">
    <w:name w:val="S332表格文字"/>
    <w:basedOn w:val="3"/>
    <w:link w:val="166"/>
    <w:uiPriority w:val="0"/>
    <w:pPr>
      <w:spacing w:line="240" w:lineRule="auto"/>
      <w:ind w:firstLine="0" w:firstLineChars="0"/>
      <w:jc w:val="center"/>
    </w:pPr>
    <w:rPr>
      <w:sz w:val="21"/>
      <w:lang w:val="zh-CN"/>
    </w:rPr>
  </w:style>
  <w:style w:type="character" w:customStyle="1" w:styleId="166">
    <w:name w:val="S332表格文字 Char"/>
    <w:link w:val="165"/>
    <w:qFormat/>
    <w:uiPriority w:val="0"/>
    <w:rPr>
      <w:kern w:val="2"/>
      <w:sz w:val="21"/>
      <w:lang w:val="zh-CN"/>
    </w:rPr>
  </w:style>
  <w:style w:type="paragraph" w:customStyle="1" w:styleId="167">
    <w:name w:val="表格内格式"/>
    <w:basedOn w:val="1"/>
    <w:next w:val="1"/>
    <w:qFormat/>
    <w:uiPriority w:val="0"/>
    <w:pPr>
      <w:widowControl/>
      <w:spacing w:line="360" w:lineRule="exact"/>
      <w:jc w:val="center"/>
    </w:pPr>
    <w:rPr>
      <w:kern w:val="0"/>
      <w:sz w:val="21"/>
    </w:rPr>
  </w:style>
  <w:style w:type="paragraph" w:customStyle="1" w:styleId="168">
    <w:name w:val="Char"/>
    <w:basedOn w:val="1"/>
    <w:qFormat/>
    <w:uiPriority w:val="0"/>
    <w:rPr>
      <w:sz w:val="24"/>
      <w:szCs w:val="24"/>
    </w:rPr>
  </w:style>
  <w:style w:type="paragraph" w:customStyle="1" w:styleId="169">
    <w:name w:val="TOC Heading"/>
    <w:basedOn w:val="2"/>
    <w:next w:val="1"/>
    <w:unhideWhenUsed/>
    <w:qFormat/>
    <w:uiPriority w:val="39"/>
    <w:pPr>
      <w:widowControl/>
      <w:numPr>
        <w:numId w:val="0"/>
      </w:numPr>
      <w:adjustRightInd/>
      <w:snapToGrid/>
      <w:spacing w:before="24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microsoft.com/office/2006/relationships/keyMapCustomizations" Target="customizations.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1.xml"/><Relationship Id="rId49" Type="http://schemas.openxmlformats.org/officeDocument/2006/relationships/image" Target="media/image33.png"/><Relationship Id="rId48" Type="http://schemas.openxmlformats.org/officeDocument/2006/relationships/chart" Target="charts/chart2.xml"/><Relationship Id="rId47" Type="http://schemas.openxmlformats.org/officeDocument/2006/relationships/chart" Target="charts/chart1.xml"/><Relationship Id="rId46" Type="http://schemas.openxmlformats.org/officeDocument/2006/relationships/image" Target="media/image32.jpe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emf"/><Relationship Id="rId15" Type="http://schemas.openxmlformats.org/officeDocument/2006/relationships/image" Target="media/image1.emf"/><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1&#12289;2024\5&#12289;&#27743;&#21326;&#28286;&#25277;&#27700;&#33988;&#33021;110KV&#30005;&#21147;&#32447;&#36335;&#39033;&#30446;\&#30005;&#30913;&#39044;&#27979;\&#38750;&#23621;&#20303;&#21306;\15mm&#20912;&#21306;%20&#30005;&#30913;&#39044;&#2797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1&#12289;2024\5&#12289;&#27743;&#21326;&#28286;&#25277;&#27700;&#33988;&#33021;110KV&#30005;&#21147;&#32447;&#36335;&#39033;&#30446;\&#30005;&#30913;&#39044;&#27979;\&#38750;&#23621;&#20303;&#21306;\15mm&#20912;&#21306;%20&#30005;&#30913;&#39044;&#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65041226759838"/>
          <c:y val="0.232921919595717"/>
          <c:w val="0.9066423610232"/>
          <c:h val="0.642315945309666"/>
        </c:manualLayout>
      </c:layout>
      <c:scatterChart>
        <c:scatterStyle val="lineMarker"/>
        <c:varyColors val="0"/>
        <c:ser>
          <c:idx val="0"/>
          <c:order val="0"/>
          <c:tx>
            <c:strRef>
              <c:f>导线对地15m，1.5m高处</c:f>
              <c:strCache>
                <c:ptCount val="1"/>
                <c:pt idx="0">
                  <c:v>导线对地15m，1.5m高处</c:v>
                </c:pt>
              </c:strCache>
            </c:strRef>
          </c:tx>
          <c:spPr>
            <a:ln w="19050" cap="rnd">
              <a:solidFill>
                <a:schemeClr val="accent1"/>
              </a:solidFill>
              <a:round/>
            </a:ln>
            <a:effectLst/>
          </c:spPr>
          <c:marker>
            <c:symbol val="none"/>
          </c:marker>
          <c:dLbls>
            <c:delete val="1"/>
          </c:dLbls>
          <c:xVal>
            <c:numRef>
              <c:f>预测结果!$A$20:$A$87</c:f>
              <c:numCache>
                <c:formatCode>General</c:formatCode>
                <c:ptCount val="68"/>
                <c:pt idx="0">
                  <c:v>-33.7</c:v>
                </c:pt>
                <c:pt idx="1">
                  <c:v>-32.7</c:v>
                </c:pt>
                <c:pt idx="2">
                  <c:v>-31.7</c:v>
                </c:pt>
                <c:pt idx="3">
                  <c:v>-30.7</c:v>
                </c:pt>
                <c:pt idx="4">
                  <c:v>-29.7</c:v>
                </c:pt>
                <c:pt idx="5">
                  <c:v>-28.7</c:v>
                </c:pt>
                <c:pt idx="6">
                  <c:v>-27.7</c:v>
                </c:pt>
                <c:pt idx="7">
                  <c:v>-26.7</c:v>
                </c:pt>
                <c:pt idx="8">
                  <c:v>-25.7</c:v>
                </c:pt>
                <c:pt idx="9">
                  <c:v>-24.7</c:v>
                </c:pt>
                <c:pt idx="10">
                  <c:v>-23.7</c:v>
                </c:pt>
                <c:pt idx="11">
                  <c:v>-22.7</c:v>
                </c:pt>
                <c:pt idx="12">
                  <c:v>-21.7</c:v>
                </c:pt>
                <c:pt idx="13">
                  <c:v>-20.7</c:v>
                </c:pt>
                <c:pt idx="14">
                  <c:v>-19.7</c:v>
                </c:pt>
                <c:pt idx="15">
                  <c:v>-18.7</c:v>
                </c:pt>
                <c:pt idx="16">
                  <c:v>-17.7</c:v>
                </c:pt>
                <c:pt idx="17">
                  <c:v>-16.7</c:v>
                </c:pt>
                <c:pt idx="18">
                  <c:v>-15.7</c:v>
                </c:pt>
                <c:pt idx="19">
                  <c:v>-14.7</c:v>
                </c:pt>
                <c:pt idx="20">
                  <c:v>-13.7</c:v>
                </c:pt>
                <c:pt idx="21">
                  <c:v>-12.7</c:v>
                </c:pt>
                <c:pt idx="22">
                  <c:v>-11.7</c:v>
                </c:pt>
                <c:pt idx="23">
                  <c:v>-10.7</c:v>
                </c:pt>
                <c:pt idx="24">
                  <c:v>-9.7</c:v>
                </c:pt>
                <c:pt idx="25">
                  <c:v>-8.7</c:v>
                </c:pt>
                <c:pt idx="26">
                  <c:v>-7.7</c:v>
                </c:pt>
                <c:pt idx="27">
                  <c:v>-6.7</c:v>
                </c:pt>
                <c:pt idx="28">
                  <c:v>-5.7</c:v>
                </c:pt>
                <c:pt idx="29">
                  <c:v>-4.7</c:v>
                </c:pt>
                <c:pt idx="30">
                  <c:v>-3.7</c:v>
                </c:pt>
                <c:pt idx="31">
                  <c:v>-2.7</c:v>
                </c:pt>
                <c:pt idx="32">
                  <c:v>-1.7</c:v>
                </c:pt>
                <c:pt idx="33">
                  <c:v>-0.700000000000003</c:v>
                </c:pt>
                <c:pt idx="34">
                  <c:v>0</c:v>
                </c:pt>
                <c:pt idx="35">
                  <c:v>1.3</c:v>
                </c:pt>
                <c:pt idx="36">
                  <c:v>2.3</c:v>
                </c:pt>
                <c:pt idx="37">
                  <c:v>3.3</c:v>
                </c:pt>
                <c:pt idx="38">
                  <c:v>4.3</c:v>
                </c:pt>
                <c:pt idx="39">
                  <c:v>5.3</c:v>
                </c:pt>
                <c:pt idx="40">
                  <c:v>6.3</c:v>
                </c:pt>
                <c:pt idx="41">
                  <c:v>7.3</c:v>
                </c:pt>
                <c:pt idx="42">
                  <c:v>8.3</c:v>
                </c:pt>
                <c:pt idx="43">
                  <c:v>9.3</c:v>
                </c:pt>
                <c:pt idx="44">
                  <c:v>10.3</c:v>
                </c:pt>
                <c:pt idx="45">
                  <c:v>11.3</c:v>
                </c:pt>
                <c:pt idx="46">
                  <c:v>12.3</c:v>
                </c:pt>
                <c:pt idx="47">
                  <c:v>13.3</c:v>
                </c:pt>
                <c:pt idx="48">
                  <c:v>14.3</c:v>
                </c:pt>
                <c:pt idx="49">
                  <c:v>15.3</c:v>
                </c:pt>
                <c:pt idx="50">
                  <c:v>16.3</c:v>
                </c:pt>
                <c:pt idx="51">
                  <c:v>17.3</c:v>
                </c:pt>
                <c:pt idx="52">
                  <c:v>18.3</c:v>
                </c:pt>
                <c:pt idx="53">
                  <c:v>19.3</c:v>
                </c:pt>
                <c:pt idx="54">
                  <c:v>20.3</c:v>
                </c:pt>
                <c:pt idx="55">
                  <c:v>21.3</c:v>
                </c:pt>
                <c:pt idx="56">
                  <c:v>22.3</c:v>
                </c:pt>
                <c:pt idx="57">
                  <c:v>23.3</c:v>
                </c:pt>
                <c:pt idx="58">
                  <c:v>24.3</c:v>
                </c:pt>
                <c:pt idx="59">
                  <c:v>25.3</c:v>
                </c:pt>
                <c:pt idx="60">
                  <c:v>26.3</c:v>
                </c:pt>
                <c:pt idx="61">
                  <c:v>27.3</c:v>
                </c:pt>
                <c:pt idx="62">
                  <c:v>28.3</c:v>
                </c:pt>
                <c:pt idx="63">
                  <c:v>29.3</c:v>
                </c:pt>
                <c:pt idx="64">
                  <c:v>30.3</c:v>
                </c:pt>
                <c:pt idx="65">
                  <c:v>31.3</c:v>
                </c:pt>
                <c:pt idx="66">
                  <c:v>32.3</c:v>
                </c:pt>
                <c:pt idx="67">
                  <c:v>33.3</c:v>
                </c:pt>
              </c:numCache>
            </c:numRef>
          </c:xVal>
          <c:yVal>
            <c:numRef>
              <c:f>预测结果!$B$20:$B$87</c:f>
              <c:numCache>
                <c:formatCode>0.000_ </c:formatCode>
                <c:ptCount val="68"/>
                <c:pt idx="0">
                  <c:v>73.3245069799444</c:v>
                </c:pt>
                <c:pt idx="1">
                  <c:v>78.404085730824</c:v>
                </c:pt>
                <c:pt idx="2">
                  <c:v>83.9607096883984</c:v>
                </c:pt>
                <c:pt idx="3">
                  <c:v>90.045622306437</c:v>
                </c:pt>
                <c:pt idx="4">
                  <c:v>96.7152517165131</c:v>
                </c:pt>
                <c:pt idx="5">
                  <c:v>104.031395368908</c:v>
                </c:pt>
                <c:pt idx="6">
                  <c:v>112.061238496291</c:v>
                </c:pt>
                <c:pt idx="7">
                  <c:v>120.877115275202</c:v>
                </c:pt>
                <c:pt idx="8">
                  <c:v>130.555887079317</c:v>
                </c:pt>
                <c:pt idx="9">
                  <c:v>141.177767550515</c:v>
                </c:pt>
                <c:pt idx="10">
                  <c:v>152.824367792133</c:v>
                </c:pt>
                <c:pt idx="11">
                  <c:v>165.575666120877</c:v>
                </c:pt>
                <c:pt idx="12">
                  <c:v>179.505526828677</c:v>
                </c:pt>
                <c:pt idx="13">
                  <c:v>194.675306588894</c:v>
                </c:pt>
                <c:pt idx="14">
                  <c:v>211.125007799592</c:v>
                </c:pt>
                <c:pt idx="15">
                  <c:v>228.861389153838</c:v>
                </c:pt>
                <c:pt idx="16">
                  <c:v>247.842466631426</c:v>
                </c:pt>
                <c:pt idx="17">
                  <c:v>267.957999458159</c:v>
                </c:pt>
                <c:pt idx="18">
                  <c:v>289.00595336029</c:v>
                </c:pt>
                <c:pt idx="19">
                  <c:v>310.665698165366</c:v>
                </c:pt>
                <c:pt idx="20">
                  <c:v>332.469978532274</c:v>
                </c:pt>
                <c:pt idx="21">
                  <c:v>353.779624517798</c:v>
                </c:pt>
                <c:pt idx="22">
                  <c:v>373.767567896841</c:v>
                </c:pt>
                <c:pt idx="23">
                  <c:v>391.421788949015</c:v>
                </c:pt>
                <c:pt idx="24">
                  <c:v>405.579730465429</c:v>
                </c:pt>
                <c:pt idx="25">
                  <c:v>415.008382621927</c:v>
                </c:pt>
                <c:pt idx="26">
                  <c:v>418.543191962083</c:v>
                </c:pt>
                <c:pt idx="27">
                  <c:v>415.29380463576</c:v>
                </c:pt>
                <c:pt idx="28">
                  <c:v>404.914771634409</c:v>
                </c:pt>
                <c:pt idx="29">
                  <c:v>387.924427263874</c:v>
                </c:pt>
                <c:pt idx="30">
                  <c:v>366.030810124988</c:v>
                </c:pt>
                <c:pt idx="31">
                  <c:v>342.368580296924</c:v>
                </c:pt>
                <c:pt idx="32">
                  <c:v>321.417484476996</c:v>
                </c:pt>
                <c:pt idx="33">
                  <c:v>308.172969110259</c:v>
                </c:pt>
                <c:pt idx="34">
                  <c:v>305.563836882808</c:v>
                </c:pt>
                <c:pt idx="35">
                  <c:v>316.07504850292</c:v>
                </c:pt>
                <c:pt idx="36">
                  <c:v>334.322776605793</c:v>
                </c:pt>
                <c:pt idx="37">
                  <c:v>356.111010500028</c:v>
                </c:pt>
                <c:pt idx="38">
                  <c:v>376.828267430134</c:v>
                </c:pt>
                <c:pt idx="39">
                  <c:v>393.167075533921</c:v>
                </c:pt>
                <c:pt idx="40">
                  <c:v>403.27583226622</c:v>
                </c:pt>
                <c:pt idx="41">
                  <c:v>406.531647741819</c:v>
                </c:pt>
                <c:pt idx="42">
                  <c:v>403.205684233681</c:v>
                </c:pt>
                <c:pt idx="43">
                  <c:v>394.134297758863</c:v>
                </c:pt>
                <c:pt idx="44">
                  <c:v>380.441187556509</c:v>
                </c:pt>
                <c:pt idx="45">
                  <c:v>363.327256243007</c:v>
                </c:pt>
                <c:pt idx="46">
                  <c:v>343.92917519833</c:v>
                </c:pt>
                <c:pt idx="47">
                  <c:v>323.237878622677</c:v>
                </c:pt>
                <c:pt idx="48">
                  <c:v>302.06331862572</c:v>
                </c:pt>
                <c:pt idx="49">
                  <c:v>281.030972082552</c:v>
                </c:pt>
                <c:pt idx="50">
                  <c:v>260.597398635237</c:v>
                </c:pt>
                <c:pt idx="51">
                  <c:v>241.075148349309</c:v>
                </c:pt>
                <c:pt idx="52">
                  <c:v>222.660425235893</c:v>
                </c:pt>
                <c:pt idx="53">
                  <c:v>205.459536416601</c:v>
                </c:pt>
                <c:pt idx="54">
                  <c:v>189.512094379</c:v>
                </c:pt>
                <c:pt idx="55">
                  <c:v>174.810223368808</c:v>
                </c:pt>
                <c:pt idx="56">
                  <c:v>161.313783922634</c:v>
                </c:pt>
                <c:pt idx="57">
                  <c:v>148.962024389157</c:v>
                </c:pt>
                <c:pt idx="58">
                  <c:v>137.682226798283</c:v>
                </c:pt>
                <c:pt idx="59">
                  <c:v>127.395935132554</c:v>
                </c:pt>
                <c:pt idx="60">
                  <c:v>118.02330359515</c:v>
                </c:pt>
                <c:pt idx="61">
                  <c:v>109.486022343786</c:v>
                </c:pt>
                <c:pt idx="62">
                  <c:v>101.709192080037</c:v>
                </c:pt>
                <c:pt idx="63">
                  <c:v>94.6224389947675</c:v>
                </c:pt>
                <c:pt idx="64">
                  <c:v>88.1604930194174</c:v>
                </c:pt>
                <c:pt idx="65">
                  <c:v>82.2633963430242</c:v>
                </c:pt>
                <c:pt idx="66">
                  <c:v>76.8764649590669</c:v>
                </c:pt>
                <c:pt idx="67">
                  <c:v>71.9500919897385</c:v>
                </c:pt>
              </c:numCache>
            </c:numRef>
          </c:yVal>
          <c:smooth val="0"/>
        </c:ser>
        <c:dLbls>
          <c:showLegendKey val="0"/>
          <c:showVal val="0"/>
          <c:showCatName val="0"/>
          <c:showSerName val="0"/>
          <c:showPercent val="0"/>
          <c:showBubbleSize val="0"/>
        </c:dLbls>
        <c:axId val="575576384"/>
        <c:axId val="575574752"/>
      </c:scatterChart>
      <c:valAx>
        <c:axId val="575576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zh-CN"/>
                  <a:t>距线路中心距离（</a:t>
                </a:r>
                <a:r>
                  <a:rPr lang="en-US"/>
                  <a:t>m</a:t>
                </a:r>
                <a:r>
                  <a:rPr lang="zh-CN"/>
                  <a:t>）</a:t>
                </a:r>
                <a:endParaRPr lang="zh-CN"/>
              </a:p>
            </c:rich>
          </c:tx>
          <c:layout>
            <c:manualLayout>
              <c:xMode val="edge"/>
              <c:yMode val="edge"/>
              <c:x val="0.410630892824223"/>
              <c:y val="0.93129399916010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575574752"/>
        <c:crosses val="autoZero"/>
        <c:crossBetween val="midCat"/>
      </c:valAx>
      <c:valAx>
        <c:axId val="575574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zh-CN"/>
                  <a:t>工频电场强度（</a:t>
                </a:r>
                <a:r>
                  <a:rPr lang="en-US"/>
                  <a:t>V/m</a:t>
                </a:r>
                <a:r>
                  <a:rPr lang="zh-CN"/>
                  <a:t>）</a:t>
                </a:r>
                <a:endParaRPr lang="zh-CN"/>
              </a:p>
            </c:rich>
          </c:tx>
          <c:layout>
            <c:manualLayout>
              <c:xMode val="edge"/>
              <c:yMode val="edge"/>
              <c:x val="0.0158455916483108"/>
              <c:y val="0.430027723893181"/>
            </c:manualLayout>
          </c:layout>
          <c:overlay val="0"/>
          <c:spPr>
            <a:noFill/>
            <a:ln>
              <a:noFill/>
            </a:ln>
            <a:effectLst/>
          </c:spPr>
        </c:title>
        <c:numFmt formatCode="0_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575576384"/>
        <c:crosses val="autoZero"/>
        <c:crossBetween val="midCat"/>
      </c:valAx>
      <c:spPr>
        <a:noFill/>
        <a:ln>
          <a:noFill/>
        </a:ln>
        <a:effectLst/>
      </c:spPr>
    </c:plotArea>
    <c:legend>
      <c:legendPos val="b"/>
      <c:layout>
        <c:manualLayout>
          <c:xMode val="edge"/>
          <c:yMode val="edge"/>
          <c:x val="0.252477065768708"/>
          <c:y val="0.0243420356935232"/>
          <c:w val="0.527841103925057"/>
          <c:h val="0.173334617333908"/>
        </c:manualLayout>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6e58a6f3-52e3-47da-bf70-75b08f0b25c5}"/>
      </c:ext>
    </c:extLst>
  </c:chart>
  <c:spPr>
    <a:solidFill>
      <a:schemeClr val="bg1"/>
    </a:solidFill>
    <a:ln w="9525" cap="flat" cmpd="sng" algn="ctr">
      <a:solidFill>
        <a:schemeClr val="tx1">
          <a:lumMod val="15000"/>
          <a:lumOff val="85000"/>
        </a:schemeClr>
      </a:solidFill>
      <a:round/>
    </a:ln>
    <a:effectLst/>
  </c:spPr>
  <c:txPr>
    <a:bodyPr/>
    <a:lstStyle/>
    <a:p>
      <a:pPr>
        <a:defRPr lang="zh-CN" sz="1100">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65041226759838"/>
          <c:y val="0.232921919595717"/>
          <c:w val="0.9066423610232"/>
          <c:h val="0.642315945309666"/>
        </c:manualLayout>
      </c:layout>
      <c:scatterChart>
        <c:scatterStyle val="lineMarker"/>
        <c:varyColors val="0"/>
        <c:ser>
          <c:idx val="0"/>
          <c:order val="0"/>
          <c:tx>
            <c:strRef>
              <c:f>导线对地15m，1.5m高处</c:f>
              <c:strCache>
                <c:ptCount val="1"/>
                <c:pt idx="0">
                  <c:v>导线对地15m，1.5m高处</c:v>
                </c:pt>
              </c:strCache>
            </c:strRef>
          </c:tx>
          <c:spPr>
            <a:ln w="19050" cap="rnd">
              <a:solidFill>
                <a:schemeClr val="accent1"/>
              </a:solidFill>
              <a:round/>
            </a:ln>
            <a:effectLst/>
          </c:spPr>
          <c:marker>
            <c:symbol val="none"/>
          </c:marker>
          <c:dLbls>
            <c:delete val="1"/>
          </c:dLbls>
          <c:xVal>
            <c:numRef>
              <c:f>预测结果!$A$4:$A$104</c:f>
              <c:numCache>
                <c:formatCode>General</c:formatCode>
                <c:ptCount val="101"/>
                <c:pt idx="16">
                  <c:v>-33.7</c:v>
                </c:pt>
                <c:pt idx="17">
                  <c:v>-32.7</c:v>
                </c:pt>
                <c:pt idx="18">
                  <c:v>-31.7</c:v>
                </c:pt>
                <c:pt idx="19">
                  <c:v>-30.7</c:v>
                </c:pt>
                <c:pt idx="20">
                  <c:v>-29.7</c:v>
                </c:pt>
                <c:pt idx="21">
                  <c:v>-28.7</c:v>
                </c:pt>
                <c:pt idx="22">
                  <c:v>-27.7</c:v>
                </c:pt>
                <c:pt idx="23">
                  <c:v>-26.7</c:v>
                </c:pt>
                <c:pt idx="24">
                  <c:v>-25.7</c:v>
                </c:pt>
                <c:pt idx="25">
                  <c:v>-24.7</c:v>
                </c:pt>
                <c:pt idx="26">
                  <c:v>-23.7</c:v>
                </c:pt>
                <c:pt idx="27">
                  <c:v>-22.7</c:v>
                </c:pt>
                <c:pt idx="28">
                  <c:v>-21.7</c:v>
                </c:pt>
                <c:pt idx="29">
                  <c:v>-20.7</c:v>
                </c:pt>
                <c:pt idx="30">
                  <c:v>-19.7</c:v>
                </c:pt>
                <c:pt idx="31">
                  <c:v>-18.7</c:v>
                </c:pt>
                <c:pt idx="32">
                  <c:v>-17.7</c:v>
                </c:pt>
                <c:pt idx="33">
                  <c:v>-16.7</c:v>
                </c:pt>
                <c:pt idx="34">
                  <c:v>-15.7</c:v>
                </c:pt>
                <c:pt idx="35">
                  <c:v>-14.7</c:v>
                </c:pt>
                <c:pt idx="36">
                  <c:v>-13.7</c:v>
                </c:pt>
                <c:pt idx="37">
                  <c:v>-12.7</c:v>
                </c:pt>
                <c:pt idx="38">
                  <c:v>-11.7</c:v>
                </c:pt>
                <c:pt idx="39">
                  <c:v>-10.7</c:v>
                </c:pt>
                <c:pt idx="40">
                  <c:v>-9.7</c:v>
                </c:pt>
                <c:pt idx="41">
                  <c:v>-8.7</c:v>
                </c:pt>
                <c:pt idx="42">
                  <c:v>-7.7</c:v>
                </c:pt>
                <c:pt idx="43">
                  <c:v>-6.7</c:v>
                </c:pt>
                <c:pt idx="44">
                  <c:v>-5.7</c:v>
                </c:pt>
                <c:pt idx="45">
                  <c:v>-4.7</c:v>
                </c:pt>
                <c:pt idx="46">
                  <c:v>-3.7</c:v>
                </c:pt>
                <c:pt idx="47">
                  <c:v>-2.7</c:v>
                </c:pt>
                <c:pt idx="48">
                  <c:v>-1.7</c:v>
                </c:pt>
                <c:pt idx="49">
                  <c:v>-0.700000000000003</c:v>
                </c:pt>
                <c:pt idx="50">
                  <c:v>0</c:v>
                </c:pt>
                <c:pt idx="51">
                  <c:v>1.3</c:v>
                </c:pt>
                <c:pt idx="52">
                  <c:v>2.3</c:v>
                </c:pt>
                <c:pt idx="53">
                  <c:v>3.3</c:v>
                </c:pt>
                <c:pt idx="54">
                  <c:v>4.3</c:v>
                </c:pt>
                <c:pt idx="55">
                  <c:v>5.3</c:v>
                </c:pt>
                <c:pt idx="56">
                  <c:v>6.3</c:v>
                </c:pt>
                <c:pt idx="57">
                  <c:v>7.3</c:v>
                </c:pt>
                <c:pt idx="58">
                  <c:v>8.3</c:v>
                </c:pt>
                <c:pt idx="59">
                  <c:v>9.3</c:v>
                </c:pt>
                <c:pt idx="60">
                  <c:v>10.3</c:v>
                </c:pt>
                <c:pt idx="61">
                  <c:v>11.3</c:v>
                </c:pt>
                <c:pt idx="62">
                  <c:v>12.3</c:v>
                </c:pt>
                <c:pt idx="63">
                  <c:v>13.3</c:v>
                </c:pt>
                <c:pt idx="64">
                  <c:v>14.3</c:v>
                </c:pt>
                <c:pt idx="65">
                  <c:v>15.3</c:v>
                </c:pt>
                <c:pt idx="66">
                  <c:v>16.3</c:v>
                </c:pt>
                <c:pt idx="67">
                  <c:v>17.3</c:v>
                </c:pt>
                <c:pt idx="68">
                  <c:v>18.3</c:v>
                </c:pt>
                <c:pt idx="69">
                  <c:v>19.3</c:v>
                </c:pt>
                <c:pt idx="70">
                  <c:v>20.3</c:v>
                </c:pt>
                <c:pt idx="71">
                  <c:v>21.3</c:v>
                </c:pt>
                <c:pt idx="72">
                  <c:v>22.3</c:v>
                </c:pt>
                <c:pt idx="73">
                  <c:v>23.3</c:v>
                </c:pt>
                <c:pt idx="74">
                  <c:v>24.3</c:v>
                </c:pt>
                <c:pt idx="75">
                  <c:v>25.3</c:v>
                </c:pt>
                <c:pt idx="76">
                  <c:v>26.3</c:v>
                </c:pt>
                <c:pt idx="77">
                  <c:v>27.3</c:v>
                </c:pt>
                <c:pt idx="78">
                  <c:v>28.3</c:v>
                </c:pt>
                <c:pt idx="79">
                  <c:v>29.3</c:v>
                </c:pt>
                <c:pt idx="80">
                  <c:v>30.3</c:v>
                </c:pt>
                <c:pt idx="81">
                  <c:v>31.3</c:v>
                </c:pt>
                <c:pt idx="82">
                  <c:v>32.3</c:v>
                </c:pt>
                <c:pt idx="83">
                  <c:v>33.3</c:v>
                </c:pt>
              </c:numCache>
            </c:numRef>
          </c:xVal>
          <c:yVal>
            <c:numRef>
              <c:f>预测结果!$G$4:$G$104</c:f>
              <c:numCache>
                <c:formatCode>General</c:formatCode>
                <c:ptCount val="101"/>
                <c:pt idx="16" c:formatCode="0.000_ ">
                  <c:v>0.888745824838834</c:v>
                </c:pt>
                <c:pt idx="17" c:formatCode="0.000_ ">
                  <c:v>0.942378031232647</c:v>
                </c:pt>
                <c:pt idx="18" c:formatCode="0.000_ ">
                  <c:v>1.0009017714955</c:v>
                </c:pt>
                <c:pt idx="19" c:formatCode="0.000_ ">
                  <c:v>1.06491423335273</c:v>
                </c:pt>
                <c:pt idx="20" c:formatCode="0.000_ ">
                  <c:v>1.13510358185934</c:v>
                </c:pt>
                <c:pt idx="21" c:formatCode="0.000_ ">
                  <c:v>1.21226540865209</c:v>
                </c:pt>
                <c:pt idx="22" c:formatCode="0.000_ ">
                  <c:v>1.29732255699143</c:v>
                </c:pt>
                <c:pt idx="23" c:formatCode="0.000_ ">
                  <c:v>1.39134906798038</c:v>
                </c:pt>
                <c:pt idx="24" c:formatCode="0.000_ ">
                  <c:v>1.49559915391224</c:v>
                </c:pt>
                <c:pt idx="25" c:formatCode="0.000_ ">
                  <c:v>1.6115422888397</c:v>
                </c:pt>
                <c:pt idx="26" c:formatCode="0.000_ ">
                  <c:v>1.74090570683025</c:v>
                </c:pt>
                <c:pt idx="27" c:formatCode="0.000_ ">
                  <c:v>1.88572579538589</c:v>
                </c:pt>
                <c:pt idx="28" c:formatCode="0.000_ ">
                  <c:v>2.04841002228455</c:v>
                </c:pt>
                <c:pt idx="29" c:formatCode="0.000_ ">
                  <c:v>2.23181105270023</c:v>
                </c:pt>
                <c:pt idx="30" c:formatCode="0.000_ ">
                  <c:v>2.43931443584684</c:v>
                </c:pt>
                <c:pt idx="31" c:formatCode="0.000_ ">
                  <c:v>2.67494036332191</c:v>
                </c:pt>
                <c:pt idx="32" c:formatCode="0.000_ ">
                  <c:v>2.94345797771972</c:v>
                </c:pt>
                <c:pt idx="33" c:formatCode="0.000_ ">
                  <c:v>3.25050657520014</c:v>
                </c:pt>
                <c:pt idx="34" c:formatCode="0.000_ ">
                  <c:v>3.6027101427043</c:v>
                </c:pt>
                <c:pt idx="35" c:formatCode="0.000_ ">
                  <c:v>4.00775725698988</c:v>
                </c:pt>
                <c:pt idx="36" c:formatCode="0.000_ ">
                  <c:v>4.47439317052907</c:v>
                </c:pt>
                <c:pt idx="37" c:formatCode="0.000_ ">
                  <c:v>5.01222893775219</c:v>
                </c:pt>
                <c:pt idx="38" c:formatCode="0.000_ ">
                  <c:v>5.63120723038205</c:v>
                </c:pt>
                <c:pt idx="39" c:formatCode="0.000_ ">
                  <c:v>6.34047457658292</c:v>
                </c:pt>
                <c:pt idx="40" c:formatCode="0.000_ ">
                  <c:v>7.1463143439682</c:v>
                </c:pt>
                <c:pt idx="41" c:formatCode="0.000_ ">
                  <c:v>8.04876806178709</c:v>
                </c:pt>
                <c:pt idx="42" c:formatCode="0.000_ ">
                  <c:v>9.03679501575493</c:v>
                </c:pt>
                <c:pt idx="43" c:formatCode="0.000_ ">
                  <c:v>10.0825893953766</c:v>
                </c:pt>
                <c:pt idx="44" c:formatCode="0.000_ ">
                  <c:v>11.1371915580322</c:v>
                </c:pt>
                <c:pt idx="45" c:formatCode="0.000_ ">
                  <c:v>12.1312224716672</c:v>
                </c:pt>
                <c:pt idx="46" c:formatCode="0.000_ ">
                  <c:v>12.9843679856</c:v>
                </c:pt>
                <c:pt idx="47" c:formatCode="0.000_ ">
                  <c:v>13.6227926485636</c:v>
                </c:pt>
                <c:pt idx="48" c:formatCode="0.000_ ">
                  <c:v>13.9966814109466</c:v>
                </c:pt>
                <c:pt idx="49" c:formatCode="0.000_ ">
                  <c:v>14.0879431198838</c:v>
                </c:pt>
                <c:pt idx="50" c:formatCode="0.000_ ">
                  <c:v>13.9052083562385</c:v>
                </c:pt>
                <c:pt idx="51" c:formatCode="0.000_ ">
                  <c:v>13.4729581348963</c:v>
                </c:pt>
                <c:pt idx="52" c:formatCode="0.000_ ">
                  <c:v>12.8240726330509</c:v>
                </c:pt>
                <c:pt idx="53" c:formatCode="0.000_ ">
                  <c:v>11.9992486105064</c:v>
                </c:pt>
                <c:pt idx="54" c:formatCode="0.000_ ">
                  <c:v>11.0491547004347</c:v>
                </c:pt>
                <c:pt idx="55" c:formatCode="0.000_ ">
                  <c:v>10.0326386216623</c:v>
                </c:pt>
                <c:pt idx="56" c:formatCode="0.000_ ">
                  <c:v>9.00874819529369</c:v>
                </c:pt>
                <c:pt idx="57" c:formatCode="0.000_ ">
                  <c:v>8.02677047547295</c:v>
                </c:pt>
                <c:pt idx="58" c:formatCode="0.000_ ">
                  <c:v>7.12002819067796</c:v>
                </c:pt>
                <c:pt idx="59" c:formatCode="0.000_ ">
                  <c:v>6.30545774738679</c:v>
                </c:pt>
                <c:pt idx="60" c:formatCode="0.000_ ">
                  <c:v>5.58712538583797</c:v>
                </c:pt>
                <c:pt idx="61" c:formatCode="0.000_ ">
                  <c:v>4.96086227178727</c:v>
                </c:pt>
                <c:pt idx="62" c:formatCode="0.000_ ">
                  <c:v>4.41821696188126</c:v>
                </c:pt>
                <c:pt idx="63" c:formatCode="0.000_ ">
                  <c:v>3.94915780291813</c:v>
                </c:pt>
                <c:pt idx="64" c:formatCode="0.000_ ">
                  <c:v>3.54365151473457</c:v>
                </c:pt>
                <c:pt idx="65" c:formatCode="0.000_ ">
                  <c:v>3.19245342590182</c:v>
                </c:pt>
                <c:pt idx="66" c:formatCode="0.000_ ">
                  <c:v>2.88741870606904</c:v>
                </c:pt>
                <c:pt idx="67" c:formatCode="0.000_ ">
                  <c:v>2.62155292395708</c:v>
                </c:pt>
                <c:pt idx="68" c:formatCode="0.000_ ">
                  <c:v>2.38893644095308</c:v>
                </c:pt>
                <c:pt idx="69" c:formatCode="0.000_ ">
                  <c:v>2.184598330972</c:v>
                </c:pt>
                <c:pt idx="70" c:formatCode="0.000_ ">
                  <c:v>2.00437919924523</c:v>
                </c:pt>
                <c:pt idx="71" c:formatCode="0.000_ ">
                  <c:v>1.84480153934488</c:v>
                </c:pt>
                <c:pt idx="72" c:formatCode="0.000_ ">
                  <c:v>1.70295512010905</c:v>
                </c:pt>
                <c:pt idx="73" c:formatCode="0.000_ ">
                  <c:v>1.57639924858588</c:v>
                </c:pt>
                <c:pt idx="74" c:formatCode="0.000_ ">
                  <c:v>1.46308111774699</c:v>
                </c:pt>
                <c:pt idx="75" c:formatCode="0.000_ ">
                  <c:v>1.36126838605145</c:v>
                </c:pt>
                <c:pt idx="76" c:formatCode="0.000_ ">
                  <c:v>1.26949386005002</c:v>
                </c:pt>
                <c:pt idx="77" c:formatCode="0.000_ ">
                  <c:v>1.18651023955947</c:v>
                </c:pt>
                <c:pt idx="78" c:formatCode="0.000_ ">
                  <c:v>1.11125311992334</c:v>
                </c:pt>
                <c:pt idx="79" c:formatCode="0.000_ ">
                  <c:v>1.04281071994381</c:v>
                </c:pt>
                <c:pt idx="80" c:formatCode="0.000_ ">
                  <c:v>0.980399067592302</c:v>
                </c:pt>
                <c:pt idx="81" c:formatCode="0.000_ ">
                  <c:v>0.923341608619628</c:v>
                </c:pt>
                <c:pt idx="82" c:formatCode="0.000_ ">
                  <c:v>0.871052400320625</c:v>
                </c:pt>
                <c:pt idx="83" c:formatCode="0.000_ ">
                  <c:v>0.823022215305619</c:v>
                </c:pt>
              </c:numCache>
            </c:numRef>
          </c:yVal>
          <c:smooth val="0"/>
        </c:ser>
        <c:dLbls>
          <c:showLegendKey val="0"/>
          <c:showVal val="0"/>
          <c:showCatName val="0"/>
          <c:showSerName val="0"/>
          <c:showPercent val="0"/>
          <c:showBubbleSize val="0"/>
        </c:dLbls>
        <c:axId val="770322528"/>
        <c:axId val="770331232"/>
      </c:scatterChart>
      <c:valAx>
        <c:axId val="770322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zh-CN"/>
                  <a:t>距线路中心距离（</a:t>
                </a:r>
                <a:r>
                  <a:rPr lang="en-US"/>
                  <a:t>m</a:t>
                </a:r>
                <a:r>
                  <a:rPr lang="zh-CN"/>
                  <a:t>）</a:t>
                </a:r>
                <a:endParaRPr lang="zh-CN"/>
              </a:p>
            </c:rich>
          </c:tx>
          <c:layout>
            <c:manualLayout>
              <c:xMode val="edge"/>
              <c:yMode val="edge"/>
              <c:x val="0.410630892824223"/>
              <c:y val="0.93129399916010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770331232"/>
        <c:crosses val="autoZero"/>
        <c:crossBetween val="midCat"/>
      </c:valAx>
      <c:valAx>
        <c:axId val="770331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zh-CN"/>
                  <a:t>工频</a:t>
                </a:r>
                <a:r>
                  <a:rPr lang="zh-CN" altLang="en-US"/>
                  <a:t>磁感应强度</a:t>
                </a:r>
                <a:r>
                  <a:rPr lang="zh-CN"/>
                  <a:t>（</a:t>
                </a:r>
                <a:r>
                  <a:rPr lang="en-US" altLang="zh-CN"/>
                  <a:t>uT</a:t>
                </a:r>
                <a:r>
                  <a:rPr lang="en-US"/>
                  <a:t>/m</a:t>
                </a:r>
                <a:r>
                  <a:rPr lang="zh-CN"/>
                  <a:t>）</a:t>
                </a:r>
                <a:endParaRPr lang="zh-CN"/>
              </a:p>
            </c:rich>
          </c:tx>
          <c:layout>
            <c:manualLayout>
              <c:xMode val="edge"/>
              <c:yMode val="edge"/>
              <c:x val="0.0158455916483108"/>
              <c:y val="0.430027723893181"/>
            </c:manualLayout>
          </c:layout>
          <c:overlay val="0"/>
          <c:spPr>
            <a:noFill/>
            <a:ln>
              <a:noFill/>
            </a:ln>
            <a:effectLst/>
          </c:spPr>
        </c:title>
        <c:numFmt formatCode="0.0_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770322528"/>
        <c:crosses val="autoZero"/>
        <c:crossBetween val="midCat"/>
      </c:valAx>
      <c:spPr>
        <a:noFill/>
        <a:ln>
          <a:noFill/>
        </a:ln>
        <a:effectLst/>
      </c:spPr>
    </c:plotArea>
    <c:legend>
      <c:legendPos val="b"/>
      <c:layout>
        <c:manualLayout>
          <c:xMode val="edge"/>
          <c:yMode val="edge"/>
          <c:x val="0.252477065768708"/>
          <c:y val="0.0243420356935232"/>
          <c:w val="0.527841103925057"/>
          <c:h val="0.173334617333908"/>
        </c:manualLayout>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01534165-42d6-4904-a204-13b6cb77e8a8}"/>
      </c:ext>
    </c:extLst>
  </c:chart>
  <c:spPr>
    <a:solidFill>
      <a:schemeClr val="bg1"/>
    </a:solidFill>
    <a:ln w="9525" cap="flat" cmpd="sng" algn="ctr">
      <a:solidFill>
        <a:schemeClr val="tx1">
          <a:lumMod val="15000"/>
          <a:lumOff val="85000"/>
        </a:schemeClr>
      </a:solidFill>
      <a:round/>
    </a:ln>
    <a:effectLst/>
  </c:spPr>
  <c:txPr>
    <a:bodyPr/>
    <a:lstStyle/>
    <a:p>
      <a:pPr>
        <a:defRPr lang="zh-CN" sz="1100">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3D8842-4F28-4243-8EC8-4768AF0B887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133</Pages>
  <Words>9278</Words>
  <Characters>9964</Characters>
  <Lines>668</Lines>
  <Paragraphs>188</Paragraphs>
  <TotalTime>591</TotalTime>
  <ScaleCrop>false</ScaleCrop>
  <LinksUpToDate>false</LinksUpToDate>
  <CharactersWithSpaces>10015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2024-12-31T12:57:00Z</dcterms:created>
  <dc:creator>lhj</dc:creator>
  <cp:lastModifiedBy>高陈玺</cp:lastModifiedBy>
  <cp:lastPrinted>2025-04-16T03:33:00Z</cp:lastPrinted>
  <dcterms:modified xsi:type="dcterms:W3CDTF">2025-04-29T07:01:11Z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171B56D421FA4483B48D9748ADA2FD57_13</vt:lpwstr>
  </property>
  <property fmtid="{D5CDD505-2E9C-101B-9397-08002B2CF9AE}" pid="4" name="KSOTemplateDocerSaveRecord">
    <vt:lpwstr>eyJoZGlkIjoiOThkODFlYmI2MjRhYzUyMWE4ZWQzMDVhMWU4ZTI5MWEiLCJ1c2VySWQiOiIzOTI2NzUwMDAifQ==</vt:lpwstr>
  </property>
</Properties>
</file>