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rPr>
      </w:pPr>
      <w:bookmarkStart w:id="0" w:name="_Toc98256018"/>
      <w:r>
        <w:rPr>
          <w:rFonts w:hint="eastAsia" w:ascii="方正小标宋_GBK" w:eastAsia="方正小标宋_GBK"/>
          <w:bCs/>
          <w:color w:val="auto"/>
          <w:sz w:val="72"/>
          <w:szCs w:val="72"/>
        </w:rPr>
        <w:t>建设项目环境影响报告表</w:t>
      </w:r>
      <w:bookmarkEnd w:id="0"/>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rPr>
          <w:rFonts w:ascii="华文仿宋" w:hAnsi="华文仿宋" w:eastAsia="华文仿宋" w:cs="华文仿宋"/>
          <w:color w:val="auto"/>
          <w:kern w:val="44"/>
          <w:sz w:val="44"/>
          <w:szCs w:val="44"/>
        </w:rPr>
      </w:pPr>
    </w:p>
    <w:p>
      <w:pPr>
        <w:jc w:val="center"/>
        <w:rPr>
          <w:rFonts w:hint="default" w:eastAsia="仿宋"/>
          <w:color w:val="auto"/>
          <w:sz w:val="52"/>
          <w:szCs w:val="52"/>
          <w:lang w:val="en-US" w:eastAsia="zh-CN"/>
        </w:rPr>
      </w:pPr>
      <w:r>
        <w:rPr>
          <w:rFonts w:hint="eastAsia" w:eastAsia="仿宋"/>
          <w:color w:val="auto"/>
          <w:sz w:val="52"/>
          <w:szCs w:val="52"/>
          <w:lang w:val="en-US" w:eastAsia="zh-CN"/>
        </w:rPr>
        <w:t xml:space="preserve">  </w:t>
      </w: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pStyle w:val="22"/>
        <w:keepNext w:val="0"/>
        <w:keepLines w:val="0"/>
        <w:pageBreakBefore w:val="0"/>
        <w:widowControl w:val="0"/>
        <w:kinsoku/>
        <w:wordWrap/>
        <w:overflowPunct/>
        <w:topLinePunct w:val="0"/>
        <w:autoSpaceDE/>
        <w:autoSpaceDN/>
        <w:bidi w:val="0"/>
        <w:adjustRightInd/>
        <w:snapToGrid/>
        <w:ind w:left="0" w:leftChars="0" w:firstLine="1037" w:firstLineChars="0"/>
        <w:textAlignment w:val="auto"/>
        <w:rPr>
          <w:color w:val="auto"/>
          <w:sz w:val="44"/>
          <w:szCs w:val="44"/>
        </w:rPr>
      </w:pPr>
    </w:p>
    <w:p>
      <w:pPr>
        <w:keepNext w:val="0"/>
        <w:keepLines w:val="0"/>
        <w:pageBreakBefore w:val="0"/>
        <w:widowControl w:val="0"/>
        <w:kinsoku/>
        <w:wordWrap/>
        <w:overflowPunct/>
        <w:topLinePunct w:val="0"/>
        <w:autoSpaceDE/>
        <w:autoSpaceDN/>
        <w:bidi w:val="0"/>
        <w:adjustRightInd/>
        <w:snapToGrid/>
        <w:ind w:firstLine="1037"/>
        <w:textAlignment w:val="auto"/>
        <w:rPr>
          <w:rFonts w:hint="default" w:ascii="Times New Roman" w:hAnsi="Times New Roman" w:cs="Times New Roman"/>
          <w:color w:val="auto"/>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60" w:type="dxa"/>
            <w:tcBorders>
              <w:top w:val="nil"/>
              <w:left w:val="nil"/>
              <w:bottom w:val="nil"/>
              <w:right w:val="nil"/>
            </w:tcBorders>
            <w:noWrap w:val="0"/>
            <w:vAlign w:val="center"/>
          </w:tcPr>
          <w:p>
            <w:pPr>
              <w:jc w:val="right"/>
              <w:rPr>
                <w:rFonts w:hint="default" w:ascii="Times New Roman" w:hAnsi="Times New Roman" w:eastAsia="宋体" w:cs="Times New Roman"/>
                <w:color w:val="auto"/>
                <w:sz w:val="36"/>
                <w:szCs w:val="36"/>
                <w:vertAlign w:val="baseline"/>
                <w:lang w:val="en-US" w:eastAsia="zh-CN"/>
              </w:rPr>
            </w:pPr>
            <w:r>
              <w:rPr>
                <w:rFonts w:hint="default" w:ascii="Times New Roman" w:hAnsi="Times New Roman" w:eastAsia="宋体" w:cs="Times New Roman"/>
                <w:color w:val="auto"/>
                <w:sz w:val="36"/>
                <w:szCs w:val="36"/>
                <w:vertAlign w:val="baseline"/>
                <w:lang w:val="en-US" w:eastAsia="zh-CN"/>
              </w:rPr>
              <w:t>项目名称：</w:t>
            </w:r>
          </w:p>
        </w:tc>
        <w:tc>
          <w:tcPr>
            <w:tcW w:w="6900" w:type="dxa"/>
            <w:tcBorders>
              <w:top w:val="nil"/>
              <w:left w:val="nil"/>
              <w:right w:val="nil"/>
            </w:tcBorders>
            <w:noWrap w:val="0"/>
            <w:vAlign w:val="center"/>
          </w:tcPr>
          <w:p>
            <w:pPr>
              <w:jc w:val="center"/>
              <w:rPr>
                <w:rFonts w:hint="default" w:ascii="Times New Roman" w:hAnsi="Times New Roman" w:eastAsia="宋体" w:cs="Times New Roman"/>
                <w:color w:val="auto"/>
                <w:sz w:val="36"/>
                <w:szCs w:val="36"/>
                <w:vertAlign w:val="baseline"/>
                <w:lang w:val="en-US" w:eastAsia="zh-CN"/>
              </w:rPr>
            </w:pPr>
            <w:r>
              <w:rPr>
                <w:rFonts w:hint="eastAsia" w:cs="Times New Roman"/>
                <w:color w:val="auto"/>
                <w:sz w:val="36"/>
                <w:szCs w:val="36"/>
                <w:vertAlign w:val="baseline"/>
                <w:lang w:val="en-US" w:eastAsia="zh-CN"/>
              </w:rPr>
              <w:t>新能源照明设备生产项目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nil"/>
              <w:left w:val="nil"/>
              <w:bottom w:val="nil"/>
              <w:right w:val="nil"/>
            </w:tcBorders>
            <w:noWrap w:val="0"/>
            <w:vAlign w:val="center"/>
          </w:tcPr>
          <w:p>
            <w:pPr>
              <w:jc w:val="right"/>
              <w:rPr>
                <w:rFonts w:hint="default" w:ascii="Times New Roman" w:hAnsi="Times New Roman" w:eastAsia="宋体" w:cs="Times New Roman"/>
                <w:color w:val="auto"/>
                <w:sz w:val="36"/>
                <w:szCs w:val="36"/>
                <w:vertAlign w:val="baseline"/>
                <w:lang w:val="en-US" w:eastAsia="zh-CN"/>
              </w:rPr>
            </w:pPr>
            <w:r>
              <w:rPr>
                <w:rFonts w:hint="default" w:ascii="Times New Roman" w:hAnsi="Times New Roman" w:eastAsia="宋体" w:cs="Times New Roman"/>
                <w:color w:val="auto"/>
                <w:sz w:val="36"/>
                <w:szCs w:val="36"/>
                <w:vertAlign w:val="baseline"/>
                <w:lang w:val="en-US" w:eastAsia="zh-CN"/>
              </w:rPr>
              <w:t>建设单位：</w:t>
            </w:r>
          </w:p>
        </w:tc>
        <w:tc>
          <w:tcPr>
            <w:tcW w:w="6900" w:type="dxa"/>
            <w:tcBorders>
              <w:left w:val="nil"/>
              <w:right w:val="nil"/>
            </w:tcBorders>
            <w:noWrap w:val="0"/>
            <w:vAlign w:val="center"/>
          </w:tcPr>
          <w:p>
            <w:pPr>
              <w:jc w:val="center"/>
              <w:rPr>
                <w:rFonts w:hint="default" w:ascii="Times New Roman" w:hAnsi="Times New Roman" w:eastAsia="宋体" w:cs="Times New Roman"/>
                <w:color w:val="auto"/>
                <w:sz w:val="36"/>
                <w:szCs w:val="36"/>
                <w:vertAlign w:val="baseline"/>
                <w:lang w:val="en-US" w:eastAsia="zh-CN"/>
              </w:rPr>
            </w:pPr>
            <w:r>
              <w:rPr>
                <w:rFonts w:hint="eastAsia" w:cs="Times New Roman"/>
                <w:color w:val="auto"/>
                <w:sz w:val="36"/>
                <w:szCs w:val="36"/>
                <w:vertAlign w:val="baseline"/>
                <w:lang w:val="en-US" w:eastAsia="zh-CN"/>
              </w:rPr>
              <w:t>永州菲利特照明电器有限公司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nil"/>
              <w:left w:val="nil"/>
              <w:bottom w:val="nil"/>
              <w:right w:val="nil"/>
            </w:tcBorders>
            <w:noWrap w:val="0"/>
            <w:vAlign w:val="center"/>
          </w:tcPr>
          <w:p>
            <w:pPr>
              <w:jc w:val="right"/>
              <w:rPr>
                <w:rFonts w:hint="default" w:ascii="Times New Roman" w:hAnsi="Times New Roman" w:eastAsia="宋体" w:cs="Times New Roman"/>
                <w:color w:val="auto"/>
                <w:sz w:val="36"/>
                <w:szCs w:val="36"/>
                <w:vertAlign w:val="baseline"/>
                <w:lang w:val="en-US" w:eastAsia="zh-CN"/>
              </w:rPr>
            </w:pPr>
            <w:r>
              <w:rPr>
                <w:rFonts w:hint="default" w:ascii="Times New Roman" w:hAnsi="Times New Roman" w:eastAsia="宋体" w:cs="Times New Roman"/>
                <w:color w:val="auto"/>
                <w:sz w:val="36"/>
                <w:szCs w:val="36"/>
                <w:vertAlign w:val="baseline"/>
                <w:lang w:val="en-US" w:eastAsia="zh-CN"/>
              </w:rPr>
              <w:t>编制日期：</w:t>
            </w:r>
          </w:p>
        </w:tc>
        <w:tc>
          <w:tcPr>
            <w:tcW w:w="6900" w:type="dxa"/>
            <w:tcBorders>
              <w:left w:val="nil"/>
              <w:right w:val="nil"/>
            </w:tcBorders>
            <w:noWrap w:val="0"/>
            <w:vAlign w:val="center"/>
          </w:tcPr>
          <w:p>
            <w:pPr>
              <w:jc w:val="center"/>
              <w:rPr>
                <w:rFonts w:hint="default" w:ascii="Times New Roman" w:hAnsi="Times New Roman" w:eastAsia="宋体" w:cs="Times New Roman"/>
                <w:color w:val="auto"/>
                <w:sz w:val="36"/>
                <w:szCs w:val="36"/>
                <w:vertAlign w:val="baseline"/>
                <w:lang w:val="en-US" w:eastAsia="zh-CN"/>
              </w:rPr>
            </w:pPr>
            <w:r>
              <w:rPr>
                <w:rFonts w:hint="default" w:ascii="Times New Roman" w:hAnsi="Times New Roman" w:eastAsia="宋体" w:cs="Times New Roman"/>
                <w:color w:val="auto"/>
                <w:sz w:val="36"/>
                <w:szCs w:val="36"/>
                <w:vertAlign w:val="baseline"/>
                <w:lang w:val="en-US" w:eastAsia="zh-CN"/>
              </w:rPr>
              <w:t>202</w:t>
            </w:r>
            <w:r>
              <w:rPr>
                <w:rFonts w:hint="eastAsia" w:cs="Times New Roman"/>
                <w:color w:val="auto"/>
                <w:sz w:val="36"/>
                <w:szCs w:val="36"/>
                <w:vertAlign w:val="baseline"/>
                <w:lang w:val="en-US" w:eastAsia="zh-CN"/>
              </w:rPr>
              <w:t>3</w:t>
            </w:r>
            <w:r>
              <w:rPr>
                <w:rFonts w:hint="default" w:ascii="Times New Roman" w:hAnsi="Times New Roman" w:eastAsia="宋体" w:cs="Times New Roman"/>
                <w:color w:val="auto"/>
                <w:sz w:val="36"/>
                <w:szCs w:val="36"/>
                <w:vertAlign w:val="baseline"/>
                <w:lang w:val="en-US" w:eastAsia="zh-CN"/>
              </w:rPr>
              <w:t>年</w:t>
            </w:r>
            <w:r>
              <w:rPr>
                <w:rFonts w:hint="eastAsia" w:cs="Times New Roman"/>
                <w:color w:val="auto"/>
                <w:sz w:val="36"/>
                <w:szCs w:val="36"/>
                <w:vertAlign w:val="baseline"/>
                <w:lang w:val="en-US" w:eastAsia="zh-CN"/>
              </w:rPr>
              <w:t>5</w:t>
            </w:r>
            <w:r>
              <w:rPr>
                <w:rFonts w:hint="default" w:ascii="Times New Roman" w:hAnsi="Times New Roman" w:eastAsia="宋体" w:cs="Times New Roman"/>
                <w:color w:val="auto"/>
                <w:sz w:val="36"/>
                <w:szCs w:val="36"/>
                <w:vertAlign w:val="baseline"/>
                <w:lang w:val="en-US" w:eastAsia="zh-CN"/>
              </w:rPr>
              <w:t>月</w:t>
            </w:r>
          </w:p>
        </w:tc>
      </w:tr>
    </w:tbl>
    <w:p>
      <w:pPr>
        <w:adjustRightInd w:val="0"/>
        <w:snapToGrid w:val="0"/>
        <w:spacing w:line="288" w:lineRule="auto"/>
        <w:ind w:firstLine="1040"/>
        <w:rPr>
          <w:rFonts w:ascii="仿宋_GB2312" w:eastAsia="仿宋_GB2312"/>
          <w:color w:val="auto"/>
          <w:sz w:val="36"/>
          <w:szCs w:val="36"/>
          <w:u w:val="single"/>
        </w:rPr>
      </w:pPr>
      <w:bookmarkStart w:id="1" w:name="_Hlk57884087"/>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pStyle w:val="22"/>
        <w:rPr>
          <w:rFonts w:hint="eastAsia" w:ascii="仿宋_GB2312" w:eastAsia="仿宋_GB2312"/>
          <w:color w:val="auto"/>
          <w:sz w:val="36"/>
          <w:szCs w:val="36"/>
        </w:rPr>
      </w:pPr>
    </w:p>
    <w:p>
      <w:pPr>
        <w:rPr>
          <w:rFonts w:hint="eastAsia" w:ascii="仿宋_GB2312" w:eastAsia="仿宋_GB2312"/>
          <w:color w:val="auto"/>
          <w:sz w:val="36"/>
          <w:szCs w:val="36"/>
        </w:rPr>
      </w:pPr>
    </w:p>
    <w:p>
      <w:pPr>
        <w:pStyle w:val="22"/>
        <w:rPr>
          <w:rFonts w:hint="eastAsia" w:eastAsia="宋体"/>
          <w:color w:val="auto"/>
          <w:lang w:val="en-US" w:eastAsia="zh-CN"/>
        </w:rPr>
      </w:pPr>
    </w:p>
    <w:bookmarkEnd w:id="1"/>
    <w:p>
      <w:pPr>
        <w:adjustRightInd w:val="0"/>
        <w:snapToGrid w:val="0"/>
        <w:spacing w:line="288" w:lineRule="auto"/>
        <w:jc w:val="center"/>
        <w:rPr>
          <w:rFonts w:ascii="楷体" w:hAnsi="楷体" w:eastAsia="楷体"/>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ascii="楷体" w:hAnsi="楷体" w:eastAsia="楷体"/>
          <w:color w:val="auto"/>
          <w:sz w:val="36"/>
          <w:szCs w:val="36"/>
        </w:rPr>
        <w:t>中华人民共和国生态环境部制</w:t>
      </w:r>
    </w:p>
    <w:p>
      <w:pPr>
        <w:adjustRightInd w:val="0"/>
        <w:snapToGrid w:val="0"/>
        <w:spacing w:line="480" w:lineRule="auto"/>
        <w:jc w:val="center"/>
        <w:rPr>
          <w:rFonts w:ascii="黑体" w:hAnsi="黑体" w:eastAsia="黑体"/>
          <w:color w:val="auto"/>
          <w:sz w:val="36"/>
          <w:szCs w:val="36"/>
        </w:rPr>
      </w:pPr>
      <w:r>
        <w:rPr>
          <w:rFonts w:hint="eastAsia" w:ascii="黑体" w:hAnsi="黑体" w:eastAsia="黑体"/>
          <w:color w:val="auto"/>
          <w:sz w:val="36"/>
          <w:szCs w:val="36"/>
        </w:rPr>
        <w:t>目录</w:t>
      </w:r>
    </w:p>
    <w:p>
      <w:pPr>
        <w:pStyle w:val="17"/>
        <w:snapToGrid w:val="0"/>
        <w:spacing w:line="480" w:lineRule="auto"/>
        <w:rPr>
          <w:rFonts w:ascii="Times New Roman" w:hAnsi="Times New Roman" w:eastAsia="宋体"/>
          <w:color w:val="auto"/>
          <w:sz w:val="28"/>
          <w:szCs w:val="28"/>
        </w:rPr>
      </w:pPr>
      <w:r>
        <w:rPr>
          <w:color w:val="auto"/>
        </w:rPr>
        <w:fldChar w:fldCharType="begin"/>
      </w:r>
      <w:r>
        <w:rPr>
          <w:color w:val="auto"/>
        </w:rPr>
        <w:instrText xml:space="preserve"> TOC \o "1-1" \h \z \u </w:instrText>
      </w:r>
      <w:r>
        <w:rPr>
          <w:color w:val="auto"/>
        </w:rPr>
        <w:fldChar w:fldCharType="separate"/>
      </w: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"_Toc98256019"</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一、建设项目基本情况</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_Toc98256019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1</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pStyle w:val="17"/>
        <w:snapToGrid w:val="0"/>
        <w:spacing w:line="480" w:lineRule="auto"/>
        <w:rPr>
          <w:rFonts w:ascii="Times New Roman" w:hAnsi="Times New Roman" w:eastAsia="宋体"/>
          <w:color w:val="auto"/>
          <w:sz w:val="28"/>
          <w:szCs w:val="28"/>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"_Toc98256020"</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二、建设项目工程分析</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_Toc98256020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12</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pStyle w:val="17"/>
        <w:snapToGrid w:val="0"/>
        <w:spacing w:line="480" w:lineRule="auto"/>
        <w:rPr>
          <w:rFonts w:ascii="Times New Roman" w:hAnsi="Times New Roman" w:eastAsia="宋体"/>
          <w:color w:val="auto"/>
          <w:sz w:val="28"/>
          <w:szCs w:val="28"/>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"_Toc98256021"</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三、区域环境质量现状、环境保护目标及评价标准</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_Toc98256021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21</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pStyle w:val="17"/>
        <w:snapToGrid w:val="0"/>
        <w:spacing w:line="480" w:lineRule="auto"/>
        <w:rPr>
          <w:rFonts w:hint="eastAsia" w:ascii="Times New Roman" w:hAnsi="Times New Roman" w:eastAsia="宋体"/>
          <w:color w:val="auto"/>
          <w:sz w:val="28"/>
          <w:szCs w:val="28"/>
          <w:lang w:val="en-US" w:eastAsia="zh-CN"/>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"_Toc98256022"</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四、主要环境影响和保护措施</w:t>
      </w:r>
      <w:r>
        <w:rPr>
          <w:rFonts w:ascii="Times New Roman" w:hAnsi="Times New Roman" w:eastAsia="宋体"/>
          <w:color w:val="auto"/>
          <w:sz w:val="28"/>
          <w:szCs w:val="28"/>
        </w:rPr>
        <w:tab/>
      </w:r>
      <w:r>
        <w:rPr>
          <w:rFonts w:hint="eastAsia" w:ascii="Times New Roman" w:hAnsi="Times New Roman" w:eastAsia="宋体"/>
          <w:color w:val="auto"/>
          <w:sz w:val="28"/>
          <w:szCs w:val="28"/>
          <w:lang w:val="en-US" w:eastAsia="zh-CN"/>
        </w:rPr>
        <w:t>2</w:t>
      </w:r>
      <w:r>
        <w:rPr>
          <w:rFonts w:ascii="Times New Roman" w:hAnsi="Times New Roman" w:eastAsia="宋体"/>
          <w:color w:val="auto"/>
          <w:sz w:val="28"/>
          <w:szCs w:val="28"/>
        </w:rPr>
        <w:fldChar w:fldCharType="end"/>
      </w:r>
      <w:r>
        <w:rPr>
          <w:rFonts w:hint="eastAsia" w:ascii="Times New Roman" w:hAnsi="Times New Roman" w:eastAsia="宋体"/>
          <w:color w:val="auto"/>
          <w:sz w:val="28"/>
          <w:szCs w:val="28"/>
          <w:lang w:val="en-US" w:eastAsia="zh-CN"/>
        </w:rPr>
        <w:t>8</w:t>
      </w:r>
      <w:bookmarkStart w:id="13" w:name="_GoBack"/>
      <w:bookmarkEnd w:id="13"/>
    </w:p>
    <w:p>
      <w:pPr>
        <w:pStyle w:val="17"/>
        <w:snapToGrid w:val="0"/>
        <w:spacing w:line="480" w:lineRule="auto"/>
        <w:rPr>
          <w:rFonts w:ascii="Times New Roman" w:hAnsi="Times New Roman" w:eastAsia="宋体"/>
          <w:color w:val="auto"/>
          <w:sz w:val="28"/>
          <w:szCs w:val="28"/>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"_Toc98256023"</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五、环境保护措施监督检查清单</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_Toc98256023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34</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pStyle w:val="17"/>
        <w:snapToGrid w:val="0"/>
        <w:spacing w:line="480" w:lineRule="auto"/>
        <w:rPr>
          <w:rFonts w:ascii="Times New Roman" w:hAnsi="Times New Roman" w:eastAsia="宋体"/>
          <w:color w:val="auto"/>
          <w:sz w:val="28"/>
          <w:szCs w:val="28"/>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"_Toc98256024"</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六、结论</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_Toc98256024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52</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pStyle w:val="17"/>
        <w:snapToGrid w:val="0"/>
        <w:spacing w:line="480" w:lineRule="auto"/>
        <w:rPr>
          <w:rFonts w:ascii="Times New Roman" w:hAnsi="Times New Roman" w:eastAsia="宋体"/>
          <w:color w:val="auto"/>
          <w:sz w:val="28"/>
          <w:szCs w:val="28"/>
        </w:rPr>
      </w:pPr>
      <w:r>
        <w:rPr>
          <w:rFonts w:ascii="Times New Roman" w:hAnsi="Times New Roman" w:eastAsia="宋体"/>
          <w:color w:val="auto"/>
          <w:sz w:val="28"/>
          <w:szCs w:val="28"/>
        </w:rPr>
        <w:fldChar w:fldCharType="begin"/>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instrText xml:space="preserve">HYPERLINK \l "_Toc98256025"</w:instrText>
      </w:r>
      <w:r>
        <w:rPr>
          <w:rStyle w:val="28"/>
          <w:rFonts w:ascii="Times New Roman" w:hAnsi="Times New Roman" w:eastAsia="宋体"/>
          <w:color w:val="auto"/>
          <w:sz w:val="28"/>
          <w:szCs w:val="28"/>
        </w:rPr>
        <w:instrText xml:space="preserve"> </w:instrText>
      </w:r>
      <w:r>
        <w:rPr>
          <w:rFonts w:ascii="Times New Roman" w:hAnsi="Times New Roman" w:eastAsia="宋体"/>
          <w:color w:val="auto"/>
          <w:sz w:val="28"/>
          <w:szCs w:val="28"/>
        </w:rPr>
        <w:fldChar w:fldCharType="separate"/>
      </w:r>
      <w:r>
        <w:rPr>
          <w:rStyle w:val="28"/>
          <w:rFonts w:ascii="Times New Roman" w:hAnsi="Times New Roman" w:eastAsia="宋体"/>
          <w:snapToGrid w:val="0"/>
          <w:color w:val="auto"/>
          <w:sz w:val="28"/>
          <w:szCs w:val="28"/>
        </w:rPr>
        <w:t>附表</w:t>
      </w:r>
      <w:r>
        <w:rPr>
          <w:rFonts w:ascii="Times New Roman" w:hAnsi="Times New Roman" w:eastAsia="宋体"/>
          <w:color w:val="auto"/>
          <w:sz w:val="28"/>
          <w:szCs w:val="28"/>
        </w:rPr>
        <w:tab/>
      </w:r>
      <w:r>
        <w:rPr>
          <w:rFonts w:ascii="Times New Roman" w:hAnsi="Times New Roman" w:eastAsia="宋体"/>
          <w:color w:val="auto"/>
          <w:sz w:val="28"/>
          <w:szCs w:val="28"/>
        </w:rPr>
        <w:fldChar w:fldCharType="begin"/>
      </w:r>
      <w:r>
        <w:rPr>
          <w:rFonts w:ascii="Times New Roman" w:hAnsi="Times New Roman" w:eastAsia="宋体"/>
          <w:color w:val="auto"/>
          <w:sz w:val="28"/>
          <w:szCs w:val="28"/>
        </w:rPr>
        <w:instrText xml:space="preserve"> PAGEREF _Toc98256025 \h </w:instrText>
      </w:r>
      <w:r>
        <w:rPr>
          <w:rFonts w:ascii="Times New Roman" w:hAnsi="Times New Roman" w:eastAsia="宋体"/>
          <w:color w:val="auto"/>
          <w:sz w:val="28"/>
          <w:szCs w:val="28"/>
        </w:rPr>
        <w:fldChar w:fldCharType="separate"/>
      </w:r>
      <w:r>
        <w:rPr>
          <w:rFonts w:ascii="Times New Roman" w:hAnsi="Times New Roman" w:eastAsia="宋体"/>
          <w:color w:val="auto"/>
          <w:sz w:val="28"/>
          <w:szCs w:val="28"/>
        </w:rPr>
        <w:t>53</w:t>
      </w:r>
      <w:r>
        <w:rPr>
          <w:rFonts w:ascii="Times New Roman" w:hAnsi="Times New Roman" w:eastAsia="宋体"/>
          <w:color w:val="auto"/>
          <w:sz w:val="28"/>
          <w:szCs w:val="28"/>
        </w:rPr>
        <w:fldChar w:fldCharType="end"/>
      </w:r>
      <w:r>
        <w:rPr>
          <w:rFonts w:ascii="Times New Roman" w:hAnsi="Times New Roman" w:eastAsia="宋体"/>
          <w:color w:val="auto"/>
          <w:sz w:val="28"/>
          <w:szCs w:val="28"/>
        </w:rPr>
        <w:fldChar w:fldCharType="end"/>
      </w:r>
    </w:p>
    <w:p>
      <w:pPr>
        <w:adjustRightInd w:val="0"/>
        <w:snapToGrid w:val="0"/>
        <w:spacing w:line="480" w:lineRule="auto"/>
        <w:jc w:val="left"/>
        <w:rPr>
          <w:rFonts w:hint="eastAsia"/>
          <w:b/>
          <w:bCs/>
          <w:color w:val="auto"/>
          <w:sz w:val="24"/>
          <w:szCs w:val="24"/>
          <w:highlight w:val="none"/>
          <w:lang w:val="en-US" w:eastAsia="zh-CN"/>
        </w:rPr>
      </w:pPr>
      <w:r>
        <w:rPr>
          <w:color w:val="auto"/>
          <w:sz w:val="28"/>
          <w:szCs w:val="28"/>
        </w:rPr>
        <w:fldChar w:fldCharType="end"/>
      </w:r>
      <w:r>
        <w:rPr>
          <w:rFonts w:hint="eastAsia"/>
          <w:b/>
          <w:bCs/>
          <w:color w:val="auto"/>
          <w:sz w:val="24"/>
          <w:szCs w:val="24"/>
          <w:highlight w:val="none"/>
          <w:lang w:val="en-US" w:eastAsia="zh-CN"/>
        </w:rPr>
        <w:t>附图：</w:t>
      </w:r>
    </w:p>
    <w:p>
      <w:pPr>
        <w:pStyle w:val="2"/>
        <w:keepNext w:val="0"/>
        <w:keepLines w:val="0"/>
        <w:pageBreakBefore w:val="0"/>
        <w:kinsoku/>
        <w:wordWrap/>
        <w:overflowPunct/>
        <w:topLinePunct w:val="0"/>
        <w:autoSpaceDE/>
        <w:autoSpaceDN/>
        <w:bidi w:val="0"/>
        <w:adjustRightInd/>
        <w:spacing w:before="0" w:after="0" w:line="360" w:lineRule="auto"/>
        <w:ind w:right="0"/>
        <w:jc w:val="left"/>
        <w:textAlignment w:val="auto"/>
        <w:rPr>
          <w:rFonts w:hint="default"/>
          <w:b w:val="0"/>
          <w:bCs w:val="0"/>
          <w:sz w:val="24"/>
          <w:szCs w:val="24"/>
          <w:lang w:val="en-US" w:eastAsia="zh-CN"/>
        </w:rPr>
      </w:pPr>
      <w:r>
        <w:rPr>
          <w:rFonts w:hint="eastAsia"/>
          <w:b w:val="0"/>
          <w:bCs w:val="0"/>
          <w:color w:val="auto"/>
          <w:sz w:val="24"/>
          <w:szCs w:val="24"/>
          <w:highlight w:val="none"/>
          <w:lang w:val="en-US" w:eastAsia="zh-CN"/>
        </w:rPr>
        <w:t>附图1：项目地理位置图</w:t>
      </w:r>
    </w:p>
    <w:p>
      <w:pPr>
        <w:keepNext w:val="0"/>
        <w:keepLines w:val="0"/>
        <w:pageBreakBefore w:val="0"/>
        <w:kinsoku/>
        <w:wordWrap/>
        <w:overflowPunct/>
        <w:topLinePunct w:val="0"/>
        <w:autoSpaceDE/>
        <w:autoSpaceDN/>
        <w:bidi w:val="0"/>
        <w:adjustRightInd/>
        <w:spacing w:line="360" w:lineRule="auto"/>
        <w:ind w:right="0"/>
        <w:jc w:val="left"/>
        <w:textAlignment w:val="auto"/>
        <w:rPr>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附图</w:t>
      </w:r>
      <w:r>
        <w:rPr>
          <w:rFonts w:hint="eastAsia" w:cs="Times New Roman"/>
          <w:b w:val="0"/>
          <w:bCs w:val="0"/>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 xml:space="preserve">  </w:t>
      </w:r>
      <w:r>
        <w:rPr>
          <w:rFonts w:hint="eastAsia" w:eastAsia="宋体" w:cs="Times New Roman"/>
          <w:b w:val="0"/>
          <w:bCs w:val="0"/>
          <w:color w:val="000000" w:themeColor="text1"/>
          <w:kern w:val="2"/>
          <w:sz w:val="24"/>
          <w:szCs w:val="24"/>
          <w:lang w:val="en-US" w:eastAsia="zh-CN" w:bidi="ar-SA"/>
          <w14:textFill>
            <w14:solidFill>
              <w14:schemeClr w14:val="tx1"/>
            </w14:solidFill>
          </w14:textFill>
        </w:rPr>
        <w:t>项目</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环境保护目标示意图</w:t>
      </w:r>
    </w:p>
    <w:p>
      <w:pPr>
        <w:keepNext w:val="0"/>
        <w:keepLines w:val="0"/>
        <w:pageBreakBefore w:val="0"/>
        <w:kinsoku/>
        <w:wordWrap/>
        <w:overflowPunct/>
        <w:topLinePunct w:val="0"/>
        <w:autoSpaceDE/>
        <w:autoSpaceDN/>
        <w:bidi w:val="0"/>
        <w:adjustRightInd/>
        <w:spacing w:line="360" w:lineRule="auto"/>
        <w:ind w:right="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附图3 项目平面布置及分区防渗图</w:t>
      </w:r>
    </w:p>
    <w:p>
      <w:pPr>
        <w:keepNext w:val="0"/>
        <w:keepLines w:val="0"/>
        <w:pageBreakBefore w:val="0"/>
        <w:kinsoku/>
        <w:wordWrap/>
        <w:overflowPunct/>
        <w:topLinePunct w:val="0"/>
        <w:autoSpaceDE/>
        <w:autoSpaceDN/>
        <w:bidi w:val="0"/>
        <w:adjustRightInd/>
        <w:spacing w:line="360" w:lineRule="auto"/>
        <w:ind w:right="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附图4 永州市经济技术开发区总体规划图</w:t>
      </w:r>
    </w:p>
    <w:p>
      <w:pPr>
        <w:keepNext w:val="0"/>
        <w:keepLines w:val="0"/>
        <w:pageBreakBefore w:val="0"/>
        <w:kinsoku/>
        <w:wordWrap/>
        <w:overflowPunct/>
        <w:topLinePunct w:val="0"/>
        <w:autoSpaceDE/>
        <w:autoSpaceDN/>
        <w:bidi w:val="0"/>
        <w:adjustRightInd/>
        <w:spacing w:line="360" w:lineRule="auto"/>
        <w:ind w:right="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附图5 项目监测点位图</w:t>
      </w:r>
    </w:p>
    <w:p>
      <w:pPr>
        <w:keepNext w:val="0"/>
        <w:keepLines w:val="0"/>
        <w:pageBreakBefore w:val="0"/>
        <w:kinsoku/>
        <w:wordWrap/>
        <w:overflowPunct/>
        <w:topLinePunct w:val="0"/>
        <w:autoSpaceDE/>
        <w:autoSpaceDN/>
        <w:bidi w:val="0"/>
        <w:adjustRightInd/>
        <w:spacing w:line="360" w:lineRule="auto"/>
        <w:ind w:right="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附图6 项目引用数据监测点位图</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附图7 厂区四周现状调查照片</w:t>
      </w:r>
    </w:p>
    <w:p>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lang w:val="en-US" w:eastAsia="zh-CN"/>
        </w:rPr>
      </w:pPr>
    </w:p>
    <w:p>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lang w:val="en-US" w:eastAsia="zh-CN"/>
        </w:rPr>
      </w:pPr>
      <w:r>
        <w:rPr>
          <w:rFonts w:hint="eastAsia"/>
          <w:b/>
          <w:bCs/>
          <w:color w:val="auto"/>
          <w:highlight w:val="none"/>
          <w:lang w:val="en-US" w:eastAsia="zh-CN"/>
        </w:rPr>
        <w:t>附件：</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附件1：环评委托书</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附件2：永州市经济开发区环境影响报告书的批复</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附件3：租赁合同</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附件4：营业执照</w:t>
      </w:r>
    </w:p>
    <w:p>
      <w:pPr>
        <w:pStyle w:val="21"/>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附件5：备案文件</w:t>
      </w:r>
    </w:p>
    <w:p>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p>
    <w:p>
      <w:pPr>
        <w:adjustRightInd w:val="0"/>
        <w:snapToGrid w:val="0"/>
        <w:spacing w:line="288" w:lineRule="auto"/>
        <w:jc w:val="center"/>
        <w:rPr>
          <w:rFonts w:hint="eastAsia" w:ascii="楷体_GB2312" w:eastAsia="楷体_GB2312"/>
          <w:color w:val="auto"/>
          <w:sz w:val="36"/>
          <w:szCs w:val="36"/>
        </w:rPr>
      </w:pPr>
    </w:p>
    <w:p>
      <w:pPr>
        <w:adjustRightInd w:val="0"/>
        <w:snapToGrid w:val="0"/>
        <w:spacing w:line="288" w:lineRule="auto"/>
        <w:rPr>
          <w:rFonts w:ascii="仿宋_GB2312" w:eastAsia="仿宋_GB2312"/>
          <w:color w:val="auto"/>
          <w:sz w:val="36"/>
          <w:szCs w:val="36"/>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9"/>
        <w:jc w:val="center"/>
        <w:outlineLvl w:val="0"/>
        <w:rPr>
          <w:rFonts w:hint="eastAsia" w:ascii="黑体" w:hAnsi="黑体" w:eastAsia="黑体"/>
          <w:snapToGrid w:val="0"/>
          <w:color w:val="auto"/>
          <w:sz w:val="30"/>
          <w:szCs w:val="30"/>
        </w:rPr>
      </w:pPr>
      <w:bookmarkStart w:id="2" w:name="_Toc98256019"/>
      <w:r>
        <w:rPr>
          <w:rFonts w:hint="eastAsia" w:ascii="黑体" w:hAnsi="黑体" w:eastAsia="黑体"/>
          <w:snapToGrid w:val="0"/>
          <w:color w:val="auto"/>
          <w:sz w:val="30"/>
          <w:szCs w:val="30"/>
        </w:rPr>
        <w:t>一、建设项目基本情况</w:t>
      </w:r>
      <w:bookmarkEnd w:id="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58"/>
        <w:gridCol w:w="1639"/>
        <w:gridCol w:w="1946"/>
        <w:gridCol w:w="4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名称</w:t>
            </w:r>
          </w:p>
        </w:tc>
        <w:tc>
          <w:tcPr>
            <w:tcW w:w="7712" w:type="dxa"/>
            <w:gridSpan w:val="3"/>
            <w:noWrap w:val="0"/>
            <w:vAlign w:val="center"/>
          </w:tcPr>
          <w:p>
            <w:pPr>
              <w:adjustRightInd w:val="0"/>
              <w:snapToGrid w:val="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新能源照明设备生产项目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项目代码</w:t>
            </w:r>
          </w:p>
        </w:tc>
        <w:tc>
          <w:tcPr>
            <w:tcW w:w="7712" w:type="dxa"/>
            <w:gridSpan w:val="3"/>
            <w:noWrap w:val="0"/>
            <w:vAlign w:val="center"/>
          </w:tcPr>
          <w:p>
            <w:pPr>
              <w:adjustRightInd w:val="0"/>
              <w:snapToGrid w:val="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2303-431171-04-05-945261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建设单位联系人</w:t>
            </w:r>
          </w:p>
        </w:tc>
        <w:tc>
          <w:tcPr>
            <w:tcW w:w="1639" w:type="dxa"/>
            <w:noWrap w:val="0"/>
            <w:vAlign w:val="center"/>
          </w:tcPr>
          <w:p>
            <w:pPr>
              <w:adjustRightInd w:val="0"/>
              <w:snapToGrid w:val="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宋名槐</w:t>
            </w:r>
          </w:p>
        </w:tc>
        <w:tc>
          <w:tcPr>
            <w:tcW w:w="1946" w:type="dxa"/>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联系方式</w:t>
            </w:r>
          </w:p>
        </w:tc>
        <w:tc>
          <w:tcPr>
            <w:tcW w:w="412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19176889999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7712" w:type="dxa"/>
            <w:gridSpan w:val="3"/>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永州经济开发区张家铺2号厂房3栋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地理坐标</w:t>
            </w:r>
          </w:p>
        </w:tc>
        <w:tc>
          <w:tcPr>
            <w:tcW w:w="7712" w:type="dxa"/>
            <w:gridSpan w:val="3"/>
            <w:noWrap w:val="0"/>
            <w:vAlign w:val="center"/>
          </w:tcPr>
          <w:p>
            <w:pPr>
              <w:jc w:val="center"/>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000000" w:themeColor="text1"/>
                <w:sz w:val="24"/>
                <w:highlight w:val="none"/>
                <w:lang w:val="en-US" w:eastAsia="zh-CN"/>
                <w14:textFill>
                  <w14:solidFill>
                    <w14:schemeClr w14:val="tx1"/>
                  </w14:solidFill>
                </w14:textFill>
              </w:rPr>
              <w:t>E</w:t>
            </w:r>
            <w:r>
              <w:rPr>
                <w:rFonts w:hint="default" w:ascii="Times New Roman" w:hAnsi="Times New Roman" w:cs="Times New Roman"/>
                <w:color w:val="000000" w:themeColor="text1"/>
                <w:sz w:val="24"/>
                <w:highlight w:val="none"/>
                <w14:textFill>
                  <w14:solidFill>
                    <w14:schemeClr w14:val="tx1"/>
                  </w14:solidFill>
                </w14:textFill>
              </w:rPr>
              <w:t>111°36'18.9"</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N</w:t>
            </w:r>
            <w:r>
              <w:rPr>
                <w:rFonts w:hint="default" w:ascii="Times New Roman" w:hAnsi="Times New Roman" w:cs="Times New Roman"/>
                <w:color w:val="000000" w:themeColor="text1"/>
                <w:sz w:val="24"/>
                <w:highlight w:val="none"/>
                <w:lang w:eastAsia="zh-CN"/>
                <w14:textFill>
                  <w14:solidFill>
                    <w14:schemeClr w14:val="tx1"/>
                  </w14:solidFill>
                </w14:textFill>
              </w:rPr>
              <w:t>26°24'04.4"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国民经济</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tc>
        <w:tc>
          <w:tcPr>
            <w:tcW w:w="1639" w:type="dxa"/>
            <w:noWrap w:val="0"/>
            <w:vAlign w:val="center"/>
          </w:tcPr>
          <w:p>
            <w:pPr>
              <w:adjustRightInd w:val="0"/>
              <w:snapToGrid w:val="0"/>
              <w:jc w:val="center"/>
              <w:rPr>
                <w:rFonts w:hint="default" w:ascii="Times New Roman" w:hAnsi="Times New Roman" w:cs="Times New Roman"/>
                <w:color w:val="auto"/>
                <w:highlight w:val="none"/>
                <w:lang w:val="en-US"/>
              </w:rPr>
            </w:pPr>
            <w:r>
              <w:rPr>
                <w:rFonts w:hint="default" w:ascii="Times New Roman" w:hAnsi="Times New Roman" w:cs="Times New Roman"/>
                <w:color w:val="auto"/>
                <w:sz w:val="24"/>
                <w:highlight w:val="none"/>
                <w:lang w:val="en-US" w:eastAsia="zh-CN"/>
              </w:rPr>
              <w:t>C</w:t>
            </w:r>
            <w:r>
              <w:rPr>
                <w:rFonts w:hint="default" w:ascii="Times New Roman" w:hAnsi="Times New Roman" w:eastAsia="华文中宋" w:cs="Times New Roman"/>
                <w:color w:val="auto"/>
                <w:sz w:val="24"/>
                <w:highlight w:val="none"/>
              </w:rPr>
              <w:t>3</w:t>
            </w:r>
            <w:r>
              <w:rPr>
                <w:rFonts w:hint="default" w:ascii="Times New Roman" w:hAnsi="Times New Roman" w:cs="Times New Roman"/>
                <w:color w:val="auto"/>
                <w:sz w:val="24"/>
                <w:highlight w:val="none"/>
              </w:rPr>
              <w:t>872照明灯具制造</w:t>
            </w:r>
          </w:p>
        </w:tc>
        <w:tc>
          <w:tcPr>
            <w:tcW w:w="1946" w:type="dxa"/>
            <w:noWrap w:val="0"/>
            <w:vAlign w:val="center"/>
          </w:tcPr>
          <w:p>
            <w:pPr>
              <w:adjustRightInd w:val="0"/>
              <w:snapToGrid w:val="0"/>
              <w:jc w:val="center"/>
              <w:rPr>
                <w:rFonts w:hint="default" w:ascii="Times New Roman" w:hAnsi="Times New Roman" w:cs="Times New Roman"/>
                <w:color w:val="auto"/>
                <w:sz w:val="24"/>
                <w:highlight w:val="none"/>
              </w:rPr>
            </w:pPr>
            <w:bookmarkStart w:id="3" w:name="_Hlk49843745"/>
            <w:r>
              <w:rPr>
                <w:rFonts w:hint="default" w:ascii="Times New Roman" w:hAnsi="Times New Roman" w:cs="Times New Roman"/>
                <w:color w:val="auto"/>
                <w:sz w:val="24"/>
                <w:highlight w:val="none"/>
              </w:rPr>
              <w:t>建设项目</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bookmarkEnd w:id="3"/>
          </w:p>
        </w:tc>
        <w:tc>
          <w:tcPr>
            <w:tcW w:w="4127" w:type="dxa"/>
            <w:noWrap w:val="0"/>
            <w:vAlign w:val="center"/>
          </w:tcPr>
          <w:p>
            <w:pPr>
              <w:adjustRightInd w:val="0"/>
              <w:snapToGrid w:val="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三十</w:t>
            </w:r>
            <w:r>
              <w:rPr>
                <w:rFonts w:hint="eastAsia" w:ascii="Times New Roman" w:hAnsi="Times New Roman" w:cs="Times New Roman"/>
                <w:color w:val="auto"/>
                <w:sz w:val="24"/>
                <w:highlight w:val="none"/>
                <w:lang w:eastAsia="zh-CN"/>
              </w:rPr>
              <w:t>五</w:t>
            </w:r>
            <w:r>
              <w:rPr>
                <w:rFonts w:hint="default" w:ascii="Times New Roman" w:hAnsi="Times New Roman" w:cs="Times New Roman"/>
                <w:color w:val="auto"/>
                <w:sz w:val="24"/>
                <w:highlight w:val="none"/>
              </w:rPr>
              <w:t>、电气机械和器材制造业38其他（仅分割、焊接、组装的除外；年用非溶剂型低VOCs含量涂料10吨以下的除外）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1639" w:type="dxa"/>
            <w:noWrap w:val="0"/>
            <w:vAlign w:val="center"/>
          </w:tcPr>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新建（迁建）</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改建</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扩建</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技术改造</w:t>
            </w:r>
          </w:p>
        </w:tc>
        <w:tc>
          <w:tcPr>
            <w:tcW w:w="1946" w:type="dxa"/>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申报情形</w:t>
            </w:r>
          </w:p>
        </w:tc>
        <w:tc>
          <w:tcPr>
            <w:tcW w:w="4127" w:type="dxa"/>
            <w:noWrap w:val="0"/>
            <w:vAlign w:val="center"/>
          </w:tcPr>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首次申报项目             </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不予批准后再次申报项目</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超五年重新审核项目     </w:t>
            </w:r>
          </w:p>
          <w:p>
            <w:pPr>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备案）部门（选填）</w:t>
            </w:r>
          </w:p>
        </w:tc>
        <w:tc>
          <w:tcPr>
            <w:tcW w:w="1639"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永州经济技术开发区产业发展和统计局</w:t>
            </w:r>
          </w:p>
        </w:tc>
        <w:tc>
          <w:tcPr>
            <w:tcW w:w="1946" w:type="dxa"/>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备案）文号（选填）</w:t>
            </w:r>
          </w:p>
        </w:tc>
        <w:tc>
          <w:tcPr>
            <w:tcW w:w="412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永经开产统备字【2023】7号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（万元）</w:t>
            </w:r>
          </w:p>
        </w:tc>
        <w:tc>
          <w:tcPr>
            <w:tcW w:w="1639"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6000</w:t>
            </w:r>
          </w:p>
        </w:tc>
        <w:tc>
          <w:tcPr>
            <w:tcW w:w="194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412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90.5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环保投资占比（%）</w:t>
            </w:r>
          </w:p>
        </w:tc>
        <w:tc>
          <w:tcPr>
            <w:tcW w:w="1639"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1.51</w:t>
            </w:r>
          </w:p>
        </w:tc>
        <w:tc>
          <w:tcPr>
            <w:tcW w:w="194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施工工期</w:t>
            </w:r>
          </w:p>
        </w:tc>
        <w:tc>
          <w:tcPr>
            <w:tcW w:w="412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5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是否开工建设</w:t>
            </w:r>
          </w:p>
        </w:tc>
        <w:tc>
          <w:tcPr>
            <w:tcW w:w="1639" w:type="dxa"/>
            <w:noWrap w:val="0"/>
            <w:vAlign w:val="center"/>
          </w:tcPr>
          <w:p>
            <w:pPr>
              <w:adjustRightInd w:val="0"/>
              <w:snapToGrid w:val="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sym w:font="Wingdings 2" w:char="0052"/>
            </w:r>
            <w:r>
              <w:rPr>
                <w:rFonts w:hint="default" w:ascii="Times New Roman" w:hAnsi="Times New Roman" w:cs="Times New Roman"/>
                <w:color w:val="auto"/>
                <w:sz w:val="24"/>
                <w:highlight w:val="none"/>
              </w:rPr>
              <w:t>否</w:t>
            </w:r>
          </w:p>
          <w:p>
            <w:pPr>
              <w:adjustRightInd w:val="0"/>
              <w:snapToGrid w:val="0"/>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是：</w:t>
            </w:r>
            <w:r>
              <w:rPr>
                <w:rFonts w:hint="eastAsia" w:ascii="Times New Roman" w:hAnsi="Times New Roman" w:cs="Times New Roman"/>
                <w:color w:val="auto"/>
                <w:sz w:val="24"/>
                <w:highlight w:val="none"/>
                <w:u w:val="single"/>
                <w:lang w:val="en-US" w:eastAsia="zh-CN"/>
              </w:rPr>
              <w:t xml:space="preserve">         </w:t>
            </w:r>
          </w:p>
        </w:tc>
        <w:tc>
          <w:tcPr>
            <w:tcW w:w="194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用地（用海）</w:t>
            </w:r>
          </w:p>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pacing w:val="-6"/>
                <w:sz w:val="24"/>
                <w:highlight w:val="none"/>
              </w:rPr>
              <w:t>面积（m</w:t>
            </w:r>
            <w:r>
              <w:rPr>
                <w:rFonts w:hint="default" w:ascii="Times New Roman" w:hAnsi="Times New Roman" w:cs="Times New Roman"/>
                <w:color w:val="auto"/>
                <w:spacing w:val="-6"/>
                <w:sz w:val="24"/>
                <w:highlight w:val="none"/>
                <w:vertAlign w:val="superscript"/>
              </w:rPr>
              <w:t>2</w:t>
            </w:r>
            <w:r>
              <w:rPr>
                <w:rFonts w:hint="default" w:ascii="Times New Roman" w:hAnsi="Times New Roman" w:cs="Times New Roman"/>
                <w:color w:val="auto"/>
                <w:spacing w:val="-6"/>
                <w:sz w:val="24"/>
                <w:highlight w:val="none"/>
              </w:rPr>
              <w:t>）</w:t>
            </w:r>
          </w:p>
        </w:tc>
        <w:tc>
          <w:tcPr>
            <w:tcW w:w="4127"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6980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58" w:type="dxa"/>
            <w:noWrap w:val="0"/>
            <w:vAlign w:val="center"/>
          </w:tcPr>
          <w:p>
            <w:pPr>
              <w:autoSpaceDE w:val="0"/>
              <w:autoSpaceDN w:val="0"/>
              <w:adjustRightInd w:val="0"/>
              <w:snapToGrid w:val="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专项评价设置情况</w:t>
            </w:r>
          </w:p>
        </w:tc>
        <w:tc>
          <w:tcPr>
            <w:tcW w:w="7712" w:type="dxa"/>
            <w:gridSpan w:val="3"/>
            <w:noWrap w:val="0"/>
            <w:vAlign w:val="center"/>
          </w:tcPr>
          <w:p>
            <w:pPr>
              <w:adjustRightInd w:val="0"/>
              <w:snapToGrid w:val="0"/>
              <w:spacing w:line="360" w:lineRule="auto"/>
              <w:ind w:firstLine="480" w:firstLineChars="20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cs="Times New Roman"/>
                <w:color w:val="auto"/>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58" w:type="dxa"/>
            <w:noWrap w:val="0"/>
            <w:vAlign w:val="center"/>
          </w:tcPr>
          <w:p>
            <w:pPr>
              <w:autoSpaceDE w:val="0"/>
              <w:autoSpaceDN w:val="0"/>
              <w:adjustRightInd w:val="0"/>
              <w:snapToGrid w:val="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规划情况</w:t>
            </w:r>
          </w:p>
        </w:tc>
        <w:tc>
          <w:tcPr>
            <w:tcW w:w="7712" w:type="dxa"/>
            <w:gridSpan w:val="3"/>
            <w:noWrap w:val="0"/>
            <w:vAlign w:val="center"/>
          </w:tcPr>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1、规划名称：永州市经济技术开发区总体规划（2013-2020）；</w:t>
            </w:r>
          </w:p>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审批机关：湖南省人民政府；</w:t>
            </w:r>
          </w:p>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审批文件名称及文号：湘政函[2016] 177号；</w:t>
            </w:r>
          </w:p>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2、规划名称：永州经济技术开发区(北部片区、南部片区)控制性详细规划；</w:t>
            </w:r>
          </w:p>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审批机关：永州市人民政府；</w:t>
            </w:r>
          </w:p>
          <w:p>
            <w:pPr>
              <w:adjustRightInd w:val="0"/>
              <w:snapToGrid w:val="0"/>
              <w:spacing w:line="360" w:lineRule="auto"/>
              <w:ind w:firstLine="480" w:firstLineChars="200"/>
              <w:jc w:val="left"/>
              <w:rPr>
                <w:rFonts w:hint="default" w:ascii="Times New Roman" w:hAnsi="Times New Roman" w:cs="Times New Roman"/>
                <w:color w:val="auto"/>
                <w:kern w:val="0"/>
                <w:szCs w:val="21"/>
                <w:highlight w:val="none"/>
              </w:rPr>
            </w:pPr>
            <w:r>
              <w:rPr>
                <w:rFonts w:hint="eastAsia" w:ascii="Times New Roman" w:hAnsi="Times New Roman" w:eastAsia="宋体" w:cs="Times New Roman"/>
                <w:color w:val="auto"/>
                <w:sz w:val="24"/>
                <w:highlight w:val="none"/>
                <w:lang w:val="en-US" w:eastAsia="zh-CN"/>
              </w:rPr>
              <w:t>审批文件名称及文号：永政函[2014] 132号。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58" w:type="dxa"/>
            <w:noWrap w:val="0"/>
            <w:vAlign w:val="center"/>
          </w:tcPr>
          <w:p>
            <w:pPr>
              <w:adjustRightInd w:val="0"/>
              <w:snapToGrid w:val="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规划环境影响</w:t>
            </w:r>
          </w:p>
          <w:p>
            <w:pPr>
              <w:adjustRightInd w:val="0"/>
              <w:snapToGrid w:val="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评价情况</w:t>
            </w:r>
          </w:p>
        </w:tc>
        <w:tc>
          <w:tcPr>
            <w:tcW w:w="7712" w:type="dxa"/>
            <w:gridSpan w:val="3"/>
            <w:noWrap w:val="0"/>
            <w:vAlign w:val="center"/>
          </w:tcPr>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规划环境影响评价文件名称：《永州市经济开发区环境影响报告书》；</w:t>
            </w:r>
          </w:p>
          <w:p>
            <w:pPr>
              <w:adjustRightInd w:val="0"/>
              <w:snapToGrid w:val="0"/>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审查机关：湖南省环境保护厅；</w:t>
            </w:r>
          </w:p>
          <w:p>
            <w:pPr>
              <w:adjustRightInd w:val="0"/>
              <w:snapToGrid w:val="0"/>
              <w:spacing w:line="360" w:lineRule="auto"/>
              <w:ind w:firstLine="480" w:firstLineChars="200"/>
              <w:jc w:val="left"/>
              <w:rPr>
                <w:rFonts w:hint="default" w:ascii="Times New Roman" w:hAnsi="Times New Roman" w:cs="Times New Roman"/>
                <w:color w:val="auto"/>
                <w:kern w:val="0"/>
                <w:szCs w:val="21"/>
                <w:highlight w:val="none"/>
              </w:rPr>
            </w:pPr>
            <w:r>
              <w:rPr>
                <w:rFonts w:hint="eastAsia" w:ascii="Times New Roman" w:hAnsi="Times New Roman" w:eastAsia="宋体" w:cs="Times New Roman"/>
                <w:color w:val="auto"/>
                <w:sz w:val="24"/>
                <w:highlight w:val="none"/>
                <w:lang w:val="en-US" w:eastAsia="zh-CN"/>
              </w:rPr>
              <w:t>审查文件名称及文号：《湖南省环境保护厅关于永州市经济开发区环境影响报告书的批复》（湘环评[2013] 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58" w:type="dxa"/>
            <w:noWrap w:val="0"/>
            <w:vAlign w:val="center"/>
          </w:tcPr>
          <w:p>
            <w:pPr>
              <w:autoSpaceDE w:val="0"/>
              <w:autoSpaceDN w:val="0"/>
              <w:adjustRightInd w:val="0"/>
              <w:snapToGrid w:val="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规划及规划环境影响评价符合性分析</w:t>
            </w:r>
          </w:p>
        </w:tc>
        <w:tc>
          <w:tcPr>
            <w:tcW w:w="7712" w:type="dxa"/>
            <w:gridSpan w:val="3"/>
            <w:noWrap w:val="0"/>
            <w:vAlign w:val="center"/>
          </w:tcPr>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根据《永州市经济开发区环境影响报告书》，园内主导产业以技术密集型为主，明确为先进装备（汽车及零部件），电子信息，食品药品三大产业为主。依据城市功能区的划分，永州市经济技术开发区产业布局具体分为四大产业区。</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1、食品药品产业园区：位于北部片区西侧（凤凰工业园），用地面积约3.7km</w:t>
            </w:r>
            <w:r>
              <w:rPr>
                <w:rFonts w:hint="eastAsia"/>
                <w:color w:val="000000" w:themeColor="text1"/>
                <w:kern w:val="0"/>
                <w:sz w:val="24"/>
                <w:szCs w:val="24"/>
                <w:u w:val="none"/>
                <w:vertAlign w:val="superscript"/>
                <w14:textFill>
                  <w14:solidFill>
                    <w14:schemeClr w14:val="tx1"/>
                  </w14:solidFill>
                </w14:textFill>
              </w:rPr>
              <w:t>2</w:t>
            </w:r>
            <w:r>
              <w:rPr>
                <w:rFonts w:hint="eastAsia"/>
                <w:color w:val="000000" w:themeColor="text1"/>
                <w:kern w:val="0"/>
                <w:sz w:val="24"/>
                <w:szCs w:val="24"/>
                <w:u w:val="none"/>
                <w14:textFill>
                  <w14:solidFill>
                    <w14:schemeClr w14:val="tx1"/>
                  </w14:solidFill>
                </w14:textFill>
              </w:rPr>
              <w:t>。园区重点发展民族制药、特色食品产业。</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2、电子信息产业园区（北部片区）：位于北部片区东侧（冷水滩工业园），用地面积约3.9km</w:t>
            </w:r>
            <w:r>
              <w:rPr>
                <w:rFonts w:hint="eastAsia"/>
                <w:color w:val="000000" w:themeColor="text1"/>
                <w:kern w:val="0"/>
                <w:sz w:val="24"/>
                <w:szCs w:val="24"/>
                <w:u w:val="none"/>
                <w:vertAlign w:val="superscript"/>
                <w14:textFill>
                  <w14:solidFill>
                    <w14:schemeClr w14:val="tx1"/>
                  </w14:solidFill>
                </w14:textFill>
              </w:rPr>
              <w:t>2</w:t>
            </w:r>
            <w:r>
              <w:rPr>
                <w:rFonts w:hint="eastAsia"/>
                <w:color w:val="000000" w:themeColor="text1"/>
                <w:kern w:val="0"/>
                <w:sz w:val="24"/>
                <w:szCs w:val="24"/>
                <w:u w:val="none"/>
                <w14:textFill>
                  <w14:solidFill>
                    <w14:schemeClr w14:val="tx1"/>
                  </w14:solidFill>
                </w14:textFill>
              </w:rPr>
              <w:t xml:space="preserve">。园区主要发展电子信息、商贸物流等产业。 </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3、先进装备产业园：位于南部片区西北侧（长丰工业园），总用地面积约5.16km</w:t>
            </w:r>
            <w:r>
              <w:rPr>
                <w:rFonts w:hint="eastAsia"/>
                <w:color w:val="000000" w:themeColor="text1"/>
                <w:kern w:val="0"/>
                <w:sz w:val="24"/>
                <w:szCs w:val="24"/>
                <w:u w:val="none"/>
                <w:vertAlign w:val="superscript"/>
                <w14:textFill>
                  <w14:solidFill>
                    <w14:schemeClr w14:val="tx1"/>
                  </w14:solidFill>
                </w14:textFill>
              </w:rPr>
              <w:t>2</w:t>
            </w:r>
            <w:r>
              <w:rPr>
                <w:rFonts w:hint="eastAsia"/>
                <w:color w:val="000000" w:themeColor="text1"/>
                <w:kern w:val="0"/>
                <w:sz w:val="24"/>
                <w:szCs w:val="24"/>
                <w:u w:val="none"/>
                <w14:textFill>
                  <w14:solidFill>
                    <w14:schemeClr w14:val="tx1"/>
                  </w14:solidFill>
                </w14:textFill>
              </w:rPr>
              <w:t>。园区以长丰集团和水电设备厂为基础，发展汽车装配及零部件配套工业。</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4、电子信息产业园区（南部片区）：位于南部片区东南侧，用地面积约5.28km</w:t>
            </w:r>
            <w:r>
              <w:rPr>
                <w:rFonts w:hint="eastAsia"/>
                <w:color w:val="000000" w:themeColor="text1"/>
                <w:kern w:val="0"/>
                <w:sz w:val="24"/>
                <w:szCs w:val="24"/>
                <w:u w:val="none"/>
                <w:vertAlign w:val="superscript"/>
                <w14:textFill>
                  <w14:solidFill>
                    <w14:schemeClr w14:val="tx1"/>
                  </w14:solidFill>
                </w14:textFill>
              </w:rPr>
              <w:t>2</w:t>
            </w:r>
            <w:r>
              <w:rPr>
                <w:rFonts w:hint="eastAsia"/>
                <w:color w:val="000000" w:themeColor="text1"/>
                <w:kern w:val="0"/>
                <w:sz w:val="24"/>
                <w:szCs w:val="24"/>
                <w:u w:val="none"/>
                <w14:textFill>
                  <w14:solidFill>
                    <w14:schemeClr w14:val="tx1"/>
                  </w14:solidFill>
                </w14:textFill>
              </w:rPr>
              <w:t>。园区主要发展电子信息、商贸物流等产业。</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本项目拟建于永州市经济开发区南</w:t>
            </w:r>
            <w:r>
              <w:rPr>
                <w:rFonts w:hint="eastAsia"/>
                <w:color w:val="auto"/>
                <w:kern w:val="0"/>
                <w:sz w:val="24"/>
                <w:szCs w:val="24"/>
                <w:u w:val="none"/>
              </w:rPr>
              <w:t>部片区</w:t>
            </w:r>
            <w:r>
              <w:rPr>
                <w:rFonts w:hint="eastAsia"/>
                <w:color w:val="auto"/>
                <w:kern w:val="0"/>
                <w:sz w:val="24"/>
                <w:szCs w:val="24"/>
                <w:u w:val="none"/>
                <w:lang w:val="en-US" w:eastAsia="zh-CN"/>
              </w:rPr>
              <w:t>西北侧（长丰工业</w:t>
            </w:r>
            <w:r>
              <w:rPr>
                <w:rFonts w:hint="eastAsia"/>
                <w:color w:val="000000" w:themeColor="text1"/>
                <w:kern w:val="0"/>
                <w:sz w:val="24"/>
                <w:szCs w:val="24"/>
                <w:u w:val="none"/>
                <w:lang w:val="en-US" w:eastAsia="zh-CN"/>
                <w14:textFill>
                  <w14:solidFill>
                    <w14:schemeClr w14:val="tx1"/>
                  </w14:solidFill>
                </w14:textFill>
              </w:rPr>
              <w:t>园）</w:t>
            </w:r>
            <w:r>
              <w:rPr>
                <w:rFonts w:hint="eastAsia"/>
                <w:color w:val="000000" w:themeColor="text1"/>
                <w:kern w:val="0"/>
                <w:sz w:val="24"/>
                <w:szCs w:val="24"/>
                <w:u w:val="none"/>
                <w14:textFill>
                  <w14:solidFill>
                    <w14:schemeClr w14:val="tx1"/>
                  </w14:solidFill>
                </w14:textFill>
              </w:rPr>
              <w:t>，该产业园以长丰集团和水电设备厂为基础，发展汽车装配及零部件配套工业。本项目</w:t>
            </w:r>
            <w:r>
              <w:rPr>
                <w:rFonts w:hint="eastAsia"/>
                <w:color w:val="000000" w:themeColor="text1"/>
                <w:kern w:val="0"/>
                <w:sz w:val="24"/>
                <w:szCs w:val="24"/>
                <w:u w:val="none"/>
                <w:lang w:val="en-US" w:eastAsia="zh-CN"/>
                <w14:textFill>
                  <w14:solidFill>
                    <w14:schemeClr w14:val="tx1"/>
                  </w14:solidFill>
                </w14:textFill>
              </w:rPr>
              <w:t>主要生产新能源照明设备（路灯）</w:t>
            </w:r>
            <w:r>
              <w:rPr>
                <w:rFonts w:hint="eastAsia"/>
                <w:color w:val="000000" w:themeColor="text1"/>
                <w:kern w:val="0"/>
                <w:sz w:val="24"/>
                <w:szCs w:val="24"/>
                <w:u w:val="none"/>
                <w14:textFill>
                  <w14:solidFill>
                    <w14:schemeClr w14:val="tx1"/>
                  </w14:solidFill>
                </w14:textFill>
              </w:rPr>
              <w:t>，属于</w:t>
            </w:r>
            <w:r>
              <w:rPr>
                <w:rFonts w:hint="eastAsia"/>
                <w:color w:val="000000" w:themeColor="text1"/>
                <w:kern w:val="0"/>
                <w:sz w:val="24"/>
                <w:szCs w:val="24"/>
                <w:u w:val="none"/>
                <w:lang w:val="en-US" w:eastAsia="zh-CN"/>
                <w14:textFill>
                  <w14:solidFill>
                    <w14:schemeClr w14:val="tx1"/>
                  </w14:solidFill>
                </w14:textFill>
              </w:rPr>
              <w:t>水电设备厂</w:t>
            </w:r>
            <w:r>
              <w:rPr>
                <w:rFonts w:hint="eastAsia"/>
                <w:color w:val="000000" w:themeColor="text1"/>
                <w:kern w:val="0"/>
                <w:sz w:val="24"/>
                <w:szCs w:val="24"/>
                <w:u w:val="none"/>
                <w14:textFill>
                  <w14:solidFill>
                    <w14:schemeClr w14:val="tx1"/>
                  </w14:solidFill>
                </w14:textFill>
              </w:rPr>
              <w:t>，与</w:t>
            </w:r>
            <w:r>
              <w:rPr>
                <w:color w:val="000000" w:themeColor="text1"/>
                <w:sz w:val="24"/>
                <w:szCs w:val="24"/>
                <w:u w:val="none"/>
                <w14:textFill>
                  <w14:solidFill>
                    <w14:schemeClr w14:val="tx1"/>
                  </w14:solidFill>
                </w14:textFill>
              </w:rPr>
              <w:t>规划环境影响评价</w:t>
            </w:r>
            <w:r>
              <w:rPr>
                <w:rFonts w:hint="eastAsia"/>
                <w:color w:val="000000" w:themeColor="text1"/>
                <w:sz w:val="24"/>
                <w:szCs w:val="24"/>
                <w:u w:val="none"/>
                <w14:textFill>
                  <w14:solidFill>
                    <w14:schemeClr w14:val="tx1"/>
                  </w14:solidFill>
                </w14:textFill>
              </w:rPr>
              <w:t>报告相符。</w:t>
            </w:r>
          </w:p>
          <w:p>
            <w:pPr>
              <w:autoSpaceDE w:val="0"/>
              <w:autoSpaceDN w:val="0"/>
              <w:adjustRightInd w:val="0"/>
              <w:snapToGrid w:val="0"/>
              <w:spacing w:line="360" w:lineRule="auto"/>
              <w:ind w:firstLine="480"/>
              <w:rPr>
                <w:rFonts w:hint="eastAsia"/>
                <w:color w:val="000000" w:themeColor="text1"/>
                <w:kern w:val="0"/>
                <w:sz w:val="24"/>
                <w:szCs w:val="24"/>
                <w:u w:val="none"/>
                <w14:textFill>
                  <w14:solidFill>
                    <w14:schemeClr w14:val="tx1"/>
                  </w14:solidFill>
                </w14:textFill>
              </w:rPr>
            </w:pPr>
            <w:r>
              <w:rPr>
                <w:rFonts w:hint="eastAsia"/>
                <w:color w:val="000000" w:themeColor="text1"/>
                <w:kern w:val="0"/>
                <w:sz w:val="24"/>
                <w:szCs w:val="24"/>
                <w:u w:val="none"/>
                <w14:textFill>
                  <w14:solidFill>
                    <w14:schemeClr w14:val="tx1"/>
                  </w14:solidFill>
                </w14:textFill>
              </w:rPr>
              <w:t>本项目与永州市经济开发区环境影响报告书的批复（湘环评[2013] 306号）相符性分析如下：</w:t>
            </w:r>
          </w:p>
          <w:p>
            <w:pPr>
              <w:spacing w:line="240" w:lineRule="auto"/>
              <w:jc w:val="center"/>
              <w:rPr>
                <w:rFonts w:ascii="宋体" w:hAnsi="宋体" w:cs="宋体"/>
                <w:b/>
                <w:bCs/>
                <w:color w:val="000000" w:themeColor="text1"/>
                <w:kern w:val="0"/>
                <w:sz w:val="24"/>
                <w:szCs w:val="24"/>
                <w:u w:val="none"/>
                <w14:textFill>
                  <w14:solidFill>
                    <w14:schemeClr w14:val="tx1"/>
                  </w14:solidFill>
                </w14:textFill>
              </w:rPr>
            </w:pPr>
            <w:r>
              <w:rPr>
                <w:rFonts w:hint="eastAsia" w:ascii="宋体" w:hAnsi="宋体" w:cs="宋体"/>
                <w:b/>
                <w:bCs/>
                <w:color w:val="000000" w:themeColor="text1"/>
                <w:kern w:val="0"/>
                <w:sz w:val="24"/>
                <w:szCs w:val="24"/>
                <w:u w:val="none"/>
                <w14:textFill>
                  <w14:solidFill>
                    <w14:schemeClr w14:val="tx1"/>
                  </w14:solidFill>
                </w14:textFill>
              </w:rPr>
              <w:t>表1-1  本项目与永州市经济开发区环境影响报告书批复相符性分析</w:t>
            </w:r>
          </w:p>
          <w:tbl>
            <w:tblPr>
              <w:tblStyle w:val="23"/>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4397"/>
              <w:gridCol w:w="149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序号</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园区入驻企业准入要求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本项目情况</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1</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一)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本项目所在地位于园区规划范围内，属于二类工业用地</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2</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二)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确保建成项目污防设施正常运营、达标排放，符合地方环保管理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本项目不属于国家明令淘汰和禁止发展的高能耗、高物耗、污染重、不符合产业政策的建设项目，不属于三类工业以及线路板、电镀等排水涉重金属或持久性污染物、水型污染企业</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3</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(三)落实经开区水污染控制措施。经开区排水实施雨污分流，按报告书要求取消经开区北部规划拟建的马坪污水处理厂，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在经开区各片区与集中污水处理厂接管运营完成前，禁止引进水型污染企业，已建成企业废水应经自行处理满足《污水综合排放标准》( GB8978-1996) 一级标准后方可外排。</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本项目产生的生活污水经化粪池处理</w:t>
                  </w:r>
                  <w:r>
                    <w:rPr>
                      <w:rFonts w:hint="eastAsia" w:ascii="宋体" w:hAnsi="宋体" w:cs="宋体"/>
                      <w:color w:val="auto"/>
                      <w:kern w:val="0"/>
                      <w:sz w:val="21"/>
                      <w:szCs w:val="21"/>
                      <w:u w:val="none"/>
                    </w:rPr>
                    <w:t>达</w:t>
                  </w:r>
                  <w:r>
                    <w:rPr>
                      <w:rFonts w:hint="eastAsia" w:ascii="宋体" w:hAnsi="宋体" w:eastAsia="宋体" w:cs="宋体"/>
                      <w:color w:val="000000" w:themeColor="text1"/>
                      <w:kern w:val="0"/>
                      <w:sz w:val="21"/>
                      <w:szCs w:val="21"/>
                      <w:u w:val="none"/>
                      <w14:textFill>
                        <w14:solidFill>
                          <w14:schemeClr w14:val="tx1"/>
                        </w14:solidFill>
                      </w14:textFill>
                    </w:rPr>
                    <w:t>到后排</w:t>
                  </w:r>
                  <w:r>
                    <w:rPr>
                      <w:rFonts w:hint="eastAsia" w:ascii="宋体" w:hAnsi="宋体" w:cs="宋体"/>
                      <w:color w:val="auto"/>
                      <w:kern w:val="0"/>
                      <w:sz w:val="21"/>
                      <w:szCs w:val="21"/>
                      <w:u w:val="none"/>
                    </w:rPr>
                    <w:t>入市政污水管网进入永州下河线污</w:t>
                  </w:r>
                  <w:r>
                    <w:rPr>
                      <w:rFonts w:hint="eastAsia" w:ascii="宋体" w:hAnsi="宋体" w:cs="宋体"/>
                      <w:color w:val="000000" w:themeColor="text1"/>
                      <w:kern w:val="0"/>
                      <w:sz w:val="21"/>
                      <w:szCs w:val="21"/>
                      <w:u w:val="none"/>
                      <w14:textFill>
                        <w14:solidFill>
                          <w14:schemeClr w14:val="tx1"/>
                        </w14:solidFill>
                      </w14:textFill>
                    </w:rPr>
                    <w:t>水处理厂处理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4</w:t>
                  </w:r>
                </w:p>
              </w:tc>
              <w:tc>
                <w:tcPr>
                  <w:tcW w:w="2937" w:type="pct"/>
                  <w:noWrap w:val="0"/>
                  <w:vAlign w:val="center"/>
                </w:tcPr>
                <w:p>
                  <w:pPr>
                    <w:spacing w:line="240" w:lineRule="auto"/>
                    <w:ind w:firstLine="0" w:firstLineChars="0"/>
                    <w:jc w:val="center"/>
                    <w:rPr>
                      <w:rFonts w:hint="eastAsia" w:ascii="宋体" w:hAnsi="宋体" w:cs="宋体"/>
                      <w:color w:val="auto"/>
                      <w:kern w:val="0"/>
                      <w:sz w:val="21"/>
                      <w:szCs w:val="21"/>
                      <w:u w:val="none"/>
                    </w:rPr>
                  </w:pPr>
                  <w:r>
                    <w:rPr>
                      <w:rFonts w:hint="eastAsia" w:ascii="宋体" w:hAnsi="宋体" w:cs="宋体"/>
                      <w:color w:val="auto"/>
                      <w:kern w:val="0"/>
                      <w:sz w:val="21"/>
                      <w:szCs w:val="21"/>
                      <w:u w:val="none"/>
                    </w:rPr>
                    <w:t>(四)按报告书要求做好经开区大气污染控制措施。园区内不得燃用中、高硫煤，不得新建4t/h以下燃煤锅炉；管委会应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001" w:type="pct"/>
                  <w:noWrap w:val="0"/>
                  <w:vAlign w:val="center"/>
                </w:tcPr>
                <w:p>
                  <w:pPr>
                    <w:spacing w:line="240" w:lineRule="auto"/>
                    <w:ind w:firstLine="0" w:firstLineChars="0"/>
                    <w:jc w:val="center"/>
                    <w:rPr>
                      <w:rFonts w:hint="eastAsia" w:ascii="宋体" w:hAnsi="宋体" w:cs="宋体"/>
                      <w:color w:val="auto"/>
                      <w:kern w:val="0"/>
                      <w:sz w:val="21"/>
                      <w:szCs w:val="21"/>
                      <w:u w:val="none"/>
                    </w:rPr>
                  </w:pPr>
                  <w:r>
                    <w:rPr>
                      <w:rFonts w:hint="eastAsia" w:ascii="宋体" w:hAnsi="宋体" w:cs="宋体"/>
                      <w:color w:val="auto"/>
                      <w:kern w:val="0"/>
                      <w:sz w:val="21"/>
                      <w:szCs w:val="21"/>
                      <w:u w:val="none"/>
                    </w:rPr>
                    <w:t>本项目</w:t>
                  </w:r>
                  <w:r>
                    <w:rPr>
                      <w:rFonts w:hint="eastAsia" w:ascii="宋体" w:hAnsi="宋体" w:cs="宋体"/>
                      <w:color w:val="auto"/>
                      <w:kern w:val="0"/>
                      <w:sz w:val="21"/>
                      <w:szCs w:val="21"/>
                      <w:u w:val="none"/>
                      <w:lang w:val="en-US" w:eastAsia="zh-CN"/>
                    </w:rPr>
                    <w:t>生产过程中使用天然气，</w:t>
                  </w:r>
                  <w:r>
                    <w:rPr>
                      <w:rFonts w:hint="eastAsia" w:ascii="宋体" w:hAnsi="宋体" w:cs="宋体"/>
                      <w:color w:val="auto"/>
                      <w:kern w:val="0"/>
                      <w:sz w:val="21"/>
                      <w:szCs w:val="21"/>
                      <w:u w:val="none"/>
                    </w:rPr>
                    <w:t>不涉及锅炉的使用。项目产生的有机废气经处理后可达标排放</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5</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五)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本项目固体废物和生活垃圾的分类收集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bl>
          <w:p>
            <w:pPr>
              <w:pStyle w:val="55"/>
              <w:rPr>
                <w:rFonts w:hint="default" w:ascii="Times New Roman" w:hAnsi="Times New Roman" w:cs="Times New Roman"/>
                <w:color w:val="auto"/>
                <w:highlight w:val="none"/>
              </w:rPr>
            </w:pP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4" w:hRule="atLeast"/>
          <w:jc w:val="center"/>
        </w:trPr>
        <w:tc>
          <w:tcPr>
            <w:tcW w:w="1158" w:type="dxa"/>
            <w:noWrap w:val="0"/>
            <w:vAlign w:val="center"/>
          </w:tcPr>
          <w:p>
            <w:pPr>
              <w:autoSpaceDE w:val="0"/>
              <w:autoSpaceDN w:val="0"/>
              <w:adjustRightInd w:val="0"/>
              <w:snapToGrid w:val="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其他符合性分析</w:t>
            </w:r>
          </w:p>
        </w:tc>
        <w:tc>
          <w:tcPr>
            <w:tcW w:w="7712" w:type="dxa"/>
            <w:gridSpan w:val="3"/>
            <w:noWrap w:val="0"/>
            <w:vAlign w:val="center"/>
          </w:tcPr>
          <w:p>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1、产业政策符合性分析</w:t>
            </w:r>
          </w:p>
          <w:p>
            <w:pPr>
              <w:adjustRightInd w:val="0"/>
              <w:snapToGrid w:val="0"/>
              <w:spacing w:line="360" w:lineRule="auto"/>
              <w:ind w:firstLine="480" w:firstLineChars="2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本项目属于</w:t>
            </w:r>
            <w:r>
              <w:rPr>
                <w:rFonts w:hint="eastAsia" w:ascii="Times New Roman" w:hAnsi="Times New Roman" w:cs="Times New Roman"/>
                <w:color w:val="auto"/>
                <w:sz w:val="24"/>
                <w:szCs w:val="22"/>
                <w:highlight w:val="none"/>
                <w:lang w:eastAsia="zh-CN"/>
              </w:rPr>
              <w:t>C3872照明灯具制造</w:t>
            </w:r>
            <w:r>
              <w:rPr>
                <w:rFonts w:hint="eastAsia" w:ascii="Times New Roman" w:hAnsi="Times New Roman" w:cs="Times New Roman"/>
                <w:color w:val="auto"/>
                <w:sz w:val="24"/>
                <w:szCs w:val="22"/>
                <w:highlight w:val="none"/>
                <w:lang w:val="en-US" w:eastAsia="zh-CN"/>
              </w:rPr>
              <w:t>项目</w:t>
            </w:r>
            <w:r>
              <w:rPr>
                <w:rFonts w:hint="default" w:ascii="Times New Roman" w:hAnsi="Times New Roman" w:cs="Times New Roman"/>
                <w:color w:val="auto"/>
                <w:sz w:val="24"/>
                <w:szCs w:val="22"/>
                <w:highlight w:val="none"/>
              </w:rPr>
              <w:t>，不属于</w:t>
            </w:r>
            <w:r>
              <w:rPr>
                <w:rFonts w:hint="eastAsia" w:ascii="Times New Roman" w:hAnsi="Times New Roman" w:cs="Times New Roman"/>
                <w:color w:val="auto"/>
                <w:sz w:val="24"/>
                <w:szCs w:val="22"/>
                <w:highlight w:val="none"/>
                <w:lang w:eastAsia="zh-CN"/>
              </w:rPr>
              <w:t>《产业结构调整指导目录(2019年本，2021年修改)》(国家发展和改革委员会令第29号，2021 年修改)</w:t>
            </w:r>
            <w:r>
              <w:rPr>
                <w:rFonts w:hint="default" w:ascii="Times New Roman" w:hAnsi="Times New Roman" w:cs="Times New Roman"/>
                <w:color w:val="auto"/>
                <w:sz w:val="24"/>
                <w:szCs w:val="22"/>
                <w:highlight w:val="none"/>
              </w:rPr>
              <w:t>中的鼓励类、限制类、淘汰类，为允许类。</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综上所述，本项目的建设符合国家</w:t>
            </w:r>
            <w:r>
              <w:rPr>
                <w:rFonts w:hint="eastAsia" w:ascii="Times New Roman" w:hAnsi="Times New Roman" w:cs="Times New Roman"/>
                <w:color w:val="auto"/>
                <w:sz w:val="24"/>
                <w:highlight w:val="none"/>
                <w:lang w:eastAsia="zh-CN"/>
              </w:rPr>
              <w:t>和地方</w:t>
            </w:r>
            <w:r>
              <w:rPr>
                <w:rFonts w:hint="default" w:ascii="Times New Roman" w:hAnsi="Times New Roman" w:cs="Times New Roman"/>
                <w:color w:val="auto"/>
                <w:sz w:val="24"/>
                <w:highlight w:val="none"/>
              </w:rPr>
              <w:t>产业政策。</w:t>
            </w:r>
          </w:p>
          <w:p>
            <w:pPr>
              <w:spacing w:line="360" w:lineRule="auto"/>
              <w:ind w:firstLine="482"/>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（二）“三线一单”符合性分析</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w:t>
            </w:r>
            <w:r>
              <w:rPr>
                <w:rFonts w:hint="eastAsia"/>
                <w:color w:val="000000" w:themeColor="text1"/>
                <w:sz w:val="24"/>
                <w:szCs w:val="24"/>
                <w14:textFill>
                  <w14:solidFill>
                    <w14:schemeClr w14:val="tx1"/>
                  </w14:solidFill>
                </w14:textFill>
              </w:rPr>
              <w:t>永州市经济开发区南部片区</w:t>
            </w:r>
            <w:r>
              <w:rPr>
                <w:color w:val="000000" w:themeColor="text1"/>
                <w:sz w:val="24"/>
                <w:szCs w:val="24"/>
                <w14:textFill>
                  <w14:solidFill>
                    <w14:schemeClr w14:val="tx1"/>
                  </w14:solidFill>
                </w14:textFill>
              </w:rPr>
              <w:t>，根据《湖南省人民政府关于实施“三线一单” 生态环境分区管控的意见》（湘政发〔2020〕12号），项目所在区属于重点管控单元管控单元。</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1、生态红线</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“生态保护红线”是生态空间范围内具有特殊重要生态功能必须实行强制性严格保护的区域。</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经核实，本项目拟建地为工业园内，不在生态红线范围内，符合生态红线要求。</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2、环境质量底线</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“环境质量底线”是国家和地方设置的大气、水和土壤环境质量目标，也是改善环境质量的基准线。</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永州市</w:t>
            </w:r>
            <w:r>
              <w:rPr>
                <w:color w:val="000000" w:themeColor="text1"/>
                <w:sz w:val="24"/>
                <w:szCs w:val="24"/>
                <w14:textFill>
                  <w14:solidFill>
                    <w14:schemeClr w14:val="tx1"/>
                  </w14:solidFill>
                </w14:textFill>
              </w:rPr>
              <w:t>2021年大气环境各常规因子达标，本项目建设符合环境质量底线要求的。</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3、资源利用上线</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资源是环境的载体，“资源利用上线”地区能源、水、土地等资源消耗不得突破的“天花板”。</w:t>
            </w:r>
          </w:p>
          <w:p>
            <w:pPr>
              <w:widowControl/>
              <w:spacing w:line="360" w:lineRule="auto"/>
              <w:ind w:firstLine="48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项目为</w:t>
            </w:r>
            <w:r>
              <w:rPr>
                <w:rFonts w:hint="default" w:ascii="Times New Roman" w:hAnsi="Times New Roman" w:cs="Times New Roman"/>
                <w:color w:val="auto"/>
                <w:sz w:val="24"/>
                <w:highlight w:val="none"/>
              </w:rPr>
              <w:t>照明灯具制造</w:t>
            </w:r>
            <w:r>
              <w:rPr>
                <w:color w:val="000000" w:themeColor="text1"/>
                <w:sz w:val="24"/>
                <w:szCs w:val="24"/>
                <w14:textFill>
                  <w14:solidFill>
                    <w14:schemeClr w14:val="tx1"/>
                  </w14:solidFill>
                </w14:textFill>
              </w:rPr>
              <w:t>项目，营运过程中消耗一</w:t>
            </w:r>
            <w:r>
              <w:rPr>
                <w:rFonts w:hint="eastAsia"/>
                <w:color w:val="000000" w:themeColor="text1"/>
                <w:sz w:val="24"/>
                <w:szCs w:val="24"/>
                <w14:textFill>
                  <w14:solidFill>
                    <w14:schemeClr w14:val="tx1"/>
                  </w14:solidFill>
                </w14:textFill>
              </w:rPr>
              <w:t>定</w:t>
            </w:r>
            <w:r>
              <w:rPr>
                <w:color w:val="000000" w:themeColor="text1"/>
                <w:sz w:val="24"/>
                <w:szCs w:val="24"/>
                <w14:textFill>
                  <w14:solidFill>
                    <w14:schemeClr w14:val="tx1"/>
                  </w14:solidFill>
                </w14:textFill>
              </w:rPr>
              <w:t>量的水资源、电资源，区域内生产和生活用水均使用自来水，能源主要依托当地电</w:t>
            </w:r>
            <w:r>
              <w:rPr>
                <w:color w:val="000000" w:themeColor="text1"/>
                <w:kern w:val="0"/>
                <w:sz w:val="24"/>
                <w:szCs w:val="24"/>
                <w14:textFill>
                  <w14:solidFill>
                    <w14:schemeClr w14:val="tx1"/>
                  </w14:solidFill>
                </w14:textFill>
              </w:rPr>
              <w:t>网供电，项目资源消耗相对区域资源利用总量较小。</w:t>
            </w:r>
            <w:r>
              <w:rPr>
                <w:color w:val="000000" w:themeColor="text1"/>
                <w:sz w:val="24"/>
                <w:szCs w:val="24"/>
                <w14:textFill>
                  <w14:solidFill>
                    <w14:schemeClr w14:val="tx1"/>
                  </w14:solidFill>
                </w14:textFill>
              </w:rPr>
              <w:t>租赁生产厂房，土地资源消耗符合要求。</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因此，项目资源利用满足要求。</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生态</w:t>
            </w:r>
            <w:r>
              <w:rPr>
                <w:color w:val="000000" w:themeColor="text1"/>
                <w:sz w:val="24"/>
                <w:szCs w:val="24"/>
                <w14:textFill>
                  <w14:solidFill>
                    <w14:schemeClr w14:val="tx1"/>
                  </w14:solidFill>
                </w14:textFill>
              </w:rPr>
              <w:t>环境准入清单</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w:t>
            </w:r>
            <w:r>
              <w:rPr>
                <w:rFonts w:hint="default" w:ascii="Times New Roman" w:hAnsi="Times New Roman" w:cs="Times New Roman"/>
                <w:color w:val="auto"/>
                <w:sz w:val="24"/>
                <w:highlight w:val="none"/>
              </w:rPr>
              <w:t>照明灯具制造</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不属于</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湖南省环境保护厅关于永州市经济开发区环境影响报告书</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中限制和禁止引进类企业</w:t>
            </w:r>
            <w:r>
              <w:rPr>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5、与《湖南省“ 三线一单” 生态环境总体管控要求暨省级以上产业园区生态环境准入清单》相符性分析</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本项目位于</w:t>
            </w:r>
            <w:r>
              <w:rPr>
                <w:rFonts w:hint="eastAsia"/>
                <w:color w:val="000000" w:themeColor="text1"/>
                <w:sz w:val="24"/>
                <w:szCs w:val="24"/>
                <w14:textFill>
                  <w14:solidFill>
                    <w14:schemeClr w14:val="tx1"/>
                  </w14:solidFill>
                </w14:textFill>
              </w:rPr>
              <w:t>永州市经济开发区南部片区</w:t>
            </w:r>
            <w:r>
              <w:rPr>
                <w:color w:val="000000" w:themeColor="text1"/>
                <w:sz w:val="24"/>
                <w:szCs w:val="24"/>
                <w14:textFill>
                  <w14:solidFill>
                    <w14:schemeClr w14:val="tx1"/>
                  </w14:solidFill>
                </w14:textFill>
              </w:rPr>
              <w:t>，与《湖南省“ 三线一单” 生态环境总体管控要求暨省级以上产业园区生态环境准入清单》中十一、永州市产业园区生态环境准入清单-11-</w:t>
            </w:r>
            <w:r>
              <w:rPr>
                <w:rFonts w:hint="eastAsia"/>
                <w:color w:val="000000" w:themeColor="text1"/>
                <w:sz w:val="24"/>
                <w:szCs w:val="24"/>
                <w14:textFill>
                  <w14:solidFill>
                    <w14:schemeClr w14:val="tx1"/>
                  </w14:solidFill>
                </w14:textFill>
              </w:rPr>
              <w:t>2永州经济技术开发区</w:t>
            </w:r>
            <w:r>
              <w:rPr>
                <w:color w:val="000000" w:themeColor="text1"/>
                <w:sz w:val="24"/>
                <w:szCs w:val="24"/>
                <w14:textFill>
                  <w14:solidFill>
                    <w14:schemeClr w14:val="tx1"/>
                  </w14:solidFill>
                </w14:textFill>
              </w:rPr>
              <w:t>相符性分析如下：</w:t>
            </w:r>
          </w:p>
          <w:p>
            <w:pPr>
              <w:pStyle w:val="2"/>
              <w:ind w:firstLine="482"/>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表1-</w:t>
            </w:r>
            <w:r>
              <w:rPr>
                <w:rFonts w:hint="eastAsia"/>
                <w:b/>
                <w:bCs/>
                <w:color w:val="000000" w:themeColor="text1"/>
                <w:sz w:val="24"/>
                <w:szCs w:val="24"/>
                <w:lang w:val="en-US" w:eastAsia="zh-CN"/>
                <w14:textFill>
                  <w14:solidFill>
                    <w14:schemeClr w14:val="tx1"/>
                  </w14:solidFill>
                </w14:textFill>
              </w:rPr>
              <w:t>2</w:t>
            </w:r>
            <w:r>
              <w:rPr>
                <w:b/>
                <w:bCs/>
                <w:color w:val="000000" w:themeColor="text1"/>
                <w:sz w:val="24"/>
                <w:szCs w:val="24"/>
                <w14:textFill>
                  <w14:solidFill>
                    <w14:schemeClr w14:val="tx1"/>
                  </w14:solidFill>
                </w14:textFill>
              </w:rPr>
              <w:t xml:space="preserve">   项目与</w:t>
            </w:r>
            <w:r>
              <w:rPr>
                <w:rFonts w:hint="eastAsia"/>
                <w:b/>
                <w:bCs/>
                <w:color w:val="000000" w:themeColor="text1"/>
                <w:sz w:val="24"/>
                <w:szCs w:val="24"/>
                <w14:textFill>
                  <w14:solidFill>
                    <w14:schemeClr w14:val="tx1"/>
                  </w14:solidFill>
                </w14:textFill>
              </w:rPr>
              <w:t>永州经济技术开发区</w:t>
            </w:r>
            <w:r>
              <w:rPr>
                <w:b/>
                <w:bCs/>
                <w:color w:val="000000" w:themeColor="text1"/>
                <w:sz w:val="24"/>
                <w:szCs w:val="24"/>
                <w14:textFill>
                  <w14:solidFill>
                    <w14:schemeClr w14:val="tx1"/>
                  </w14:solidFill>
                </w14:textFill>
              </w:rPr>
              <w:t>相符性分析</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31"/>
              <w:gridCol w:w="332"/>
              <w:gridCol w:w="319"/>
              <w:gridCol w:w="349"/>
              <w:gridCol w:w="403"/>
              <w:gridCol w:w="666"/>
              <w:gridCol w:w="820"/>
              <w:gridCol w:w="374"/>
              <w:gridCol w:w="1605"/>
              <w:gridCol w:w="1435"/>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环境管控</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单元编码</w:t>
                  </w:r>
                </w:p>
              </w:tc>
              <w:tc>
                <w:tcPr>
                  <w:tcW w:w="222"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单元名称</w:t>
                  </w:r>
                </w:p>
              </w:tc>
              <w:tc>
                <w:tcPr>
                  <w:tcW w:w="668" w:type="pct"/>
                  <w:gridSpan w:val="3"/>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行政</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区划</w:t>
                  </w:r>
                </w:p>
              </w:tc>
              <w:tc>
                <w:tcPr>
                  <w:tcW w:w="269"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单元分类</w:t>
                  </w:r>
                </w:p>
              </w:tc>
              <w:tc>
                <w:tcPr>
                  <w:tcW w:w="445"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单元面积</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(km</w:t>
                  </w:r>
                  <w:r>
                    <w:rPr>
                      <w:b/>
                      <w:bCs/>
                      <w:color w:val="000000" w:themeColor="text1"/>
                      <w:sz w:val="21"/>
                      <w:szCs w:val="21"/>
                      <w:vertAlign w:val="superscript"/>
                      <w14:textFill>
                        <w14:solidFill>
                          <w14:schemeClr w14:val="tx1"/>
                        </w14:solidFill>
                      </w14:textFill>
                    </w:rPr>
                    <w:t>2</w:t>
                  </w:r>
                  <w:r>
                    <w:rPr>
                      <w:b/>
                      <w:bCs/>
                      <w:color w:val="000000" w:themeColor="text1"/>
                      <w:sz w:val="21"/>
                      <w:szCs w:val="21"/>
                      <w14:textFill>
                        <w14:solidFill>
                          <w14:schemeClr w14:val="tx1"/>
                        </w14:solidFill>
                      </w14:textFill>
                    </w:rPr>
                    <w:t>)</w:t>
                  </w:r>
                </w:p>
              </w:tc>
              <w:tc>
                <w:tcPr>
                  <w:tcW w:w="54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涉及乡镇</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（街道）</w:t>
                  </w:r>
                </w:p>
              </w:tc>
              <w:tc>
                <w:tcPr>
                  <w:tcW w:w="250"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区域主体功能定位</w:t>
                  </w:r>
                </w:p>
              </w:tc>
              <w:tc>
                <w:tcPr>
                  <w:tcW w:w="106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主导产业</w:t>
                  </w:r>
                </w:p>
              </w:tc>
              <w:tc>
                <w:tcPr>
                  <w:tcW w:w="1287" w:type="pct"/>
                  <w:gridSpan w:val="2"/>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8"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省</w:t>
                  </w:r>
                </w:p>
              </w:tc>
              <w:tc>
                <w:tcPr>
                  <w:tcW w:w="213"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市</w:t>
                  </w:r>
                </w:p>
              </w:tc>
              <w:tc>
                <w:tcPr>
                  <w:tcW w:w="23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县</w:t>
                  </w:r>
                </w:p>
              </w:tc>
              <w:tc>
                <w:tcPr>
                  <w:tcW w:w="269"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45"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54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5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06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287" w:type="pct"/>
                  <w:gridSpan w:val="2"/>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ZH43110320002</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永州经济技术开发区</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w:t>
                  </w:r>
                </w:p>
              </w:tc>
              <w:tc>
                <w:tcPr>
                  <w:tcW w:w="213"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永州市</w:t>
                  </w:r>
                </w:p>
              </w:tc>
              <w:tc>
                <w:tcPr>
                  <w:tcW w:w="232"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冷水滩区</w:t>
                  </w:r>
                </w:p>
              </w:tc>
              <w:tc>
                <w:tcPr>
                  <w:tcW w:w="269"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单元</w:t>
                  </w:r>
                </w:p>
              </w:tc>
              <w:tc>
                <w:tcPr>
                  <w:tcW w:w="445"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核准范围：13.0438</w:t>
                  </w:r>
                </w:p>
              </w:tc>
              <w:tc>
                <w:tcPr>
                  <w:tcW w:w="5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核准范围（一区两</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 ：北部片区涉及高溪</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市镇、凤凰</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街道、珊瑚</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街道、梧桐</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街道；南部</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片区涉及仁湾街道</w:t>
                  </w:r>
                </w:p>
              </w:tc>
              <w:tc>
                <w:tcPr>
                  <w:tcW w:w="25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省级重点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开发区域</w:t>
                  </w:r>
                </w:p>
              </w:tc>
              <w:tc>
                <w:tcPr>
                  <w:tcW w:w="106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湘环评[2013]306  号：北部片区主要发展民族制药、特色食品、电子信息、商贸物流等产业； 南部片区主要发展先进装备制造、电子信息、商贸物流等产业；湘发改函[2016]211号：新扩区域主要布局发展汽车零部件、先进制造业、农副</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产品食品加工、电子信息等产业；六部委公告2018年第4号：零部件、食品、医药。</w:t>
                  </w:r>
                </w:p>
              </w:tc>
              <w:tc>
                <w:tcPr>
                  <w:tcW w:w="1287" w:type="pct"/>
                  <w:gridSpan w:val="2"/>
                  <w:noWrap w:val="0"/>
                  <w:vAlign w:val="center"/>
                </w:tcPr>
                <w:p>
                  <w:pPr>
                    <w:spacing w:line="240" w:lineRule="auto"/>
                    <w:ind w:firstLine="0" w:firstLineChars="0"/>
                    <w:jc w:val="center"/>
                    <w:rPr>
                      <w:color w:val="auto"/>
                      <w:sz w:val="21"/>
                      <w:szCs w:val="21"/>
                    </w:rPr>
                  </w:pPr>
                  <w:r>
                    <w:rPr>
                      <w:color w:val="auto"/>
                      <w:sz w:val="21"/>
                      <w:szCs w:val="21"/>
                    </w:rPr>
                    <w:t>1.南部片区生物医药专用污水处理厂尚在建设，医药残渣堆存问题也有待解决。</w:t>
                  </w:r>
                </w:p>
                <w:p>
                  <w:pPr>
                    <w:spacing w:line="240" w:lineRule="auto"/>
                    <w:ind w:firstLine="0" w:firstLineChars="0"/>
                    <w:jc w:val="center"/>
                    <w:rPr>
                      <w:color w:val="auto"/>
                      <w:sz w:val="21"/>
                      <w:szCs w:val="21"/>
                    </w:rPr>
                  </w:pPr>
                  <w:r>
                    <w:rPr>
                      <w:color w:val="auto"/>
                      <w:sz w:val="21"/>
                      <w:szCs w:val="21"/>
                    </w:rPr>
                    <w:t>2.开发区北片区（核准范围）距冷水滩湘江省级湿地公园较近（东面距湿地公园在湘江干流上的边界约 1.8km，北面距湘江一级支流芦洪市河上的边界约600m）。</w:t>
                  </w:r>
                </w:p>
                <w:p>
                  <w:pPr>
                    <w:spacing w:line="240" w:lineRule="auto"/>
                    <w:ind w:firstLine="0" w:firstLineChars="0"/>
                    <w:jc w:val="center"/>
                    <w:rPr>
                      <w:color w:val="0000FF"/>
                      <w:sz w:val="21"/>
                      <w:szCs w:val="21"/>
                    </w:rPr>
                  </w:pPr>
                  <w:r>
                    <w:rPr>
                      <w:color w:val="auto"/>
                      <w:sz w:val="21"/>
                      <w:szCs w:val="21"/>
                    </w:rPr>
                    <w:t>3.南片区紧邻湘江干流及冷水滩湘江省级湿地公园（合理利用区）、冷水滩湘江饮用水水源保护区，部分片区位于湘江干流1km范围内。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管控维度</w:t>
                  </w:r>
                </w:p>
              </w:tc>
              <w:tc>
                <w:tcPr>
                  <w:tcW w:w="3474" w:type="pct"/>
                  <w:gridSpan w:val="9"/>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管控要求</w:t>
                  </w:r>
                </w:p>
              </w:tc>
              <w:tc>
                <w:tcPr>
                  <w:tcW w:w="959"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本项目情况</w:t>
                  </w:r>
                </w:p>
              </w:tc>
              <w:tc>
                <w:tcPr>
                  <w:tcW w:w="32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空间布局</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约束</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（1.1）禁止新引进三类工业以及线路板、电镀等排水涉重金属或持久性污染物的企业。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（1.2）严格限制水型污染企业进入；在拟发展的食品加工业中限制饮料、发酵型生产方式等耗水型生产项目，生物制药产业中限制原料药、化学合成药生产等水型污染复杂企业。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（1.3）北部片区：禁止引进气型污染企业。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（1.4）长丰大道与珍珠南路交汇处布置的居住用地同南甸路与仁湾路交汇处南部的二类工业用地功能互换，交通干线两侧一定距离内不得设置对噪声敏感的建筑物。</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（1.5）对不符合产业定位和产业布局要求、现已停产的零陵新型耐火材料厂等限期退出经开区，对其他不符合产业定位或产业布局要求的企业在现址不得扩大规模，适时调整至适宜的规划区。</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（1.6）湘江干流岸线1公里范围内不准新增化工园区和化工项目。</w:t>
                  </w:r>
                </w:p>
              </w:tc>
              <w:tc>
                <w:tcPr>
                  <w:tcW w:w="959" w:type="pct"/>
                  <w:noWrap w:val="0"/>
                  <w:vAlign w:val="center"/>
                </w:tcPr>
                <w:p>
                  <w:pPr>
                    <w:pStyle w:val="89"/>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1.本项目位于南部片区，为</w:t>
                  </w:r>
                  <w:r>
                    <w:rPr>
                      <w:rFonts w:hint="default" w:ascii="Times New Roman" w:hAnsi="Times New Roman" w:cs="Times New Roman"/>
                      <w:color w:val="000000" w:themeColor="text1"/>
                      <w:sz w:val="24"/>
                      <w:szCs w:val="24"/>
                      <w:highlight w:val="none"/>
                      <w14:textFill>
                        <w14:solidFill>
                          <w14:schemeClr w14:val="tx1"/>
                        </w14:solidFill>
                      </w14:textFill>
                    </w:rPr>
                    <w:t>照明灯具制造</w:t>
                  </w:r>
                  <w:r>
                    <w:rPr>
                      <w:rFonts w:hint="eastAsia"/>
                      <w:color w:val="000000" w:themeColor="text1"/>
                      <w:kern w:val="2"/>
                      <w:sz w:val="21"/>
                      <w:szCs w:val="21"/>
                      <w14:textFill>
                        <w14:solidFill>
                          <w14:schemeClr w14:val="tx1"/>
                        </w14:solidFill>
                      </w14:textFill>
                    </w:rPr>
                    <w:t>生产项目，不属于</w:t>
                  </w:r>
                  <w:r>
                    <w:rPr>
                      <w:rFonts w:hint="eastAsia"/>
                      <w:color w:val="000000" w:themeColor="text1"/>
                      <w:sz w:val="21"/>
                      <w:szCs w:val="21"/>
                      <w14:textFill>
                        <w14:solidFill>
                          <w14:schemeClr w14:val="tx1"/>
                        </w14:solidFill>
                      </w14:textFill>
                    </w:rPr>
                    <w:t>三类工业以及线路板、电镀等排水涉重金属或持久性污染物的企业。</w:t>
                  </w:r>
                </w:p>
                <w:p>
                  <w:pPr>
                    <w:pStyle w:val="89"/>
                    <w:jc w:val="both"/>
                    <w:rPr>
                      <w:color w:val="000000" w:themeColor="text1"/>
                      <w:kern w:val="2"/>
                      <w:sz w:val="21"/>
                      <w:szCs w:val="21"/>
                      <w14:textFill>
                        <w14:solidFill>
                          <w14:schemeClr w14:val="tx1"/>
                        </w14:solidFill>
                      </w14:textFill>
                    </w:rPr>
                  </w:pP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污染物排</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放管控</w:t>
                  </w:r>
                </w:p>
              </w:tc>
              <w:tc>
                <w:tcPr>
                  <w:tcW w:w="3474" w:type="pct"/>
                  <w:gridSpan w:val="9"/>
                  <w:noWrap w:val="0"/>
                  <w:vAlign w:val="center"/>
                </w:tcPr>
                <w:p>
                  <w:pPr>
                    <w:spacing w:line="240" w:lineRule="auto"/>
                    <w:ind w:firstLine="0" w:firstLineChars="0"/>
                    <w:jc w:val="left"/>
                    <w:rPr>
                      <w:color w:val="auto"/>
                      <w:sz w:val="21"/>
                      <w:szCs w:val="21"/>
                    </w:rPr>
                  </w:pPr>
                  <w:r>
                    <w:rPr>
                      <w:rFonts w:hint="eastAsia"/>
                      <w:color w:val="auto"/>
                      <w:sz w:val="21"/>
                      <w:szCs w:val="21"/>
                    </w:rPr>
                    <w:t>（2.1）废水：经开区排水实施雨污分流，雨水排入湘江。</w:t>
                  </w:r>
                </w:p>
                <w:p>
                  <w:pPr>
                    <w:spacing w:line="240" w:lineRule="auto"/>
                    <w:ind w:firstLine="0" w:firstLineChars="0"/>
                    <w:jc w:val="left"/>
                    <w:rPr>
                      <w:color w:val="auto"/>
                      <w:sz w:val="21"/>
                      <w:szCs w:val="21"/>
                    </w:rPr>
                  </w:pPr>
                  <w:r>
                    <w:rPr>
                      <w:rFonts w:hint="eastAsia"/>
                      <w:color w:val="auto"/>
                      <w:sz w:val="21"/>
                      <w:szCs w:val="21"/>
                    </w:rPr>
                    <w:t>北部片区：加快北部片区工业污水处理厂建设，北部片区现有废污水经处理后纳入下河线污水处理厂进一步处理达标后排入湘江；</w:t>
                  </w:r>
                </w:p>
                <w:p>
                  <w:pPr>
                    <w:spacing w:line="240" w:lineRule="auto"/>
                    <w:ind w:firstLine="0" w:firstLineChars="0"/>
                    <w:jc w:val="left"/>
                    <w:rPr>
                      <w:color w:val="auto"/>
                      <w:sz w:val="21"/>
                      <w:szCs w:val="21"/>
                    </w:rPr>
                  </w:pPr>
                  <w:r>
                    <w:rPr>
                      <w:rFonts w:hint="eastAsia"/>
                      <w:color w:val="auto"/>
                      <w:sz w:val="21"/>
                      <w:szCs w:val="21"/>
                    </w:rPr>
                    <w:t>南部片区：加快建设片区生物医药污水处理厂建设，废污水经处理后进入城镇污水处理厂，进一步处理达标后排入湘江。</w:t>
                  </w:r>
                </w:p>
                <w:p>
                  <w:pPr>
                    <w:spacing w:line="240" w:lineRule="auto"/>
                    <w:ind w:firstLine="0" w:firstLineChars="0"/>
                    <w:jc w:val="left"/>
                    <w:rPr>
                      <w:color w:val="auto"/>
                      <w:sz w:val="21"/>
                      <w:szCs w:val="21"/>
                    </w:rPr>
                  </w:pPr>
                  <w:r>
                    <w:rPr>
                      <w:rFonts w:hint="eastAsia"/>
                      <w:color w:val="auto"/>
                      <w:sz w:val="21"/>
                      <w:szCs w:val="21"/>
                    </w:rPr>
                    <w:t>（2.2）废气：</w:t>
                  </w:r>
                </w:p>
                <w:p>
                  <w:pPr>
                    <w:spacing w:line="240" w:lineRule="auto"/>
                    <w:ind w:firstLine="0" w:firstLineChars="0"/>
                    <w:jc w:val="left"/>
                    <w:rPr>
                      <w:color w:val="auto"/>
                      <w:sz w:val="21"/>
                      <w:szCs w:val="21"/>
                    </w:rPr>
                  </w:pPr>
                  <w:r>
                    <w:rPr>
                      <w:rFonts w:hint="eastAsia"/>
                      <w:color w:val="auto"/>
                      <w:sz w:val="21"/>
                      <w:szCs w:val="21"/>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spacing w:line="240" w:lineRule="auto"/>
                    <w:ind w:firstLine="0" w:firstLineChars="0"/>
                    <w:jc w:val="left"/>
                    <w:rPr>
                      <w:color w:val="auto"/>
                      <w:sz w:val="21"/>
                      <w:szCs w:val="21"/>
                    </w:rPr>
                  </w:pPr>
                  <w:r>
                    <w:rPr>
                      <w:rFonts w:hint="eastAsia"/>
                      <w:color w:val="auto"/>
                      <w:sz w:val="21"/>
                      <w:szCs w:val="21"/>
                    </w:rPr>
                    <w:t>（2.2.2）全面推进生物医药、机械制造等工业VOCs综合治理，建立VOCs排放清单信息库，完善企业一企一档制度。加强园区废气特别是有毒有害及恶臭气体的收集和处理，严格控制VOCs的排放。</w:t>
                  </w:r>
                </w:p>
                <w:p>
                  <w:pPr>
                    <w:spacing w:line="240" w:lineRule="auto"/>
                    <w:ind w:firstLine="0" w:firstLineChars="0"/>
                    <w:jc w:val="left"/>
                    <w:rPr>
                      <w:color w:val="auto"/>
                      <w:sz w:val="21"/>
                      <w:szCs w:val="21"/>
                    </w:rPr>
                  </w:pPr>
                  <w:r>
                    <w:rPr>
                      <w:rFonts w:hint="eastAsia"/>
                      <w:color w:val="auto"/>
                      <w:sz w:val="21"/>
                      <w:szCs w:val="21"/>
                    </w:rPr>
                    <w:t>（2.2.3）对能耗和污染物排放量相对较大的企业如铜制品、铝制品等企业安装空气在线自动监控系统，对治理设施进行有效监控。</w:t>
                  </w:r>
                </w:p>
                <w:p>
                  <w:pPr>
                    <w:spacing w:line="240" w:lineRule="auto"/>
                    <w:ind w:firstLine="0" w:firstLineChars="0"/>
                    <w:jc w:val="left"/>
                    <w:rPr>
                      <w:color w:val="auto"/>
                      <w:sz w:val="21"/>
                      <w:szCs w:val="21"/>
                    </w:rPr>
                  </w:pPr>
                  <w:r>
                    <w:rPr>
                      <w:rFonts w:hint="eastAsia"/>
                      <w:color w:val="auto"/>
                      <w:sz w:val="21"/>
                      <w:szCs w:val="21"/>
                    </w:rPr>
                    <w:t>（2.2.4）园区内有色金属等行业及涉锅炉大气污染物排放应满足《湖南省生态环境厅关于执行污染物特别排放限值（第一批）的公告》中的要求。</w:t>
                  </w:r>
                </w:p>
                <w:p>
                  <w:pPr>
                    <w:spacing w:line="240" w:lineRule="auto"/>
                    <w:ind w:firstLine="0" w:firstLineChars="0"/>
                    <w:jc w:val="left"/>
                    <w:rPr>
                      <w:color w:val="auto"/>
                      <w:sz w:val="21"/>
                      <w:szCs w:val="21"/>
                    </w:rPr>
                  </w:pPr>
                  <w:r>
                    <w:rPr>
                      <w:rFonts w:hint="eastAsia"/>
                      <w:color w:val="auto"/>
                      <w:sz w:val="21"/>
                      <w:szCs w:val="21"/>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959" w:type="pct"/>
                  <w:noWrap w:val="0"/>
                  <w:vAlign w:val="center"/>
                </w:tcPr>
                <w:p>
                  <w:pPr>
                    <w:pStyle w:val="89"/>
                    <w:jc w:val="both"/>
                    <w:rPr>
                      <w:color w:val="auto"/>
                      <w:kern w:val="2"/>
                      <w:sz w:val="21"/>
                      <w:szCs w:val="21"/>
                    </w:rPr>
                  </w:pPr>
                  <w:r>
                    <w:rPr>
                      <w:rFonts w:hint="eastAsia"/>
                      <w:color w:val="auto"/>
                      <w:kern w:val="2"/>
                      <w:sz w:val="21"/>
                      <w:szCs w:val="21"/>
                    </w:rPr>
                    <w:t>1、废水：本项目生活污水经化粪池处理后排入市政管网最终进入下河线污水处理厂进一步处理达标后排入湘江。</w:t>
                  </w:r>
                </w:p>
                <w:p>
                  <w:pPr>
                    <w:pStyle w:val="89"/>
                    <w:jc w:val="both"/>
                    <w:rPr>
                      <w:color w:val="auto"/>
                      <w:kern w:val="2"/>
                      <w:sz w:val="21"/>
                      <w:szCs w:val="21"/>
                    </w:rPr>
                  </w:pPr>
                  <w:r>
                    <w:rPr>
                      <w:rFonts w:hint="eastAsia"/>
                      <w:color w:val="auto"/>
                      <w:kern w:val="2"/>
                      <w:sz w:val="21"/>
                      <w:szCs w:val="21"/>
                    </w:rPr>
                    <w:t>2、废气：本项目配置了废气收集与处理净化装置，厂区废气做到达标排放。</w:t>
                  </w:r>
                </w:p>
                <w:p>
                  <w:pPr>
                    <w:pStyle w:val="89"/>
                    <w:jc w:val="both"/>
                    <w:rPr>
                      <w:color w:val="auto"/>
                      <w:kern w:val="2"/>
                      <w:sz w:val="21"/>
                      <w:szCs w:val="21"/>
                    </w:rPr>
                  </w:pPr>
                  <w:r>
                    <w:rPr>
                      <w:rFonts w:hint="eastAsia"/>
                      <w:color w:val="auto"/>
                      <w:kern w:val="2"/>
                      <w:sz w:val="21"/>
                      <w:szCs w:val="21"/>
                    </w:rPr>
                    <w:t>3、固废：本项目固体废物和生活垃圾的分类收集，危险固废应按国家有关规定综合利用或妥善处置。</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环境风险</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防控</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经开区应建立健全环境风险防控体系，组织严格落实《永州经济技术开发区突发环境事件应急预案》的相关要求，加强环境风险事故防范和应急管理。应特别关注对重点环境风险防控企业的监管，强化对环境风险物质泄漏、废水废气非正常排放、消防废水外排等环境风险的防控。</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（3.3）排放重点污染物的建设项目，在开展环境影响评价时，要严格落实对土壤环境影响的评价内容，并提出防范土壤污染的具体措施。</w:t>
                  </w:r>
                </w:p>
              </w:tc>
              <w:tc>
                <w:tcPr>
                  <w:tcW w:w="959" w:type="pct"/>
                  <w:noWrap w:val="0"/>
                  <w:vAlign w:val="center"/>
                </w:tcPr>
                <w:p>
                  <w:pPr>
                    <w:pStyle w:val="89"/>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本项目已在环评中落实对土壤环境影响的评价内容，并提出防范土壤污染的具体措施。</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资源开发</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效率要求</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（4.1）能源：</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（4.1.1）经开区位于永州市人民政府划定的高污染燃料禁燃区内，严格执行禁燃区有关要求。经开区内不得燃用中、高硫煤；积极推广清洁能源，北部片区实施集中供热，南部片区加快集中供热设施建设。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959" w:type="pct"/>
                  <w:noWrap w:val="0"/>
                  <w:vAlign w:val="center"/>
                </w:tcPr>
                <w:p>
                  <w:pPr>
                    <w:pStyle w:val="8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r>
                    <w:rPr>
                      <w:rFonts w:hint="eastAsia" w:ascii="宋体" w:hAnsi="宋体" w:cs="宋体"/>
                      <w:color w:val="000000" w:themeColor="text1"/>
                      <w:sz w:val="21"/>
                      <w:szCs w:val="21"/>
                      <w14:textFill>
                        <w14:solidFill>
                          <w14:schemeClr w14:val="tx1"/>
                        </w14:solidFill>
                      </w14:textFill>
                    </w:rPr>
                    <w:t>中、高硫煤的使用</w:t>
                  </w:r>
                  <w:r>
                    <w:rPr>
                      <w:rFonts w:hint="eastAsia"/>
                      <w:color w:val="000000" w:themeColor="text1"/>
                      <w:sz w:val="21"/>
                      <w:szCs w:val="21"/>
                      <w14:textFill>
                        <w14:solidFill>
                          <w14:schemeClr w14:val="tx1"/>
                        </w14:solidFill>
                      </w14:textFill>
                    </w:rPr>
                    <w:t>；本项目已落实提高</w:t>
                  </w:r>
                  <w:r>
                    <w:rPr>
                      <w:rFonts w:hint="eastAsia" w:ascii="宋体" w:hAnsi="宋体" w:cs="宋体"/>
                      <w:color w:val="000000" w:themeColor="text1"/>
                      <w:sz w:val="21"/>
                      <w:szCs w:val="21"/>
                      <w14:textFill>
                        <w14:solidFill>
                          <w14:schemeClr w14:val="tx1"/>
                        </w14:solidFill>
                      </w14:textFill>
                    </w:rPr>
                    <w:t>水资源重复利用率，且落实了提高土地利用率。</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bl>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综上分析，本项目属于</w:t>
            </w:r>
            <w:r>
              <w:rPr>
                <w:rFonts w:hint="default"/>
                <w:color w:val="000000" w:themeColor="text1"/>
                <w:sz w:val="24"/>
                <w:szCs w:val="24"/>
                <w14:textFill>
                  <w14:solidFill>
                    <w14:schemeClr w14:val="tx1"/>
                  </w14:solidFill>
                </w14:textFill>
              </w:rPr>
              <w:t>照</w:t>
            </w:r>
            <w:r>
              <w:rPr>
                <w:rFonts w:hint="default" w:ascii="Times New Roman" w:hAnsi="Times New Roman" w:cs="Times New Roman"/>
                <w:color w:val="auto"/>
                <w:sz w:val="24"/>
                <w:highlight w:val="none"/>
              </w:rPr>
              <w:t>明灯具制造</w:t>
            </w:r>
            <w:r>
              <w:rPr>
                <w:color w:val="000000" w:themeColor="text1"/>
                <w:sz w:val="24"/>
                <w:szCs w:val="24"/>
                <w14:textFill>
                  <w14:solidFill>
                    <w14:schemeClr w14:val="tx1"/>
                  </w14:solidFill>
                </w14:textFill>
              </w:rPr>
              <w:t>，不属于环境管控单元禁止引进的企业类型，不属于三类企业项目；因此本项目符合《湖南省“ 三线一单” 生态环境总体管控要求暨省级以上产业园区生态环境准入清单》中十一、永州市产业园区生态环境准入清单-11-</w:t>
            </w:r>
            <w:r>
              <w:rPr>
                <w:rFonts w:hint="eastAsia"/>
                <w:color w:val="000000" w:themeColor="text1"/>
                <w:sz w:val="24"/>
                <w:szCs w:val="24"/>
                <w14:textFill>
                  <w14:solidFill>
                    <w14:schemeClr w14:val="tx1"/>
                  </w14:solidFill>
                </w14:textFill>
              </w:rPr>
              <w:t>2永州经济技术开发区</w:t>
            </w:r>
            <w:r>
              <w:rPr>
                <w:color w:val="000000" w:themeColor="text1"/>
                <w:sz w:val="24"/>
                <w:szCs w:val="24"/>
                <w14:textFill>
                  <w14:solidFill>
                    <w14:schemeClr w14:val="tx1"/>
                  </w14:solidFill>
                </w14:textFill>
              </w:rPr>
              <w:t>相关要求。</w:t>
            </w:r>
          </w:p>
          <w:p>
            <w:pPr>
              <w:spacing w:line="360" w:lineRule="auto"/>
              <w:ind w:firstLine="482"/>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（三）相关规划符合性分析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与大气污染防治相关文件符合性分析。</w:t>
            </w:r>
          </w:p>
          <w:p>
            <w:pPr>
              <w:pStyle w:val="2"/>
              <w:spacing w:line="360" w:lineRule="auto"/>
              <w:ind w:firstLine="482"/>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表1-3  与大气污染防治相关法律法规符合性分析</w:t>
            </w:r>
          </w:p>
          <w:tbl>
            <w:tblPr>
              <w:tblStyle w:val="2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1"/>
              <w:gridCol w:w="1322"/>
              <w:gridCol w:w="3078"/>
              <w:gridCol w:w="1930"/>
              <w:gridCol w:w="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规划名称</w:t>
                  </w:r>
                </w:p>
              </w:tc>
              <w:tc>
                <w:tcPr>
                  <w:tcW w:w="2057"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《十三五挥发性有机物污染防治工作方案》环大气[2017]121号）</w:t>
                  </w:r>
                </w:p>
              </w:tc>
              <w:tc>
                <w:tcPr>
                  <w:tcW w:w="2057"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重点地区要严格限制石化、化工、包装印刷、工业涂装等高 VOCs 排放建设项目。 </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本项目不属于高有机废气排放建设项目</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8"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884"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关于印发《重点行业挥发性有机物综合治理方案》的通知 环大气[2019]53号）</w:t>
                  </w:r>
                </w:p>
                <w:p>
                  <w:pPr>
                    <w:spacing w:line="240" w:lineRule="auto"/>
                    <w:ind w:firstLine="0" w:firstLineChars="0"/>
                    <w:jc w:val="left"/>
                    <w:rPr>
                      <w:color w:val="000000" w:themeColor="text1"/>
                      <w:sz w:val="21"/>
                      <w:szCs w:val="21"/>
                      <w14:textFill>
                        <w14:solidFill>
                          <w14:schemeClr w14:val="tx1"/>
                        </w14:solidFill>
                      </w14:textFill>
                    </w:rPr>
                  </w:pPr>
                </w:p>
              </w:tc>
              <w:tc>
                <w:tcPr>
                  <w:tcW w:w="2057"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加强政策引导。企业采用符合国家有关低VOCs含量产品规定的涂料、油墨、胶粘剂等</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排放浓度稳定达标且排放速率、排放绩效等满足相关规定的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相应生产工序可不要求建设末端治理设施。使用的原辅材料VOCs含量(质量比)低于10%的工序</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可不要求采取无组织排放收集措施。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本项目产生的有机废气量较小，且企业采用的是符合国家有关低有机废气含量产品</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湖南省挥发性有机物污染防治三年行动实施方案</w:t>
                  </w:r>
                </w:p>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( 2018-2020年)</w:t>
                  </w:r>
                </w:p>
                <w:p>
                  <w:pPr>
                    <w:spacing w:line="240" w:lineRule="auto"/>
                    <w:ind w:firstLine="0" w:firstLineChars="0"/>
                    <w:jc w:val="left"/>
                    <w:rPr>
                      <w:color w:val="000000" w:themeColor="text1"/>
                      <w:sz w:val="21"/>
                      <w:szCs w:val="21"/>
                      <w14:textFill>
                        <w14:solidFill>
                          <w14:schemeClr w14:val="tx1"/>
                        </w14:solidFill>
                      </w14:textFill>
                    </w:rPr>
                  </w:pPr>
                </w:p>
              </w:tc>
              <w:tc>
                <w:tcPr>
                  <w:tcW w:w="2057"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快淘汰落后产能。严格执行VOCs重点行业相关产业政策，全面落实国家及我省有关产业准入标准、淘汰落后生产工艺装备和产品指导目录，优先将VOCs排放类落后产能纳入各地产业结构调整计划，加快淘汰落后产品、技术和工艺装备。坚决关闭能耗超标、污染物排放超标且治理无望的企业和生产线，逐年淘汰一批污染物排放强度大、 产品附加值低、环境信访多的落后产能。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本项目生产工艺装备不属于淘汰落后及限制类</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spacing w:line="360" w:lineRule="auto"/>
              <w:ind w:left="0" w:leftChars="0" w:firstLine="480" w:firstLineChars="200"/>
              <w:jc w:val="both"/>
              <w:rPr>
                <w:rFonts w:hint="eastAsia"/>
                <w:color w:val="auto"/>
                <w:sz w:val="24"/>
                <w:szCs w:val="24"/>
              </w:rPr>
            </w:pPr>
            <w:r>
              <w:rPr>
                <w:rFonts w:hint="eastAsia"/>
                <w:color w:val="auto"/>
                <w:sz w:val="24"/>
                <w:szCs w:val="24"/>
              </w:rPr>
              <w:t>2、与《 挥 发 性 有 机 物 无 组 织 排 放 控 制 标 准 》（GB37822-2019）相符性分析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与《</w:t>
            </w:r>
            <w:r>
              <w:rPr>
                <w:rFonts w:hint="eastAsia" w:ascii="宋体" w:hAnsi="宋体" w:cs="宋体"/>
                <w:color w:val="000000" w:themeColor="text1"/>
                <w:sz w:val="24"/>
                <w:szCs w:val="24"/>
                <w14:textFill>
                  <w14:solidFill>
                    <w14:schemeClr w14:val="tx1"/>
                  </w14:solidFill>
                </w14:textFill>
              </w:rPr>
              <w:t>湖南省“十四五”生态环境保护规划</w:t>
            </w:r>
            <w:r>
              <w:rPr>
                <w:color w:val="000000" w:themeColor="text1"/>
                <w:sz w:val="24"/>
                <w:szCs w:val="24"/>
                <w14:textFill>
                  <w14:solidFill>
                    <w14:schemeClr w14:val="tx1"/>
                  </w14:solidFill>
                </w14:textFill>
              </w:rPr>
              <w:t>》的符合性分析</w:t>
            </w:r>
          </w:p>
          <w:p>
            <w:pPr>
              <w:spacing w:line="360" w:lineRule="auto"/>
              <w:ind w:firstLine="48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根据《湖南省“十</w:t>
            </w:r>
            <w:r>
              <w:rPr>
                <w:rFonts w:hint="eastAsia"/>
                <w:color w:val="000000" w:themeColor="text1"/>
                <w:sz w:val="24"/>
                <w:szCs w:val="24"/>
                <w14:textFill>
                  <w14:solidFill>
                    <w14:schemeClr w14:val="tx1"/>
                  </w14:solidFill>
                </w14:textFill>
              </w:rPr>
              <w:t>四</w:t>
            </w:r>
            <w:r>
              <w:rPr>
                <w:color w:val="000000" w:themeColor="text1"/>
                <w:sz w:val="24"/>
                <w:szCs w:val="24"/>
                <w14:textFill>
                  <w14:solidFill>
                    <w14:schemeClr w14:val="tx1"/>
                  </w14:solidFill>
                </w14:textFill>
              </w:rPr>
              <w:t>五”环境保护规划》中</w:t>
            </w:r>
            <w:r>
              <w:rPr>
                <w:rFonts w:hint="eastAsia" w:ascii="宋体" w:hAnsi="宋体" w:cs="宋体"/>
                <w:color w:val="000000" w:themeColor="text1"/>
                <w:sz w:val="24"/>
                <w:szCs w:val="24"/>
                <w:shd w:val="clear" w:color="auto" w:fill="FFFFFF"/>
                <w14:textFill>
                  <w14:solidFill>
                    <w14:schemeClr w14:val="tx1"/>
                  </w14:solidFill>
                </w14:textFill>
              </w:rPr>
              <w:t>“</w:t>
            </w:r>
            <w:r>
              <w:rPr>
                <w:rStyle w:val="26"/>
                <w:rFonts w:hint="eastAsia" w:ascii="宋体" w:hAnsi="宋体" w:cs="宋体"/>
                <w:color w:val="000000" w:themeColor="text1"/>
                <w:sz w:val="24"/>
                <w:szCs w:val="24"/>
                <w:shd w:val="clear" w:color="auto" w:fill="FFFFFF"/>
                <w14:textFill>
                  <w14:solidFill>
                    <w14:schemeClr w14:val="tx1"/>
                  </w14:solidFill>
                </w14:textFill>
              </w:rPr>
              <w:t>（五）严格生态环境准入。严格生态环境分区引导</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color w:val="000000" w:themeColor="text1"/>
                <w:sz w:val="24"/>
                <w:szCs w:val="24"/>
                <w14:textFill>
                  <w14:solidFill>
                    <w14:schemeClr w14:val="tx1"/>
                  </w14:solidFill>
                </w14:textFill>
              </w:rPr>
              <w:t>严格落实湖南省“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符合性分析：本项目位于工业园区，符合“三线一单”准入要求，与《湖南省“十四五”环境保护规划》中相关内容是相符的。</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4、与《永州市“十四五”生态环境保护规划》的符合性分析</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根据《永州市“十四五”生态环境保护规划》中“（二）严格环境准入与管控”相关内容，分析如下：</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w:t>
            </w:r>
            <w:r>
              <w:rPr>
                <w:rFonts w:hint="eastAsia"/>
                <w:b/>
                <w:bCs/>
                <w:color w:val="000000" w:themeColor="text1"/>
                <w:sz w:val="21"/>
                <w:szCs w:val="21"/>
                <w:lang w:val="en-US" w:eastAsia="zh-CN"/>
                <w14:textFill>
                  <w14:solidFill>
                    <w14:schemeClr w14:val="tx1"/>
                  </w14:solidFill>
                </w14:textFill>
              </w:rPr>
              <w:t>4</w:t>
            </w:r>
            <w:r>
              <w:rPr>
                <w:b/>
                <w:bCs/>
                <w:color w:val="000000" w:themeColor="text1"/>
                <w:sz w:val="21"/>
                <w:szCs w:val="21"/>
                <w14:textFill>
                  <w14:solidFill>
                    <w14:schemeClr w14:val="tx1"/>
                  </w14:solidFill>
                </w14:textFill>
              </w:rPr>
              <w:t xml:space="preserve">  与</w:t>
            </w:r>
            <w:r>
              <w:rPr>
                <w:rFonts w:hint="eastAsia"/>
                <w:b/>
                <w:bCs/>
                <w:color w:val="000000" w:themeColor="text1"/>
                <w:sz w:val="21"/>
                <w:szCs w:val="21"/>
                <w14:textFill>
                  <w14:solidFill>
                    <w14:schemeClr w14:val="tx1"/>
                  </w14:solidFill>
                </w14:textFill>
              </w:rPr>
              <w:t>永州市“十四五”生态环境保护规划</w:t>
            </w:r>
            <w:r>
              <w:rPr>
                <w:b/>
                <w:bCs/>
                <w:color w:val="000000" w:themeColor="text1"/>
                <w:sz w:val="21"/>
                <w:szCs w:val="21"/>
                <w14:textFill>
                  <w14:solidFill>
                    <w14:schemeClr w14:val="tx1"/>
                  </w14:solidFill>
                </w14:textFill>
              </w:rPr>
              <w:t>符合性分析</w:t>
            </w:r>
          </w:p>
          <w:tbl>
            <w:tblPr>
              <w:tblStyle w:val="23"/>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0"/>
              <w:gridCol w:w="671"/>
              <w:gridCol w:w="4353"/>
              <w:gridCol w:w="1308"/>
              <w:gridCol w:w="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448"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w:t>
                  </w:r>
                  <w:r>
                    <w:rPr>
                      <w:rFonts w:hint="eastAsia"/>
                      <w:color w:val="000000" w:themeColor="text1"/>
                      <w:sz w:val="21"/>
                      <w:szCs w:val="21"/>
                      <w14:textFill>
                        <w14:solidFill>
                          <w14:schemeClr w14:val="tx1"/>
                        </w14:solidFill>
                      </w14:textFill>
                    </w:rPr>
                    <w:t>内容</w:t>
                  </w:r>
                </w:p>
              </w:tc>
              <w:tc>
                <w:tcPr>
                  <w:tcW w:w="291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7"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严格环境准入</w:t>
                  </w:r>
                </w:p>
              </w:tc>
              <w:tc>
                <w:tcPr>
                  <w:tcW w:w="291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将建设项目污染物排放总量指标作为项目环评审批的前提条件，严控新增排放量。加强永州市11家省级工业园区生态环境准入管理。推进“三线一单”与排污许可、环评审批、环境监测、环境执法等数据系统共享。探索构建以“三线一单”为环境 空间管控基础，以规划环评和项目环评为环境准入关口，以排污许可为企业运行守法依据，以执法、督察为环境监管闭 环的全过程环境管理框架。</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w:t>
                  </w:r>
                  <w:r>
                    <w:rPr>
                      <w:rFonts w:hint="default" w:ascii="Times New Roman" w:hAnsi="Times New Roman" w:cs="Times New Roman"/>
                      <w:color w:val="auto"/>
                      <w:sz w:val="24"/>
                      <w:highlight w:val="none"/>
                    </w:rPr>
                    <w:t>照明灯具制造</w:t>
                  </w:r>
                  <w:r>
                    <w:rPr>
                      <w:rFonts w:hint="eastAsia"/>
                      <w:color w:val="000000" w:themeColor="text1"/>
                      <w:sz w:val="21"/>
                      <w:szCs w:val="21"/>
                      <w14:textFill>
                        <w14:solidFill>
                          <w14:schemeClr w14:val="tx1"/>
                        </w14:solidFill>
                      </w14:textFill>
                    </w:rPr>
                    <w:t>，位于工业园区，不属于</w:t>
                  </w:r>
                  <w:r>
                    <w:rPr>
                      <w:color w:val="000000" w:themeColor="text1"/>
                      <w:sz w:val="21"/>
                      <w:szCs w:val="21"/>
                      <w14:textFill>
                        <w14:solidFill>
                          <w14:schemeClr w14:val="tx1"/>
                        </w14:solidFill>
                      </w14:textFill>
                    </w:rPr>
                    <w:t>落后产能和污染严重项目</w:t>
                  </w:r>
                </w:p>
              </w:tc>
              <w:tc>
                <w:tcPr>
                  <w:tcW w:w="457"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加强规划环境影响评价</w:t>
                  </w:r>
                </w:p>
              </w:tc>
              <w:tc>
                <w:tcPr>
                  <w:tcW w:w="291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严格执行以环评制度为主体的生态环境源头预防制度，以国土空间规划、区域规划、行业 发展规划引导经济社会发展，全面推进重点区域、重点流域、重点行业规划环评。推动规划编制底线约束，前置考虑空间 管制、总量管控和生态环境准入，统筹区域空间布局与生态 安全格局，统筹发展目标与资源环境承载力。严格审查涉“两高”行业的有关综合性规划和工业、能源等专项规划，严格控制“两高”行业发展规模，优化规划布局与实施时序。推动在项目环评审批及事中事后监督管理中落实规划环评成果</w:t>
                  </w:r>
                  <w:r>
                    <w:rPr>
                      <w:rFonts w:hint="eastAsia"/>
                      <w:color w:val="000000" w:themeColor="text1"/>
                      <w:sz w:val="21"/>
                      <w:szCs w:val="21"/>
                      <w14:textFill>
                        <w14:solidFill>
                          <w14:schemeClr w14:val="tx1"/>
                        </w14:solidFill>
                      </w14:textFill>
                    </w:rPr>
                    <w:t>。</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w:t>
                  </w:r>
                  <w:r>
                    <w:rPr>
                      <w:color w:val="000000" w:themeColor="text1"/>
                      <w:sz w:val="21"/>
                      <w:szCs w:val="21"/>
                      <w14:textFill>
                        <w14:solidFill>
                          <w14:schemeClr w14:val="tx1"/>
                        </w14:solidFill>
                      </w14:textFill>
                    </w:rPr>
                    <w:t>执行以环评制度为主体的生态环境源头预防制度</w:t>
                  </w:r>
                </w:p>
              </w:tc>
              <w:tc>
                <w:tcPr>
                  <w:tcW w:w="457"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全面实行排污许可制度</w:t>
                  </w:r>
                </w:p>
              </w:tc>
              <w:tc>
                <w:tcPr>
                  <w:tcW w:w="291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推行以排污许可制为核心的固定污染源监管制度，推动工业固体废物、土壤环境要素全覆盖，实现固定污染源排污许可全覆盖。严格落实企业持证排 污要求，按照“新老有别、平稳过渡”原则，推进排污口清理整治，规范排污口设置。依托排污许可证实施企事业单位 污染物排放总量指标分配、监管和考核。加强对排污许可的事中事后监管管理，将排污许可执法检查纳入生态环境执法年度计划，落实排污许可“一证式”管理。持续做好排污许可证换证或登记延续动态更新。推进全市排污许可制度与环 境影响评价制度有效融合，推动重点行业企业环境影响评价、排污许可、监管执法全闭环管理。</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本项目严格执行</w:t>
                  </w:r>
                  <w:r>
                    <w:rPr>
                      <w:color w:val="000000" w:themeColor="text1"/>
                      <w:sz w:val="21"/>
                      <w:szCs w:val="21"/>
                      <w14:textFill>
                        <w14:solidFill>
                          <w14:schemeClr w14:val="tx1"/>
                        </w14:solidFill>
                      </w14:textFill>
                    </w:rPr>
                    <w:t>排污许可制为核心的固定污染源监管制度</w:t>
                  </w:r>
                </w:p>
              </w:tc>
              <w:tc>
                <w:tcPr>
                  <w:tcW w:w="457"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91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874"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p>
              </w:tc>
              <w:tc>
                <w:tcPr>
                  <w:tcW w:w="457"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bl>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与周边企业相容性分析</w:t>
            </w:r>
          </w:p>
          <w:p>
            <w:pPr>
              <w:pStyle w:val="90"/>
              <w:adjustRightInd/>
              <w:snapToGrid/>
              <w:spacing w:line="360" w:lineRule="auto"/>
              <w:ind w:firstLine="480"/>
              <w:jc w:val="both"/>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本项目租用</w:t>
            </w:r>
            <w:r>
              <w:rPr>
                <w:rFonts w:hint="eastAsia"/>
                <w:color w:val="000000" w:themeColor="text1"/>
                <w:sz w:val="24"/>
                <w:szCs w:val="24"/>
                <w14:textFill>
                  <w14:solidFill>
                    <w14:schemeClr w14:val="tx1"/>
                  </w14:solidFill>
                </w14:textFill>
              </w:rPr>
              <w:t>永州市经济技术开发区南部片区先进装备产业园标准厂房</w:t>
            </w:r>
            <w:r>
              <w:rPr>
                <w:rFonts w:hint="eastAsia"/>
                <w:color w:val="000000" w:themeColor="text1"/>
                <w:sz w:val="24"/>
                <w:szCs w:val="24"/>
                <w:lang w:val="zh-CN"/>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为</w:t>
            </w:r>
            <w:r>
              <w:rPr>
                <w:rFonts w:hint="default" w:ascii="Times New Roman" w:hAnsi="Times New Roman" w:cs="Times New Roman"/>
                <w:color w:val="000000" w:themeColor="text1"/>
                <w:sz w:val="24"/>
                <w:szCs w:val="24"/>
                <w:highlight w:val="none"/>
                <w14:textFill>
                  <w14:solidFill>
                    <w14:schemeClr w14:val="tx1"/>
                  </w14:solidFill>
                </w14:textFill>
              </w:rPr>
              <w:t>照明</w:t>
            </w:r>
            <w:r>
              <w:rPr>
                <w:rFonts w:hint="default" w:ascii="Times New Roman" w:hAnsi="Times New Roman" w:cs="Times New Roman"/>
                <w:color w:val="auto"/>
                <w:sz w:val="24"/>
                <w:szCs w:val="24"/>
                <w:highlight w:val="none"/>
              </w:rPr>
              <w:t>灯具制造</w:t>
            </w:r>
            <w:r>
              <w:rPr>
                <w:rFonts w:hint="eastAsia"/>
                <w:color w:val="558ED5" w:themeColor="text2" w:themeTint="99"/>
                <w:sz w:val="24"/>
                <w:szCs w:val="24"/>
                <w:lang w:val="zh-CN"/>
                <w14:textFill>
                  <w14:solidFill>
                    <w14:schemeClr w14:val="tx2">
                      <w14:lumMod w14:val="60000"/>
                      <w14:lumOff w14:val="40000"/>
                    </w14:schemeClr>
                  </w14:solidFill>
                </w14:textFill>
              </w:rPr>
              <w:t>，</w:t>
            </w:r>
            <w:r>
              <w:rPr>
                <w:rFonts w:hint="eastAsia"/>
                <w:color w:val="000000" w:themeColor="text1"/>
                <w:kern w:val="0"/>
                <w:sz w:val="24"/>
                <w:szCs w:val="24"/>
                <w:u w:val="none"/>
                <w14:textFill>
                  <w14:solidFill>
                    <w14:schemeClr w14:val="tx1"/>
                  </w14:solidFill>
                </w14:textFill>
              </w:rPr>
              <w:t>属于</w:t>
            </w:r>
            <w:r>
              <w:rPr>
                <w:rFonts w:hint="eastAsia"/>
                <w:color w:val="000000" w:themeColor="text1"/>
                <w:kern w:val="0"/>
                <w:sz w:val="24"/>
                <w:szCs w:val="24"/>
                <w:u w:val="none"/>
                <w:lang w:val="en-US" w:eastAsia="zh-CN"/>
                <w14:textFill>
                  <w14:solidFill>
                    <w14:schemeClr w14:val="tx1"/>
                  </w14:solidFill>
                </w14:textFill>
              </w:rPr>
              <w:t>水电设备厂</w:t>
            </w:r>
            <w:r>
              <w:rPr>
                <w:rFonts w:hint="eastAsia" w:eastAsia="宋体"/>
                <w:color w:val="000000" w:themeColor="text1"/>
                <w:sz w:val="24"/>
                <w:szCs w:val="24"/>
                <w:lang w:val="en-US" w:eastAsia="zh-CN"/>
                <w14:textFill>
                  <w14:solidFill>
                    <w14:schemeClr w14:val="tx1"/>
                  </w14:solidFill>
                </w14:textFill>
              </w:rPr>
              <w:t>；</w:t>
            </w:r>
            <w:r>
              <w:rPr>
                <w:rFonts w:hint="eastAsia" w:eastAsia="宋体"/>
                <w:color w:val="000000" w:themeColor="text1"/>
                <w:sz w:val="24"/>
                <w:szCs w:val="24"/>
                <w:lang w:val="zh-CN"/>
                <w14:textFill>
                  <w14:solidFill>
                    <w14:schemeClr w14:val="tx1"/>
                  </w14:solidFill>
                </w14:textFill>
              </w:rPr>
              <w:t>项目的建成不会影响或限制周边企业的发展，周边企业对本项目亦不构成限制影响</w:t>
            </w:r>
            <w:r>
              <w:rPr>
                <w:rFonts w:hint="eastAsia"/>
                <w:color w:val="000000" w:themeColor="text1"/>
                <w:sz w:val="24"/>
                <w:szCs w:val="24"/>
                <w:lang w:val="zh-CN"/>
                <w14:textFill>
                  <w14:solidFill>
                    <w14:schemeClr w14:val="tx1"/>
                  </w14:solidFill>
                </w14:textFill>
              </w:rPr>
              <w:t>；因此，本项目与周边企业具有相容性。</w:t>
            </w:r>
          </w:p>
          <w:p>
            <w:pPr>
              <w:adjustRightInd w:val="0"/>
              <w:snapToGrid w:val="0"/>
              <w:spacing w:line="312" w:lineRule="auto"/>
              <w:ind w:firstLine="482" w:firstLineChars="200"/>
              <w:rPr>
                <w:rFonts w:hint="eastAsia" w:ascii="Times New Roman" w:hAnsi="Times New Roman" w:cs="Times New Roman"/>
                <w:b/>
                <w:bCs/>
                <w:color w:val="auto"/>
                <w:sz w:val="24"/>
                <w:highlight w:val="none"/>
                <w:lang w:val="en-US" w:eastAsia="zh-CN"/>
              </w:rPr>
            </w:pP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auto"/>
          <w:sz w:val="30"/>
          <w:szCs w:val="30"/>
        </w:rPr>
      </w:pPr>
      <w:bookmarkStart w:id="4" w:name="_Toc98256020"/>
      <w:r>
        <w:rPr>
          <w:rFonts w:hint="eastAsia" w:ascii="黑体" w:hAnsi="黑体" w:eastAsia="黑体"/>
          <w:snapToGrid w:val="0"/>
          <w:color w:val="auto"/>
          <w:sz w:val="30"/>
          <w:szCs w:val="30"/>
        </w:rPr>
        <w:t>二、建设项目工程分析</w:t>
      </w:r>
      <w:bookmarkEnd w:id="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0"/>
        <w:gridCol w:w="8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5" w:hRule="atLeast"/>
          <w:jc w:val="center"/>
        </w:trPr>
        <w:tc>
          <w:tcPr>
            <w:tcW w:w="442" w:type="dxa"/>
            <w:noWrap w:val="0"/>
            <w:vAlign w:val="center"/>
          </w:tcPr>
          <w:p>
            <w:pPr>
              <w:pStyle w:val="1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建设内容</w:t>
            </w:r>
          </w:p>
        </w:tc>
        <w:tc>
          <w:tcPr>
            <w:tcW w:w="8618" w:type="dxa"/>
            <w:noWrap w:val="0"/>
            <w:vAlign w:val="center"/>
          </w:tcPr>
          <w:p>
            <w:pPr>
              <w:pStyle w:val="55"/>
              <w:bidi w:val="0"/>
              <w:rPr>
                <w:rFonts w:hint="default" w:eastAsia="宋体"/>
                <w:color w:val="auto"/>
                <w:highlight w:val="none"/>
                <w:lang w:val="en-US" w:eastAsia="zh-CN"/>
              </w:rPr>
            </w:pPr>
            <w:r>
              <w:rPr>
                <w:rFonts w:hint="eastAsia" w:ascii="Times New Roman" w:hAnsi="Times New Roman" w:eastAsia="黑体" w:cs="Times New Roman"/>
                <w:bCs/>
                <w:color w:val="auto"/>
                <w:kern w:val="2"/>
                <w:sz w:val="24"/>
                <w:szCs w:val="24"/>
                <w:highlight w:val="none"/>
                <w:lang w:val="en-US" w:eastAsia="zh-CN" w:bidi="ar-SA"/>
              </w:rPr>
              <w:t>1、</w:t>
            </w:r>
            <w:r>
              <w:rPr>
                <w:rFonts w:hint="eastAsia" w:cs="Times New Roman"/>
                <w:bCs/>
                <w:color w:val="auto"/>
                <w:kern w:val="2"/>
                <w:sz w:val="24"/>
                <w:szCs w:val="24"/>
                <w:highlight w:val="none"/>
                <w:lang w:val="en-US" w:eastAsia="zh-CN" w:bidi="ar-SA"/>
              </w:rPr>
              <w:t>项目背景</w:t>
            </w:r>
          </w:p>
          <w:p>
            <w:pPr>
              <w:spacing w:line="360" w:lineRule="auto"/>
              <w:ind w:firstLine="480" w:firstLineChars="200"/>
              <w:rPr>
                <w:rFonts w:hint="default" w:cs="Times New Roman"/>
                <w:b w:val="0"/>
                <w:bCs/>
                <w:color w:val="auto"/>
                <w:sz w:val="24"/>
                <w:highlight w:val="none"/>
                <w:shd w:val="clear" w:color="auto" w:fill="auto"/>
                <w:lang w:val="en-US" w:eastAsia="zh-CN" w:bidi="ar"/>
              </w:rPr>
            </w:pPr>
            <w:r>
              <w:rPr>
                <w:rFonts w:hint="eastAsia" w:cs="Times New Roman"/>
                <w:b w:val="0"/>
                <w:bCs/>
                <w:color w:val="auto"/>
                <w:sz w:val="24"/>
                <w:highlight w:val="none"/>
                <w:shd w:val="clear" w:color="auto" w:fill="auto"/>
                <w:lang w:val="en-US" w:eastAsia="zh-CN" w:bidi="ar"/>
              </w:rPr>
              <w:t>永州菲利特照明电器有限公司投资6000万元租用永州经开区张家铺2号厂房3#栋，建设新能源照明设备生产项目，项目建成投运后，年产10万套路灯杆。</w:t>
            </w:r>
          </w:p>
          <w:p>
            <w:pPr>
              <w:adjustRightInd w:val="0"/>
              <w:snapToGrid w:val="0"/>
              <w:spacing w:line="360" w:lineRule="auto"/>
              <w:ind w:firstLine="480" w:firstLineChars="200"/>
              <w:rPr>
                <w:rFonts w:hint="eastAsia"/>
                <w:b/>
                <w:bCs/>
                <w:color w:val="auto"/>
                <w:sz w:val="24"/>
                <w:highlight w:val="none"/>
              </w:rPr>
            </w:pPr>
            <w:r>
              <w:rPr>
                <w:color w:val="auto"/>
                <w:kern w:val="0"/>
                <w:sz w:val="24"/>
                <w:highlight w:val="none"/>
              </w:rPr>
              <w:t>根据《建设项目环境影响评价分类管理名录</w:t>
            </w:r>
            <w:r>
              <w:rPr>
                <w:rFonts w:hint="eastAsia"/>
                <w:color w:val="auto"/>
                <w:kern w:val="0"/>
                <w:sz w:val="24"/>
                <w:highlight w:val="none"/>
              </w:rPr>
              <w:t>（2021年</w:t>
            </w:r>
            <w:r>
              <w:rPr>
                <w:color w:val="auto"/>
                <w:kern w:val="0"/>
                <w:sz w:val="24"/>
                <w:highlight w:val="none"/>
              </w:rPr>
              <w:t>版</w:t>
            </w:r>
            <w:r>
              <w:rPr>
                <w:rFonts w:hint="eastAsia"/>
                <w:color w:val="auto"/>
                <w:kern w:val="0"/>
                <w:sz w:val="24"/>
                <w:highlight w:val="none"/>
              </w:rPr>
              <w:t>）</w:t>
            </w:r>
            <w:r>
              <w:rPr>
                <w:color w:val="auto"/>
                <w:kern w:val="0"/>
                <w:sz w:val="24"/>
                <w:highlight w:val="none"/>
              </w:rPr>
              <w:t>》（</w:t>
            </w:r>
            <w:r>
              <w:rPr>
                <w:rFonts w:hint="eastAsia"/>
                <w:color w:val="auto"/>
                <w:kern w:val="0"/>
                <w:sz w:val="24"/>
                <w:highlight w:val="none"/>
              </w:rPr>
              <w:t>生态环境部</w:t>
            </w:r>
            <w:r>
              <w:rPr>
                <w:color w:val="auto"/>
                <w:kern w:val="0"/>
                <w:sz w:val="24"/>
                <w:highlight w:val="none"/>
              </w:rPr>
              <w:t>令第16号，2021.1.1实施）的管理要求，</w:t>
            </w:r>
            <w:r>
              <w:rPr>
                <w:rFonts w:hint="eastAsia"/>
                <w:color w:val="auto"/>
                <w:kern w:val="0"/>
                <w:sz w:val="24"/>
                <w:highlight w:val="none"/>
              </w:rPr>
              <w:t>本项目</w:t>
            </w:r>
            <w:r>
              <w:rPr>
                <w:rFonts w:hint="eastAsia"/>
                <w:color w:val="auto"/>
                <w:kern w:val="0"/>
                <w:sz w:val="24"/>
                <w:highlight w:val="none"/>
                <w:lang w:eastAsia="zh-CN"/>
              </w:rPr>
              <w:t>属于</w:t>
            </w:r>
            <w:r>
              <w:rPr>
                <w:rFonts w:hint="eastAsia"/>
                <w:color w:val="auto"/>
                <w:kern w:val="0"/>
                <w:sz w:val="24"/>
                <w:highlight w:val="none"/>
              </w:rPr>
              <w:t>三十五、电气机械和器材制造业38照明器具制造 387；其他（仅分割、焊接、组装的除外；年用非溶剂型低VOCs含量涂料10吨以下的除外），</w:t>
            </w:r>
            <w:r>
              <w:rPr>
                <w:rFonts w:hint="eastAsia"/>
                <w:color w:val="auto"/>
                <w:sz w:val="24"/>
                <w:highlight w:val="none"/>
              </w:rPr>
              <w:t>应</w:t>
            </w:r>
            <w:r>
              <w:rPr>
                <w:color w:val="auto"/>
                <w:sz w:val="24"/>
                <w:highlight w:val="none"/>
              </w:rPr>
              <w:t>编制</w:t>
            </w:r>
            <w:r>
              <w:rPr>
                <w:rFonts w:hint="eastAsia"/>
                <w:color w:val="auto"/>
                <w:sz w:val="24"/>
                <w:highlight w:val="none"/>
              </w:rPr>
              <w:t>环境影响报告表。为此，</w:t>
            </w:r>
            <w:r>
              <w:rPr>
                <w:rFonts w:hint="eastAsia" w:cs="Times New Roman"/>
                <w:b w:val="0"/>
                <w:bCs/>
                <w:color w:val="auto"/>
                <w:sz w:val="24"/>
                <w:highlight w:val="none"/>
                <w:shd w:val="clear" w:color="auto" w:fill="auto"/>
                <w:lang w:val="en-US" w:eastAsia="zh-CN" w:bidi="ar"/>
              </w:rPr>
              <w:t>永州菲利特照明电器有限公司</w:t>
            </w:r>
            <w:r>
              <w:rPr>
                <w:rFonts w:hint="eastAsia"/>
                <w:color w:val="auto"/>
                <w:sz w:val="24"/>
                <w:highlight w:val="none"/>
              </w:rPr>
              <w:t>委托我公司承担该建设项目的环境影响评价工作。我公司接受委托后，对周围环境进行了实地勘查和相关资料的收集、核实与分析工作，在此基础上，按照《建设项目环境影响报告表编制技术指南（污染影响类）（试行）》等规范的要求，编制了本建设项目环境影响报告表。</w:t>
            </w:r>
          </w:p>
          <w:p>
            <w:pPr>
              <w:pStyle w:val="91"/>
              <w:spacing w:after="0"/>
              <w:ind w:firstLine="482" w:firstLineChars="200"/>
              <w:rPr>
                <w:rFonts w:hint="eastAsia"/>
                <w:b/>
                <w:bCs/>
                <w:szCs w:val="24"/>
              </w:rPr>
            </w:pPr>
            <w:r>
              <w:rPr>
                <w:rFonts w:hint="eastAsia"/>
                <w:b/>
                <w:bCs/>
                <w:szCs w:val="24"/>
                <w:lang w:val="en-US" w:eastAsia="zh-CN"/>
              </w:rPr>
              <w:t>2</w:t>
            </w:r>
            <w:r>
              <w:rPr>
                <w:b/>
                <w:bCs/>
                <w:szCs w:val="24"/>
              </w:rPr>
              <w:t>、</w:t>
            </w:r>
            <w:r>
              <w:rPr>
                <w:rFonts w:hint="eastAsia"/>
                <w:b/>
                <w:bCs/>
                <w:szCs w:val="24"/>
              </w:rPr>
              <w:t>项目建设内容及规模</w:t>
            </w:r>
          </w:p>
          <w:p>
            <w:pPr>
              <w:numPr>
                <w:ilvl w:val="0"/>
                <w:numId w:val="0"/>
              </w:numPr>
              <w:adjustRightInd w:val="0"/>
              <w:snapToGrid w:val="0"/>
              <w:spacing w:line="360" w:lineRule="auto"/>
              <w:ind w:firstLine="480" w:firstLineChars="200"/>
              <w:jc w:val="left"/>
              <w:rPr>
                <w:color w:val="0000FF"/>
                <w:sz w:val="24"/>
                <w:highlight w:val="none"/>
              </w:rPr>
            </w:pPr>
            <w:r>
              <w:rPr>
                <w:rFonts w:hint="eastAsia"/>
                <w:color w:val="auto"/>
                <w:sz w:val="24"/>
                <w:highlight w:val="none"/>
              </w:rPr>
              <w:t>本项目</w:t>
            </w:r>
            <w:r>
              <w:rPr>
                <w:rFonts w:hint="eastAsia"/>
                <w:color w:val="auto"/>
                <w:sz w:val="24"/>
                <w:highlight w:val="none"/>
                <w:lang w:eastAsia="zh-CN"/>
              </w:rPr>
              <w:t>利用</w:t>
            </w:r>
            <w:r>
              <w:rPr>
                <w:rFonts w:hint="eastAsia"/>
                <w:color w:val="auto"/>
                <w:sz w:val="24"/>
                <w:highlight w:val="none"/>
              </w:rPr>
              <w:t>空置厂房进行项目建设与生</w:t>
            </w:r>
            <w:r>
              <w:rPr>
                <w:rFonts w:hint="eastAsia"/>
                <w:color w:val="000000" w:themeColor="text1"/>
                <w:sz w:val="24"/>
                <w:highlight w:val="none"/>
                <w14:textFill>
                  <w14:solidFill>
                    <w14:schemeClr w14:val="tx1"/>
                  </w14:solidFill>
                </w14:textFill>
              </w:rPr>
              <w:t>产，</w:t>
            </w:r>
            <w:r>
              <w:rPr>
                <w:rFonts w:hint="eastAsia"/>
                <w:color w:val="000000" w:themeColor="text1"/>
                <w:sz w:val="24"/>
                <w:highlight w:val="none"/>
                <w:lang w:val="en-US" w:eastAsia="zh-CN"/>
                <w14:textFill>
                  <w14:solidFill>
                    <w14:schemeClr w14:val="tx1"/>
                  </w14:solidFill>
                </w14:textFill>
              </w:rPr>
              <w:t>项目占地面积6980m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，其中厂房建筑面积5400m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，食堂面积104m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，办公室面积736m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auto"/>
                <w:sz w:val="24"/>
                <w:highlight w:val="none"/>
                <w:lang w:val="en-US" w:eastAsia="zh-CN"/>
              </w:rPr>
              <w:t>，</w:t>
            </w:r>
            <w:r>
              <w:rPr>
                <w:rFonts w:hint="eastAsia"/>
                <w:color w:val="auto"/>
                <w:sz w:val="24"/>
                <w:highlight w:val="none"/>
              </w:rPr>
              <w:t>属于工业用</w:t>
            </w:r>
            <w:r>
              <w:rPr>
                <w:rFonts w:hint="eastAsia"/>
                <w:color w:val="000000" w:themeColor="text1"/>
                <w:sz w:val="24"/>
                <w:highlight w:val="none"/>
                <w14:textFill>
                  <w14:solidFill>
                    <w14:schemeClr w14:val="tx1"/>
                  </w14:solidFill>
                </w14:textFill>
              </w:rPr>
              <w:t>地。本项目产能设计为</w:t>
            </w:r>
            <w:r>
              <w:rPr>
                <w:rFonts w:hint="eastAsia"/>
                <w:color w:val="000000" w:themeColor="text1"/>
                <w:sz w:val="24"/>
                <w:highlight w:val="none"/>
                <w:lang w:eastAsia="zh-CN"/>
                <w14:textFill>
                  <w14:solidFill>
                    <w14:schemeClr w14:val="tx1"/>
                  </w14:solidFill>
                </w14:textFill>
              </w:rPr>
              <w:t>年产</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lang w:eastAsia="zh-CN"/>
                <w14:textFill>
                  <w14:solidFill>
                    <w14:schemeClr w14:val="tx1"/>
                  </w14:solidFill>
                </w14:textFill>
              </w:rPr>
              <w:t>万套路灯杆生产项目</w:t>
            </w:r>
            <w:r>
              <w:rPr>
                <w:rFonts w:hint="eastAsia"/>
                <w:color w:val="000000" w:themeColor="text1"/>
                <w:sz w:val="24"/>
                <w:highlight w:val="none"/>
                <w14:textFill>
                  <w14:solidFill>
                    <w14:schemeClr w14:val="tx1"/>
                  </w14:solidFill>
                </w14:textFill>
              </w:rPr>
              <w:t>。</w:t>
            </w:r>
          </w:p>
          <w:p>
            <w:pPr>
              <w:adjustRightInd w:val="0"/>
              <w:snapToGrid w:val="0"/>
              <w:spacing w:line="360" w:lineRule="auto"/>
              <w:ind w:firstLine="480" w:firstLineChars="200"/>
              <w:jc w:val="left"/>
              <w:rPr>
                <w:rFonts w:hint="eastAsia"/>
                <w:color w:val="auto"/>
                <w:sz w:val="24"/>
                <w:highlight w:val="none"/>
              </w:rPr>
            </w:pPr>
            <w:r>
              <w:rPr>
                <w:color w:val="auto"/>
                <w:sz w:val="24"/>
                <w:highlight w:val="none"/>
              </w:rPr>
              <w:t>本项目建设内容包括主体工程、贮运工程、公用工程</w:t>
            </w:r>
            <w:r>
              <w:rPr>
                <w:rFonts w:hint="eastAsia"/>
                <w:color w:val="auto"/>
                <w:sz w:val="24"/>
                <w:highlight w:val="none"/>
              </w:rPr>
              <w:t>、</w:t>
            </w:r>
            <w:r>
              <w:rPr>
                <w:color w:val="auto"/>
                <w:sz w:val="24"/>
                <w:highlight w:val="none"/>
              </w:rPr>
              <w:t>辅助工程、环保工程，主要建设内容</w:t>
            </w:r>
            <w:r>
              <w:rPr>
                <w:rFonts w:hint="eastAsia"/>
                <w:color w:val="auto"/>
                <w:sz w:val="24"/>
                <w:highlight w:val="none"/>
              </w:rPr>
              <w:t>详</w:t>
            </w:r>
            <w:r>
              <w:rPr>
                <w:color w:val="auto"/>
                <w:sz w:val="24"/>
                <w:highlight w:val="none"/>
              </w:rPr>
              <w:t>见</w:t>
            </w:r>
            <w:r>
              <w:rPr>
                <w:rFonts w:hint="eastAsia"/>
                <w:color w:val="auto"/>
                <w:sz w:val="24"/>
                <w:highlight w:val="none"/>
              </w:rPr>
              <w:t>下表</w:t>
            </w:r>
            <w:r>
              <w:rPr>
                <w:color w:val="auto"/>
                <w:sz w:val="24"/>
                <w:highlight w:val="none"/>
              </w:rPr>
              <w:t>。</w:t>
            </w:r>
          </w:p>
          <w:p>
            <w:pPr>
              <w:pStyle w:val="85"/>
              <w:bidi w:val="0"/>
              <w:rPr>
                <w:color w:val="auto"/>
                <w:highlight w:val="none"/>
              </w:rPr>
            </w:pPr>
            <w:r>
              <w:rPr>
                <w:rFonts w:hint="eastAsia"/>
                <w:color w:val="auto"/>
                <w:highlight w:val="none"/>
              </w:rPr>
              <w:t>本项目</w:t>
            </w:r>
            <w:r>
              <w:rPr>
                <w:color w:val="auto"/>
                <w:highlight w:val="none"/>
              </w:rPr>
              <w:t>主要建设内容一览表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664"/>
              <w:gridCol w:w="649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类别</w:t>
                  </w:r>
                </w:p>
              </w:tc>
              <w:tc>
                <w:tcPr>
                  <w:tcW w:w="4232" w:type="pct"/>
                  <w:gridSpan w:val="2"/>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建设内容及规模</w:t>
                  </w:r>
                </w:p>
              </w:tc>
              <w:tc>
                <w:tcPr>
                  <w:tcW w:w="384"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主体工程</w:t>
                  </w:r>
                </w:p>
              </w:tc>
              <w:tc>
                <w:tcPr>
                  <w:tcW w:w="383" w:type="pct"/>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生产车间</w:t>
                  </w:r>
                </w:p>
              </w:tc>
              <w:tc>
                <w:tcPr>
                  <w:tcW w:w="3848" w:type="pct"/>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ascii="Times New Roman" w:hAnsi="Times New Roman" w:cs="Times New Roman"/>
                      <w:u w:val="none"/>
                      <w:lang w:val="en-US" w:eastAsia="zh-CN"/>
                    </w:rPr>
                    <w:t>位于办公楼东侧，建筑面积</w:t>
                  </w:r>
                  <w:r>
                    <w:rPr>
                      <w:rFonts w:hint="eastAsia" w:cs="Times New Roman"/>
                      <w:u w:val="none"/>
                      <w:lang w:val="en-US" w:eastAsia="zh-CN"/>
                    </w:rPr>
                    <w:t>5400</w:t>
                  </w:r>
                  <w:r>
                    <w:rPr>
                      <w:rFonts w:hint="eastAsia" w:ascii="Times New Roman" w:hAnsi="Times New Roman" w:cs="Times New Roman"/>
                      <w:u w:val="none"/>
                      <w:lang w:val="en-US" w:eastAsia="zh-CN"/>
                    </w:rPr>
                    <w:t>m</w:t>
                  </w:r>
                  <w:r>
                    <w:rPr>
                      <w:rFonts w:hint="eastAsia" w:ascii="Times New Roman" w:hAnsi="Times New Roman" w:cs="Times New Roman"/>
                      <w:u w:val="none"/>
                      <w:vertAlign w:val="superscript"/>
                      <w:lang w:val="en-US" w:eastAsia="zh-CN"/>
                    </w:rPr>
                    <w:t>2</w:t>
                  </w:r>
                  <w:r>
                    <w:rPr>
                      <w:rFonts w:hint="eastAsia" w:ascii="Times New Roman" w:hAnsi="Times New Roman" w:cs="Times New Roman"/>
                      <w:u w:val="none"/>
                      <w:lang w:val="en-US" w:eastAsia="zh-CN"/>
                    </w:rPr>
                    <w:t>，包含现场喷塑区、焊接区、裁剪区、调直区、</w:t>
                  </w:r>
                  <w:r>
                    <w:rPr>
                      <w:rFonts w:hint="eastAsia" w:cs="Times New Roman"/>
                      <w:u w:val="none"/>
                      <w:lang w:val="en-US" w:eastAsia="zh-CN"/>
                    </w:rPr>
                    <w:t>固化区、</w:t>
                  </w:r>
                  <w:r>
                    <w:rPr>
                      <w:rFonts w:hint="eastAsia" w:ascii="Times New Roman" w:hAnsi="Times New Roman" w:cs="Times New Roman"/>
                      <w:u w:val="none"/>
                      <w:lang w:val="en-US" w:eastAsia="zh-CN"/>
                    </w:rPr>
                    <w:t>成品及</w:t>
                  </w:r>
                  <w:r>
                    <w:rPr>
                      <w:rFonts w:hint="eastAsia" w:cs="Times New Roman"/>
                      <w:u w:val="none"/>
                      <w:lang w:val="en-US" w:eastAsia="zh-CN"/>
                    </w:rPr>
                    <w:t>原料堆放区等</w:t>
                  </w:r>
                </w:p>
              </w:tc>
              <w:tc>
                <w:tcPr>
                  <w:tcW w:w="384" w:type="pct"/>
                  <w:noWrap/>
                  <w:vAlign w:val="center"/>
                </w:tcPr>
                <w:p>
                  <w:pPr>
                    <w:spacing w:line="240" w:lineRule="auto"/>
                    <w:ind w:firstLine="0" w:firstLineChars="0"/>
                    <w:jc w:val="center"/>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辅助工程</w:t>
                  </w:r>
                </w:p>
              </w:tc>
              <w:tc>
                <w:tcPr>
                  <w:tcW w:w="38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办公室</w:t>
                  </w:r>
                </w:p>
              </w:tc>
              <w:tc>
                <w:tcPr>
                  <w:tcW w:w="3848" w:type="pct"/>
                  <w:tcBorders>
                    <w:bottom w:val="single" w:color="000000" w:sz="4" w:space="0"/>
                  </w:tcBorders>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位于厂房</w:t>
                  </w:r>
                  <w:r>
                    <w:rPr>
                      <w:rFonts w:hint="eastAsia"/>
                      <w:color w:val="000000" w:themeColor="text1"/>
                      <w:sz w:val="21"/>
                      <w:szCs w:val="21"/>
                      <w:u w:val="none"/>
                      <w:lang w:val="en-US" w:eastAsia="zh-CN"/>
                      <w14:textFill>
                        <w14:solidFill>
                          <w14:schemeClr w14:val="tx1"/>
                        </w14:solidFill>
                      </w14:textFill>
                    </w:rPr>
                    <w:t>西侧</w:t>
                  </w:r>
                  <w:r>
                    <w:rPr>
                      <w:rFonts w:hint="eastAsia"/>
                      <w:color w:val="000000" w:themeColor="text1"/>
                      <w:sz w:val="21"/>
                      <w:szCs w:val="21"/>
                      <w:u w:val="none"/>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租用1~2层，</w:t>
                  </w:r>
                  <w:r>
                    <w:rPr>
                      <w:rFonts w:hint="eastAsia"/>
                      <w:color w:val="000000" w:themeColor="text1"/>
                      <w:sz w:val="21"/>
                      <w:szCs w:val="21"/>
                      <w:u w:val="none"/>
                      <w14:textFill>
                        <w14:solidFill>
                          <w14:schemeClr w14:val="tx1"/>
                        </w14:solidFill>
                      </w14:textFill>
                    </w:rPr>
                    <w:t>建筑面积</w:t>
                  </w:r>
                  <w:r>
                    <w:rPr>
                      <w:rFonts w:hint="eastAsia"/>
                      <w:color w:val="000000" w:themeColor="text1"/>
                      <w:sz w:val="21"/>
                      <w:szCs w:val="21"/>
                      <w:u w:val="none"/>
                      <w:lang w:val="en-US" w:eastAsia="zh-CN"/>
                      <w14:textFill>
                        <w14:solidFill>
                          <w14:schemeClr w14:val="tx1"/>
                        </w14:solidFill>
                      </w14:textFill>
                    </w:rPr>
                    <w:t>736</w:t>
                  </w:r>
                  <w:r>
                    <w:rPr>
                      <w:rFonts w:hint="eastAsia"/>
                      <w:color w:val="000000" w:themeColor="text1"/>
                      <w:sz w:val="21"/>
                      <w:szCs w:val="21"/>
                      <w:u w:val="none"/>
                      <w14:textFill>
                        <w14:solidFill>
                          <w14:schemeClr w14:val="tx1"/>
                        </w14:solidFill>
                      </w14:textFill>
                    </w:rPr>
                    <w:t xml:space="preserve"> m</w:t>
                  </w:r>
                  <w:r>
                    <w:rPr>
                      <w:rFonts w:hint="eastAsia"/>
                      <w:color w:val="000000" w:themeColor="text1"/>
                      <w:sz w:val="21"/>
                      <w:szCs w:val="21"/>
                      <w:u w:val="none"/>
                      <w:vertAlign w:val="superscript"/>
                      <w14:textFill>
                        <w14:solidFill>
                          <w14:schemeClr w14:val="tx1"/>
                        </w14:solidFill>
                      </w14:textFill>
                    </w:rPr>
                    <w:t>2</w:t>
                  </w:r>
                </w:p>
              </w:tc>
              <w:tc>
                <w:tcPr>
                  <w:tcW w:w="384" w:type="pct"/>
                  <w:tcBorders>
                    <w:bottom w:val="single" w:color="000000" w:sz="4" w:space="0"/>
                  </w:tcBorders>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vMerge w:val="continue"/>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c>
                <w:tcPr>
                  <w:tcW w:w="383" w:type="pct"/>
                  <w:noWrap/>
                  <w:vAlign w:val="center"/>
                </w:tcPr>
                <w:p>
                  <w:pPr>
                    <w:spacing w:line="240" w:lineRule="auto"/>
                    <w:ind w:firstLine="0" w:firstLineChars="0"/>
                    <w:jc w:val="center"/>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食堂</w:t>
                  </w:r>
                </w:p>
              </w:tc>
              <w:tc>
                <w:tcPr>
                  <w:tcW w:w="3848" w:type="pct"/>
                  <w:tcBorders>
                    <w:bottom w:val="single" w:color="000000" w:sz="4" w:space="0"/>
                  </w:tcBorders>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位于办公楼西北侧，建筑面积104m</w:t>
                  </w:r>
                  <w:r>
                    <w:rPr>
                      <w:rFonts w:hint="eastAsia"/>
                      <w:color w:val="000000" w:themeColor="text1"/>
                      <w:sz w:val="21"/>
                      <w:szCs w:val="21"/>
                      <w:u w:val="none"/>
                      <w:vertAlign w:val="superscript"/>
                      <w:lang w:val="en-US" w:eastAsia="zh-CN"/>
                      <w14:textFill>
                        <w14:solidFill>
                          <w14:schemeClr w14:val="tx1"/>
                        </w14:solidFill>
                      </w14:textFill>
                    </w:rPr>
                    <w:t>2</w:t>
                  </w:r>
                </w:p>
              </w:tc>
              <w:tc>
                <w:tcPr>
                  <w:tcW w:w="384" w:type="pct"/>
                  <w:tcBorders>
                    <w:bottom w:val="single" w:color="000000" w:sz="4" w:space="0"/>
                  </w:tcBorders>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公用工程</w:t>
                  </w: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给水</w:t>
                  </w:r>
                </w:p>
              </w:tc>
              <w:tc>
                <w:tcPr>
                  <w:tcW w:w="3848"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市政供水</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排水</w:t>
                  </w:r>
                </w:p>
              </w:tc>
              <w:tc>
                <w:tcPr>
                  <w:tcW w:w="3848"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 xml:space="preserve">雨污分流 </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供电</w:t>
                  </w:r>
                </w:p>
              </w:tc>
              <w:tc>
                <w:tcPr>
                  <w:tcW w:w="3848"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 xml:space="preserve">市政供电 </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环保工程</w:t>
                  </w: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废水治理</w:t>
                  </w:r>
                </w:p>
              </w:tc>
              <w:tc>
                <w:tcPr>
                  <w:tcW w:w="3848"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生活污水经化粪池处理后排入下河线污水处理厂</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废气治理</w:t>
                  </w:r>
                </w:p>
              </w:tc>
              <w:tc>
                <w:tcPr>
                  <w:tcW w:w="3848" w:type="pct"/>
                  <w:noWrap/>
                  <w:vAlign w:val="center"/>
                </w:tcPr>
                <w:p>
                  <w:pPr>
                    <w:spacing w:line="240" w:lineRule="auto"/>
                    <w:ind w:firstLine="0" w:firstLineChars="0"/>
                    <w:jc w:val="left"/>
                    <w:rPr>
                      <w:rFonts w:hint="eastAsia"/>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DA001剪板、喷塑废气经</w:t>
                  </w:r>
                  <w:r>
                    <w:rPr>
                      <w:rFonts w:hint="eastAsia"/>
                      <w:color w:val="000000" w:themeColor="text1"/>
                      <w:u w:val="none"/>
                      <w:lang w:val="en-US" w:eastAsia="zh-CN"/>
                      <w14:textFill>
                        <w14:solidFill>
                          <w14:schemeClr w14:val="tx1"/>
                        </w14:solidFill>
                      </w14:textFill>
                    </w:rPr>
                    <w:t>集气罩+袋式除尘器+</w:t>
                  </w:r>
                  <w:r>
                    <w:rPr>
                      <w:rFonts w:hint="eastAsia"/>
                      <w:color w:val="000000" w:themeColor="text1"/>
                      <w:sz w:val="21"/>
                      <w:szCs w:val="21"/>
                      <w:highlight w:val="none"/>
                      <w:u w:val="none"/>
                      <w:lang w:val="en-US" w:eastAsia="zh-CN"/>
                      <w14:textFill>
                        <w14:solidFill>
                          <w14:schemeClr w14:val="tx1"/>
                        </w14:solidFill>
                      </w14:textFill>
                    </w:rPr>
                    <w:t>15m高排气筒排放，</w:t>
                  </w:r>
                </w:p>
                <w:p>
                  <w:pPr>
                    <w:spacing w:line="240" w:lineRule="auto"/>
                    <w:ind w:firstLine="0" w:firstLineChars="0"/>
                    <w:jc w:val="left"/>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DA002固化废气、天然气燃烧废气经管道收集</w:t>
                  </w:r>
                  <w:r>
                    <w:rPr>
                      <w:rFonts w:hint="eastAsia"/>
                      <w:color w:val="000000" w:themeColor="text1"/>
                      <w:u w:val="none"/>
                      <w:lang w:val="en-US" w:eastAsia="zh-CN"/>
                      <w14:textFill>
                        <w14:solidFill>
                          <w14:schemeClr w14:val="tx1"/>
                        </w14:solidFill>
                      </w14:textFill>
                    </w:rPr>
                    <w:t>+</w:t>
                  </w:r>
                  <w:r>
                    <w:rPr>
                      <w:rFonts w:hint="eastAsia"/>
                      <w:color w:val="000000" w:themeColor="text1"/>
                      <w:sz w:val="21"/>
                      <w:szCs w:val="21"/>
                      <w:highlight w:val="none"/>
                      <w:u w:val="none"/>
                      <w:lang w:val="en-US" w:eastAsia="zh-CN"/>
                      <w14:textFill>
                        <w14:solidFill>
                          <w14:schemeClr w14:val="tx1"/>
                        </w14:solidFill>
                      </w14:textFill>
                    </w:rPr>
                    <w:t>15m高排气筒排放，DA003食堂油烟经</w:t>
                  </w:r>
                  <w:r>
                    <w:rPr>
                      <w:rFonts w:hint="eastAsia"/>
                      <w:color w:val="000000" w:themeColor="text1"/>
                      <w:u w:val="none"/>
                      <w:lang w:val="en-US" w:eastAsia="zh-CN"/>
                      <w14:textFill>
                        <w14:solidFill>
                          <w14:schemeClr w14:val="tx1"/>
                        </w14:solidFill>
                      </w14:textFill>
                    </w:rPr>
                    <w:t>集气罩+油烟净化器+</w:t>
                  </w:r>
                  <w:r>
                    <w:rPr>
                      <w:rFonts w:hint="eastAsia"/>
                      <w:color w:val="000000" w:themeColor="text1"/>
                      <w:sz w:val="21"/>
                      <w:szCs w:val="21"/>
                      <w:highlight w:val="none"/>
                      <w:u w:val="none"/>
                      <w:lang w:val="en-US" w:eastAsia="zh-CN"/>
                      <w14:textFill>
                        <w14:solidFill>
                          <w14:schemeClr w14:val="tx1"/>
                        </w14:solidFill>
                      </w14:textFill>
                    </w:rPr>
                    <w:t>15m高排气筒排放</w:t>
                  </w:r>
                </w:p>
              </w:tc>
              <w:tc>
                <w:tcPr>
                  <w:tcW w:w="384"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噪声治理</w:t>
                  </w:r>
                </w:p>
              </w:tc>
              <w:tc>
                <w:tcPr>
                  <w:tcW w:w="3848"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噪声设备减振、厂房墙壁隔声等措施</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固废治理</w:t>
                  </w:r>
                </w:p>
              </w:tc>
              <w:tc>
                <w:tcPr>
                  <w:tcW w:w="3848" w:type="pct"/>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14:textFill>
                        <w14:solidFill>
                          <w14:schemeClr w14:val="tx1"/>
                        </w14:solidFill>
                      </w14:textFill>
                    </w:rPr>
                    <w:t>危废暂存间</w:t>
                  </w:r>
                  <w:r>
                    <w:rPr>
                      <w:rFonts w:hint="eastAsia"/>
                      <w:color w:val="000000" w:themeColor="text1"/>
                      <w:sz w:val="21"/>
                      <w:szCs w:val="21"/>
                      <w:u w:val="none"/>
                      <w:lang w:val="en-US" w:eastAsia="zh-CN"/>
                      <w14:textFill>
                        <w14:solidFill>
                          <w14:schemeClr w14:val="tx1"/>
                        </w14:solidFill>
                      </w14:textFill>
                    </w:rPr>
                    <w:t>1</w:t>
                  </w:r>
                  <w:r>
                    <w:rPr>
                      <w:rFonts w:hint="eastAsia"/>
                      <w:color w:val="000000" w:themeColor="text1"/>
                      <w:sz w:val="21"/>
                      <w:szCs w:val="21"/>
                      <w:u w:val="none"/>
                      <w14:textFill>
                        <w14:solidFill>
                          <w14:schemeClr w14:val="tx1"/>
                        </w14:solidFill>
                      </w14:textFill>
                    </w:rPr>
                    <w:t>0m</w:t>
                  </w:r>
                  <w:r>
                    <w:rPr>
                      <w:rFonts w:hint="eastAsia"/>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位于</w:t>
                  </w:r>
                  <w:r>
                    <w:rPr>
                      <w:rFonts w:hint="eastAsia"/>
                      <w:color w:val="000000" w:themeColor="text1"/>
                      <w:sz w:val="21"/>
                      <w:szCs w:val="21"/>
                      <w:u w:val="none"/>
                      <w:lang w:val="en-US" w:eastAsia="zh-CN"/>
                      <w14:textFill>
                        <w14:solidFill>
                          <w14:schemeClr w14:val="tx1"/>
                        </w14:solidFill>
                      </w14:textFill>
                    </w:rPr>
                    <w:t>生产车间的东北侧，</w:t>
                  </w:r>
                  <w:r>
                    <w:rPr>
                      <w:rFonts w:hint="eastAsia"/>
                      <w:color w:val="000000" w:themeColor="text1"/>
                      <w:sz w:val="21"/>
                      <w:szCs w:val="21"/>
                      <w:u w:val="none"/>
                      <w14:textFill>
                        <w14:solidFill>
                          <w14:schemeClr w14:val="tx1"/>
                        </w14:solidFill>
                      </w14:textFill>
                    </w:rPr>
                    <w:t>定期委托有危险废物处理处置资质的单位处置；一般固废间20m</w:t>
                  </w:r>
                  <w:r>
                    <w:rPr>
                      <w:rFonts w:hint="eastAsia"/>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14:textFill>
                        <w14:solidFill>
                          <w14:schemeClr w14:val="tx1"/>
                        </w14:solidFill>
                      </w14:textFill>
                    </w:rPr>
                    <w:t>位于</w:t>
                  </w:r>
                  <w:r>
                    <w:rPr>
                      <w:rFonts w:hint="eastAsia"/>
                      <w:color w:val="000000" w:themeColor="text1"/>
                      <w:sz w:val="21"/>
                      <w:szCs w:val="21"/>
                      <w:u w:val="none"/>
                      <w:lang w:val="en-US" w:eastAsia="zh-CN"/>
                      <w14:textFill>
                        <w14:solidFill>
                          <w14:schemeClr w14:val="tx1"/>
                        </w14:solidFill>
                      </w14:textFill>
                    </w:rPr>
                    <w:t>生产车间东北侧</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848"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生活垃圾统一收集，定期交环卫部门清运</w:t>
                  </w:r>
                </w:p>
              </w:tc>
              <w:tc>
                <w:tcPr>
                  <w:tcW w:w="384"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bl>
          <w:p>
            <w:pPr>
              <w:pStyle w:val="55"/>
              <w:rPr>
                <w:rFonts w:hint="eastAsia"/>
                <w:color w:val="auto"/>
                <w:highlight w:val="none"/>
              </w:rPr>
            </w:pPr>
            <w:r>
              <w:rPr>
                <w:rFonts w:hint="eastAsia"/>
                <w:color w:val="auto"/>
                <w:highlight w:val="none"/>
                <w:lang w:val="en-US" w:eastAsia="zh-CN"/>
              </w:rPr>
              <w:t>4、</w:t>
            </w:r>
            <w:r>
              <w:rPr>
                <w:rFonts w:hint="eastAsia"/>
                <w:color w:val="auto"/>
                <w:highlight w:val="none"/>
              </w:rPr>
              <w:t>产品方案</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本项目产品方案详见</w:t>
            </w:r>
            <w:r>
              <w:rPr>
                <w:rFonts w:hint="eastAsia"/>
                <w:color w:val="auto"/>
                <w:sz w:val="24"/>
                <w:highlight w:val="none"/>
                <w:lang w:val="en-US" w:eastAsia="zh-CN"/>
              </w:rPr>
              <w:t>下</w:t>
            </w:r>
            <w:r>
              <w:rPr>
                <w:rFonts w:hint="eastAsia"/>
                <w:color w:val="auto"/>
                <w:sz w:val="24"/>
                <w:highlight w:val="none"/>
              </w:rPr>
              <w:t>表。</w:t>
            </w:r>
          </w:p>
          <w:p>
            <w:pPr>
              <w:pStyle w:val="85"/>
              <w:bidi w:val="0"/>
              <w:rPr>
                <w:color w:val="auto"/>
                <w:highlight w:val="none"/>
              </w:rPr>
            </w:pPr>
            <w:r>
              <w:rPr>
                <w:rFonts w:hint="eastAsia"/>
                <w:color w:val="auto"/>
                <w:highlight w:val="none"/>
              </w:rPr>
              <w:t>本项目产品方案</w:t>
            </w:r>
            <w:r>
              <w:rPr>
                <w:color w:val="auto"/>
                <w:highlight w:val="none"/>
              </w:rPr>
              <w:t>一览表</w:t>
            </w:r>
          </w:p>
          <w:tbl>
            <w:tblPr>
              <w:tblStyle w:val="23"/>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1346"/>
              <w:gridCol w:w="1122"/>
              <w:gridCol w:w="1125"/>
              <w:gridCol w:w="1704"/>
              <w:gridCol w:w="279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 w:type="pct"/>
                  <w:tcBorders>
                    <w:tl2br w:val="nil"/>
                    <w:tr2bl w:val="nil"/>
                  </w:tcBorders>
                  <w:noWrap w:val="0"/>
                  <w:vAlign w:val="center"/>
                </w:tcPr>
                <w:p>
                  <w:pPr>
                    <w:adjustRightInd w:val="0"/>
                    <w:snapToGrid w:val="0"/>
                    <w:ind w:left="-105" w:leftChars="-50" w:right="-105" w:rightChars="-50"/>
                    <w:jc w:val="center"/>
                    <w:rPr>
                      <w:color w:val="auto"/>
                      <w:sz w:val="21"/>
                      <w:szCs w:val="21"/>
                      <w:highlight w:val="none"/>
                    </w:rPr>
                  </w:pPr>
                  <w:r>
                    <w:rPr>
                      <w:rFonts w:hint="eastAsia"/>
                      <w:color w:val="auto"/>
                      <w:sz w:val="21"/>
                      <w:szCs w:val="21"/>
                      <w:highlight w:val="none"/>
                    </w:rPr>
                    <w:t>序号</w:t>
                  </w:r>
                </w:p>
              </w:tc>
              <w:tc>
                <w:tcPr>
                  <w:tcW w:w="793" w:type="pct"/>
                  <w:tcBorders>
                    <w:tl2br w:val="nil"/>
                    <w:tr2bl w:val="nil"/>
                  </w:tcBorders>
                  <w:noWrap w:val="0"/>
                  <w:vAlign w:val="center"/>
                </w:tcPr>
                <w:p>
                  <w:pPr>
                    <w:adjustRightInd w:val="0"/>
                    <w:snapToGrid w:val="0"/>
                    <w:ind w:left="-63" w:leftChars="-30" w:right="-63" w:rightChars="-30"/>
                    <w:jc w:val="center"/>
                    <w:rPr>
                      <w:color w:val="auto"/>
                      <w:sz w:val="21"/>
                      <w:szCs w:val="21"/>
                      <w:highlight w:val="none"/>
                    </w:rPr>
                  </w:pPr>
                  <w:r>
                    <w:rPr>
                      <w:rFonts w:hint="eastAsia"/>
                      <w:color w:val="auto"/>
                      <w:sz w:val="21"/>
                      <w:szCs w:val="21"/>
                      <w:highlight w:val="none"/>
                    </w:rPr>
                    <w:t>产品名称</w:t>
                  </w:r>
                </w:p>
              </w:tc>
              <w:tc>
                <w:tcPr>
                  <w:tcW w:w="1324" w:type="pct"/>
                  <w:gridSpan w:val="2"/>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rPr>
                    <w:t>产量</w:t>
                  </w:r>
                  <w:r>
                    <w:rPr>
                      <w:rFonts w:hint="eastAsia"/>
                      <w:color w:val="auto"/>
                      <w:sz w:val="21"/>
                      <w:szCs w:val="21"/>
                      <w:highlight w:val="none"/>
                      <w:lang w:val="en-US" w:eastAsia="zh-CN"/>
                    </w:rPr>
                    <w:t>/年</w:t>
                  </w:r>
                </w:p>
              </w:tc>
              <w:tc>
                <w:tcPr>
                  <w:tcW w:w="1004"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eastAsia="zh-CN"/>
                    </w:rPr>
                  </w:pPr>
                  <w:r>
                    <w:rPr>
                      <w:rFonts w:hint="eastAsia"/>
                      <w:color w:val="auto"/>
                      <w:sz w:val="21"/>
                      <w:szCs w:val="21"/>
                      <w:highlight w:val="none"/>
                      <w:lang w:eastAsia="zh-CN"/>
                    </w:rPr>
                    <w:t>质量标准</w:t>
                  </w:r>
                </w:p>
              </w:tc>
              <w:tc>
                <w:tcPr>
                  <w:tcW w:w="1645"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eastAsia="zh-CN"/>
                    </w:rPr>
                  </w:pPr>
                  <w:r>
                    <w:rPr>
                      <w:rFonts w:hint="eastAsia"/>
                      <w:color w:val="auto"/>
                      <w:sz w:val="21"/>
                      <w:szCs w:val="21"/>
                      <w:highlight w:val="none"/>
                      <w:lang w:eastAsia="zh-CN"/>
                    </w:rPr>
                    <w:t>规格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32" w:type="pct"/>
                  <w:vMerge w:val="restart"/>
                  <w:tcBorders>
                    <w:tl2br w:val="nil"/>
                    <w:tr2bl w:val="nil"/>
                  </w:tcBorders>
                  <w:noWrap w:val="0"/>
                  <w:vAlign w:val="center"/>
                </w:tcPr>
                <w:p>
                  <w:pPr>
                    <w:adjustRightInd w:val="0"/>
                    <w:snapToGrid w:val="0"/>
                    <w:ind w:left="-105" w:leftChars="-50" w:right="-105" w:rightChars="-50"/>
                    <w:jc w:val="center"/>
                    <w:rPr>
                      <w:color w:val="auto"/>
                      <w:sz w:val="21"/>
                      <w:szCs w:val="21"/>
                      <w:highlight w:val="none"/>
                    </w:rPr>
                  </w:pPr>
                  <w:r>
                    <w:rPr>
                      <w:rFonts w:hint="eastAsia"/>
                      <w:color w:val="auto"/>
                      <w:sz w:val="21"/>
                      <w:szCs w:val="21"/>
                      <w:highlight w:val="none"/>
                    </w:rPr>
                    <w:t>1</w:t>
                  </w:r>
                </w:p>
              </w:tc>
              <w:tc>
                <w:tcPr>
                  <w:tcW w:w="793" w:type="pct"/>
                  <w:vMerge w:val="restar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路灯杆</w:t>
                  </w:r>
                </w:p>
              </w:tc>
              <w:tc>
                <w:tcPr>
                  <w:tcW w:w="661" w:type="pct"/>
                  <w:vMerge w:val="restar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rPr>
                  </w:pPr>
                  <w:r>
                    <w:rPr>
                      <w:rFonts w:hint="eastAsia"/>
                      <w:color w:val="auto"/>
                      <w:sz w:val="21"/>
                      <w:szCs w:val="21"/>
                      <w:highlight w:val="none"/>
                      <w:lang w:val="en-US" w:eastAsia="zh-CN"/>
                    </w:rPr>
                    <w:t>10万套</w:t>
                  </w:r>
                </w:p>
              </w:tc>
              <w:tc>
                <w:tcPr>
                  <w:tcW w:w="663"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1万套</w:t>
                  </w:r>
                </w:p>
              </w:tc>
              <w:tc>
                <w:tcPr>
                  <w:tcW w:w="1004" w:type="pct"/>
                  <w:vMerge w:val="restar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GB24460-2009</w:t>
                  </w:r>
                </w:p>
              </w:tc>
              <w:tc>
                <w:tcPr>
                  <w:tcW w:w="1645"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圆柱形，直径120mm，长5m</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32" w:type="pct"/>
                  <w:vMerge w:val="continue"/>
                  <w:tcBorders>
                    <w:tl2br w:val="nil"/>
                    <w:tr2bl w:val="nil"/>
                  </w:tcBorders>
                  <w:noWrap w:val="0"/>
                  <w:vAlign w:val="center"/>
                </w:tcPr>
                <w:p>
                  <w:pPr>
                    <w:adjustRightInd w:val="0"/>
                    <w:snapToGrid w:val="0"/>
                    <w:ind w:left="-63" w:leftChars="-30" w:right="-63" w:rightChars="-30"/>
                    <w:jc w:val="center"/>
                    <w:rPr>
                      <w:color w:val="auto"/>
                      <w:highlight w:val="none"/>
                    </w:rPr>
                  </w:pPr>
                </w:p>
              </w:tc>
              <w:tc>
                <w:tcPr>
                  <w:tcW w:w="793" w:type="pct"/>
                  <w:vMerge w:val="continue"/>
                  <w:tcBorders>
                    <w:tl2br w:val="nil"/>
                    <w:tr2bl w:val="nil"/>
                  </w:tcBorders>
                  <w:noWrap w:val="0"/>
                  <w:vAlign w:val="center"/>
                </w:tcPr>
                <w:p>
                  <w:pPr>
                    <w:adjustRightInd w:val="0"/>
                    <w:snapToGrid w:val="0"/>
                    <w:ind w:left="-63" w:leftChars="-30" w:right="-63" w:rightChars="-30"/>
                    <w:jc w:val="center"/>
                    <w:rPr>
                      <w:color w:val="auto"/>
                      <w:highlight w:val="none"/>
                    </w:rPr>
                  </w:pPr>
                </w:p>
              </w:tc>
              <w:tc>
                <w:tcPr>
                  <w:tcW w:w="661" w:type="pct"/>
                  <w:vMerge w:val="continue"/>
                  <w:tcBorders>
                    <w:tl2br w:val="nil"/>
                    <w:tr2bl w:val="nil"/>
                  </w:tcBorders>
                  <w:noWrap w:val="0"/>
                  <w:vAlign w:val="center"/>
                </w:tcPr>
                <w:p>
                  <w:pPr>
                    <w:adjustRightInd w:val="0"/>
                    <w:snapToGrid w:val="0"/>
                    <w:ind w:left="-63" w:leftChars="-30" w:right="-63" w:rightChars="-30"/>
                    <w:jc w:val="center"/>
                    <w:rPr>
                      <w:color w:val="auto"/>
                      <w:highlight w:val="none"/>
                    </w:rPr>
                  </w:pPr>
                </w:p>
              </w:tc>
              <w:tc>
                <w:tcPr>
                  <w:tcW w:w="663"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7万套</w:t>
                  </w:r>
                </w:p>
              </w:tc>
              <w:tc>
                <w:tcPr>
                  <w:tcW w:w="1004"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1645"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圆柱形，直径120mm，长6m</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32"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793"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661"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663"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1万套</w:t>
                  </w:r>
                </w:p>
              </w:tc>
              <w:tc>
                <w:tcPr>
                  <w:tcW w:w="1004"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1645"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圆柱形，直径140mm，长7m</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32"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793"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661"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663"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1万套</w:t>
                  </w:r>
                </w:p>
              </w:tc>
              <w:tc>
                <w:tcPr>
                  <w:tcW w:w="1004"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1645"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圆柱形，直径160mm，长8m</w:t>
                  </w:r>
                </w:p>
              </w:tc>
            </w:tr>
          </w:tbl>
          <w:p>
            <w:pPr>
              <w:pStyle w:val="55"/>
              <w:rPr>
                <w:rFonts w:hint="eastAsia"/>
                <w:color w:val="auto"/>
                <w:highlight w:val="none"/>
              </w:rPr>
            </w:pPr>
            <w:r>
              <w:rPr>
                <w:rFonts w:hint="eastAsia"/>
                <w:color w:val="auto"/>
                <w:highlight w:val="none"/>
                <w:lang w:val="en-US" w:eastAsia="zh-CN"/>
              </w:rPr>
              <w:t>5、</w:t>
            </w:r>
            <w:r>
              <w:rPr>
                <w:rFonts w:hint="eastAsia"/>
                <w:color w:val="auto"/>
                <w:highlight w:val="none"/>
              </w:rPr>
              <w:t>主要原辅材料</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本项目</w:t>
            </w:r>
            <w:r>
              <w:rPr>
                <w:color w:val="auto"/>
                <w:sz w:val="24"/>
                <w:highlight w:val="none"/>
              </w:rPr>
              <w:t>主要原辅材料</w:t>
            </w:r>
            <w:r>
              <w:rPr>
                <w:rFonts w:hint="eastAsia"/>
                <w:color w:val="auto"/>
                <w:sz w:val="24"/>
                <w:szCs w:val="24"/>
                <w:highlight w:val="none"/>
              </w:rPr>
              <w:t>及资源能源消耗</w:t>
            </w:r>
            <w:r>
              <w:rPr>
                <w:color w:val="auto"/>
                <w:sz w:val="24"/>
                <w:highlight w:val="none"/>
              </w:rPr>
              <w:t>详见</w:t>
            </w:r>
            <w:r>
              <w:rPr>
                <w:rFonts w:hint="eastAsia"/>
                <w:color w:val="auto"/>
                <w:sz w:val="24"/>
                <w:highlight w:val="none"/>
              </w:rPr>
              <w:t>下表。</w:t>
            </w:r>
          </w:p>
          <w:p>
            <w:pPr>
              <w:pStyle w:val="85"/>
              <w:bidi w:val="0"/>
              <w:rPr>
                <w:rFonts w:hint="eastAsia"/>
                <w:color w:val="auto"/>
                <w:highlight w:val="none"/>
              </w:rPr>
            </w:pPr>
            <w:r>
              <w:rPr>
                <w:rFonts w:hint="eastAsia"/>
                <w:color w:val="auto"/>
                <w:highlight w:val="none"/>
              </w:rPr>
              <w:t>主要原辅材料及资源能源消耗一览表</w:t>
            </w:r>
          </w:p>
          <w:tbl>
            <w:tblPr>
              <w:tblStyle w:val="23"/>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788"/>
              <w:gridCol w:w="1190"/>
              <w:gridCol w:w="971"/>
              <w:gridCol w:w="2681"/>
              <w:gridCol w:w="878"/>
              <w:gridCol w:w="144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序号</w:t>
                  </w:r>
                </w:p>
              </w:tc>
              <w:tc>
                <w:tcPr>
                  <w:tcW w:w="464"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名称</w:t>
                  </w:r>
                </w:p>
              </w:tc>
              <w:tc>
                <w:tcPr>
                  <w:tcW w:w="701"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年消耗量</w:t>
                  </w:r>
                </w:p>
              </w:tc>
              <w:tc>
                <w:tcPr>
                  <w:tcW w:w="572"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单位</w:t>
                  </w:r>
                </w:p>
              </w:tc>
              <w:tc>
                <w:tcPr>
                  <w:tcW w:w="1579"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规格参数</w:t>
                  </w:r>
                </w:p>
              </w:tc>
              <w:tc>
                <w:tcPr>
                  <w:tcW w:w="517"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最大贮存量</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次）</w:t>
                  </w:r>
                </w:p>
              </w:tc>
              <w:tc>
                <w:tcPr>
                  <w:tcW w:w="853" w:type="pct"/>
                  <w:tcBorders>
                    <w:tl2br w:val="nil"/>
                    <w:tr2bl w:val="nil"/>
                  </w:tcBorders>
                  <w:noWrap w:val="0"/>
                  <w:vAlign w:val="center"/>
                </w:tcPr>
                <w:p>
                  <w:pPr>
                    <w:adjustRightInd w:val="0"/>
                    <w:snapToGrid w:val="0"/>
                    <w:jc w:val="center"/>
                    <w:rPr>
                      <w:rFonts w:hint="eastAsia" w:eastAsia="宋体"/>
                      <w:color w:val="auto"/>
                      <w:sz w:val="21"/>
                      <w:szCs w:val="21"/>
                      <w:highlight w:val="none"/>
                      <w:lang w:eastAsia="zh-CN"/>
                    </w:rPr>
                  </w:pPr>
                  <w:r>
                    <w:rPr>
                      <w:rFonts w:hint="eastAsia"/>
                      <w:color w:val="auto"/>
                      <w:sz w:val="21"/>
                      <w:szCs w:val="21"/>
                      <w:highlight w:val="none"/>
                      <w:lang w:eastAsia="zh-CN"/>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464"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钢材</w:t>
                  </w:r>
                </w:p>
              </w:tc>
              <w:tc>
                <w:tcPr>
                  <w:tcW w:w="701"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860</w:t>
                  </w:r>
                </w:p>
              </w:tc>
              <w:tc>
                <w:tcPr>
                  <w:tcW w:w="572"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color w:val="auto"/>
                      <w:sz w:val="21"/>
                      <w:szCs w:val="21"/>
                      <w:highlight w:val="none"/>
                    </w:rPr>
                    <w:t>t/a</w:t>
                  </w:r>
                </w:p>
              </w:tc>
              <w:tc>
                <w:tcPr>
                  <w:tcW w:w="1579"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厚度8mm，5t/卷</w:t>
                  </w:r>
                </w:p>
              </w:tc>
              <w:tc>
                <w:tcPr>
                  <w:tcW w:w="517"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853"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464"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塑粉粉末涂料</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30</w:t>
                  </w:r>
                </w:p>
              </w:tc>
              <w:tc>
                <w:tcPr>
                  <w:tcW w:w="5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t/a</w:t>
                  </w:r>
                </w:p>
              </w:tc>
              <w:tc>
                <w:tcPr>
                  <w:tcW w:w="1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20kg/箱</w:t>
                  </w:r>
                </w:p>
              </w:tc>
              <w:tc>
                <w:tcPr>
                  <w:tcW w:w="5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853"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464"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焊丝</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5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t/a</w:t>
                  </w:r>
                </w:p>
              </w:tc>
              <w:tc>
                <w:tcPr>
                  <w:tcW w:w="1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15kg/箱</w:t>
                  </w:r>
                </w:p>
              </w:tc>
              <w:tc>
                <w:tcPr>
                  <w:tcW w:w="5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0.3</w:t>
                  </w:r>
                </w:p>
              </w:tc>
              <w:tc>
                <w:tcPr>
                  <w:tcW w:w="853"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464"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法兰</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50000</w:t>
                  </w:r>
                </w:p>
              </w:tc>
              <w:tc>
                <w:tcPr>
                  <w:tcW w:w="5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个</w:t>
                  </w:r>
                </w:p>
              </w:tc>
              <w:tc>
                <w:tcPr>
                  <w:tcW w:w="1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平均0.2kg/个</w:t>
                  </w:r>
                </w:p>
              </w:tc>
              <w:tc>
                <w:tcPr>
                  <w:tcW w:w="5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1000个</w:t>
                  </w:r>
                </w:p>
              </w:tc>
              <w:tc>
                <w:tcPr>
                  <w:tcW w:w="853"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464" w:type="pct"/>
                  <w:tcBorders>
                    <w:tl2br w:val="nil"/>
                    <w:tr2bl w:val="nil"/>
                  </w:tcBorders>
                  <w:noWrap w:val="0"/>
                  <w:vAlign w:val="center"/>
                </w:tcPr>
                <w:p>
                  <w:pPr>
                    <w:adjustRightInd w:val="0"/>
                    <w:snapToGrid w:val="0"/>
                    <w:jc w:val="center"/>
                    <w:rPr>
                      <w:color w:val="auto"/>
                      <w:sz w:val="21"/>
                      <w:szCs w:val="21"/>
                      <w:highlight w:val="none"/>
                    </w:rPr>
                  </w:pPr>
                  <w:r>
                    <w:rPr>
                      <w:rFonts w:hint="eastAsia"/>
                      <w:color w:val="auto"/>
                      <w:sz w:val="21"/>
                      <w:szCs w:val="21"/>
                      <w:highlight w:val="none"/>
                      <w:lang w:eastAsia="zh-CN"/>
                    </w:rPr>
                    <w:t>润滑</w:t>
                  </w:r>
                  <w:r>
                    <w:rPr>
                      <w:color w:val="auto"/>
                      <w:sz w:val="21"/>
                      <w:szCs w:val="21"/>
                      <w:highlight w:val="none"/>
                    </w:rPr>
                    <w:t>油</w:t>
                  </w:r>
                </w:p>
              </w:tc>
              <w:tc>
                <w:tcPr>
                  <w:tcW w:w="70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0.5</w:t>
                  </w:r>
                </w:p>
              </w:tc>
              <w:tc>
                <w:tcPr>
                  <w:tcW w:w="572"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t/a</w:t>
                  </w:r>
                </w:p>
              </w:tc>
              <w:tc>
                <w:tcPr>
                  <w:tcW w:w="1579" w:type="pct"/>
                  <w:tcBorders>
                    <w:tl2br w:val="nil"/>
                    <w:tr2bl w:val="nil"/>
                  </w:tcBorders>
                  <w:noWrap w:val="0"/>
                  <w:vAlign w:val="center"/>
                </w:tcPr>
                <w:p>
                  <w:pPr>
                    <w:adjustRightInd w:val="0"/>
                    <w:snapToGrid w:val="0"/>
                    <w:jc w:val="center"/>
                    <w:rPr>
                      <w:rFonts w:hint="eastAsia" w:eastAsia="宋体"/>
                      <w:color w:val="auto"/>
                      <w:sz w:val="21"/>
                      <w:szCs w:val="21"/>
                      <w:highlight w:val="none"/>
                      <w:lang w:eastAsia="zh-CN"/>
                    </w:rPr>
                  </w:pPr>
                  <w:r>
                    <w:rPr>
                      <w:rFonts w:hint="eastAsia"/>
                      <w:color w:val="auto"/>
                      <w:sz w:val="21"/>
                      <w:szCs w:val="21"/>
                      <w:highlight w:val="none"/>
                      <w:lang w:val="en-US" w:eastAsia="zh-CN"/>
                    </w:rPr>
                    <w:t>/</w:t>
                  </w:r>
                </w:p>
              </w:tc>
              <w:tc>
                <w:tcPr>
                  <w:tcW w:w="517"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0</w:t>
                  </w:r>
                </w:p>
              </w:tc>
              <w:tc>
                <w:tcPr>
                  <w:tcW w:w="853"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464"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新鲜水</w:t>
                  </w:r>
                </w:p>
              </w:tc>
              <w:tc>
                <w:tcPr>
                  <w:tcW w:w="701" w:type="pct"/>
                  <w:tcBorders>
                    <w:tl2br w:val="nil"/>
                    <w:tr2bl w:val="nil"/>
                  </w:tcBorders>
                  <w:noWrap w:val="0"/>
                  <w:vAlign w:val="center"/>
                </w:tcPr>
                <w:p>
                  <w:pPr>
                    <w:adjustRightInd w:val="0"/>
                    <w:snapToGrid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405</w:t>
                  </w:r>
                </w:p>
              </w:tc>
              <w:tc>
                <w:tcPr>
                  <w:tcW w:w="572" w:type="pct"/>
                  <w:tcBorders>
                    <w:tl2br w:val="nil"/>
                    <w:tr2bl w:val="nil"/>
                  </w:tcBorders>
                  <w:noWrap w:val="0"/>
                  <w:vAlign w:val="center"/>
                </w:tcPr>
                <w:p>
                  <w:pPr>
                    <w:adjustRightInd w:val="0"/>
                    <w:snapToGrid w:val="0"/>
                    <w:jc w:val="center"/>
                    <w:rPr>
                      <w:color w:val="auto"/>
                      <w:sz w:val="21"/>
                      <w:szCs w:val="21"/>
                      <w:highlight w:val="none"/>
                    </w:rPr>
                  </w:pPr>
                  <w:r>
                    <w:rPr>
                      <w:rFonts w:hint="eastAsia"/>
                      <w:color w:val="auto"/>
                      <w:sz w:val="21"/>
                      <w:szCs w:val="21"/>
                      <w:highlight w:val="none"/>
                      <w:lang w:val="en-US" w:eastAsia="zh-CN"/>
                    </w:rPr>
                    <w:t>m</w:t>
                  </w:r>
                  <w:r>
                    <w:rPr>
                      <w:rFonts w:hint="eastAsia"/>
                      <w:color w:val="auto"/>
                      <w:sz w:val="21"/>
                      <w:szCs w:val="21"/>
                      <w:highlight w:val="none"/>
                      <w:vertAlign w:val="superscript"/>
                      <w:lang w:val="en-US" w:eastAsia="zh-CN"/>
                    </w:rPr>
                    <w:t>3</w:t>
                  </w:r>
                  <w:r>
                    <w:rPr>
                      <w:color w:val="auto"/>
                      <w:sz w:val="21"/>
                      <w:szCs w:val="21"/>
                      <w:highlight w:val="none"/>
                    </w:rPr>
                    <w:t>/a</w:t>
                  </w:r>
                </w:p>
              </w:tc>
              <w:tc>
                <w:tcPr>
                  <w:tcW w:w="1579"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517"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853"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464"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用电量</w:t>
                  </w:r>
                </w:p>
              </w:tc>
              <w:tc>
                <w:tcPr>
                  <w:tcW w:w="701"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w:t>
                  </w:r>
                  <w:r>
                    <w:rPr>
                      <w:color w:val="000000" w:themeColor="text1"/>
                      <w:sz w:val="21"/>
                      <w:szCs w:val="21"/>
                      <w:highlight w:val="none"/>
                      <w14:textFill>
                        <w14:solidFill>
                          <w14:schemeClr w14:val="tx1"/>
                        </w14:solidFill>
                      </w14:textFill>
                    </w:rPr>
                    <w:t>万</w:t>
                  </w:r>
                </w:p>
              </w:tc>
              <w:tc>
                <w:tcPr>
                  <w:tcW w:w="572"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kW•h/a</w:t>
                  </w:r>
                </w:p>
              </w:tc>
              <w:tc>
                <w:tcPr>
                  <w:tcW w:w="1579"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517" w:type="pc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853"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adjustRightInd w:val="0"/>
                    <w:snapToGrid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c>
                <w:tcPr>
                  <w:tcW w:w="464"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天然气</w:t>
                  </w:r>
                </w:p>
              </w:tc>
              <w:tc>
                <w:tcPr>
                  <w:tcW w:w="701"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7.56</w:t>
                  </w:r>
                  <w:r>
                    <w:rPr>
                      <w:color w:val="000000" w:themeColor="text1"/>
                      <w:sz w:val="21"/>
                      <w:szCs w:val="21"/>
                      <w:highlight w:val="none"/>
                      <w14:textFill>
                        <w14:solidFill>
                          <w14:schemeClr w14:val="tx1"/>
                        </w14:solidFill>
                      </w14:textFill>
                    </w:rPr>
                    <w:t>万</w:t>
                  </w:r>
                </w:p>
              </w:tc>
              <w:tc>
                <w:tcPr>
                  <w:tcW w:w="572"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m</w:t>
                  </w:r>
                  <w:r>
                    <w:rPr>
                      <w:color w:val="000000" w:themeColor="text1"/>
                      <w:sz w:val="21"/>
                      <w:szCs w:val="21"/>
                      <w:highlight w:val="none"/>
                      <w:vertAlign w:val="superscript"/>
                      <w14:textFill>
                        <w14:solidFill>
                          <w14:schemeClr w14:val="tx1"/>
                        </w14:solidFill>
                      </w14:textFill>
                    </w:rPr>
                    <w:t>3</w:t>
                  </w:r>
                  <w:r>
                    <w:rPr>
                      <w:color w:val="000000" w:themeColor="text1"/>
                      <w:sz w:val="21"/>
                      <w:szCs w:val="21"/>
                      <w:highlight w:val="none"/>
                      <w14:textFill>
                        <w14:solidFill>
                          <w14:schemeClr w14:val="tx1"/>
                        </w14:solidFill>
                      </w14:textFill>
                    </w:rPr>
                    <w:t>/a</w:t>
                  </w:r>
                </w:p>
              </w:tc>
              <w:tc>
                <w:tcPr>
                  <w:tcW w:w="1579"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管道供应</w:t>
                  </w:r>
                </w:p>
              </w:tc>
              <w:tc>
                <w:tcPr>
                  <w:tcW w:w="517" w:type="pct"/>
                  <w:tcBorders>
                    <w:tl2br w:val="nil"/>
                    <w:tr2bl w:val="nil"/>
                  </w:tcBorders>
                  <w:noWrap w:val="0"/>
                  <w:vAlign w:val="center"/>
                </w:tcPr>
                <w:p>
                  <w:pPr>
                    <w:adjustRightInd w:val="0"/>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853" w:type="pct"/>
                  <w:tcBorders>
                    <w:tl2br w:val="nil"/>
                    <w:tr2bl w:val="nil"/>
                  </w:tcBorders>
                  <w:noWrap w:val="0"/>
                  <w:vAlign w:val="center"/>
                </w:tcPr>
                <w:p>
                  <w:pPr>
                    <w:adjustRightInd w:val="0"/>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bl>
          <w:p>
            <w:pPr>
              <w:pStyle w:val="85"/>
              <w:keepNext w:val="0"/>
              <w:keepLines w:val="0"/>
              <w:pageBreakBefore w:val="0"/>
              <w:widowControl w:val="0"/>
              <w:numPr>
                <w:ilvl w:val="0"/>
                <w:numId w:val="0"/>
              </w:numPr>
              <w:kinsoku/>
              <w:wordWrap/>
              <w:overflowPunct/>
              <w:topLinePunct w:val="0"/>
              <w:autoSpaceDE/>
              <w:autoSpaceDN/>
              <w:bidi w:val="0"/>
              <w:ind w:left="0" w:leftChars="0" w:firstLine="480" w:firstLineChars="200"/>
              <w:jc w:val="both"/>
              <w:textAlignment w:val="auto"/>
              <w:rPr>
                <w:rFonts w:hint="eastAsia"/>
                <w:color w:val="auto"/>
                <w:highlight w:val="none"/>
                <w:lang w:val="en-US" w:eastAsia="zh-CN"/>
              </w:rPr>
            </w:pPr>
            <w:r>
              <w:rPr>
                <w:rFonts w:hint="eastAsia"/>
                <w:color w:val="auto"/>
                <w:highlight w:val="none"/>
                <w:lang w:val="en-US" w:eastAsia="zh-CN"/>
              </w:rPr>
              <w:t>塑粉粉末涂料用量核算采用以下公式计算：</w:t>
            </w:r>
          </w:p>
          <w:p>
            <w:pPr>
              <w:pStyle w:val="85"/>
              <w:keepNext w:val="0"/>
              <w:keepLines w:val="0"/>
              <w:pageBreakBefore w:val="0"/>
              <w:widowControl w:val="0"/>
              <w:numPr>
                <w:ilvl w:val="0"/>
                <w:numId w:val="0"/>
              </w:numPr>
              <w:kinsoku/>
              <w:wordWrap/>
              <w:overflowPunct/>
              <w:topLinePunct w:val="0"/>
              <w:autoSpaceDE/>
              <w:autoSpaceDN/>
              <w:bidi w:val="0"/>
              <w:ind w:left="0" w:leftChars="0" w:firstLine="480" w:firstLineChars="200"/>
              <w:jc w:val="both"/>
              <w:textAlignment w:val="auto"/>
              <w:rPr>
                <w:color w:val="auto"/>
                <w:highlight w:val="none"/>
              </w:rPr>
            </w:pPr>
            <w:r>
              <w:rPr>
                <w:color w:val="auto"/>
                <w:position w:val="-10"/>
                <w:highlight w:val="none"/>
              </w:rPr>
              <w:object>
                <v:shape id="_x0000_i1025" o:spt="75" type="#_x0000_t75" style="height:18pt;width:114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color w:val="auto"/>
                <w:sz w:val="24"/>
                <w:highlight w:val="none"/>
              </w:rPr>
            </w:pPr>
            <w:r>
              <w:rPr>
                <w:color w:val="auto"/>
                <w:highlight w:val="none"/>
              </w:rPr>
              <w:t>其</w:t>
            </w:r>
            <w:r>
              <w:rPr>
                <w:color w:val="auto"/>
                <w:sz w:val="24"/>
                <w:highlight w:val="none"/>
              </w:rPr>
              <w:t>中：m—</w:t>
            </w:r>
            <w:r>
              <w:rPr>
                <w:rFonts w:hint="eastAsia"/>
                <w:color w:val="auto"/>
                <w:sz w:val="24"/>
                <w:highlight w:val="none"/>
                <w:lang w:val="en-US" w:eastAsia="zh-CN"/>
              </w:rPr>
              <w:t>涂</w:t>
            </w:r>
            <w:r>
              <w:rPr>
                <w:color w:val="auto"/>
                <w:sz w:val="24"/>
                <w:highlight w:val="none"/>
              </w:rPr>
              <w:t>料总用量（t/a）；</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color w:val="auto"/>
                <w:sz w:val="24"/>
                <w:highlight w:val="none"/>
                <w:lang w:bidi="ar"/>
              </w:rPr>
            </w:pPr>
            <w:r>
              <w:rPr>
                <w:color w:val="auto"/>
                <w:sz w:val="24"/>
                <w:highlight w:val="none"/>
                <w:lang w:bidi="ar"/>
              </w:rPr>
              <w:t>s—喷</w:t>
            </w:r>
            <w:r>
              <w:rPr>
                <w:rFonts w:hint="eastAsia"/>
                <w:color w:val="auto"/>
                <w:sz w:val="24"/>
                <w:highlight w:val="none"/>
                <w:lang w:val="en-US" w:eastAsia="zh-CN" w:bidi="ar"/>
              </w:rPr>
              <w:t>涂</w:t>
            </w:r>
            <w:r>
              <w:rPr>
                <w:color w:val="auto"/>
                <w:sz w:val="24"/>
                <w:highlight w:val="none"/>
                <w:lang w:bidi="ar"/>
              </w:rPr>
              <w:t>总面积（m</w:t>
            </w:r>
            <w:r>
              <w:rPr>
                <w:color w:val="auto"/>
                <w:sz w:val="24"/>
                <w:highlight w:val="none"/>
                <w:vertAlign w:val="superscript"/>
                <w:lang w:bidi="ar"/>
              </w:rPr>
              <w:t>2</w:t>
            </w:r>
            <w:r>
              <w:rPr>
                <w:color w:val="auto"/>
                <w:sz w:val="24"/>
                <w:highlight w:val="none"/>
                <w:lang w:bidi="ar"/>
              </w:rPr>
              <w:t>/a）；</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color w:val="auto"/>
                <w:sz w:val="24"/>
                <w:highlight w:val="none"/>
                <w:lang w:bidi="ar"/>
              </w:rPr>
            </w:pPr>
            <w:r>
              <w:rPr>
                <w:color w:val="auto"/>
                <w:sz w:val="24"/>
                <w:highlight w:val="none"/>
                <w:lang w:bidi="ar"/>
              </w:rPr>
              <w:t>δ—涂层厚度（μm）</w:t>
            </w:r>
            <w:r>
              <w:rPr>
                <w:rFonts w:hint="default" w:ascii="Times New Roman" w:hAnsi="Times New Roman" w:cs="Times New Roman"/>
                <w:color w:val="auto"/>
                <w:sz w:val="24"/>
                <w:highlight w:val="none"/>
                <w:lang w:eastAsia="zh-CN" w:bidi="ar"/>
              </w:rPr>
              <w:t>，路灯杆涂层厚度范围为60-70μm，环评取中间值65μm</w:t>
            </w:r>
            <w:r>
              <w:rPr>
                <w:rFonts w:hint="default" w:ascii="Times New Roman" w:hAnsi="Times New Roman" w:cs="Times New Roman"/>
                <w:color w:val="auto"/>
                <w:sz w:val="24"/>
                <w:highlight w:val="none"/>
                <w:lang w:bidi="ar"/>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color w:val="auto"/>
                <w:sz w:val="24"/>
                <w:highlight w:val="none"/>
              </w:rPr>
            </w:pPr>
            <w:r>
              <w:rPr>
                <w:color w:val="auto"/>
                <w:sz w:val="24"/>
                <w:highlight w:val="none"/>
                <w:lang w:bidi="ar"/>
              </w:rPr>
              <w:t>ρ—</w:t>
            </w:r>
            <w:r>
              <w:rPr>
                <w:rFonts w:hint="eastAsia"/>
                <w:color w:val="auto"/>
                <w:sz w:val="24"/>
                <w:highlight w:val="none"/>
                <w:lang w:val="en-US" w:eastAsia="zh-CN" w:bidi="ar"/>
              </w:rPr>
              <w:t>涂</w:t>
            </w:r>
            <w:r>
              <w:rPr>
                <w:color w:val="auto"/>
                <w:sz w:val="24"/>
                <w:highlight w:val="none"/>
                <w:lang w:bidi="ar"/>
              </w:rPr>
              <w:t>料密度（g/cm</w:t>
            </w:r>
            <w:r>
              <w:rPr>
                <w:color w:val="auto"/>
                <w:sz w:val="24"/>
                <w:highlight w:val="none"/>
                <w:vertAlign w:val="superscript"/>
                <w:lang w:bidi="ar"/>
              </w:rPr>
              <w:t>3</w:t>
            </w:r>
            <w:r>
              <w:rPr>
                <w:color w:val="auto"/>
                <w:sz w:val="24"/>
                <w:highlight w:val="none"/>
                <w:lang w:bidi="ar"/>
              </w:rPr>
              <w:t>）</w:t>
            </w:r>
            <w:r>
              <w:rPr>
                <w:rFonts w:hint="eastAsia"/>
                <w:color w:val="auto"/>
                <w:sz w:val="24"/>
                <w:highlight w:val="none"/>
                <w:lang w:eastAsia="zh-CN" w:bidi="ar"/>
              </w:rPr>
              <w:t>，</w:t>
            </w:r>
            <w:r>
              <w:rPr>
                <w:rFonts w:hint="eastAsia"/>
                <w:color w:val="auto"/>
                <w:sz w:val="24"/>
                <w:highlight w:val="none"/>
                <w:lang w:val="en-US" w:eastAsia="zh-CN" w:bidi="ar"/>
              </w:rPr>
              <w:t>涂料密度为1.2</w:t>
            </w:r>
            <w:r>
              <w:rPr>
                <w:color w:val="auto"/>
                <w:sz w:val="24"/>
                <w:highlight w:val="none"/>
                <w:lang w:bidi="ar"/>
              </w:rPr>
              <w:t>g/cm</w:t>
            </w:r>
            <w:r>
              <w:rPr>
                <w:color w:val="auto"/>
                <w:sz w:val="24"/>
                <w:highlight w:val="none"/>
                <w:vertAlign w:val="superscript"/>
                <w:lang w:bidi="ar"/>
              </w:rPr>
              <w:t>3</w:t>
            </w:r>
            <w:r>
              <w:rPr>
                <w:color w:val="auto"/>
                <w:sz w:val="24"/>
                <w:highlight w:val="none"/>
                <w:lang w:bidi="ar"/>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eastAsia="宋体"/>
                <w:color w:val="auto"/>
                <w:sz w:val="24"/>
                <w:highlight w:val="none"/>
                <w:lang w:val="en-US" w:eastAsia="zh-CN" w:bidi="ar"/>
              </w:rPr>
            </w:pPr>
            <w:r>
              <w:rPr>
                <w:color w:val="auto"/>
                <w:sz w:val="24"/>
                <w:highlight w:val="none"/>
                <w:lang w:bidi="ar"/>
              </w:rPr>
              <w:t>NV--</w:t>
            </w:r>
            <w:r>
              <w:rPr>
                <w:rFonts w:hint="eastAsia"/>
                <w:color w:val="auto"/>
                <w:sz w:val="24"/>
                <w:highlight w:val="none"/>
                <w:lang w:val="en-US" w:eastAsia="zh-CN" w:bidi="ar"/>
              </w:rPr>
              <w:t>涂</w:t>
            </w:r>
            <w:r>
              <w:rPr>
                <w:color w:val="auto"/>
                <w:sz w:val="24"/>
                <w:highlight w:val="none"/>
                <w:lang w:bidi="ar"/>
              </w:rPr>
              <w:t>料中的固体份</w:t>
            </w:r>
            <w:r>
              <w:rPr>
                <w:rFonts w:hint="eastAsia"/>
                <w:color w:val="auto"/>
                <w:sz w:val="24"/>
                <w:highlight w:val="none"/>
                <w:lang w:bidi="ar"/>
              </w:rPr>
              <w:t>占比</w:t>
            </w:r>
            <w:r>
              <w:rPr>
                <w:color w:val="auto"/>
                <w:sz w:val="24"/>
                <w:highlight w:val="none"/>
                <w:lang w:bidi="ar"/>
              </w:rPr>
              <w:t>（%）；</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color w:val="auto"/>
                <w:sz w:val="24"/>
                <w:highlight w:val="none"/>
                <w:lang w:bidi="ar"/>
              </w:rPr>
            </w:pPr>
            <w:r>
              <w:rPr>
                <w:color w:val="auto"/>
                <w:sz w:val="24"/>
                <w:highlight w:val="none"/>
                <w:lang w:bidi="ar"/>
              </w:rPr>
              <w:t>ε--</w:t>
            </w:r>
            <w:r>
              <w:rPr>
                <w:rFonts w:hint="eastAsia"/>
                <w:color w:val="auto"/>
                <w:sz w:val="24"/>
                <w:highlight w:val="none"/>
                <w:lang w:val="en-US" w:eastAsia="zh-CN" w:bidi="ar"/>
              </w:rPr>
              <w:t>附着</w:t>
            </w:r>
            <w:r>
              <w:rPr>
                <w:color w:val="auto"/>
                <w:sz w:val="24"/>
                <w:highlight w:val="none"/>
                <w:lang w:bidi="ar"/>
              </w:rPr>
              <w:t>率</w:t>
            </w:r>
            <w:r>
              <w:rPr>
                <w:rFonts w:hint="eastAsia"/>
                <w:color w:val="auto"/>
                <w:sz w:val="24"/>
                <w:highlight w:val="none"/>
                <w:lang w:bidi="ar"/>
              </w:rPr>
              <w:t>。</w:t>
            </w:r>
          </w:p>
          <w:p>
            <w:pPr>
              <w:pStyle w:val="85"/>
              <w:keepNext w:val="0"/>
              <w:keepLines w:val="0"/>
              <w:pageBreakBefore w:val="0"/>
              <w:widowControl w:val="0"/>
              <w:numPr>
                <w:ilvl w:val="0"/>
                <w:numId w:val="0"/>
              </w:numPr>
              <w:kinsoku/>
              <w:wordWrap/>
              <w:overflowPunct/>
              <w:topLinePunct w:val="0"/>
              <w:autoSpaceDE/>
              <w:autoSpaceDN/>
              <w:bidi w:val="0"/>
              <w:ind w:left="0" w:leftChars="0" w:firstLine="480" w:firstLineChars="200"/>
              <w:jc w:val="both"/>
              <w:textAlignment w:val="auto"/>
              <w:rPr>
                <w:rFonts w:hint="eastAsia"/>
                <w:color w:val="auto"/>
                <w:sz w:val="24"/>
                <w:highlight w:val="none"/>
                <w:lang w:val="en-US" w:eastAsia="zh-CN"/>
              </w:rPr>
            </w:pPr>
            <w:r>
              <w:rPr>
                <w:rFonts w:hint="eastAsia"/>
                <w:color w:val="auto"/>
                <w:highlight w:val="none"/>
                <w:lang w:val="en-US" w:eastAsia="zh-CN"/>
              </w:rPr>
              <w:t>根据建设单位提供资料，路灯杆内外侧均要进行喷涂，按照项目产品产量喷涂总面积进行计算，路灯杆产品规格有：①圆柱形，直径120mm，长5m；②圆柱形直径120mm，长6m；③圆柱形，直径140mm，长7m；④圆柱形，直径160mm，长8m。圆柱形直径120mm，长6m”规格的产品产能为7万套，其他规格产品产量为1万套。</w:t>
            </w:r>
            <w:r>
              <w:rPr>
                <w:rFonts w:hint="eastAsia"/>
                <w:color w:val="auto"/>
                <w:highlight w:val="none"/>
                <w:vertAlign w:val="baseline"/>
                <w:lang w:val="en-US" w:eastAsia="zh-CN"/>
              </w:rPr>
              <w:t>根据塑粉粉末涂料MSDS报告，涂料中的固体份占比为95%。本项目为静电喷涂，附着率取70%。计算结果见下表</w:t>
            </w:r>
            <w:r>
              <w:rPr>
                <w:rFonts w:hint="eastAsia"/>
                <w:color w:val="auto"/>
                <w:sz w:val="24"/>
                <w:highlight w:val="none"/>
                <w:lang w:val="en-US" w:eastAsia="zh-CN"/>
              </w:rPr>
              <w:t>。</w:t>
            </w:r>
          </w:p>
          <w:p>
            <w:pPr>
              <w:pStyle w:val="85"/>
              <w:bidi w:val="0"/>
              <w:rPr>
                <w:rFonts w:hint="eastAsia"/>
                <w:color w:val="auto"/>
                <w:highlight w:val="none"/>
                <w:lang w:val="en-US" w:eastAsia="zh-CN"/>
              </w:rPr>
            </w:pPr>
            <w:r>
              <w:rPr>
                <w:rFonts w:hint="eastAsia"/>
                <w:color w:val="auto"/>
                <w:highlight w:val="none"/>
                <w:lang w:val="en-US" w:eastAsia="zh-CN"/>
              </w:rPr>
              <w:t>喷涂面积及涂料用量计算一览表</w:t>
            </w:r>
          </w:p>
          <w:tbl>
            <w:tblPr>
              <w:tblStyle w:val="23"/>
              <w:tblW w:w="4997" w:type="pct"/>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953"/>
              <w:gridCol w:w="644"/>
              <w:gridCol w:w="528"/>
              <w:gridCol w:w="459"/>
              <w:gridCol w:w="878"/>
              <w:gridCol w:w="975"/>
              <w:gridCol w:w="926"/>
              <w:gridCol w:w="821"/>
              <w:gridCol w:w="826"/>
              <w:gridCol w:w="96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7"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生产线名称</w:t>
                  </w:r>
                </w:p>
              </w:tc>
              <w:tc>
                <w:tcPr>
                  <w:tcW w:w="561" w:type="pc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产品规格</w:t>
                  </w:r>
                </w:p>
              </w:tc>
              <w:tc>
                <w:tcPr>
                  <w:tcW w:w="379"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产能（万套）</w:t>
                  </w:r>
                </w:p>
              </w:tc>
              <w:tc>
                <w:tcPr>
                  <w:tcW w:w="311"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涂料种类</w:t>
                  </w:r>
                </w:p>
              </w:tc>
              <w:tc>
                <w:tcPr>
                  <w:tcW w:w="270" w:type="pc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rPr>
                    <w:t>喷涂</w:t>
                  </w:r>
                  <w:r>
                    <w:rPr>
                      <w:rFonts w:hint="default" w:ascii="Times New Roman" w:hAnsi="Times New Roman" w:cs="Times New Roman"/>
                      <w:color w:val="auto"/>
                      <w:kern w:val="0"/>
                      <w:sz w:val="21"/>
                      <w:szCs w:val="21"/>
                      <w:highlight w:val="none"/>
                      <w:lang w:eastAsia="zh-CN"/>
                    </w:rPr>
                    <w:t>方式</w:t>
                  </w:r>
                </w:p>
              </w:tc>
              <w:tc>
                <w:tcPr>
                  <w:tcW w:w="517"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喷涂面积</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m</w:t>
                  </w:r>
                  <w:r>
                    <w:rPr>
                      <w:rFonts w:hint="default" w:ascii="Times New Roman" w:hAnsi="Times New Roman" w:cs="Times New Roman"/>
                      <w:color w:val="auto"/>
                      <w:kern w:val="0"/>
                      <w:sz w:val="21"/>
                      <w:szCs w:val="21"/>
                      <w:highlight w:val="none"/>
                      <w:vertAlign w:val="superscript"/>
                    </w:rPr>
                    <w:t>2</w:t>
                  </w:r>
                  <w:r>
                    <w:rPr>
                      <w:rFonts w:hint="default" w:ascii="Times New Roman" w:hAnsi="Times New Roman" w:cs="Times New Roman"/>
                      <w:color w:val="auto"/>
                      <w:kern w:val="0"/>
                      <w:sz w:val="21"/>
                      <w:szCs w:val="21"/>
                      <w:highlight w:val="none"/>
                    </w:rPr>
                    <w:t>）</w:t>
                  </w:r>
                </w:p>
              </w:tc>
              <w:tc>
                <w:tcPr>
                  <w:tcW w:w="574"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涂层厚度（</w:t>
                  </w:r>
                  <w:r>
                    <w:rPr>
                      <w:rFonts w:hint="default" w:ascii="Times New Roman" w:hAnsi="Times New Roman" w:cs="Times New Roman"/>
                      <w:color w:val="auto"/>
                      <w:sz w:val="24"/>
                      <w:highlight w:val="none"/>
                      <w:lang w:eastAsia="zh-CN" w:bidi="ar"/>
                    </w:rPr>
                    <w:t>μm</w:t>
                  </w:r>
                  <w:r>
                    <w:rPr>
                      <w:rFonts w:hint="default" w:ascii="Times New Roman" w:hAnsi="Times New Roman" w:cs="Times New Roman"/>
                      <w:color w:val="auto"/>
                      <w:kern w:val="0"/>
                      <w:sz w:val="21"/>
                      <w:szCs w:val="21"/>
                      <w:highlight w:val="none"/>
                    </w:rPr>
                    <w:t>）</w:t>
                  </w:r>
                </w:p>
              </w:tc>
              <w:tc>
                <w:tcPr>
                  <w:tcW w:w="545" w:type="pct"/>
                  <w:tcBorders>
                    <w:tl2br w:val="nil"/>
                    <w:tr2bl w:val="nil"/>
                  </w:tcBorders>
                  <w:noWrap w:val="0"/>
                  <w:vAlign w:val="center"/>
                </w:tcPr>
                <w:p>
                  <w:pPr>
                    <w:widowControl/>
                    <w:adjustRightInd w:val="0"/>
                    <w:snapToGrid w:val="0"/>
                    <w:ind w:left="-105" w:leftChars="-50" w:right="-105" w:rightChars="-5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涂料</w:t>
                  </w:r>
                </w:p>
                <w:p>
                  <w:pPr>
                    <w:widowControl/>
                    <w:adjustRightInd w:val="0"/>
                    <w:snapToGrid w:val="0"/>
                    <w:ind w:left="-105" w:leftChars="-50" w:right="-105" w:rightChars="-5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密度</w:t>
                  </w:r>
                </w:p>
                <w:p>
                  <w:pPr>
                    <w:adjustRightInd w:val="0"/>
                    <w:snapToGrid w:val="0"/>
                    <w:ind w:left="-105" w:leftChars="-50" w:right="-105" w:rightChars="-5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（g/cm</w:t>
                  </w:r>
                  <w:r>
                    <w:rPr>
                      <w:rFonts w:hint="default" w:ascii="Times New Roman" w:hAnsi="Times New Roman" w:cs="Times New Roman"/>
                      <w:color w:val="auto"/>
                      <w:kern w:val="0"/>
                      <w:sz w:val="21"/>
                      <w:szCs w:val="21"/>
                      <w:highlight w:val="none"/>
                      <w:vertAlign w:val="superscript"/>
                    </w:rPr>
                    <w:t>3</w:t>
                  </w:r>
                  <w:r>
                    <w:rPr>
                      <w:rFonts w:hint="default" w:ascii="Times New Roman" w:hAnsi="Times New Roman" w:cs="Times New Roman"/>
                      <w:color w:val="auto"/>
                      <w:kern w:val="0"/>
                      <w:sz w:val="21"/>
                      <w:szCs w:val="21"/>
                      <w:highlight w:val="none"/>
                    </w:rPr>
                    <w:t>）</w:t>
                  </w:r>
                </w:p>
              </w:tc>
              <w:tc>
                <w:tcPr>
                  <w:tcW w:w="483"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上漆率/附着率（%）</w:t>
                  </w:r>
                </w:p>
              </w:tc>
              <w:tc>
                <w:tcPr>
                  <w:tcW w:w="486"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固体份含量</w:t>
                  </w:r>
                </w:p>
                <w:p>
                  <w:pPr>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p>
              </w:tc>
              <w:tc>
                <w:tcPr>
                  <w:tcW w:w="570"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涂料</w:t>
                  </w:r>
                </w:p>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用量</w:t>
                  </w:r>
                </w:p>
                <w:p>
                  <w:pPr>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97" w:type="pct"/>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路灯杆生产线</w:t>
                  </w:r>
                </w:p>
              </w:tc>
              <w:tc>
                <w:tcPr>
                  <w:tcW w:w="561"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圆柱形，直径120mm，长5m</w:t>
                  </w:r>
                </w:p>
              </w:tc>
              <w:tc>
                <w:tcPr>
                  <w:tcW w:w="63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11" w:type="pct"/>
                  <w:vMerge w:val="restar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塑粉粉末涂料</w:t>
                  </w:r>
                </w:p>
              </w:tc>
              <w:tc>
                <w:tcPr>
                  <w:tcW w:w="270" w:type="pct"/>
                  <w:vMerge w:val="restart"/>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静电喷涂</w:t>
                  </w:r>
                </w:p>
              </w:tc>
              <w:tc>
                <w:tcPr>
                  <w:tcW w:w="86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18840</w:t>
                  </w:r>
                </w:p>
              </w:tc>
              <w:tc>
                <w:tcPr>
                  <w:tcW w:w="574" w:type="pct"/>
                  <w:vMerge w:val="restart"/>
                  <w:tcBorders>
                    <w:tl2br w:val="nil"/>
                    <w:tr2bl w:val="nil"/>
                  </w:tcBorders>
                  <w:noWrap w:val="0"/>
                  <w:vAlign w:val="center"/>
                </w:tcPr>
                <w:p>
                  <w:pPr>
                    <w:widowControl/>
                    <w:adjustRightInd w:val="0"/>
                    <w:snapToGrid w:val="0"/>
                    <w:jc w:val="center"/>
                    <w:rPr>
                      <w:rFonts w:hint="default" w:ascii="Times New Roman" w:hAnsi="Times New Roman" w:eastAsia="等线" w:cs="Times New Roman"/>
                      <w:color w:val="auto"/>
                      <w:kern w:val="0"/>
                      <w:sz w:val="21"/>
                      <w:szCs w:val="21"/>
                      <w:highlight w:val="none"/>
                      <w:lang w:val="en-US" w:eastAsia="zh-CN"/>
                    </w:rPr>
                  </w:pPr>
                  <w:r>
                    <w:rPr>
                      <w:rFonts w:hint="eastAsia" w:ascii="Times New Roman" w:hAnsi="Times New Roman" w:eastAsia="等线" w:cs="Times New Roman"/>
                      <w:color w:val="auto"/>
                      <w:kern w:val="0"/>
                      <w:sz w:val="21"/>
                      <w:szCs w:val="21"/>
                      <w:highlight w:val="none"/>
                      <w:lang w:val="en-US" w:eastAsia="zh-CN"/>
                    </w:rPr>
                    <w:t>65</w:t>
                  </w:r>
                </w:p>
              </w:tc>
              <w:tc>
                <w:tcPr>
                  <w:tcW w:w="545" w:type="pct"/>
                  <w:vMerge w:val="restart"/>
                  <w:tcBorders>
                    <w:tl2br w:val="nil"/>
                    <w:tr2bl w:val="nil"/>
                  </w:tcBorders>
                  <w:noWrap w:val="0"/>
                  <w:vAlign w:val="center"/>
                </w:tcPr>
                <w:p>
                  <w:pPr>
                    <w:widowControl/>
                    <w:adjustRightInd w:val="0"/>
                    <w:snapToGrid w:val="0"/>
                    <w:ind w:left="-105" w:leftChars="-50" w:right="-105" w:rightChars="-50"/>
                    <w:jc w:val="center"/>
                    <w:rPr>
                      <w:rFonts w:hint="eastAsia" w:ascii="Times New Roman" w:hAnsi="Times New Roman" w:eastAsia="等线" w:cs="Times New Roman"/>
                      <w:color w:val="auto"/>
                      <w:kern w:val="0"/>
                      <w:sz w:val="21"/>
                      <w:szCs w:val="21"/>
                      <w:highlight w:val="none"/>
                      <w:lang w:eastAsia="zh-CN"/>
                    </w:rPr>
                  </w:pPr>
                  <w:r>
                    <w:rPr>
                      <w:rFonts w:hint="default" w:ascii="Times New Roman" w:hAnsi="Times New Roman" w:eastAsia="等线" w:cs="Times New Roman"/>
                      <w:color w:val="auto"/>
                      <w:kern w:val="0"/>
                      <w:sz w:val="21"/>
                      <w:szCs w:val="21"/>
                      <w:highlight w:val="none"/>
                    </w:rPr>
                    <w:t>1.</w:t>
                  </w:r>
                  <w:r>
                    <w:rPr>
                      <w:rFonts w:hint="eastAsia" w:ascii="Times New Roman" w:hAnsi="Times New Roman" w:eastAsia="等线" w:cs="Times New Roman"/>
                      <w:color w:val="auto"/>
                      <w:kern w:val="0"/>
                      <w:sz w:val="21"/>
                      <w:szCs w:val="21"/>
                      <w:highlight w:val="none"/>
                      <w:lang w:val="en-US" w:eastAsia="zh-CN"/>
                    </w:rPr>
                    <w:t>2</w:t>
                  </w:r>
                </w:p>
              </w:tc>
              <w:tc>
                <w:tcPr>
                  <w:tcW w:w="483" w:type="pct"/>
                  <w:vMerge w:val="restart"/>
                  <w:tcBorders>
                    <w:tl2br w:val="nil"/>
                    <w:tr2bl w:val="nil"/>
                  </w:tcBorders>
                  <w:noWrap w:val="0"/>
                  <w:vAlign w:val="center"/>
                </w:tcPr>
                <w:p>
                  <w:pPr>
                    <w:widowControl/>
                    <w:adjustRightInd w:val="0"/>
                    <w:snapToGrid w:val="0"/>
                    <w:jc w:val="center"/>
                    <w:rPr>
                      <w:rFonts w:hint="default" w:ascii="Times New Roman" w:hAnsi="Times New Roman" w:eastAsia="等线" w:cs="Times New Roman"/>
                      <w:color w:val="auto"/>
                      <w:kern w:val="0"/>
                      <w:sz w:val="21"/>
                      <w:szCs w:val="21"/>
                      <w:highlight w:val="none"/>
                      <w:lang w:val="en-US" w:eastAsia="zh-CN"/>
                    </w:rPr>
                  </w:pPr>
                  <w:r>
                    <w:rPr>
                      <w:rFonts w:hint="eastAsia" w:ascii="Times New Roman" w:hAnsi="Times New Roman" w:eastAsia="等线" w:cs="Times New Roman"/>
                      <w:color w:val="auto"/>
                      <w:kern w:val="0"/>
                      <w:sz w:val="21"/>
                      <w:szCs w:val="21"/>
                      <w:highlight w:val="none"/>
                      <w:lang w:val="en-US" w:eastAsia="zh-CN"/>
                    </w:rPr>
                    <w:t>0.7</w:t>
                  </w:r>
                </w:p>
              </w:tc>
              <w:tc>
                <w:tcPr>
                  <w:tcW w:w="486" w:type="pct"/>
                  <w:vMerge w:val="restart"/>
                  <w:tcBorders>
                    <w:tl2br w:val="nil"/>
                    <w:tr2bl w:val="nil"/>
                  </w:tcBorders>
                  <w:noWrap w:val="0"/>
                  <w:vAlign w:val="center"/>
                </w:tcPr>
                <w:p>
                  <w:pPr>
                    <w:widowControl/>
                    <w:adjustRightInd w:val="0"/>
                    <w:snapToGrid w:val="0"/>
                    <w:jc w:val="center"/>
                    <w:rPr>
                      <w:rFonts w:hint="default" w:ascii="Times New Roman" w:hAnsi="Times New Roman" w:eastAsia="等线" w:cs="Times New Roman"/>
                      <w:color w:val="auto"/>
                      <w:kern w:val="0"/>
                      <w:sz w:val="21"/>
                      <w:szCs w:val="21"/>
                      <w:highlight w:val="none"/>
                      <w:lang w:val="en-US" w:eastAsia="zh-CN"/>
                    </w:rPr>
                  </w:pPr>
                  <w:r>
                    <w:rPr>
                      <w:rFonts w:hint="default" w:ascii="Times New Roman" w:hAnsi="Times New Roman" w:eastAsia="等线" w:cs="Times New Roman"/>
                      <w:color w:val="auto"/>
                      <w:kern w:val="0"/>
                      <w:sz w:val="21"/>
                      <w:szCs w:val="21"/>
                      <w:highlight w:val="none"/>
                      <w:lang w:val="en-US" w:eastAsia="zh-CN"/>
                    </w:rPr>
                    <w:t>95</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97"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sz w:val="21"/>
                      <w:szCs w:val="21"/>
                      <w:highlight w:val="none"/>
                    </w:rPr>
                  </w:pPr>
                </w:p>
              </w:tc>
              <w:tc>
                <w:tcPr>
                  <w:tcW w:w="561"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圆柱形，直径120mm，长6m</w:t>
                  </w:r>
                </w:p>
              </w:tc>
              <w:tc>
                <w:tcPr>
                  <w:tcW w:w="63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11"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270"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86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158256</w:t>
                  </w:r>
                </w:p>
              </w:tc>
              <w:tc>
                <w:tcPr>
                  <w:tcW w:w="574"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45"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3"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6"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97"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61"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圆柱形，直径140mm，长7m</w:t>
                  </w:r>
                </w:p>
              </w:tc>
              <w:tc>
                <w:tcPr>
                  <w:tcW w:w="63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11"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270"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86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30772</w:t>
                  </w:r>
                </w:p>
              </w:tc>
              <w:tc>
                <w:tcPr>
                  <w:tcW w:w="574"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45"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3"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6"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97"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61"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圆柱形，直径160mm，长8m</w:t>
                  </w:r>
                </w:p>
              </w:tc>
              <w:tc>
                <w:tcPr>
                  <w:tcW w:w="63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11"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270"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86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40192</w:t>
                  </w:r>
                </w:p>
              </w:tc>
              <w:tc>
                <w:tcPr>
                  <w:tcW w:w="574"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45"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3"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486"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97" w:type="pct"/>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p>
              </w:tc>
              <w:tc>
                <w:tcPr>
                  <w:tcW w:w="561"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合计</w:t>
                  </w:r>
                </w:p>
              </w:tc>
              <w:tc>
                <w:tcPr>
                  <w:tcW w:w="379"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311"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270"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86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248060</w:t>
                  </w:r>
                </w:p>
              </w:tc>
              <w:tc>
                <w:tcPr>
                  <w:tcW w:w="574"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545"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483"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486" w:type="pct"/>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w:t>
                  </w:r>
                </w:p>
              </w:tc>
            </w:tr>
          </w:tbl>
          <w:p>
            <w:pPr>
              <w:pStyle w:val="85"/>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jc w:val="both"/>
              <w:textAlignment w:val="auto"/>
              <w:rPr>
                <w:rFonts w:hint="eastAsia"/>
                <w:color w:val="auto"/>
                <w:highlight w:val="none"/>
                <w:lang w:val="en-US" w:eastAsia="zh-CN"/>
              </w:rPr>
            </w:pPr>
            <w:r>
              <w:rPr>
                <w:rFonts w:hint="eastAsia"/>
                <w:color w:val="auto"/>
                <w:highlight w:val="none"/>
                <w:lang w:val="en-US" w:eastAsia="zh-CN"/>
              </w:rPr>
              <w:t>经核算本项目理论塑粉粉末涂料为29t/a＜30t/a，故本项目塑粉粉末涂料用量是满足生产需求的。</w:t>
            </w:r>
          </w:p>
          <w:p>
            <w:pPr>
              <w:pStyle w:val="85"/>
              <w:bidi w:val="0"/>
              <w:rPr>
                <w:rFonts w:hint="eastAsia"/>
                <w:color w:val="auto"/>
                <w:highlight w:val="none"/>
                <w:lang w:val="en-US" w:eastAsia="zh-CN"/>
              </w:rPr>
            </w:pPr>
            <w:r>
              <w:rPr>
                <w:rFonts w:hint="eastAsia"/>
                <w:color w:val="auto"/>
                <w:highlight w:val="none"/>
              </w:rPr>
              <w:t>主要原辅料</w:t>
            </w:r>
            <w:r>
              <w:rPr>
                <w:rFonts w:hint="eastAsia"/>
                <w:color w:val="auto"/>
                <w:highlight w:val="none"/>
                <w:lang w:val="en-US" w:eastAsia="zh-CN"/>
              </w:rPr>
              <w:t>组成成分及理化性质一览表</w:t>
            </w:r>
          </w:p>
          <w:tbl>
            <w:tblPr>
              <w:tblStyle w:val="23"/>
              <w:tblW w:w="4995"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758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0" w:type="pct"/>
                  <w:tcBorders>
                    <w:tl2br w:val="nil"/>
                    <w:tr2bl w:val="nil"/>
                  </w:tcBorders>
                  <w:noWrap w:val="0"/>
                  <w:vAlign w:val="center"/>
                </w:tcPr>
                <w:p>
                  <w:pPr>
                    <w:adjustRightInd w:val="0"/>
                    <w:snapToGrid w:val="0"/>
                    <w:jc w:val="center"/>
                    <w:rPr>
                      <w:color w:val="auto"/>
                      <w:sz w:val="21"/>
                      <w:szCs w:val="21"/>
                      <w:highlight w:val="none"/>
                    </w:rPr>
                  </w:pPr>
                  <w:r>
                    <w:rPr>
                      <w:rFonts w:hint="eastAsia"/>
                      <w:color w:val="auto"/>
                      <w:sz w:val="21"/>
                      <w:szCs w:val="21"/>
                      <w:highlight w:val="none"/>
                    </w:rPr>
                    <w:t>名称</w:t>
                  </w:r>
                </w:p>
              </w:tc>
              <w:tc>
                <w:tcPr>
                  <w:tcW w:w="4469" w:type="pct"/>
                  <w:tcBorders>
                    <w:tl2br w:val="nil"/>
                    <w:tr2bl w:val="nil"/>
                  </w:tcBorders>
                  <w:noWrap w:val="0"/>
                  <w:vAlign w:val="center"/>
                </w:tcPr>
                <w:p>
                  <w:pPr>
                    <w:adjustRightInd w:val="0"/>
                    <w:snapToGrid w:val="0"/>
                    <w:jc w:val="center"/>
                    <w:rPr>
                      <w:rFonts w:hint="eastAsia"/>
                      <w:color w:val="auto"/>
                      <w:sz w:val="21"/>
                      <w:szCs w:val="21"/>
                      <w:highlight w:val="none"/>
                    </w:rPr>
                  </w:pPr>
                  <w:r>
                    <w:rPr>
                      <w:rFonts w:hint="eastAsia"/>
                      <w:color w:val="auto"/>
                      <w:sz w:val="21"/>
                      <w:szCs w:val="21"/>
                      <w:highlight w:val="none"/>
                    </w:rPr>
                    <w:t>主要</w:t>
                  </w:r>
                  <w:r>
                    <w:rPr>
                      <w:color w:val="auto"/>
                      <w:sz w:val="21"/>
                      <w:szCs w:val="21"/>
                      <w:highlight w:val="none"/>
                    </w:rPr>
                    <w:t>理化性质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91" w:hRule="atLeast"/>
                <w:tblHeader/>
                <w:jc w:val="center"/>
              </w:trPr>
              <w:tc>
                <w:tcPr>
                  <w:tcW w:w="530"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塑粉粉末涂料</w:t>
                  </w:r>
                </w:p>
              </w:tc>
              <w:tc>
                <w:tcPr>
                  <w:tcW w:w="4469" w:type="pct"/>
                  <w:tcBorders>
                    <w:tl2br w:val="nil"/>
                    <w:tr2bl w:val="nil"/>
                  </w:tcBorders>
                  <w:noWrap w:val="0"/>
                  <w:vAlign w:val="center"/>
                </w:tcPr>
                <w:p>
                  <w:pPr>
                    <w:adjustRightInd w:val="0"/>
                    <w:snapToGrid w:val="0"/>
                    <w:jc w:val="left"/>
                    <w:rPr>
                      <w:rFonts w:hint="eastAsia"/>
                      <w:color w:val="auto"/>
                      <w:highlight w:val="none"/>
                    </w:rPr>
                  </w:pPr>
                  <w:r>
                    <w:rPr>
                      <w:rFonts w:hint="eastAsia"/>
                      <w:color w:val="auto"/>
                      <w:highlight w:val="none"/>
                    </w:rPr>
                    <w:t>固体白色粉末，高流平、机械性能优。主要成分：树脂</w:t>
                  </w:r>
                  <w:r>
                    <w:rPr>
                      <w:rFonts w:hint="eastAsia"/>
                      <w:color w:val="auto"/>
                      <w:highlight w:val="none"/>
                      <w:lang w:val="en-US" w:eastAsia="zh-CN"/>
                    </w:rPr>
                    <w:t>及固化剂</w:t>
                  </w:r>
                  <w:r>
                    <w:rPr>
                      <w:rFonts w:hint="eastAsia"/>
                      <w:color w:val="auto"/>
                      <w:highlight w:val="none"/>
                    </w:rPr>
                    <w:t>60%，</w:t>
                  </w:r>
                  <w:r>
                    <w:rPr>
                      <w:rFonts w:hint="eastAsia"/>
                      <w:color w:val="auto"/>
                      <w:highlight w:val="none"/>
                      <w:lang w:val="en-US" w:eastAsia="zh-CN"/>
                    </w:rPr>
                    <w:t>颜填料35</w:t>
                  </w:r>
                  <w:r>
                    <w:rPr>
                      <w:rFonts w:hint="eastAsia"/>
                      <w:color w:val="auto"/>
                      <w:highlight w:val="none"/>
                    </w:rPr>
                    <w:t>%，</w:t>
                  </w:r>
                  <w:r>
                    <w:rPr>
                      <w:rFonts w:hint="eastAsia"/>
                      <w:color w:val="auto"/>
                      <w:highlight w:val="none"/>
                      <w:lang w:val="en-US" w:eastAsia="zh-CN"/>
                    </w:rPr>
                    <w:t>助剂等5%</w:t>
                  </w:r>
                  <w:r>
                    <w:rPr>
                      <w:rFonts w:hint="eastAsia"/>
                      <w:color w:val="auto"/>
                      <w:highlight w:val="none"/>
                    </w:rPr>
                    <w:t>。</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296"/>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序号</w:t>
                        </w:r>
                      </w:p>
                    </w:tc>
                    <w:tc>
                      <w:tcPr>
                        <w:tcW w:w="881"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名称</w:t>
                        </w:r>
                      </w:p>
                    </w:tc>
                    <w:tc>
                      <w:tcPr>
                        <w:tcW w:w="3775"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881"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树脂</w:t>
                        </w:r>
                      </w:p>
                    </w:tc>
                    <w:tc>
                      <w:tcPr>
                        <w:tcW w:w="3775" w:type="pct"/>
                        <w:noWrap w:val="0"/>
                        <w:vAlign w:val="center"/>
                      </w:tcPr>
                      <w:p>
                        <w:pPr>
                          <w:pStyle w:val="7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树脂主要成分为不饱和聚酯树脂，</w:t>
                        </w:r>
                        <w:r>
                          <w:rPr>
                            <w:rFonts w:hint="default" w:ascii="Times New Roman" w:hAnsi="Times New Roman" w:cs="Times New Roman"/>
                            <w:color w:val="auto"/>
                            <w:sz w:val="18"/>
                            <w:szCs w:val="18"/>
                            <w:highlight w:val="none"/>
                            <w:lang w:val="en-US" w:eastAsia="zh-CN"/>
                          </w:rPr>
                          <w:t>相对密度在1.11-1.20左右，固化时体积收缩率较大，固化树脂的一些物理性质如下：耐热性：绝大多数不饱和聚酯树脂的热变形温度都在50～60℃，一些耐热性好的树脂则可达120℃。红热膨胀系数α1为（130～150）×10</w:t>
                        </w:r>
                        <w:r>
                          <w:rPr>
                            <w:rFonts w:hint="default" w:ascii="Times New Roman" w:hAnsi="Times New Roman" w:cs="Times New Roman"/>
                            <w:color w:val="auto"/>
                            <w:sz w:val="18"/>
                            <w:szCs w:val="18"/>
                            <w:highlight w:val="none"/>
                            <w:vertAlign w:val="superscript"/>
                            <w:lang w:val="en-US" w:eastAsia="zh-CN"/>
                          </w:rPr>
                          <w:t>-6</w:t>
                        </w:r>
                        <w:r>
                          <w:rPr>
                            <w:rFonts w:hint="default" w:ascii="Times New Roman" w:hAnsi="Times New Roman" w:cs="Times New Roman"/>
                            <w:color w:val="auto"/>
                            <w:sz w:val="18"/>
                            <w:szCs w:val="18"/>
                            <w:highlight w:val="none"/>
                            <w:lang w:val="en-US" w:eastAsia="zh-CN"/>
                          </w:rPr>
                          <w:t>℃。力学性能：不饱和聚酯树脂具有较高的拉伸、弯曲、压缩等强度。耐化学腐蚀性能：不饱和聚酯树脂耐水、稀酸、稀碱的性能较好，耐有机溶剂的性能差，同时，树脂的耐化学腐蚀性能随其化学结构和几何开关的不同，可以有很大的差异。介电性能：不饱和聚酸树脂的介电性能良好。不饱和聚酯树脂是由饱和二元醇与不饱和二元酸（或酸酐）缩聚而成的聚合物，在受热作用后能变为熔融状态，是热固性树脂的主要品种之一。其主要原料包括PTA（精对苯二甲酸）、新戊二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w:t>
                        </w:r>
                      </w:p>
                    </w:tc>
                    <w:tc>
                      <w:tcPr>
                        <w:tcW w:w="881"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固化剂</w:t>
                        </w:r>
                      </w:p>
                    </w:tc>
                    <w:tc>
                      <w:tcPr>
                        <w:tcW w:w="3775" w:type="pct"/>
                        <w:noWrap w:val="0"/>
                        <w:vAlign w:val="center"/>
                      </w:tcPr>
                      <w:p>
                        <w:pPr>
                          <w:pStyle w:val="79"/>
                          <w:bidi w:val="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为白色颗粒或粉末，是一种杂环环氧化合物，具有很好的耐热耐候性，粘接性及优异的高温性能，主要用作纯聚酯类粉末涂料的交联固化剂。树脂固化是经过缩合、闭环、加成或催化等化学反应，使热固性树脂发生不可逆的变化过程，固化是通过添加固化（交联）剂来完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p>
                    </w:tc>
                    <w:tc>
                      <w:tcPr>
                        <w:tcW w:w="881"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颜填料</w:t>
                        </w:r>
                      </w:p>
                    </w:tc>
                    <w:tc>
                      <w:tcPr>
                        <w:tcW w:w="3775" w:type="pct"/>
                        <w:noWrap w:val="0"/>
                        <w:vAlign w:val="center"/>
                      </w:tcPr>
                      <w:p>
                        <w:pPr>
                          <w:pStyle w:val="79"/>
                          <w:bidi w:val="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塑粉中颜填料的主要成分</w:t>
                        </w:r>
                        <w:r>
                          <w:rPr>
                            <w:rFonts w:hint="default" w:ascii="Times New Roman" w:hAnsi="Times New Roman" w:cs="Times New Roman"/>
                            <w:color w:val="auto"/>
                            <w:sz w:val="18"/>
                            <w:szCs w:val="18"/>
                            <w:highlight w:val="none"/>
                            <w:lang w:val="en-US" w:eastAsia="zh-CN"/>
                          </w:rPr>
                          <w:t>钛白粉主要成分为二氧化钛的白色颜料。在常用的白色颜料中，二氧化钛的相对密度最小。二氧化钛的热稳定性好，化学性质稳定。广泛应用于纸张涂层、塑料等行业。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881" w:type="pct"/>
                        <w:noWrap w:val="0"/>
                        <w:vAlign w:val="center"/>
                      </w:tcPr>
                      <w:p>
                        <w:pPr>
                          <w:pStyle w:val="79"/>
                          <w:bidi w:val="0"/>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助剂</w:t>
                        </w:r>
                      </w:p>
                    </w:tc>
                    <w:tc>
                      <w:tcPr>
                        <w:tcW w:w="3775" w:type="pct"/>
                        <w:noWrap w:val="0"/>
                        <w:vAlign w:val="center"/>
                      </w:tcPr>
                      <w:p>
                        <w:pPr>
                          <w:pStyle w:val="79"/>
                          <w:bidi w:val="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主要指流平剂，为有机硅型的流平剂，</w:t>
                        </w:r>
                        <w:r>
                          <w:rPr>
                            <w:rFonts w:hint="default" w:ascii="Times New Roman" w:hAnsi="Times New Roman" w:cs="Times New Roman"/>
                            <w:color w:val="auto"/>
                            <w:sz w:val="18"/>
                            <w:szCs w:val="18"/>
                            <w:highlight w:val="none"/>
                            <w:lang w:val="en-US" w:eastAsia="zh-CN"/>
                          </w:rPr>
                          <w:t>主要为</w:t>
                        </w:r>
                        <w:r>
                          <w:rPr>
                            <w:rFonts w:hint="eastAsia" w:ascii="Times New Roman" w:hAnsi="Times New Roman" w:eastAsia="宋体" w:cs="Times New Roman"/>
                            <w:color w:val="auto"/>
                            <w:sz w:val="18"/>
                            <w:szCs w:val="18"/>
                            <w:highlight w:val="none"/>
                            <w:lang w:val="en-US" w:eastAsia="zh-CN"/>
                          </w:rPr>
                          <w:t>聚二甲基硅氧烷，其具有卓越的耐热性、电绝缘性、耐候性、疏水性、生理惰性和较小的表面张力，此外还具有低的粘温系数、较高的抗压缩性）有的品种还具有耐辐射的性能，还具有抗氧化、闪点高、对金属无腐蚀、无毒等特性</w:t>
                        </w:r>
                        <w:r>
                          <w:rPr>
                            <w:rFonts w:hint="default" w:ascii="Times New Roman" w:hAnsi="Times New Roman" w:cs="Times New Roman"/>
                            <w:color w:val="auto"/>
                            <w:sz w:val="18"/>
                            <w:szCs w:val="18"/>
                            <w:highlight w:val="none"/>
                            <w:lang w:val="en-US" w:eastAsia="zh-CN"/>
                          </w:rPr>
                          <w:t>。</w:t>
                        </w:r>
                        <w:r>
                          <w:rPr>
                            <w:rFonts w:hint="eastAsia" w:ascii="Times New Roman" w:hAnsi="Times New Roman" w:cs="Times New Roman"/>
                            <w:color w:val="auto"/>
                            <w:sz w:val="18"/>
                            <w:szCs w:val="18"/>
                            <w:highlight w:val="none"/>
                            <w:lang w:val="en-US" w:eastAsia="zh-CN"/>
                          </w:rPr>
                          <w:t>该流平剂</w:t>
                        </w:r>
                        <w:r>
                          <w:rPr>
                            <w:rFonts w:hint="default" w:ascii="Times New Roman" w:hAnsi="Times New Roman" w:cs="Times New Roman"/>
                            <w:color w:val="auto"/>
                            <w:sz w:val="18"/>
                            <w:szCs w:val="18"/>
                            <w:highlight w:val="none"/>
                            <w:lang w:val="en-US" w:eastAsia="zh-CN"/>
                          </w:rPr>
                          <w:t>是一种常用的涂料助剂，它能促使涂料在干燥成膜过程中形成一个平整、光滑、均匀的涂膜。能有效降低涂饰液表面张力，提高其流平性和均匀性的一类物质。</w:t>
                        </w:r>
                      </w:p>
                    </w:tc>
                  </w:tr>
                </w:tbl>
                <w:p>
                  <w:pPr>
                    <w:pStyle w:val="46"/>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0" w:type="pct"/>
                  <w:tcBorders>
                    <w:tl2br w:val="nil"/>
                    <w:tr2bl w:val="nil"/>
                  </w:tcBorders>
                  <w:noWrap w:val="0"/>
                  <w:vAlign w:val="center"/>
                </w:tcPr>
                <w:p>
                  <w:pPr>
                    <w:adjustRightInd w:val="0"/>
                    <w:snapToGrid w:val="0"/>
                    <w:jc w:val="center"/>
                    <w:rPr>
                      <w:rFonts w:hint="eastAsia"/>
                      <w:color w:val="auto"/>
                      <w:sz w:val="21"/>
                      <w:szCs w:val="21"/>
                      <w:highlight w:val="none"/>
                    </w:rPr>
                  </w:pPr>
                  <w:r>
                    <w:rPr>
                      <w:rFonts w:hint="eastAsia"/>
                      <w:color w:val="auto"/>
                      <w:sz w:val="21"/>
                      <w:szCs w:val="21"/>
                      <w:highlight w:val="none"/>
                    </w:rPr>
                    <w:t>天然气</w:t>
                  </w:r>
                </w:p>
              </w:tc>
              <w:tc>
                <w:tcPr>
                  <w:tcW w:w="4469" w:type="pct"/>
                  <w:tcBorders>
                    <w:tl2br w:val="nil"/>
                    <w:tr2bl w:val="nil"/>
                  </w:tcBorders>
                  <w:noWrap w:val="0"/>
                  <w:vAlign w:val="center"/>
                </w:tcPr>
                <w:p>
                  <w:pPr>
                    <w:adjustRightInd w:val="0"/>
                    <w:snapToGrid w:val="0"/>
                    <w:jc w:val="left"/>
                    <w:rPr>
                      <w:rFonts w:hint="eastAsia"/>
                      <w:color w:val="auto"/>
                      <w:sz w:val="21"/>
                      <w:szCs w:val="21"/>
                      <w:highlight w:val="none"/>
                    </w:rPr>
                  </w:pPr>
                  <w:r>
                    <w:rPr>
                      <w:rFonts w:hint="eastAsia"/>
                      <w:color w:val="auto"/>
                      <w:sz w:val="21"/>
                      <w:szCs w:val="21"/>
                      <w:highlight w:val="none"/>
                    </w:rPr>
                    <w:t>无色无臭气体；</w:t>
                  </w:r>
                  <w:r>
                    <w:rPr>
                      <w:rFonts w:hint="eastAsia"/>
                      <w:color w:val="auto"/>
                      <w:sz w:val="21"/>
                      <w:szCs w:val="21"/>
                      <w:highlight w:val="none"/>
                      <w:lang w:eastAsia="zh-CN"/>
                    </w:rPr>
                    <w:t>熔</w:t>
                  </w:r>
                  <w:r>
                    <w:rPr>
                      <w:rFonts w:hint="eastAsia"/>
                      <w:color w:val="auto"/>
                      <w:sz w:val="21"/>
                      <w:szCs w:val="21"/>
                      <w:highlight w:val="none"/>
                    </w:rPr>
                    <w:t>点/℃：-182．5，沸点/℃：-161．5，爆炸上限(V%)：15，自燃温度(℃)：538；爆炸下限(V%):5.3，闪点/℃： -188，临界温度(℃)：-82.6，临界压力(MPa)：4.59，燃烧热(kj/mol) ：889.5；溶解性：微溶于水，溶于乙醇、乙醚；易燃。</w:t>
                  </w:r>
                </w:p>
                <w:p>
                  <w:pPr>
                    <w:adjustRightInd w:val="0"/>
                    <w:snapToGrid w:val="0"/>
                    <w:jc w:val="left"/>
                    <w:rPr>
                      <w:rFonts w:hint="eastAsia"/>
                      <w:color w:val="auto"/>
                      <w:sz w:val="21"/>
                      <w:szCs w:val="21"/>
                      <w:highlight w:val="none"/>
                    </w:rPr>
                  </w:pPr>
                  <w:r>
                    <w:rPr>
                      <w:rFonts w:hint="eastAsia"/>
                      <w:color w:val="auto"/>
                      <w:sz w:val="21"/>
                      <w:szCs w:val="21"/>
                      <w:highlight w:val="none"/>
                    </w:rPr>
                    <w:t>禁忌物：强氧化剂、氟、氯；与空气混合能形成爆炸性混合物，遇点火源、高热能引起燃烧爆炸。与氟、氯等能发生剧烈的化学反应。若遇高热，容器内压增大，有开裂和爆炸的危险；空气中甲烷浓度过高，能使人窒息；灭火方法：切断气源。若不能立即切断气源，则不允许熄灭正在燃烧的气体。喷水冷却容器，可能的话将容器从火场移至空旷处。雾状水、泡沫、二氧化碳；当空气中甲烷达25～30％时，可引起头痛、头晕、乏力、注意力不集中、呼吸和心跳加速、精细动作障碍等，甚至因缺氧而窒息、昏迷。</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0"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润滑油</w:t>
                  </w:r>
                </w:p>
              </w:tc>
              <w:tc>
                <w:tcPr>
                  <w:tcW w:w="4469" w:type="pct"/>
                  <w:tcBorders>
                    <w:tl2br w:val="nil"/>
                    <w:tr2bl w:val="nil"/>
                  </w:tcBorders>
                  <w:noWrap w:val="0"/>
                  <w:vAlign w:val="center"/>
                </w:tcPr>
                <w:p>
                  <w:pPr>
                    <w:adjustRightInd w:val="0"/>
                    <w:snapToGrid w:val="0"/>
                    <w:jc w:val="left"/>
                    <w:rPr>
                      <w:rFonts w:hint="eastAsia"/>
                      <w:color w:val="auto"/>
                      <w:sz w:val="21"/>
                      <w:szCs w:val="21"/>
                      <w:highlight w:val="none"/>
                    </w:rPr>
                  </w:pPr>
                  <w:r>
                    <w:rPr>
                      <w:rFonts w:hint="eastAsia"/>
                      <w:color w:val="auto"/>
                      <w:sz w:val="21"/>
                      <w:szCs w:val="21"/>
                      <w:highlight w:val="none"/>
                    </w:rPr>
                    <w:t>润滑油是一种淡黄色粘稠液体，属于一种可燃液体，燃烧后的产物存在CO、CO</w:t>
                  </w:r>
                  <w:r>
                    <w:rPr>
                      <w:rFonts w:hint="eastAsia"/>
                      <w:color w:val="auto"/>
                      <w:sz w:val="21"/>
                      <w:szCs w:val="21"/>
                      <w:highlight w:val="none"/>
                      <w:vertAlign w:val="subscript"/>
                    </w:rPr>
                    <w:t>2</w:t>
                  </w:r>
                  <w:r>
                    <w:rPr>
                      <w:rFonts w:hint="eastAsia"/>
                      <w:color w:val="auto"/>
                      <w:sz w:val="21"/>
                      <w:szCs w:val="21"/>
                      <w:highlight w:val="none"/>
                    </w:rPr>
                    <w:t>等有害气体，易溶于乙醇、苯、氯仿、丙酮等多数有机溶剂。</w:t>
                  </w:r>
                </w:p>
              </w:tc>
            </w:tr>
          </w:tbl>
          <w:p>
            <w:pPr>
              <w:pStyle w:val="55"/>
              <w:rPr>
                <w:rFonts w:hint="eastAsia"/>
                <w:color w:val="auto"/>
                <w:highlight w:val="none"/>
              </w:rPr>
            </w:pPr>
            <w:r>
              <w:rPr>
                <w:rFonts w:hint="eastAsia"/>
                <w:color w:val="auto"/>
                <w:highlight w:val="none"/>
                <w:lang w:val="en-US" w:eastAsia="zh-CN"/>
              </w:rPr>
              <w:t>6、</w:t>
            </w:r>
            <w:r>
              <w:rPr>
                <w:rFonts w:hint="eastAsia"/>
                <w:color w:val="auto"/>
                <w:highlight w:val="none"/>
              </w:rPr>
              <w:t>主要生产设备</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w:t>
            </w:r>
            <w:r>
              <w:rPr>
                <w:color w:val="auto"/>
                <w:sz w:val="24"/>
                <w:highlight w:val="none"/>
              </w:rPr>
              <w:t>主要</w:t>
            </w:r>
            <w:r>
              <w:rPr>
                <w:rFonts w:hint="eastAsia"/>
                <w:color w:val="auto"/>
                <w:sz w:val="24"/>
                <w:highlight w:val="none"/>
              </w:rPr>
              <w:t>设备</w:t>
            </w:r>
            <w:r>
              <w:rPr>
                <w:color w:val="auto"/>
                <w:sz w:val="24"/>
                <w:highlight w:val="none"/>
              </w:rPr>
              <w:t>详见</w:t>
            </w:r>
            <w:r>
              <w:rPr>
                <w:rFonts w:hint="eastAsia"/>
                <w:color w:val="auto"/>
                <w:sz w:val="24"/>
                <w:highlight w:val="none"/>
              </w:rPr>
              <w:t>下</w:t>
            </w:r>
            <w:r>
              <w:rPr>
                <w:color w:val="auto"/>
                <w:sz w:val="24"/>
                <w:highlight w:val="none"/>
              </w:rPr>
              <w:t>表</w:t>
            </w:r>
            <w:r>
              <w:rPr>
                <w:rFonts w:hint="eastAsia"/>
                <w:color w:val="auto"/>
                <w:sz w:val="24"/>
                <w:highlight w:val="none"/>
              </w:rPr>
              <w:t>。</w:t>
            </w:r>
          </w:p>
          <w:p>
            <w:pPr>
              <w:pStyle w:val="85"/>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color w:val="auto"/>
                <w:highlight w:val="none"/>
              </w:rPr>
            </w:pPr>
            <w:r>
              <w:rPr>
                <w:color w:val="auto"/>
                <w:highlight w:val="none"/>
              </w:rPr>
              <w:t>主要生产单元、主要工艺及生产设施名称、设施参数表</w:t>
            </w:r>
          </w:p>
          <w:tbl>
            <w:tblPr>
              <w:tblStyle w:val="23"/>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05"/>
              <w:gridCol w:w="2370"/>
              <w:gridCol w:w="1525"/>
              <w:gridCol w:w="1915"/>
              <w:gridCol w:w="66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序号</w:t>
                  </w:r>
                </w:p>
              </w:tc>
              <w:tc>
                <w:tcPr>
                  <w:tcW w:w="592"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rPr>
                  </w:pPr>
                  <w:r>
                    <w:rPr>
                      <w:rFonts w:hint="eastAsia"/>
                      <w:color w:val="auto"/>
                      <w:sz w:val="21"/>
                      <w:szCs w:val="21"/>
                      <w:highlight w:val="none"/>
                    </w:rPr>
                    <w:t>主要工艺</w:t>
                  </w:r>
                </w:p>
              </w:tc>
              <w:tc>
                <w:tcPr>
                  <w:tcW w:w="1396" w:type="pct"/>
                  <w:tcBorders>
                    <w:tl2br w:val="nil"/>
                    <w:tr2bl w:val="nil"/>
                  </w:tcBorders>
                  <w:noWrap w:val="0"/>
                  <w:vAlign w:val="center"/>
                </w:tcPr>
                <w:p>
                  <w:pPr>
                    <w:adjustRightInd w:val="0"/>
                    <w:snapToGrid w:val="0"/>
                    <w:ind w:left="-63" w:leftChars="-30" w:right="-63" w:rightChars="-30"/>
                    <w:jc w:val="center"/>
                    <w:rPr>
                      <w:color w:val="auto"/>
                      <w:sz w:val="21"/>
                      <w:szCs w:val="21"/>
                      <w:highlight w:val="none"/>
                    </w:rPr>
                  </w:pPr>
                  <w:r>
                    <w:rPr>
                      <w:rFonts w:hint="eastAsia"/>
                      <w:color w:val="auto"/>
                      <w:sz w:val="21"/>
                      <w:szCs w:val="21"/>
                      <w:highlight w:val="none"/>
                    </w:rPr>
                    <w:t>生产设施</w:t>
                  </w:r>
                </w:p>
              </w:tc>
              <w:tc>
                <w:tcPr>
                  <w:tcW w:w="898"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rPr>
                  </w:pPr>
                  <w:r>
                    <w:rPr>
                      <w:rFonts w:hint="eastAsia"/>
                      <w:color w:val="auto"/>
                      <w:sz w:val="21"/>
                      <w:szCs w:val="21"/>
                      <w:highlight w:val="none"/>
                    </w:rPr>
                    <w:t>数量（台/套）</w:t>
                  </w:r>
                </w:p>
              </w:tc>
              <w:tc>
                <w:tcPr>
                  <w:tcW w:w="1128" w:type="pct"/>
                  <w:tcBorders>
                    <w:tl2br w:val="nil"/>
                    <w:tr2bl w:val="nil"/>
                  </w:tcBorders>
                  <w:noWrap w:val="0"/>
                  <w:vAlign w:val="center"/>
                </w:tcPr>
                <w:p>
                  <w:pPr>
                    <w:adjustRightInd w:val="0"/>
                    <w:snapToGrid w:val="0"/>
                    <w:ind w:left="-63" w:leftChars="-30" w:right="-63" w:rightChars="-30"/>
                    <w:jc w:val="center"/>
                    <w:rPr>
                      <w:color w:val="auto"/>
                      <w:sz w:val="21"/>
                      <w:szCs w:val="21"/>
                      <w:highlight w:val="none"/>
                    </w:rPr>
                  </w:pPr>
                  <w:r>
                    <w:rPr>
                      <w:rFonts w:hint="default" w:ascii="Times New Roman" w:hAnsi="Times New Roman" w:cs="Times New Roman"/>
                      <w:color w:val="auto"/>
                      <w:szCs w:val="21"/>
                      <w:highlight w:val="none"/>
                    </w:rPr>
                    <w:t>型号</w:t>
                  </w:r>
                </w:p>
              </w:tc>
              <w:tc>
                <w:tcPr>
                  <w:tcW w:w="391" w:type="pct"/>
                  <w:tcBorders>
                    <w:tl2br w:val="nil"/>
                    <w:tr2bl w:val="nil"/>
                  </w:tcBorders>
                  <w:noWrap w:val="0"/>
                  <w:vAlign w:val="center"/>
                </w:tcPr>
                <w:p>
                  <w:pPr>
                    <w:adjustRightInd w:val="0"/>
                    <w:snapToGrid w:val="0"/>
                    <w:ind w:left="-63" w:leftChars="-30" w:right="-63" w:rightChars="-3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折弯</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液压板料折弯机</w:t>
                  </w:r>
                </w:p>
              </w:tc>
              <w:tc>
                <w:tcPr>
                  <w:tcW w:w="89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Cs w:val="21"/>
                      <w:highlight w:val="none"/>
                      <w:lang w:val="en-US" w:eastAsia="zh-CN"/>
                    </w:rPr>
                    <w:t>2</w:t>
                  </w:r>
                </w:p>
              </w:tc>
              <w:tc>
                <w:tcPr>
                  <w:tcW w:w="1128"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WE67Y-</w:t>
                  </w:r>
                  <w:r>
                    <w:rPr>
                      <w:rFonts w:hint="eastAsia" w:ascii="Times New Roman" w:cs="Times New Roman"/>
                      <w:color w:val="auto"/>
                      <w:szCs w:val="21"/>
                      <w:highlight w:val="none"/>
                      <w:lang w:val="en-US" w:eastAsia="zh-CN"/>
                    </w:rPr>
                    <w:t>350</w:t>
                  </w:r>
                  <w:r>
                    <w:rPr>
                      <w:rFonts w:hint="eastAsia" w:ascii="Times New Roman" w:hAnsi="Times New Roman" w:cs="Times New Roman"/>
                      <w:color w:val="auto"/>
                      <w:szCs w:val="21"/>
                      <w:highlight w:val="none"/>
                      <w:lang w:val="en-US" w:eastAsia="zh-CN"/>
                    </w:rPr>
                    <w:t>/</w:t>
                  </w:r>
                  <w:r>
                    <w:rPr>
                      <w:rFonts w:hint="eastAsia" w:ascii="Times New Roman" w:cs="Times New Roman"/>
                      <w:color w:val="auto"/>
                      <w:szCs w:val="21"/>
                      <w:highlight w:val="none"/>
                      <w:lang w:val="en-US" w:eastAsia="zh-CN"/>
                    </w:rPr>
                    <w:t>75</w:t>
                  </w:r>
                  <w:r>
                    <w:rPr>
                      <w:rFonts w:hint="eastAsia" w:ascii="Times New Roman" w:hAnsi="Times New Roman" w:cs="Times New Roman"/>
                      <w:color w:val="auto"/>
                      <w:szCs w:val="21"/>
                      <w:highlight w:val="none"/>
                      <w:lang w:val="en-US" w:eastAsia="zh-CN"/>
                    </w:rPr>
                    <w:t>00</w:t>
                  </w:r>
                </w:p>
              </w:tc>
              <w:tc>
                <w:tcPr>
                  <w:tcW w:w="391" w:type="pct"/>
                  <w:tcBorders>
                    <w:tl2br w:val="nil"/>
                    <w:tr2bl w:val="nil"/>
                  </w:tcBorders>
                  <w:noWrap w:val="0"/>
                  <w:vAlign w:val="center"/>
                </w:tcPr>
                <w:p>
                  <w:pPr>
                    <w:pStyle w:val="57"/>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eastAsia="zh-CN"/>
                    </w:rPr>
                  </w:pPr>
                  <w:r>
                    <w:rPr>
                      <w:rFonts w:hint="eastAsia"/>
                      <w:color w:val="auto"/>
                      <w:sz w:val="21"/>
                      <w:szCs w:val="21"/>
                      <w:highlight w:val="none"/>
                      <w:lang w:eastAsia="zh-CN"/>
                    </w:rPr>
                    <w:t>自动焊接</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自动全缝埋弧焊接机</w:t>
                  </w:r>
                </w:p>
              </w:tc>
              <w:tc>
                <w:tcPr>
                  <w:tcW w:w="89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2</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HFH320*5</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92"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eastAsia="zh-CN"/>
                    </w:rPr>
                  </w:pPr>
                  <w:r>
                    <w:rPr>
                      <w:rFonts w:hint="eastAsia"/>
                      <w:color w:val="auto"/>
                      <w:sz w:val="21"/>
                      <w:szCs w:val="21"/>
                      <w:highlight w:val="none"/>
                      <w:lang w:eastAsia="zh-CN"/>
                    </w:rPr>
                    <w:t>法兰焊接</w:t>
                  </w:r>
                </w:p>
              </w:tc>
              <w:tc>
                <w:tcPr>
                  <w:tcW w:w="1396" w:type="pct"/>
                  <w:tcBorders>
                    <w:tl2br w:val="nil"/>
                    <w:tr2bl w:val="nil"/>
                  </w:tcBorders>
                  <w:noWrap w:val="0"/>
                  <w:vAlign w:val="center"/>
                </w:tcPr>
                <w:p>
                  <w:pPr>
                    <w:pStyle w:val="57"/>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焊接仪器</w:t>
                  </w:r>
                </w:p>
              </w:tc>
              <w:tc>
                <w:tcPr>
                  <w:tcW w:w="898"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1128"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剪板</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钢板斜剪机</w:t>
                  </w:r>
                </w:p>
              </w:tc>
              <w:tc>
                <w:tcPr>
                  <w:tcW w:w="898" w:type="pct"/>
                  <w:tcBorders>
                    <w:tl2br w:val="nil"/>
                    <w:tr2bl w:val="nil"/>
                  </w:tcBorders>
                  <w:noWrap w:val="0"/>
                  <w:vAlign w:val="center"/>
                </w:tcPr>
                <w:p>
                  <w:pPr>
                    <w:pStyle w:val="57"/>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1</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ZQ11-</w:t>
                  </w:r>
                  <w:r>
                    <w:rPr>
                      <w:rFonts w:hint="eastAsia" w:ascii="Times New Roman" w:cs="Times New Roman"/>
                      <w:color w:val="auto"/>
                      <w:szCs w:val="21"/>
                      <w:highlight w:val="none"/>
                      <w:lang w:val="en-US" w:eastAsia="zh-CN"/>
                    </w:rPr>
                    <w:t>10</w:t>
                  </w:r>
                  <w:r>
                    <w:rPr>
                      <w:rFonts w:hint="eastAsia" w:ascii="Times New Roman" w:hAnsi="Times New Roman" w:cs="Times New Roman"/>
                      <w:color w:val="auto"/>
                      <w:szCs w:val="21"/>
                      <w:highlight w:val="none"/>
                      <w:lang w:val="en-US" w:eastAsia="zh-CN"/>
                    </w:rPr>
                    <w:t>*2400</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eastAsia="zh-CN"/>
                    </w:rPr>
                  </w:pPr>
                  <w:r>
                    <w:rPr>
                      <w:rFonts w:hint="eastAsia"/>
                      <w:color w:val="auto"/>
                      <w:sz w:val="21"/>
                      <w:szCs w:val="21"/>
                      <w:highlight w:val="none"/>
                      <w:lang w:eastAsia="zh-CN"/>
                    </w:rPr>
                    <w:t>调直</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校直机</w:t>
                  </w:r>
                </w:p>
              </w:tc>
              <w:tc>
                <w:tcPr>
                  <w:tcW w:w="898" w:type="pct"/>
                  <w:tcBorders>
                    <w:tl2br w:val="nil"/>
                    <w:tr2bl w:val="nil"/>
                  </w:tcBorders>
                  <w:noWrap w:val="0"/>
                  <w:vAlign w:val="center"/>
                </w:tcPr>
                <w:p>
                  <w:pPr>
                    <w:pStyle w:val="57"/>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1</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W31Y-400*</w:t>
                  </w:r>
                  <w:r>
                    <w:rPr>
                      <w:rFonts w:hint="eastAsia" w:ascii="Times New Roman" w:cs="Times New Roman"/>
                      <w:color w:val="auto"/>
                      <w:szCs w:val="21"/>
                      <w:highlight w:val="none"/>
                      <w:lang w:val="en-US" w:eastAsia="zh-CN"/>
                    </w:rPr>
                    <w:t>8</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eastAsia="zh-CN"/>
                    </w:rPr>
                  </w:pPr>
                  <w:r>
                    <w:rPr>
                      <w:rFonts w:hint="eastAsia"/>
                      <w:color w:val="auto"/>
                      <w:sz w:val="21"/>
                      <w:szCs w:val="21"/>
                      <w:highlight w:val="none"/>
                      <w:lang w:eastAsia="zh-CN"/>
                    </w:rPr>
                    <w:t>展平</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钢板开平机</w:t>
                  </w:r>
                </w:p>
              </w:tc>
              <w:tc>
                <w:tcPr>
                  <w:tcW w:w="898" w:type="pct"/>
                  <w:tcBorders>
                    <w:tl2br w:val="nil"/>
                    <w:tr2bl w:val="nil"/>
                  </w:tcBorders>
                  <w:noWrap w:val="0"/>
                  <w:vAlign w:val="center"/>
                </w:tcPr>
                <w:p>
                  <w:pPr>
                    <w:pStyle w:val="57"/>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1</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ZPW43J-6*1800</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592" w:type="pct"/>
                  <w:tcBorders>
                    <w:tl2br w:val="nil"/>
                    <w:tr2bl w:val="nil"/>
                  </w:tcBorders>
                  <w:noWrap w:val="0"/>
                  <w:vAlign w:val="center"/>
                </w:tcPr>
                <w:p>
                  <w:pPr>
                    <w:adjustRightInd w:val="0"/>
                    <w:snapToGrid w:val="0"/>
                    <w:ind w:left="-63" w:leftChars="-30" w:right="-63" w:rightChars="-30"/>
                    <w:jc w:val="center"/>
                    <w:rPr>
                      <w:rFonts w:hint="eastAsia" w:eastAsia="宋体"/>
                      <w:color w:val="auto"/>
                      <w:sz w:val="21"/>
                      <w:szCs w:val="21"/>
                      <w:highlight w:val="none"/>
                      <w:lang w:eastAsia="zh-CN"/>
                    </w:rPr>
                  </w:pPr>
                  <w:r>
                    <w:rPr>
                      <w:rFonts w:hint="eastAsia"/>
                      <w:color w:val="auto"/>
                      <w:sz w:val="21"/>
                      <w:szCs w:val="21"/>
                      <w:highlight w:val="none"/>
                      <w:lang w:eastAsia="zh-CN"/>
                    </w:rPr>
                    <w:t>喷塑</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离心通风机</w:t>
                  </w:r>
                </w:p>
              </w:tc>
              <w:tc>
                <w:tcPr>
                  <w:tcW w:w="898" w:type="pct"/>
                  <w:tcBorders>
                    <w:tl2br w:val="nil"/>
                    <w:tr2bl w:val="nil"/>
                  </w:tcBorders>
                  <w:noWrap w:val="0"/>
                  <w:vAlign w:val="center"/>
                </w:tcPr>
                <w:p>
                  <w:pPr>
                    <w:pStyle w:val="57"/>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1</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w:t>
                  </w:r>
                </w:p>
              </w:tc>
              <w:tc>
                <w:tcPr>
                  <w:tcW w:w="391" w:type="pct"/>
                  <w:tcBorders>
                    <w:tl2br w:val="nil"/>
                    <w:tr2bl w:val="nil"/>
                  </w:tcBorders>
                  <w:noWrap w:val="0"/>
                  <w:vAlign w:val="center"/>
                </w:tcPr>
                <w:p>
                  <w:pPr>
                    <w:jc w:val="center"/>
                    <w:rPr>
                      <w:rFonts w:hint="eastAsia"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固化</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烤箱</w:t>
                  </w:r>
                </w:p>
              </w:tc>
              <w:tc>
                <w:tcPr>
                  <w:tcW w:w="898" w:type="pct"/>
                  <w:tcBorders>
                    <w:tl2br w:val="nil"/>
                    <w:tr2bl w:val="nil"/>
                  </w:tcBorders>
                  <w:noWrap w:val="0"/>
                  <w:vAlign w:val="center"/>
                </w:tcPr>
                <w:p>
                  <w:pPr>
                    <w:pStyle w:val="57"/>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1</w:t>
                  </w:r>
                </w:p>
              </w:tc>
              <w:tc>
                <w:tcPr>
                  <w:tcW w:w="1128"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Cs w:val="21"/>
                      <w:highlight w:val="none"/>
                      <w:lang w:val="en-US" w:eastAsia="zh-CN"/>
                    </w:rPr>
                    <w:t>13m×2m×2m</w:t>
                  </w:r>
                </w:p>
              </w:tc>
              <w:tc>
                <w:tcPr>
                  <w:tcW w:w="391"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固化</w:t>
                  </w:r>
                </w:p>
              </w:tc>
              <w:tc>
                <w:tcPr>
                  <w:tcW w:w="1396"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燃烧机</w:t>
                  </w:r>
                </w:p>
              </w:tc>
              <w:tc>
                <w:tcPr>
                  <w:tcW w:w="898" w:type="pct"/>
                  <w:tcBorders>
                    <w:tl2br w:val="nil"/>
                    <w:tr2bl w:val="nil"/>
                  </w:tcBorders>
                  <w:noWrap w:val="0"/>
                  <w:vAlign w:val="center"/>
                </w:tcPr>
                <w:p>
                  <w:pPr>
                    <w:pStyle w:val="57"/>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1128"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70立方</w:t>
                  </w:r>
                </w:p>
              </w:tc>
              <w:tc>
                <w:tcPr>
                  <w:tcW w:w="391"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592" w:type="pct"/>
                  <w:tcBorders>
                    <w:tl2br w:val="nil"/>
                    <w:tr2bl w:val="nil"/>
                  </w:tcBorders>
                  <w:noWrap w:val="0"/>
                  <w:vAlign w:val="center"/>
                </w:tcPr>
                <w:p>
                  <w:pPr>
                    <w:adjustRightInd w:val="0"/>
                    <w:snapToGrid w:val="0"/>
                    <w:ind w:left="-63" w:leftChars="-30" w:right="-63" w:rightChars="-3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喷塑</w:t>
                  </w:r>
                </w:p>
              </w:tc>
              <w:tc>
                <w:tcPr>
                  <w:tcW w:w="1396" w:type="pct"/>
                  <w:tcBorders>
                    <w:tl2br w:val="nil"/>
                    <w:tr2bl w:val="nil"/>
                  </w:tcBorders>
                  <w:noWrap w:val="0"/>
                  <w:vAlign w:val="center"/>
                </w:tcPr>
                <w:p>
                  <w:pPr>
                    <w:pStyle w:val="57"/>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智能自动化喷塑线</w:t>
                  </w:r>
                </w:p>
              </w:tc>
              <w:tc>
                <w:tcPr>
                  <w:tcW w:w="89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1</w:t>
                  </w:r>
                </w:p>
              </w:tc>
              <w:tc>
                <w:tcPr>
                  <w:tcW w:w="1128" w:type="pct"/>
                  <w:tcBorders>
                    <w:tl2br w:val="nil"/>
                    <w:tr2bl w:val="nil"/>
                  </w:tcBorders>
                  <w:noWrap w:val="0"/>
                  <w:vAlign w:val="center"/>
                </w:tcPr>
                <w:p>
                  <w:pPr>
                    <w:pStyle w:val="57"/>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Cs w:val="21"/>
                      <w:highlight w:val="none"/>
                      <w:lang w:val="en-US" w:eastAsia="zh-CN"/>
                    </w:rPr>
                    <w:t>/</w:t>
                  </w:r>
                </w:p>
              </w:tc>
              <w:tc>
                <w:tcPr>
                  <w:tcW w:w="391" w:type="pct"/>
                  <w:tcBorders>
                    <w:tl2br w:val="nil"/>
                    <w:tr2bl w:val="nil"/>
                  </w:tcBorders>
                  <w:noWrap w:val="0"/>
                  <w:vAlign w:val="center"/>
                </w:tcPr>
                <w:p>
                  <w:pPr>
                    <w:pStyle w:val="57"/>
                    <w:rPr>
                      <w:rFonts w:hint="default" w:ascii="Times New Roman" w:hAnsi="Times New Roman" w:cs="Times New Roman"/>
                      <w:color w:val="auto"/>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92" w:type="pct"/>
                  <w:vMerge w:val="restar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92" w:type="pct"/>
                  <w:vMerge w:val="restar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废气处理</w:t>
                  </w:r>
                </w:p>
              </w:tc>
              <w:tc>
                <w:tcPr>
                  <w:tcW w:w="1396"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废气环保设施配套风机</w:t>
                  </w:r>
                </w:p>
              </w:tc>
              <w:tc>
                <w:tcPr>
                  <w:tcW w:w="89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12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91"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92" w:type="pct"/>
                  <w:vMerge w:val="continue"/>
                  <w:tcBorders>
                    <w:tl2br w:val="nil"/>
                    <w:tr2bl w:val="nil"/>
                  </w:tcBorders>
                  <w:noWrap w:val="0"/>
                  <w:vAlign w:val="center"/>
                </w:tcPr>
                <w:p>
                  <w:pPr>
                    <w:adjustRightInd w:val="0"/>
                    <w:snapToGrid w:val="0"/>
                    <w:ind w:left="-63" w:leftChars="-30" w:right="-63" w:rightChars="-30"/>
                    <w:jc w:val="center"/>
                    <w:rPr>
                      <w:color w:val="auto"/>
                      <w:highlight w:val="none"/>
                    </w:rPr>
                  </w:pPr>
                </w:p>
              </w:tc>
              <w:tc>
                <w:tcPr>
                  <w:tcW w:w="592" w:type="pct"/>
                  <w:vMerge w:val="continue"/>
                  <w:tcBorders>
                    <w:tl2br w:val="nil"/>
                    <w:tr2bl w:val="nil"/>
                  </w:tcBorders>
                  <w:noWrap w:val="0"/>
                  <w:vAlign w:val="center"/>
                </w:tcPr>
                <w:p>
                  <w:pPr>
                    <w:adjustRightInd w:val="0"/>
                    <w:snapToGrid w:val="0"/>
                    <w:ind w:left="-63" w:leftChars="-30" w:right="-63" w:rightChars="-30"/>
                    <w:jc w:val="center"/>
                    <w:rPr>
                      <w:color w:val="auto"/>
                      <w:highlight w:val="none"/>
                    </w:rPr>
                  </w:pPr>
                </w:p>
              </w:tc>
              <w:tc>
                <w:tcPr>
                  <w:tcW w:w="1396"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布袋除尘器</w:t>
                  </w:r>
                </w:p>
              </w:tc>
              <w:tc>
                <w:tcPr>
                  <w:tcW w:w="89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12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91"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92"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592" w:type="pct"/>
                  <w:vMerge w:val="continue"/>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p>
              </w:tc>
              <w:tc>
                <w:tcPr>
                  <w:tcW w:w="1396" w:type="pct"/>
                  <w:tcBorders>
                    <w:tl2br w:val="nil"/>
                    <w:tr2bl w:val="nil"/>
                  </w:tcBorders>
                  <w:noWrap w:val="0"/>
                  <w:vAlign w:val="center"/>
                </w:tcPr>
                <w:p>
                  <w:pPr>
                    <w:adjustRightInd w:val="0"/>
                    <w:snapToGrid w:val="0"/>
                    <w:ind w:left="-63" w:leftChars="-30" w:right="-63" w:rightChars="-30"/>
                    <w:jc w:val="center"/>
                    <w:rPr>
                      <w:rFonts w:hint="eastAsia"/>
                      <w:color w:val="auto"/>
                      <w:sz w:val="21"/>
                      <w:szCs w:val="21"/>
                      <w:highlight w:val="none"/>
                      <w:lang w:val="en-US" w:eastAsia="zh-CN"/>
                    </w:rPr>
                  </w:pPr>
                  <w:r>
                    <w:rPr>
                      <w:rFonts w:hint="eastAsia"/>
                      <w:color w:val="auto"/>
                      <w:sz w:val="21"/>
                      <w:szCs w:val="21"/>
                      <w:highlight w:val="none"/>
                      <w:lang w:val="en-US" w:eastAsia="zh-CN"/>
                    </w:rPr>
                    <w:t>二级活性炭吸附装置</w:t>
                  </w:r>
                </w:p>
              </w:tc>
              <w:tc>
                <w:tcPr>
                  <w:tcW w:w="89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128"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91" w:type="pct"/>
                  <w:tcBorders>
                    <w:tl2br w:val="nil"/>
                    <w:tr2bl w:val="nil"/>
                  </w:tcBorders>
                  <w:noWrap w:val="0"/>
                  <w:vAlign w:val="center"/>
                </w:tcPr>
                <w:p>
                  <w:pPr>
                    <w:adjustRightInd w:val="0"/>
                    <w:snapToGrid w:val="0"/>
                    <w:ind w:left="-63" w:leftChars="-30" w:right="-63" w:rightChars="-3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bl>
          <w:p>
            <w:pPr>
              <w:spacing w:before="120" w:beforeLines="50" w:line="360" w:lineRule="auto"/>
              <w:ind w:firstLine="482" w:firstLineChars="200"/>
              <w:rPr>
                <w:rFonts w:hint="eastAsia"/>
                <w:b/>
                <w:bCs/>
                <w:sz w:val="24"/>
                <w:szCs w:val="32"/>
              </w:rPr>
            </w:pPr>
            <w:r>
              <w:rPr>
                <w:rFonts w:hint="eastAsia"/>
                <w:b/>
                <w:bCs/>
                <w:sz w:val="24"/>
                <w:szCs w:val="32"/>
              </w:rPr>
              <w:t>7、工作班制及劳动定员</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本项目劳动定员</w:t>
            </w:r>
            <w:r>
              <w:rPr>
                <w:rFonts w:hint="eastAsia"/>
                <w:color w:val="000000" w:themeColor="text1"/>
                <w:sz w:val="24"/>
                <w:szCs w:val="32"/>
                <w:lang w:val="en-US" w:eastAsia="zh-CN"/>
                <w14:textFill>
                  <w14:solidFill>
                    <w14:schemeClr w14:val="tx1"/>
                  </w14:solidFill>
                </w14:textFill>
              </w:rPr>
              <w:t>30</w:t>
            </w:r>
            <w:r>
              <w:rPr>
                <w:rFonts w:hint="eastAsia"/>
                <w:color w:val="000000" w:themeColor="text1"/>
                <w:sz w:val="24"/>
                <w:szCs w:val="32"/>
                <w14:textFill>
                  <w14:solidFill>
                    <w14:schemeClr w14:val="tx1"/>
                  </w14:solidFill>
                </w14:textFill>
              </w:rPr>
              <w:t>人，均不在厂区食宿，每天2班，每班</w:t>
            </w:r>
            <w:r>
              <w:rPr>
                <w:rFonts w:hint="eastAsia"/>
                <w:color w:val="000000" w:themeColor="text1"/>
                <w:sz w:val="24"/>
                <w:szCs w:val="32"/>
                <w:lang w:val="en-US" w:eastAsia="zh-CN"/>
                <w14:textFill>
                  <w14:solidFill>
                    <w14:schemeClr w14:val="tx1"/>
                  </w14:solidFill>
                </w14:textFill>
              </w:rPr>
              <w:t>8</w:t>
            </w:r>
            <w:r>
              <w:rPr>
                <w:rFonts w:hint="eastAsia"/>
                <w:color w:val="000000" w:themeColor="text1"/>
                <w:sz w:val="24"/>
                <w:szCs w:val="32"/>
                <w14:textFill>
                  <w14:solidFill>
                    <w14:schemeClr w14:val="tx1"/>
                  </w14:solidFill>
                </w14:textFill>
              </w:rPr>
              <w:t>小时，年工作</w:t>
            </w:r>
            <w:r>
              <w:rPr>
                <w:rFonts w:hint="eastAsia"/>
                <w:color w:val="000000" w:themeColor="text1"/>
                <w:sz w:val="24"/>
                <w:szCs w:val="32"/>
                <w:lang w:val="en-US" w:eastAsia="zh-CN"/>
                <w14:textFill>
                  <w14:solidFill>
                    <w14:schemeClr w14:val="tx1"/>
                  </w14:solidFill>
                </w14:textFill>
              </w:rPr>
              <w:t>270</w:t>
            </w:r>
            <w:r>
              <w:rPr>
                <w:rFonts w:hint="eastAsia"/>
                <w:color w:val="000000" w:themeColor="text1"/>
                <w:sz w:val="24"/>
                <w:szCs w:val="32"/>
                <w14:textFill>
                  <w14:solidFill>
                    <w14:schemeClr w14:val="tx1"/>
                  </w14:solidFill>
                </w14:textFill>
              </w:rPr>
              <w:t>天。</w:t>
            </w:r>
          </w:p>
          <w:p>
            <w:pPr>
              <w:pStyle w:val="55"/>
              <w:rPr>
                <w:rFonts w:hint="eastAsia"/>
                <w:color w:val="auto"/>
                <w:highlight w:val="none"/>
              </w:rPr>
            </w:pPr>
            <w:r>
              <w:rPr>
                <w:rFonts w:hint="eastAsia"/>
                <w:color w:val="auto"/>
                <w:highlight w:val="none"/>
                <w:lang w:val="en-US" w:eastAsia="zh-CN"/>
              </w:rPr>
              <w:t>（五）</w:t>
            </w:r>
            <w:r>
              <w:rPr>
                <w:rFonts w:hint="eastAsia"/>
                <w:color w:val="auto"/>
                <w:highlight w:val="none"/>
              </w:rPr>
              <w:t>公用工程</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（1）给排水</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给水：给水由市政自来水管网供给。新鲜自来水用量约</w:t>
            </w:r>
            <w:r>
              <w:rPr>
                <w:rFonts w:hint="eastAsia"/>
                <w:color w:val="auto"/>
                <w:sz w:val="24"/>
                <w:szCs w:val="22"/>
                <w:highlight w:val="none"/>
                <w:lang w:val="en-US" w:eastAsia="zh-CN"/>
              </w:rPr>
              <w:t>405</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auto"/>
                <w:sz w:val="24"/>
                <w:highlight w:val="none"/>
              </w:rPr>
              <w:t>排水</w:t>
            </w:r>
            <w:r>
              <w:rPr>
                <w:color w:val="auto"/>
                <w:sz w:val="24"/>
                <w:highlight w:val="none"/>
              </w:rPr>
              <w:t>：</w:t>
            </w:r>
            <w:r>
              <w:rPr>
                <w:rFonts w:hint="eastAsia"/>
                <w:color w:val="auto"/>
                <w:sz w:val="24"/>
                <w:szCs w:val="24"/>
                <w:highlight w:val="none"/>
              </w:rPr>
              <w:t>本项目满负荷时劳动定员</w:t>
            </w:r>
            <w:r>
              <w:rPr>
                <w:rFonts w:hint="eastAsia"/>
                <w:color w:val="auto"/>
                <w:sz w:val="24"/>
                <w:szCs w:val="24"/>
                <w:highlight w:val="none"/>
                <w:lang w:val="en-US" w:eastAsia="zh-CN"/>
              </w:rPr>
              <w:t>3</w:t>
            </w:r>
            <w:r>
              <w:rPr>
                <w:rFonts w:hint="eastAsia" w:eastAsia="宋体"/>
                <w:color w:val="auto"/>
                <w:sz w:val="24"/>
                <w:szCs w:val="24"/>
                <w:highlight w:val="none"/>
                <w:lang w:val="en-US" w:eastAsia="zh-CN"/>
              </w:rPr>
              <w:t>0人，根据《建筑给水排水设计标准》（GB50015-2019），非住宿人员项目</w:t>
            </w:r>
            <w:r>
              <w:rPr>
                <w:color w:val="auto"/>
                <w:sz w:val="24"/>
                <w:szCs w:val="24"/>
                <w:highlight w:val="none"/>
              </w:rPr>
              <w:t>人均用水量按50L/（人·d）</w:t>
            </w:r>
            <w:r>
              <w:rPr>
                <w:rFonts w:hint="eastAsia"/>
                <w:color w:val="auto"/>
                <w:sz w:val="24"/>
                <w:szCs w:val="24"/>
                <w:highlight w:val="none"/>
                <w:lang w:eastAsia="zh-CN"/>
              </w:rPr>
              <w:t>，</w:t>
            </w:r>
            <w:r>
              <w:rPr>
                <w:color w:val="auto"/>
                <w:sz w:val="24"/>
                <w:szCs w:val="24"/>
                <w:highlight w:val="none"/>
              </w:rPr>
              <w:t>则项目生活用水量为</w:t>
            </w:r>
            <w:r>
              <w:rPr>
                <w:rFonts w:hint="eastAsia"/>
                <w:color w:val="auto"/>
                <w:sz w:val="24"/>
                <w:szCs w:val="24"/>
                <w:highlight w:val="none"/>
                <w:lang w:val="en-US" w:eastAsia="zh-CN"/>
              </w:rPr>
              <w:t>405</w:t>
            </w:r>
            <w:r>
              <w:rPr>
                <w:rFonts w:hint="eastAsia"/>
                <w:color w:val="auto"/>
                <w:sz w:val="24"/>
                <w:szCs w:val="24"/>
                <w:highlight w:val="none"/>
              </w:rPr>
              <w:t>m</w:t>
            </w:r>
            <w:r>
              <w:rPr>
                <w:color w:val="auto"/>
                <w:sz w:val="24"/>
                <w:szCs w:val="24"/>
                <w:highlight w:val="none"/>
                <w:vertAlign w:val="superscript"/>
              </w:rPr>
              <w:t>3</w:t>
            </w:r>
            <w:r>
              <w:rPr>
                <w:color w:val="auto"/>
                <w:sz w:val="24"/>
                <w:szCs w:val="24"/>
                <w:highlight w:val="none"/>
              </w:rPr>
              <w:t>/a</w:t>
            </w:r>
            <w:r>
              <w:rPr>
                <w:rFonts w:hint="eastAsia" w:eastAsia="宋体"/>
                <w:color w:val="auto"/>
                <w:sz w:val="24"/>
                <w:szCs w:val="24"/>
                <w:highlight w:val="none"/>
                <w:lang w:val="en-US" w:eastAsia="zh-CN"/>
              </w:rPr>
              <w:t>（年运行 270 天）。</w:t>
            </w:r>
            <w:r>
              <w:rPr>
                <w:rFonts w:hint="eastAsia"/>
                <w:color w:val="auto"/>
                <w:sz w:val="24"/>
                <w:szCs w:val="24"/>
                <w:highlight w:val="none"/>
              </w:rPr>
              <w:t>生活</w:t>
            </w:r>
            <w:r>
              <w:rPr>
                <w:color w:val="auto"/>
                <w:sz w:val="24"/>
                <w:szCs w:val="24"/>
                <w:highlight w:val="none"/>
              </w:rPr>
              <w:t>污水产生量按生活用水量的8</w:t>
            </w:r>
            <w:r>
              <w:rPr>
                <w:rFonts w:hint="eastAsia"/>
                <w:color w:val="auto"/>
                <w:sz w:val="24"/>
                <w:szCs w:val="24"/>
                <w:highlight w:val="none"/>
                <w:lang w:val="en-US" w:eastAsia="zh-CN"/>
              </w:rPr>
              <w:t>5</w:t>
            </w:r>
            <w:r>
              <w:rPr>
                <w:color w:val="auto"/>
                <w:sz w:val="24"/>
                <w:szCs w:val="24"/>
                <w:highlight w:val="none"/>
              </w:rPr>
              <w:t>%计，则生活污水产生量为</w:t>
            </w:r>
            <w:r>
              <w:rPr>
                <w:rFonts w:hint="eastAsia"/>
                <w:color w:val="auto"/>
                <w:sz w:val="24"/>
                <w:szCs w:val="24"/>
                <w:highlight w:val="none"/>
                <w:lang w:val="en-US" w:eastAsia="zh-CN"/>
              </w:rPr>
              <w:t>344.25</w:t>
            </w:r>
            <w:r>
              <w:rPr>
                <w:rFonts w:hint="eastAsia"/>
                <w:color w:val="auto"/>
                <w:sz w:val="24"/>
                <w:szCs w:val="24"/>
                <w:highlight w:val="none"/>
              </w:rPr>
              <w:t>m</w:t>
            </w:r>
            <w:r>
              <w:rPr>
                <w:color w:val="auto"/>
                <w:sz w:val="24"/>
                <w:szCs w:val="24"/>
                <w:highlight w:val="none"/>
                <w:vertAlign w:val="superscript"/>
              </w:rPr>
              <w:t>3</w:t>
            </w:r>
            <w:r>
              <w:rPr>
                <w:color w:val="auto"/>
                <w:sz w:val="24"/>
                <w:szCs w:val="24"/>
                <w:highlight w:val="none"/>
              </w:rPr>
              <w:t>/a</w:t>
            </w:r>
            <w:r>
              <w:rPr>
                <w:color w:val="auto"/>
                <w:sz w:val="24"/>
                <w:szCs w:val="24"/>
              </w:rPr>
              <w:t>生活污水经</w:t>
            </w:r>
            <w:r>
              <w:rPr>
                <w:rFonts w:hint="eastAsia"/>
                <w:color w:val="auto"/>
                <w:sz w:val="24"/>
                <w:szCs w:val="24"/>
              </w:rPr>
              <w:t>园区</w:t>
            </w:r>
            <w:r>
              <w:rPr>
                <w:color w:val="auto"/>
                <w:sz w:val="24"/>
                <w:szCs w:val="24"/>
              </w:rPr>
              <w:t>化粪池污水处理</w:t>
            </w:r>
            <w:r>
              <w:rPr>
                <w:rFonts w:hint="eastAsia"/>
                <w:color w:val="auto"/>
                <w:sz w:val="24"/>
                <w:szCs w:val="24"/>
              </w:rPr>
              <w:t>后</w:t>
            </w:r>
            <w:r>
              <w:rPr>
                <w:color w:val="auto"/>
                <w:sz w:val="24"/>
                <w:szCs w:val="24"/>
              </w:rPr>
              <w:t>经污水管网排入</w:t>
            </w:r>
            <w:r>
              <w:rPr>
                <w:rFonts w:hint="eastAsia"/>
                <w:color w:val="auto"/>
                <w:sz w:val="24"/>
                <w:szCs w:val="24"/>
              </w:rPr>
              <w:t>下河线污水处理厂后最终排入湘江</w:t>
            </w:r>
            <w:r>
              <w:rPr>
                <w:color w:val="auto"/>
                <w:sz w:val="24"/>
                <w:szCs w:val="24"/>
              </w:rPr>
              <w:t>。</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（2）供电</w:t>
            </w:r>
          </w:p>
          <w:p>
            <w:pPr>
              <w:adjustRightInd w:val="0"/>
              <w:snapToGrid w:val="0"/>
              <w:spacing w:line="360" w:lineRule="auto"/>
              <w:ind w:firstLine="480" w:firstLineChars="200"/>
              <w:rPr>
                <w:color w:val="auto"/>
                <w:sz w:val="24"/>
                <w:highlight w:val="none"/>
              </w:rPr>
            </w:pPr>
            <w:r>
              <w:rPr>
                <w:rFonts w:hint="eastAsia"/>
                <w:color w:val="auto"/>
                <w:sz w:val="24"/>
                <w:highlight w:val="none"/>
              </w:rPr>
              <w:t>由市政电网供电。全厂</w:t>
            </w:r>
            <w:r>
              <w:rPr>
                <w:color w:val="auto"/>
                <w:sz w:val="24"/>
                <w:highlight w:val="none"/>
              </w:rPr>
              <w:t>预计用电量为</w:t>
            </w:r>
            <w:r>
              <w:rPr>
                <w:rFonts w:hint="eastAsia"/>
                <w:color w:val="auto"/>
                <w:sz w:val="24"/>
                <w:highlight w:val="none"/>
                <w:lang w:val="en-US" w:eastAsia="zh-CN"/>
              </w:rPr>
              <w:t>45</w:t>
            </w:r>
            <w:r>
              <w:rPr>
                <w:rFonts w:hint="eastAsia"/>
                <w:color w:val="auto"/>
                <w:sz w:val="24"/>
                <w:highlight w:val="none"/>
              </w:rPr>
              <w:t>万</w:t>
            </w:r>
            <w:r>
              <w:rPr>
                <w:color w:val="auto"/>
                <w:sz w:val="24"/>
                <w:highlight w:val="none"/>
              </w:rPr>
              <w:t>kW•h/a。</w:t>
            </w:r>
          </w:p>
          <w:p>
            <w:pPr>
              <w:adjustRightInd w:val="0"/>
              <w:snapToGrid w:val="0"/>
              <w:spacing w:line="360" w:lineRule="auto"/>
              <w:ind w:firstLine="480" w:firstLineChars="200"/>
              <w:rPr>
                <w:color w:val="auto"/>
                <w:sz w:val="24"/>
                <w:highlight w:val="none"/>
              </w:rPr>
            </w:pPr>
            <w:r>
              <w:rPr>
                <w:rFonts w:hint="eastAsia"/>
                <w:color w:val="auto"/>
                <w:sz w:val="24"/>
                <w:highlight w:val="none"/>
              </w:rPr>
              <w:t>（3）供热</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w:t>
            </w:r>
            <w:r>
              <w:rPr>
                <w:rFonts w:hint="eastAsia"/>
                <w:color w:val="auto"/>
                <w:sz w:val="24"/>
                <w:highlight w:val="none"/>
                <w:lang w:eastAsia="zh-CN"/>
              </w:rPr>
              <w:t>烘干房供</w:t>
            </w:r>
            <w:r>
              <w:rPr>
                <w:rFonts w:hint="eastAsia"/>
                <w:color w:val="auto"/>
                <w:sz w:val="24"/>
                <w:highlight w:val="none"/>
                <w:lang w:val="en-US" w:eastAsia="zh-CN"/>
              </w:rPr>
              <w:t>热</w:t>
            </w:r>
            <w:r>
              <w:rPr>
                <w:color w:val="auto"/>
                <w:sz w:val="24"/>
                <w:highlight w:val="none"/>
              </w:rPr>
              <w:t>全部采用</w:t>
            </w:r>
            <w:r>
              <w:rPr>
                <w:rFonts w:hint="eastAsia"/>
                <w:color w:val="auto"/>
                <w:sz w:val="24"/>
                <w:highlight w:val="none"/>
              </w:rPr>
              <w:t>天然气</w:t>
            </w:r>
            <w:r>
              <w:rPr>
                <w:rFonts w:hint="eastAsia"/>
                <w:color w:val="auto"/>
                <w:sz w:val="24"/>
                <w:highlight w:val="none"/>
                <w:lang w:val="en-US" w:eastAsia="zh-CN"/>
              </w:rPr>
              <w:t>燃烧供给</w:t>
            </w:r>
            <w:r>
              <w:rPr>
                <w:rFonts w:hint="eastAsia"/>
                <w:color w:val="auto"/>
                <w:sz w:val="24"/>
                <w:highlight w:val="none"/>
              </w:rPr>
              <w:t>，由</w:t>
            </w:r>
            <w:r>
              <w:rPr>
                <w:color w:val="auto"/>
                <w:sz w:val="24"/>
                <w:highlight w:val="none"/>
              </w:rPr>
              <w:t>市政天然气管道供给，</w:t>
            </w:r>
            <w:r>
              <w:rPr>
                <w:rFonts w:hint="eastAsia"/>
                <w:color w:val="auto"/>
                <w:sz w:val="24"/>
                <w:highlight w:val="none"/>
              </w:rPr>
              <w:t>天然气</w:t>
            </w:r>
            <w:r>
              <w:rPr>
                <w:color w:val="auto"/>
                <w:sz w:val="24"/>
                <w:highlight w:val="none"/>
              </w:rPr>
              <w:t>用量为</w:t>
            </w:r>
            <w:r>
              <w:rPr>
                <w:rFonts w:hint="eastAsia"/>
                <w:color w:val="auto"/>
                <w:sz w:val="24"/>
                <w:highlight w:val="none"/>
                <w:lang w:val="en-US" w:eastAsia="zh-CN"/>
              </w:rPr>
              <w:t>7.2</w:t>
            </w:r>
            <w:r>
              <w:rPr>
                <w:rFonts w:hint="eastAsia"/>
                <w:color w:val="auto"/>
                <w:sz w:val="24"/>
                <w:highlight w:val="none"/>
              </w:rPr>
              <w:t>万</w:t>
            </w:r>
            <w:r>
              <w:rPr>
                <w:color w:val="auto"/>
                <w:sz w:val="24"/>
                <w:highlight w:val="none"/>
              </w:rPr>
              <w:t>m</w:t>
            </w:r>
            <w:r>
              <w:rPr>
                <w:color w:val="auto"/>
                <w:sz w:val="24"/>
                <w:highlight w:val="none"/>
                <w:vertAlign w:val="superscript"/>
              </w:rPr>
              <w:t>3</w:t>
            </w:r>
            <w:r>
              <w:rPr>
                <w:color w:val="auto"/>
                <w:sz w:val="24"/>
                <w:highlight w:val="none"/>
              </w:rPr>
              <w:t>/a</w:t>
            </w:r>
            <w:r>
              <w:rPr>
                <w:rFonts w:hint="eastAsia"/>
                <w:color w:val="auto"/>
                <w:sz w:val="24"/>
                <w:highlight w:val="none"/>
                <w:lang w:eastAsia="zh-CN"/>
              </w:rPr>
              <w:t>，串焊、层压所需热量均为电加热供给</w:t>
            </w:r>
            <w:r>
              <w:rPr>
                <w:color w:val="auto"/>
                <w:sz w:val="24"/>
                <w:highlight w:val="none"/>
              </w:rPr>
              <w:t>。</w:t>
            </w:r>
          </w:p>
          <w:p>
            <w:pPr>
              <w:pStyle w:val="55"/>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rPr>
              <w:t>平面布置</w:t>
            </w:r>
          </w:p>
          <w:p>
            <w:pPr>
              <w:adjustRightInd w:val="0"/>
              <w:snapToGrid w:val="0"/>
              <w:spacing w:line="360" w:lineRule="auto"/>
              <w:ind w:firstLine="480" w:firstLineChars="20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生产车间布置由西先东</w:t>
            </w:r>
            <w:r>
              <w:rPr>
                <w:color w:val="000000" w:themeColor="text1"/>
                <w:sz w:val="24"/>
                <w:szCs w:val="24"/>
                <w14:textFill>
                  <w14:solidFill>
                    <w14:schemeClr w14:val="tx1"/>
                  </w14:solidFill>
                </w14:textFill>
              </w:rPr>
              <w:t>逐次分区</w:t>
            </w:r>
            <w:r>
              <w:rPr>
                <w:rFonts w:hint="eastAsia"/>
                <w:color w:val="000000" w:themeColor="text1"/>
                <w:sz w:val="24"/>
                <w:szCs w:val="24"/>
                <w:highlight w:val="none"/>
                <w:lang w:val="en-US" w:eastAsia="zh-CN"/>
                <w14:textFill>
                  <w14:solidFill>
                    <w14:schemeClr w14:val="tx1"/>
                  </w14:solidFill>
                </w14:textFill>
              </w:rPr>
              <w:t>布置：喷塑区、固化区、成品区、原料区、一般固废区、危废暂存间，由东向西</w:t>
            </w:r>
            <w:r>
              <w:rPr>
                <w:color w:val="000000" w:themeColor="text1"/>
                <w:sz w:val="24"/>
                <w:szCs w:val="24"/>
                <w14:textFill>
                  <w14:solidFill>
                    <w14:schemeClr w14:val="tx1"/>
                  </w14:solidFill>
                </w14:textFill>
              </w:rPr>
              <w:t>逐次分区</w:t>
            </w:r>
            <w:r>
              <w:rPr>
                <w:rFonts w:hint="eastAsia"/>
                <w:color w:val="000000" w:themeColor="text1"/>
                <w:sz w:val="24"/>
                <w:szCs w:val="24"/>
                <w:highlight w:val="none"/>
                <w:lang w:val="en-US" w:eastAsia="zh-CN"/>
                <w14:textFill>
                  <w14:solidFill>
                    <w14:schemeClr w14:val="tx1"/>
                  </w14:solidFill>
                </w14:textFill>
              </w:rPr>
              <w:t>布置：焊接区、调直区、折弯区、斜切区、展平区。</w:t>
            </w:r>
          </w:p>
          <w:p>
            <w:pPr>
              <w:spacing w:line="360" w:lineRule="auto"/>
              <w:ind w:firstLine="48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办公区位于生产车间的西面，食堂位于项目的西北面。</w:t>
            </w:r>
          </w:p>
          <w:p>
            <w:pPr>
              <w:adjustRightInd w:val="0"/>
              <w:snapToGrid w:val="0"/>
              <w:spacing w:line="360" w:lineRule="auto"/>
              <w:ind w:firstLine="480" w:firstLineChars="200"/>
              <w:rPr>
                <w:rFonts w:hint="eastAsia"/>
                <w:color w:val="auto"/>
                <w:highlight w:val="none"/>
              </w:rPr>
            </w:pPr>
            <w:r>
              <w:rPr>
                <w:rFonts w:hint="eastAsia"/>
                <w:color w:val="000000" w:themeColor="text1"/>
                <w:sz w:val="24"/>
                <w:szCs w:val="24"/>
                <w:highlight w:val="none"/>
                <w14:textFill>
                  <w14:solidFill>
                    <w14:schemeClr w14:val="tx1"/>
                  </w14:solidFill>
                </w14:textFill>
              </w:rPr>
              <w:t>在满足消防、安全、卫生要求的前提下，总平面布局功能分明、工艺流程顺畅、运输及物流合理、生产管理方便，同时结构紧凑、最大限度节约空间，项目平面布置合理。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9" w:hRule="atLeast"/>
          <w:jc w:val="center"/>
        </w:trPr>
        <w:tc>
          <w:tcPr>
            <w:tcW w:w="442" w:type="dxa"/>
            <w:noWrap w:val="0"/>
            <w:vAlign w:val="center"/>
          </w:tcPr>
          <w:p>
            <w:pPr>
              <w:pStyle w:val="19"/>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工艺流程和产排污环节</w:t>
            </w:r>
          </w:p>
        </w:tc>
        <w:tc>
          <w:tcPr>
            <w:tcW w:w="8618" w:type="dxa"/>
            <w:noWrap w:val="0"/>
            <w:vAlign w:val="top"/>
          </w:tcPr>
          <w:p>
            <w:pPr>
              <w:pStyle w:val="55"/>
              <w:rPr>
                <w:rFonts w:hint="eastAsia"/>
                <w:color w:val="auto"/>
                <w:highlight w:val="none"/>
              </w:rPr>
            </w:pPr>
            <w:r>
              <w:rPr>
                <w:color w:val="auto"/>
                <w:highlight w:val="none"/>
              </w:rPr>
              <w:t>1</w:t>
            </w:r>
            <w:r>
              <w:rPr>
                <w:rFonts w:hint="eastAsia"/>
                <w:color w:val="auto"/>
                <w:highlight w:val="none"/>
              </w:rPr>
              <w:t>、施工期</w:t>
            </w:r>
          </w:p>
          <w:p>
            <w:pPr>
              <w:adjustRightInd w:val="0"/>
              <w:snapToGrid w:val="0"/>
              <w:spacing w:line="360" w:lineRule="auto"/>
              <w:ind w:firstLine="480" w:firstLineChars="200"/>
              <w:rPr>
                <w:color w:val="auto"/>
                <w:sz w:val="24"/>
                <w:highlight w:val="none"/>
              </w:rPr>
            </w:pPr>
            <w:r>
              <w:rPr>
                <w:rFonts w:hint="eastAsia"/>
                <w:color w:val="auto"/>
                <w:sz w:val="24"/>
                <w:highlight w:val="none"/>
                <w:lang w:val="en-US" w:eastAsia="zh-CN"/>
              </w:rPr>
              <w:t>本项目不涉及土建工程，可不考虑施工期的影响</w:t>
            </w:r>
            <w:r>
              <w:rPr>
                <w:color w:val="auto"/>
                <w:sz w:val="24"/>
                <w:highlight w:val="none"/>
              </w:rPr>
              <w:t>。</w:t>
            </w:r>
          </w:p>
          <w:p>
            <w:pPr>
              <w:pStyle w:val="55"/>
              <w:rPr>
                <w:color w:val="auto"/>
                <w:highlight w:val="none"/>
              </w:rPr>
            </w:pPr>
            <w:r>
              <w:rPr>
                <w:rFonts w:hint="eastAsia"/>
                <w:color w:val="auto"/>
                <w:highlight w:val="none"/>
              </w:rPr>
              <w:t>2、运营期</w:t>
            </w:r>
          </w:p>
          <w:p>
            <w:pPr>
              <w:pStyle w:val="55"/>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2.1、</w:t>
            </w:r>
            <w:r>
              <w:rPr>
                <w:rFonts w:hint="eastAsia" w:ascii="宋体" w:hAnsi="宋体" w:eastAsia="宋体" w:cs="宋体"/>
                <w:b w:val="0"/>
                <w:bCs/>
                <w:color w:val="auto"/>
                <w:highlight w:val="none"/>
                <w:lang w:val="en-US" w:eastAsia="zh-CN"/>
              </w:rPr>
              <w:t>路灯杆生产线</w:t>
            </w:r>
            <w:r>
              <w:rPr>
                <w:rFonts w:hint="eastAsia" w:ascii="宋体" w:hAnsi="宋体" w:eastAsia="宋体" w:cs="宋体"/>
                <w:b w:val="0"/>
                <w:bCs/>
                <w:color w:val="auto"/>
                <w:highlight w:val="none"/>
              </w:rPr>
              <w:t>工艺流程和产排污环节</w:t>
            </w:r>
          </w:p>
          <w:p>
            <w:pPr>
              <w:adjustRightInd w:val="0"/>
              <w:snapToGrid w:val="0"/>
              <w:spacing w:line="360" w:lineRule="auto"/>
              <w:ind w:firstLine="480" w:firstLineChars="200"/>
              <w:rPr>
                <w:color w:val="auto"/>
                <w:sz w:val="24"/>
                <w:highlight w:val="none"/>
              </w:rPr>
            </w:pPr>
            <w:r>
              <w:rPr>
                <w:rFonts w:hint="eastAsia"/>
                <w:color w:val="auto"/>
                <w:sz w:val="24"/>
                <w:highlight w:val="none"/>
              </w:rPr>
              <w:t>工艺流程及产污环节见</w:t>
            </w:r>
            <w:r>
              <w:rPr>
                <w:rFonts w:hint="eastAsia"/>
                <w:color w:val="auto"/>
                <w:sz w:val="24"/>
                <w:highlight w:val="none"/>
                <w:lang w:val="en-US" w:eastAsia="zh-CN"/>
              </w:rPr>
              <w:t>下</w:t>
            </w:r>
            <w:r>
              <w:rPr>
                <w:rFonts w:hint="eastAsia"/>
                <w:color w:val="auto"/>
                <w:sz w:val="24"/>
                <w:highlight w:val="none"/>
              </w:rPr>
              <w:t>图。</w:t>
            </w:r>
          </w:p>
          <w:p>
            <w:pPr>
              <w:adjustRightInd w:val="0"/>
              <w:snapToGrid w:val="0"/>
              <w:spacing w:line="360" w:lineRule="auto"/>
              <w:ind w:firstLine="480" w:firstLineChars="200"/>
              <w:jc w:val="center"/>
              <w:rPr>
                <w:rFonts w:hint="eastAsia" w:eastAsia="宋体"/>
                <w:color w:val="auto"/>
                <w:sz w:val="24"/>
                <w:highlight w:val="none"/>
                <w:lang w:eastAsia="zh-CN"/>
              </w:rPr>
            </w:pPr>
            <w:r>
              <w:rPr>
                <w:rFonts w:hint="eastAsia" w:eastAsia="宋体"/>
                <w:color w:val="auto"/>
                <w:sz w:val="24"/>
                <w:highlight w:val="none"/>
                <w:lang w:eastAsia="zh-CN"/>
              </w:rPr>
              <w:drawing>
                <wp:inline distT="0" distB="0" distL="114300" distR="114300">
                  <wp:extent cx="3095625" cy="6515100"/>
                  <wp:effectExtent l="0" t="0" r="9525" b="0"/>
                  <wp:docPr id="14" name="图片 14" descr="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生产工艺"/>
                          <pic:cNvPicPr>
                            <a:picLocks noChangeAspect="1"/>
                          </pic:cNvPicPr>
                        </pic:nvPicPr>
                        <pic:blipFill>
                          <a:blip r:embed="rId10"/>
                          <a:stretch>
                            <a:fillRect/>
                          </a:stretch>
                        </pic:blipFill>
                        <pic:spPr>
                          <a:xfrm>
                            <a:off x="0" y="0"/>
                            <a:ext cx="3095625" cy="6515100"/>
                          </a:xfrm>
                          <a:prstGeom prst="rect">
                            <a:avLst/>
                          </a:prstGeom>
                        </pic:spPr>
                      </pic:pic>
                    </a:graphicData>
                  </a:graphic>
                </wp:inline>
              </w:drawing>
            </w:r>
          </w:p>
          <w:p>
            <w:pPr>
              <w:adjustRightInd w:val="0"/>
              <w:snapToGrid w:val="0"/>
              <w:spacing w:line="360" w:lineRule="auto"/>
              <w:ind w:firstLine="480" w:firstLineChars="200"/>
              <w:jc w:val="center"/>
              <w:rPr>
                <w:rFonts w:hint="default" w:eastAsia="宋体"/>
                <w:color w:val="auto"/>
                <w:sz w:val="24"/>
                <w:highlight w:val="none"/>
                <w:lang w:val="en-US" w:eastAsia="zh-CN"/>
              </w:rPr>
            </w:pPr>
            <w:r>
              <w:rPr>
                <w:rFonts w:hint="eastAsia"/>
                <w:color w:val="auto"/>
                <w:sz w:val="24"/>
                <w:highlight w:val="none"/>
                <w:lang w:val="en-US" w:eastAsia="zh-CN"/>
              </w:rPr>
              <w:t>图2-1路灯杆生产线工艺流程和产污环节图（</w:t>
            </w:r>
            <w:r>
              <w:rPr>
                <w:rFonts w:hint="eastAsia"/>
                <w:color w:val="auto"/>
                <w:sz w:val="24"/>
                <w:szCs w:val="24"/>
                <w:highlight w:val="none"/>
                <w:lang w:val="en-US" w:eastAsia="zh-CN"/>
              </w:rPr>
              <w:t>G废气、S固废、N噪声</w:t>
            </w:r>
            <w:r>
              <w:rPr>
                <w:rFonts w:hint="eastAsia"/>
                <w:color w:val="auto"/>
                <w:sz w:val="24"/>
                <w:highlight w:val="none"/>
                <w:lang w:val="en-US" w:eastAsia="zh-CN"/>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主体工艺流程及</w:t>
            </w:r>
            <w:r>
              <w:rPr>
                <w:color w:val="auto"/>
                <w:sz w:val="24"/>
                <w:highlight w:val="none"/>
              </w:rPr>
              <w:t>产污节点</w:t>
            </w:r>
            <w:r>
              <w:rPr>
                <w:rFonts w:hint="eastAsia"/>
                <w:color w:val="auto"/>
                <w:sz w:val="24"/>
                <w:highlight w:val="none"/>
              </w:rPr>
              <w:t>说明如下</w:t>
            </w:r>
            <w:r>
              <w:rPr>
                <w:color w:val="auto"/>
                <w:sz w:val="24"/>
                <w:highlight w:val="none"/>
              </w:rPr>
              <w:t>：</w:t>
            </w:r>
          </w:p>
          <w:p>
            <w:pPr>
              <w:pStyle w:val="4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剪板：将外购的卷状钢材利用钢板斜剪机进行剪切，剪板的过程中会有</w:t>
            </w:r>
            <w:r>
              <w:rPr>
                <w:rFonts w:hint="eastAsia" w:ascii="Times New Roman" w:hAnsi="Times New Roman" w:cs="Times New Roman"/>
                <w:color w:val="auto"/>
                <w:sz w:val="24"/>
                <w:highlight w:val="none"/>
                <w:lang w:val="en-US" w:eastAsia="zh-CN"/>
              </w:rPr>
              <w:t>钢材</w:t>
            </w:r>
            <w:r>
              <w:rPr>
                <w:rFonts w:hint="default" w:ascii="Times New Roman" w:hAnsi="Times New Roman" w:cs="Times New Roman"/>
                <w:color w:val="auto"/>
                <w:sz w:val="24"/>
                <w:highlight w:val="none"/>
                <w:lang w:val="en-US" w:eastAsia="zh-CN"/>
              </w:rPr>
              <w:t>边角料S</w:t>
            </w:r>
            <w:r>
              <w:rPr>
                <w:rFonts w:hint="eastAsia" w:asci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N噪声</w:t>
            </w:r>
            <w:r>
              <w:rPr>
                <w:rFonts w:hint="eastAsia" w:ascii="Times New Roman" w:cs="Times New Roman"/>
                <w:color w:val="auto"/>
                <w:sz w:val="24"/>
                <w:highlight w:val="none"/>
                <w:lang w:eastAsia="zh-CN"/>
              </w:rPr>
              <w:t>及剪板废气</w:t>
            </w:r>
            <w:r>
              <w:rPr>
                <w:rFonts w:hint="eastAsia" w:ascii="Times New Roman" w:cs="Times New Roman"/>
                <w:color w:val="auto"/>
                <w:sz w:val="24"/>
                <w:highlight w:val="none"/>
                <w:lang w:val="en-US" w:eastAsia="zh-CN"/>
              </w:rPr>
              <w:t>G1</w:t>
            </w:r>
            <w:r>
              <w:rPr>
                <w:rFonts w:hint="default" w:ascii="Times New Roman" w:hAnsi="Times New Roman" w:cs="Times New Roman"/>
                <w:color w:val="auto"/>
                <w:sz w:val="24"/>
                <w:highlight w:val="none"/>
                <w:lang w:eastAsia="zh-CN"/>
              </w:rPr>
              <w:t>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展平：将剪板后的钢材原料用钢板开平机进行展平处理，展平的过程会有噪声N产生。</w:t>
            </w:r>
          </w:p>
          <w:p>
            <w:pPr>
              <w:pStyle w:val="4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cs="Times New Roman"/>
                <w:color w:val="auto"/>
                <w:szCs w:val="21"/>
                <w:highlight w:val="none"/>
                <w:lang w:val="en-US" w:eastAsia="zh-CN"/>
              </w:rPr>
            </w:pPr>
            <w:r>
              <w:rPr>
                <w:rFonts w:hint="eastAsia"/>
                <w:color w:val="auto"/>
                <w:sz w:val="24"/>
                <w:szCs w:val="24"/>
                <w:highlight w:val="none"/>
                <w:lang w:val="en-US" w:eastAsia="zh-CN"/>
              </w:rPr>
              <w:t>折弯：将展平后的钢材原料用</w:t>
            </w:r>
            <w:r>
              <w:rPr>
                <w:rFonts w:hint="eastAsia" w:ascii="Times New Roman" w:hAnsi="Times New Roman" w:cs="Times New Roman"/>
                <w:color w:val="auto"/>
                <w:szCs w:val="21"/>
                <w:highlight w:val="none"/>
                <w:lang w:val="en-US" w:eastAsia="zh-CN"/>
              </w:rPr>
              <w:t>液压板料折弯机进行折弯，该过程会产生噪声N。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调直：折弯处理后的钢材已形成产品路灯杆圆柱雏形，然后将其用校直机进行校直，校直过程会产生噪声N。</w:t>
            </w:r>
          </w:p>
          <w:p>
            <w:pPr>
              <w:pStyle w:val="4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自动焊接：利用自动全缝埋弧焊接机将调直后的产品路灯杆圆柱雏形的缝隙处进行焊接处理，该过程会产生焊接废气G</w:t>
            </w:r>
            <w:r>
              <w:rPr>
                <w:rFonts w:hint="eastAsia" w:asci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及噪声N。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法兰焊接：将法兰人工焊接到经自动焊接工艺后的产品上，焊材为实心焊丝，焊接过程中产生一定的烟尘逸散。该过程会产生焊接废气G3及噪声N。</w:t>
            </w:r>
          </w:p>
          <w:p>
            <w:pPr>
              <w:pStyle w:val="4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sz w:val="24"/>
                <w:szCs w:val="24"/>
                <w:highlight w:val="none"/>
                <w:lang w:val="en-US" w:eastAsia="zh-CN"/>
              </w:rPr>
            </w:pPr>
            <w:r>
              <w:rPr>
                <w:rFonts w:hint="eastAsia"/>
                <w:color w:val="auto"/>
                <w:sz w:val="24"/>
                <w:szCs w:val="24"/>
                <w:highlight w:val="none"/>
                <w:lang w:val="en-US" w:eastAsia="zh-CN"/>
              </w:rPr>
              <w:t>喷塑：本项目采用粉末静电喷涂的喷塑方法，其工作原理为高压静电形成电晕电场。具体工作过程为，在喷枪头部金属喷杯和极针处接上高压负极，被喷涂工件接地形成正极，使喷枪和工件之间形成一个较强的静电电场。当作为运载气体的压缩空气，将粉末涂料从供粉桶经粉管送到喷枪的喷杯和极针时，由于它接上高压负极产生的电晕放电，在其附近产生了密集的负电荷，使粉末带上负电荷，进入了电场强度很高的静电场，在静电力和运载气体推动力的双重作用下，粉末均匀地飞向接地工件表面形成厚薄均匀的粉层。每个喷涂房独立密闭设计，仅留工件出入门，喷涂房密闭性较好，仅在进出工件过程中产生一定的粉尘逸散。该工序</w:t>
            </w:r>
            <w:r>
              <w:rPr>
                <w:rFonts w:hint="default" w:ascii="Times New Roman" w:hAnsi="Times New Roman" w:cs="Times New Roman"/>
                <w:color w:val="auto"/>
                <w:sz w:val="24"/>
                <w:szCs w:val="24"/>
                <w:highlight w:val="none"/>
                <w:lang w:val="en-US" w:eastAsia="zh-CN"/>
              </w:rPr>
              <w:t>会产生</w:t>
            </w:r>
            <w:r>
              <w:rPr>
                <w:rFonts w:hint="eastAsia" w:ascii="Times New Roman" w:hAnsi="Times New Roman" w:cs="Times New Roman"/>
                <w:color w:val="auto"/>
                <w:sz w:val="24"/>
                <w:szCs w:val="24"/>
                <w:highlight w:val="none"/>
                <w:lang w:val="en-US" w:eastAsia="zh-CN"/>
              </w:rPr>
              <w:t>喷塑废气G</w:t>
            </w:r>
            <w:r>
              <w:rPr>
                <w:rFonts w:hint="eastAsia" w:asci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固化：粉末涂料涂覆于工件表面后，需要进一步固化才能得到性能良好的涂膜。喷塑后的工件通过送至密闭烤箱内加热固化并保温30分钟，使之熔化、流平、固化。粉末主要成分为聚酯树脂，分解温度为260~440℃，具有良好的化学稳定性。实际生产总粉末固化熔融温度控制在150℃，由于本项目工艺操作温度略微接近树脂的最低分解温度，会造成极少量的树脂粉末热分解产生有机废气VOCs。固化工序天然气燃烧供热，加热方式为间接加热。项目对密闭的烤房内配备风机，通过风机产生负压将项目产生的烘烤固化废气收集后集中处理，仅在进出工件过程中产生一定的废气逸散。固化工序会产生固化废气G5、燃烧废气G6。</w:t>
            </w:r>
          </w:p>
          <w:p>
            <w:pPr>
              <w:pStyle w:val="55"/>
              <w:rPr>
                <w:color w:val="auto"/>
                <w:highlight w:val="none"/>
              </w:rPr>
            </w:pPr>
            <w:r>
              <w:rPr>
                <w:color w:val="auto"/>
                <w:highlight w:val="none"/>
              </w:rPr>
              <w:t>3</w:t>
            </w:r>
            <w:r>
              <w:rPr>
                <w:rFonts w:hint="eastAsia"/>
                <w:color w:val="auto"/>
                <w:highlight w:val="none"/>
              </w:rPr>
              <w:t>、产污节点</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本项目产污环节见表 2-7。</w:t>
            </w:r>
          </w:p>
          <w:p>
            <w:pPr>
              <w:pStyle w:val="85"/>
              <w:bidi w:val="0"/>
              <w:rPr>
                <w:rFonts w:hint="eastAsia" w:eastAsia="黑体"/>
                <w:color w:val="auto"/>
                <w:szCs w:val="21"/>
                <w:highlight w:val="none"/>
              </w:rPr>
            </w:pPr>
            <w:r>
              <w:rPr>
                <w:rFonts w:hint="eastAsia"/>
                <w:color w:val="auto"/>
                <w:highlight w:val="none"/>
                <w:lang w:val="en-US" w:eastAsia="zh-CN"/>
              </w:rPr>
              <w:t xml:space="preserve">   </w:t>
            </w:r>
            <w:r>
              <w:rPr>
                <w:rFonts w:hint="eastAsia"/>
                <w:b/>
                <w:bCs/>
                <w:color w:val="auto"/>
                <w:sz w:val="21"/>
                <w:szCs w:val="21"/>
                <w:highlight w:val="none"/>
                <w:lang w:val="en-US" w:eastAsia="zh-CN"/>
              </w:rPr>
              <w:t>项目主要环境影响因子</w:t>
            </w:r>
          </w:p>
          <w:tbl>
            <w:tblPr>
              <w:tblStyle w:val="23"/>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59"/>
              <w:gridCol w:w="2333"/>
              <w:gridCol w:w="1218"/>
              <w:gridCol w:w="1929"/>
              <w:gridCol w:w="192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cantSplit/>
                <w:jc w:val="center"/>
              </w:trPr>
              <w:tc>
                <w:tcPr>
                  <w:tcW w:w="305" w:type="pct"/>
                  <w:tcBorders>
                    <w:tl2br w:val="nil"/>
                    <w:tr2bl w:val="nil"/>
                  </w:tcBorders>
                  <w:noWrap w:val="0"/>
                  <w:vAlign w:val="center"/>
                </w:tcPr>
                <w:p>
                  <w:pPr>
                    <w:adjustRightInd w:val="0"/>
                    <w:snapToGrid w:val="0"/>
                    <w:jc w:val="center"/>
                    <w:rPr>
                      <w:bCs/>
                      <w:color w:val="auto"/>
                      <w:sz w:val="21"/>
                      <w:szCs w:val="21"/>
                      <w:highlight w:val="none"/>
                      <w:lang w:val="zh-CN"/>
                    </w:rPr>
                  </w:pPr>
                  <w:r>
                    <w:rPr>
                      <w:color w:val="auto"/>
                      <w:sz w:val="21"/>
                      <w:szCs w:val="21"/>
                      <w:highlight w:val="none"/>
                    </w:rPr>
                    <w:t>时段</w:t>
                  </w:r>
                </w:p>
              </w:tc>
              <w:tc>
                <w:tcPr>
                  <w:tcW w:w="329" w:type="pct"/>
                  <w:tcBorders>
                    <w:tl2br w:val="nil"/>
                    <w:tr2bl w:val="nil"/>
                  </w:tcBorders>
                  <w:noWrap w:val="0"/>
                  <w:vAlign w:val="center"/>
                </w:tcPr>
                <w:p>
                  <w:pPr>
                    <w:adjustRightInd w:val="0"/>
                    <w:snapToGrid w:val="0"/>
                    <w:jc w:val="center"/>
                    <w:rPr>
                      <w:bCs/>
                      <w:color w:val="auto"/>
                      <w:sz w:val="21"/>
                      <w:szCs w:val="21"/>
                      <w:highlight w:val="none"/>
                      <w:lang w:val="zh-CN"/>
                    </w:rPr>
                  </w:pPr>
                  <w:r>
                    <w:rPr>
                      <w:bCs/>
                      <w:color w:val="auto"/>
                      <w:sz w:val="21"/>
                      <w:szCs w:val="21"/>
                      <w:highlight w:val="none"/>
                      <w:lang w:val="zh-CN"/>
                    </w:rPr>
                    <w:t>类型</w:t>
                  </w:r>
                </w:p>
              </w:tc>
              <w:tc>
                <w:tcPr>
                  <w:tcW w:w="1374" w:type="pct"/>
                  <w:tcBorders>
                    <w:tl2br w:val="nil"/>
                    <w:tr2bl w:val="nil"/>
                  </w:tcBorders>
                  <w:noWrap w:val="0"/>
                  <w:vAlign w:val="center"/>
                </w:tcPr>
                <w:p>
                  <w:pPr>
                    <w:adjustRightInd w:val="0"/>
                    <w:snapToGrid w:val="0"/>
                    <w:jc w:val="center"/>
                    <w:rPr>
                      <w:bCs/>
                      <w:color w:val="auto"/>
                      <w:sz w:val="21"/>
                      <w:szCs w:val="21"/>
                      <w:highlight w:val="none"/>
                      <w:lang w:val="zh-CN"/>
                    </w:rPr>
                  </w:pPr>
                  <w:r>
                    <w:rPr>
                      <w:bCs/>
                      <w:color w:val="auto"/>
                      <w:sz w:val="21"/>
                      <w:szCs w:val="21"/>
                      <w:highlight w:val="none"/>
                      <w:lang w:val="zh-CN"/>
                    </w:rPr>
                    <w:t>污染源</w:t>
                  </w:r>
                </w:p>
              </w:tc>
              <w:tc>
                <w:tcPr>
                  <w:tcW w:w="717" w:type="pct"/>
                  <w:tcBorders>
                    <w:tl2br w:val="nil"/>
                    <w:tr2bl w:val="nil"/>
                  </w:tcBorders>
                  <w:noWrap w:val="0"/>
                  <w:vAlign w:val="center"/>
                </w:tcPr>
                <w:p>
                  <w:pPr>
                    <w:adjustRightInd w:val="0"/>
                    <w:snapToGrid w:val="0"/>
                    <w:jc w:val="center"/>
                    <w:rPr>
                      <w:bCs/>
                      <w:color w:val="auto"/>
                      <w:sz w:val="21"/>
                      <w:szCs w:val="21"/>
                      <w:highlight w:val="none"/>
                      <w:lang w:val="zh-CN"/>
                    </w:rPr>
                  </w:pPr>
                  <w:r>
                    <w:rPr>
                      <w:rFonts w:hint="eastAsia"/>
                      <w:bCs/>
                      <w:color w:val="auto"/>
                      <w:sz w:val="21"/>
                      <w:szCs w:val="21"/>
                      <w:highlight w:val="none"/>
                      <w:lang w:val="en-US" w:eastAsia="zh-CN"/>
                    </w:rPr>
                    <w:t>污染</w:t>
                  </w:r>
                  <w:r>
                    <w:rPr>
                      <w:bCs/>
                      <w:color w:val="auto"/>
                      <w:sz w:val="21"/>
                      <w:szCs w:val="21"/>
                      <w:highlight w:val="none"/>
                      <w:lang w:val="zh-CN"/>
                    </w:rPr>
                    <w:t>工序</w:t>
                  </w:r>
                </w:p>
              </w:tc>
              <w:tc>
                <w:tcPr>
                  <w:tcW w:w="1136" w:type="pct"/>
                  <w:tcBorders>
                    <w:tl2br w:val="nil"/>
                    <w:tr2bl w:val="nil"/>
                  </w:tcBorders>
                  <w:noWrap w:val="0"/>
                  <w:vAlign w:val="center"/>
                </w:tcPr>
                <w:p>
                  <w:pPr>
                    <w:adjustRightInd w:val="0"/>
                    <w:snapToGrid w:val="0"/>
                    <w:jc w:val="center"/>
                    <w:rPr>
                      <w:bCs/>
                      <w:color w:val="auto"/>
                      <w:sz w:val="21"/>
                      <w:szCs w:val="21"/>
                      <w:highlight w:val="none"/>
                      <w:lang w:val="zh-CN"/>
                    </w:rPr>
                  </w:pPr>
                  <w:r>
                    <w:rPr>
                      <w:rFonts w:hint="eastAsia"/>
                      <w:b w:val="0"/>
                      <w:bCs w:val="0"/>
                      <w:color w:val="auto"/>
                      <w:sz w:val="21"/>
                      <w:szCs w:val="21"/>
                      <w:highlight w:val="none"/>
                      <w:vertAlign w:val="baseline"/>
                      <w:lang w:val="en-US" w:eastAsia="zh-CN"/>
                    </w:rPr>
                    <w:t>污染源编号</w:t>
                  </w:r>
                </w:p>
              </w:tc>
              <w:tc>
                <w:tcPr>
                  <w:tcW w:w="1136" w:type="pct"/>
                  <w:tcBorders>
                    <w:tl2br w:val="nil"/>
                    <w:tr2bl w:val="nil"/>
                  </w:tcBorders>
                  <w:noWrap w:val="0"/>
                  <w:vAlign w:val="center"/>
                </w:tcPr>
                <w:p>
                  <w:pPr>
                    <w:adjustRightInd w:val="0"/>
                    <w:snapToGrid w:val="0"/>
                    <w:jc w:val="center"/>
                    <w:rPr>
                      <w:bCs/>
                      <w:color w:val="auto"/>
                      <w:sz w:val="21"/>
                      <w:szCs w:val="21"/>
                      <w:highlight w:val="none"/>
                      <w:lang w:val="zh-CN"/>
                    </w:rPr>
                  </w:pPr>
                  <w:r>
                    <w:rPr>
                      <w:rFonts w:hint="eastAsia"/>
                      <w:bCs/>
                      <w:color w:val="auto"/>
                      <w:sz w:val="21"/>
                      <w:szCs w:val="21"/>
                      <w:highlight w:val="none"/>
                      <w:lang w:val="zh-CN"/>
                    </w:rPr>
                    <w:t>主要</w:t>
                  </w:r>
                  <w:r>
                    <w:rPr>
                      <w:bCs/>
                      <w:color w:val="auto"/>
                      <w:sz w:val="21"/>
                      <w:szCs w:val="21"/>
                      <w:highlight w:val="none"/>
                      <w:lang w:val="zh-CN"/>
                    </w:rPr>
                    <w:t>污染物</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305" w:type="pct"/>
                  <w:vMerge w:val="restar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运营期</w:t>
                  </w:r>
                </w:p>
              </w:tc>
              <w:tc>
                <w:tcPr>
                  <w:tcW w:w="329" w:type="pct"/>
                  <w:vMerge w:val="restart"/>
                  <w:tcBorders>
                    <w:tl2br w:val="nil"/>
                    <w:tr2bl w:val="nil"/>
                  </w:tcBorders>
                  <w:noWrap w:val="0"/>
                  <w:vAlign w:val="center"/>
                </w:tcPr>
                <w:p>
                  <w:pPr>
                    <w:adjustRightInd w:val="0"/>
                    <w:snapToGrid w:val="0"/>
                    <w:jc w:val="center"/>
                    <w:rPr>
                      <w:color w:val="auto"/>
                      <w:sz w:val="21"/>
                      <w:szCs w:val="21"/>
                      <w:highlight w:val="none"/>
                    </w:rPr>
                  </w:pPr>
                  <w:r>
                    <w:rPr>
                      <w:color w:val="auto"/>
                      <w:sz w:val="21"/>
                      <w:szCs w:val="21"/>
                      <w:highlight w:val="none"/>
                    </w:rPr>
                    <w:t>废气</w:t>
                  </w:r>
                </w:p>
              </w:tc>
              <w:tc>
                <w:tcPr>
                  <w:tcW w:w="1374"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剪板废气</w:t>
                  </w:r>
                </w:p>
              </w:tc>
              <w:tc>
                <w:tcPr>
                  <w:tcW w:w="717"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剪板</w:t>
                  </w:r>
                </w:p>
              </w:tc>
              <w:tc>
                <w:tcPr>
                  <w:tcW w:w="1136"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G1</w:t>
                  </w:r>
                </w:p>
              </w:tc>
              <w:tc>
                <w:tcPr>
                  <w:tcW w:w="1136"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粉尘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305" w:type="pct"/>
                  <w:vMerge w:val="continue"/>
                  <w:tcBorders>
                    <w:tl2br w:val="nil"/>
                    <w:tr2bl w:val="nil"/>
                  </w:tcBorders>
                  <w:noWrap w:val="0"/>
                  <w:vAlign w:val="center"/>
                </w:tcPr>
                <w:p>
                  <w:pPr>
                    <w:adjustRightInd w:val="0"/>
                    <w:snapToGrid w:val="0"/>
                    <w:jc w:val="center"/>
                    <w:rPr>
                      <w:color w:val="auto"/>
                      <w:sz w:val="21"/>
                      <w:szCs w:val="21"/>
                      <w:highlight w:val="none"/>
                    </w:rPr>
                  </w:pPr>
                </w:p>
              </w:tc>
              <w:tc>
                <w:tcPr>
                  <w:tcW w:w="329" w:type="pct"/>
                  <w:vMerge w:val="continue"/>
                  <w:tcBorders>
                    <w:tl2br w:val="nil"/>
                    <w:tr2bl w:val="nil"/>
                  </w:tcBorders>
                  <w:noWrap w:val="0"/>
                  <w:vAlign w:val="center"/>
                </w:tcPr>
                <w:p>
                  <w:pPr>
                    <w:adjustRightInd w:val="0"/>
                    <w:snapToGrid w:val="0"/>
                    <w:jc w:val="center"/>
                    <w:rPr>
                      <w:color w:val="auto"/>
                      <w:sz w:val="21"/>
                      <w:szCs w:val="21"/>
                      <w:highlight w:val="none"/>
                    </w:rPr>
                  </w:pPr>
                </w:p>
              </w:tc>
              <w:tc>
                <w:tcPr>
                  <w:tcW w:w="1374"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焊接废气</w:t>
                  </w:r>
                </w:p>
              </w:tc>
              <w:tc>
                <w:tcPr>
                  <w:tcW w:w="717"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自动焊接、法兰焊接</w:t>
                  </w:r>
                </w:p>
              </w:tc>
              <w:tc>
                <w:tcPr>
                  <w:tcW w:w="1136"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G2、G3</w:t>
                  </w:r>
                </w:p>
              </w:tc>
              <w:tc>
                <w:tcPr>
                  <w:tcW w:w="1136"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焊接烟尘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305" w:type="pct"/>
                  <w:vMerge w:val="continue"/>
                  <w:tcBorders>
                    <w:tl2br w:val="nil"/>
                    <w:tr2bl w:val="nil"/>
                  </w:tcBorders>
                  <w:noWrap w:val="0"/>
                  <w:vAlign w:val="center"/>
                </w:tcPr>
                <w:p>
                  <w:pPr>
                    <w:adjustRightInd w:val="0"/>
                    <w:snapToGrid w:val="0"/>
                    <w:jc w:val="center"/>
                    <w:rPr>
                      <w:color w:val="auto"/>
                      <w:highlight w:val="none"/>
                    </w:rPr>
                  </w:pPr>
                </w:p>
              </w:tc>
              <w:tc>
                <w:tcPr>
                  <w:tcW w:w="329" w:type="pct"/>
                  <w:vMerge w:val="continue"/>
                  <w:tcBorders>
                    <w:tl2br w:val="nil"/>
                    <w:tr2bl w:val="nil"/>
                  </w:tcBorders>
                  <w:noWrap w:val="0"/>
                  <w:vAlign w:val="center"/>
                </w:tcPr>
                <w:p>
                  <w:pPr>
                    <w:adjustRightInd w:val="0"/>
                    <w:snapToGrid w:val="0"/>
                    <w:jc w:val="center"/>
                    <w:rPr>
                      <w:color w:val="auto"/>
                      <w:highlight w:val="none"/>
                    </w:rPr>
                  </w:pPr>
                </w:p>
              </w:tc>
              <w:tc>
                <w:tcPr>
                  <w:tcW w:w="1374"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喷塑废气</w:t>
                  </w:r>
                </w:p>
              </w:tc>
              <w:tc>
                <w:tcPr>
                  <w:tcW w:w="717"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喷塑</w:t>
                  </w:r>
                </w:p>
              </w:tc>
              <w:tc>
                <w:tcPr>
                  <w:tcW w:w="1136"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G4</w:t>
                  </w:r>
                </w:p>
              </w:tc>
              <w:tc>
                <w:tcPr>
                  <w:tcW w:w="1136"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粉尘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305" w:type="pct"/>
                  <w:vMerge w:val="continue"/>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p>
              </w:tc>
              <w:tc>
                <w:tcPr>
                  <w:tcW w:w="329" w:type="pct"/>
                  <w:vMerge w:val="continue"/>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p>
              </w:tc>
              <w:tc>
                <w:tcPr>
                  <w:tcW w:w="1374" w:type="pct"/>
                  <w:tcBorders>
                    <w:tl2br w:val="nil"/>
                    <w:tr2bl w:val="nil"/>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固化废气</w:t>
                  </w:r>
                </w:p>
              </w:tc>
              <w:tc>
                <w:tcPr>
                  <w:tcW w:w="717"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固化</w:t>
                  </w:r>
                </w:p>
              </w:tc>
              <w:tc>
                <w:tcPr>
                  <w:tcW w:w="1136"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G5</w:t>
                  </w:r>
                </w:p>
              </w:tc>
              <w:tc>
                <w:tcPr>
                  <w:tcW w:w="1136" w:type="pct"/>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挥发性有机废气（以非甲烷总烃计）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305" w:type="pct"/>
                  <w:vMerge w:val="continue"/>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p>
              </w:tc>
              <w:tc>
                <w:tcPr>
                  <w:tcW w:w="329" w:type="pct"/>
                  <w:vMerge w:val="continue"/>
                  <w:tcBorders>
                    <w:tl2br w:val="nil"/>
                    <w:tr2bl w:val="nil"/>
                  </w:tcBorders>
                  <w:noWrap w:val="0"/>
                  <w:vAlign w:val="center"/>
                </w:tcPr>
                <w:p>
                  <w:pPr>
                    <w:adjustRightInd w:val="0"/>
                    <w:snapToGrid w:val="0"/>
                    <w:jc w:val="center"/>
                    <w:rPr>
                      <w:rFonts w:hint="eastAsia"/>
                      <w:color w:val="auto"/>
                      <w:sz w:val="21"/>
                      <w:szCs w:val="21"/>
                      <w:highlight w:val="none"/>
                      <w:lang w:val="en-US" w:eastAsia="zh-CN"/>
                    </w:rPr>
                  </w:pPr>
                </w:p>
              </w:tc>
              <w:tc>
                <w:tcPr>
                  <w:tcW w:w="1374" w:type="pct"/>
                  <w:tcBorders>
                    <w:tl2br w:val="nil"/>
                    <w:tr2bl w:val="nil"/>
                  </w:tcBorders>
                  <w:noWrap w:val="0"/>
                  <w:vAlign w:val="center"/>
                </w:tcPr>
                <w:p>
                  <w:pPr>
                    <w:adjustRightInd w:val="0"/>
                    <w:snapToGrid w:val="0"/>
                    <w:jc w:val="center"/>
                    <w:rPr>
                      <w:rFonts w:hint="eastAsia" w:eastAsia="宋体"/>
                      <w:color w:val="auto"/>
                      <w:kern w:val="2"/>
                      <w:sz w:val="21"/>
                      <w:szCs w:val="21"/>
                      <w:highlight w:val="none"/>
                      <w:lang w:val="en-US" w:eastAsia="zh-CN" w:bidi="ar-SA"/>
                    </w:rPr>
                  </w:pPr>
                  <w:r>
                    <w:rPr>
                      <w:rFonts w:hint="eastAsia"/>
                      <w:color w:val="auto"/>
                      <w:sz w:val="21"/>
                      <w:szCs w:val="21"/>
                      <w:highlight w:val="none"/>
                    </w:rPr>
                    <w:t>燃烧废气</w:t>
                  </w:r>
                </w:p>
              </w:tc>
              <w:tc>
                <w:tcPr>
                  <w:tcW w:w="717" w:type="pct"/>
                  <w:tcBorders>
                    <w:tl2br w:val="nil"/>
                    <w:tr2bl w:val="nil"/>
                  </w:tcBorders>
                  <w:noWrap w:val="0"/>
                  <w:vAlign w:val="center"/>
                </w:tcPr>
                <w:p>
                  <w:pPr>
                    <w:adjustRightInd w:val="0"/>
                    <w:snapToGrid w:val="0"/>
                    <w:jc w:val="center"/>
                    <w:rPr>
                      <w:rFonts w:hint="eastAsia"/>
                      <w:color w:val="auto"/>
                      <w:kern w:val="2"/>
                      <w:sz w:val="21"/>
                      <w:szCs w:val="21"/>
                      <w:highlight w:val="none"/>
                      <w:lang w:val="en-US" w:eastAsia="zh-CN" w:bidi="ar-SA"/>
                    </w:rPr>
                  </w:pPr>
                  <w:r>
                    <w:rPr>
                      <w:rFonts w:hint="eastAsia"/>
                      <w:color w:val="auto"/>
                      <w:sz w:val="21"/>
                      <w:szCs w:val="21"/>
                      <w:highlight w:val="none"/>
                    </w:rPr>
                    <w:t>天然气</w:t>
                  </w:r>
                  <w:r>
                    <w:rPr>
                      <w:color w:val="auto"/>
                      <w:sz w:val="21"/>
                      <w:szCs w:val="21"/>
                      <w:highlight w:val="none"/>
                    </w:rPr>
                    <w:t>燃烧</w:t>
                  </w:r>
                </w:p>
              </w:tc>
              <w:tc>
                <w:tcPr>
                  <w:tcW w:w="1136" w:type="pct"/>
                  <w:tcBorders>
                    <w:tl2br w:val="nil"/>
                    <w:tr2bl w:val="nil"/>
                  </w:tcBorders>
                  <w:noWrap w:val="0"/>
                  <w:vAlign w:val="center"/>
                </w:tcPr>
                <w:p>
                  <w:pPr>
                    <w:adjustRightInd w:val="0"/>
                    <w:snapToGrid w:val="0"/>
                    <w:jc w:val="center"/>
                    <w:rPr>
                      <w:rFonts w:hint="eastAsia"/>
                      <w:color w:val="auto"/>
                      <w:sz w:val="21"/>
                      <w:szCs w:val="21"/>
                      <w:highlight w:val="none"/>
                    </w:rPr>
                  </w:pPr>
                  <w:r>
                    <w:rPr>
                      <w:rFonts w:hint="eastAsia"/>
                      <w:color w:val="auto"/>
                      <w:sz w:val="21"/>
                      <w:szCs w:val="21"/>
                      <w:highlight w:val="none"/>
                      <w:lang w:val="en-US" w:eastAsia="zh-CN"/>
                    </w:rPr>
                    <w:t>G6</w:t>
                  </w:r>
                </w:p>
              </w:tc>
              <w:tc>
                <w:tcPr>
                  <w:tcW w:w="1136" w:type="pct"/>
                  <w:tcBorders>
                    <w:tl2br w:val="nil"/>
                    <w:tr2bl w:val="nil"/>
                  </w:tcBorders>
                  <w:noWrap w:val="0"/>
                  <w:vAlign w:val="center"/>
                </w:tcPr>
                <w:p>
                  <w:pPr>
                    <w:adjustRightInd w:val="0"/>
                    <w:snapToGrid w:val="0"/>
                    <w:jc w:val="center"/>
                    <w:rPr>
                      <w:rFonts w:hint="eastAsia"/>
                      <w:color w:val="auto"/>
                      <w:kern w:val="0"/>
                      <w:sz w:val="21"/>
                      <w:szCs w:val="21"/>
                      <w:highlight w:val="none"/>
                      <w:lang w:val="en-US" w:eastAsia="zh-CN" w:bidi="ar-SA"/>
                    </w:rPr>
                  </w:pPr>
                  <w:r>
                    <w:rPr>
                      <w:rFonts w:hint="eastAsia"/>
                      <w:color w:val="auto"/>
                      <w:kern w:val="0"/>
                      <w:sz w:val="21"/>
                      <w:szCs w:val="21"/>
                      <w:highlight w:val="none"/>
                    </w:rPr>
                    <w:t>烟气黑度、颗粒物、SO</w:t>
                  </w:r>
                  <w:r>
                    <w:rPr>
                      <w:rFonts w:hint="eastAsia"/>
                      <w:color w:val="auto"/>
                      <w:kern w:val="0"/>
                      <w:sz w:val="21"/>
                      <w:szCs w:val="21"/>
                      <w:highlight w:val="none"/>
                      <w:vertAlign w:val="subscript"/>
                    </w:rPr>
                    <w:t>2</w:t>
                  </w:r>
                  <w:r>
                    <w:rPr>
                      <w:rFonts w:hint="eastAsia"/>
                      <w:color w:val="auto"/>
                      <w:kern w:val="0"/>
                      <w:sz w:val="21"/>
                      <w:szCs w:val="21"/>
                      <w:highlight w:val="none"/>
                    </w:rPr>
                    <w:t>、NO</w:t>
                  </w:r>
                  <w:r>
                    <w:rPr>
                      <w:color w:val="auto"/>
                      <w:kern w:val="0"/>
                      <w:sz w:val="21"/>
                      <w:szCs w:val="21"/>
                      <w:highlight w:val="none"/>
                      <w:vertAlign w:val="subscript"/>
                    </w:rPr>
                    <w:t>x</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305" w:type="pct"/>
                  <w:vMerge w:val="continue"/>
                  <w:tcBorders>
                    <w:tl2br w:val="nil"/>
                    <w:tr2bl w:val="nil"/>
                  </w:tcBorders>
                  <w:noWrap w:val="0"/>
                  <w:vAlign w:val="center"/>
                </w:tcPr>
                <w:p>
                  <w:pPr>
                    <w:adjustRightInd w:val="0"/>
                    <w:snapToGrid w:val="0"/>
                    <w:jc w:val="center"/>
                    <w:rPr>
                      <w:color w:val="auto"/>
                      <w:sz w:val="21"/>
                      <w:szCs w:val="21"/>
                      <w:highlight w:val="none"/>
                    </w:rPr>
                  </w:pPr>
                </w:p>
              </w:tc>
              <w:tc>
                <w:tcPr>
                  <w:tcW w:w="329" w:type="pct"/>
                  <w:tcBorders>
                    <w:tl2br w:val="nil"/>
                    <w:tr2bl w:val="nil"/>
                  </w:tcBorders>
                  <w:noWrap w:val="0"/>
                  <w:vAlign w:val="center"/>
                </w:tcPr>
                <w:p>
                  <w:pPr>
                    <w:adjustRightInd w:val="0"/>
                    <w:snapToGrid w:val="0"/>
                    <w:jc w:val="center"/>
                    <w:rPr>
                      <w:color w:val="auto"/>
                      <w:sz w:val="21"/>
                      <w:szCs w:val="21"/>
                      <w:highlight w:val="none"/>
                      <w:lang w:val="zh-CN"/>
                    </w:rPr>
                  </w:pPr>
                  <w:r>
                    <w:rPr>
                      <w:color w:val="auto"/>
                      <w:sz w:val="21"/>
                      <w:szCs w:val="21"/>
                      <w:highlight w:val="none"/>
                      <w:lang w:val="zh-CN"/>
                    </w:rPr>
                    <w:t>噪声</w:t>
                  </w:r>
                </w:p>
              </w:tc>
              <w:tc>
                <w:tcPr>
                  <w:tcW w:w="1374" w:type="pct"/>
                  <w:tcBorders>
                    <w:tl2br w:val="nil"/>
                    <w:tr2bl w:val="nil"/>
                  </w:tcBorders>
                  <w:noWrap w:val="0"/>
                  <w:vAlign w:val="center"/>
                </w:tcPr>
                <w:p>
                  <w:pPr>
                    <w:adjustRightInd w:val="0"/>
                    <w:snapToGrid w:val="0"/>
                    <w:jc w:val="center"/>
                    <w:rPr>
                      <w:rFonts w:hint="default" w:eastAsia="宋体"/>
                      <w:color w:val="auto"/>
                      <w:kern w:val="2"/>
                      <w:sz w:val="21"/>
                      <w:szCs w:val="21"/>
                      <w:highlight w:val="none"/>
                      <w:lang w:val="en-US" w:eastAsia="zh-CN" w:bidi="ar-SA"/>
                    </w:rPr>
                  </w:pPr>
                  <w:r>
                    <w:rPr>
                      <w:rFonts w:hint="eastAsia"/>
                      <w:color w:val="auto"/>
                      <w:sz w:val="21"/>
                      <w:szCs w:val="21"/>
                      <w:highlight w:val="none"/>
                    </w:rPr>
                    <w:t>设备噪声</w:t>
                  </w:r>
                </w:p>
              </w:tc>
              <w:tc>
                <w:tcPr>
                  <w:tcW w:w="717" w:type="pct"/>
                  <w:tcBorders>
                    <w:tl2br w:val="nil"/>
                    <w:tr2bl w:val="nil"/>
                  </w:tcBorders>
                  <w:noWrap w:val="0"/>
                  <w:vAlign w:val="center"/>
                </w:tcPr>
                <w:p>
                  <w:pPr>
                    <w:adjustRightInd w:val="0"/>
                    <w:snapToGrid w:val="0"/>
                    <w:jc w:val="center"/>
                    <w:rPr>
                      <w:rFonts w:hint="eastAsia"/>
                      <w:color w:val="auto"/>
                      <w:kern w:val="2"/>
                      <w:sz w:val="21"/>
                      <w:szCs w:val="21"/>
                      <w:highlight w:val="none"/>
                      <w:lang w:val="zh-CN" w:eastAsia="zh-CN" w:bidi="ar-SA"/>
                    </w:rPr>
                  </w:pPr>
                  <w:r>
                    <w:rPr>
                      <w:rFonts w:hint="eastAsia"/>
                      <w:color w:val="auto"/>
                      <w:sz w:val="21"/>
                      <w:szCs w:val="21"/>
                      <w:highlight w:val="none"/>
                      <w:lang w:val="zh-CN"/>
                    </w:rPr>
                    <w:t>生产过程</w:t>
                  </w:r>
                </w:p>
              </w:tc>
              <w:tc>
                <w:tcPr>
                  <w:tcW w:w="1136" w:type="pct"/>
                  <w:tcBorders>
                    <w:tl2br w:val="nil"/>
                    <w:tr2bl w:val="nil"/>
                  </w:tcBorders>
                  <w:noWrap w:val="0"/>
                  <w:vAlign w:val="center"/>
                </w:tcPr>
                <w:p>
                  <w:pPr>
                    <w:adjustRightInd w:val="0"/>
                    <w:snapToGrid w:val="0"/>
                    <w:jc w:val="center"/>
                    <w:rPr>
                      <w:rFonts w:hint="eastAsia"/>
                      <w:color w:val="auto"/>
                      <w:sz w:val="21"/>
                      <w:szCs w:val="21"/>
                      <w:highlight w:val="none"/>
                      <w:lang w:val="zh-CN"/>
                    </w:rPr>
                  </w:pPr>
                  <w:r>
                    <w:rPr>
                      <w:rFonts w:hint="eastAsia"/>
                      <w:color w:val="auto"/>
                      <w:sz w:val="21"/>
                      <w:szCs w:val="21"/>
                      <w:highlight w:val="none"/>
                      <w:lang w:val="en-US" w:eastAsia="zh-CN"/>
                    </w:rPr>
                    <w:t>N</w:t>
                  </w:r>
                </w:p>
              </w:tc>
              <w:tc>
                <w:tcPr>
                  <w:tcW w:w="1136" w:type="pct"/>
                  <w:tcBorders>
                    <w:tl2br w:val="nil"/>
                    <w:tr2bl w:val="nil"/>
                  </w:tcBorders>
                  <w:noWrap w:val="0"/>
                  <w:vAlign w:val="center"/>
                </w:tcPr>
                <w:p>
                  <w:pPr>
                    <w:adjustRightInd w:val="0"/>
                    <w:snapToGrid w:val="0"/>
                    <w:jc w:val="center"/>
                    <w:rPr>
                      <w:color w:val="auto"/>
                      <w:kern w:val="2"/>
                      <w:sz w:val="21"/>
                      <w:szCs w:val="21"/>
                      <w:highlight w:val="none"/>
                      <w:lang w:val="zh-CN" w:eastAsia="zh-CN" w:bidi="ar-SA"/>
                    </w:rPr>
                  </w:pPr>
                  <w:r>
                    <w:rPr>
                      <w:rFonts w:hint="eastAsia"/>
                      <w:color w:val="auto"/>
                      <w:sz w:val="21"/>
                      <w:szCs w:val="21"/>
                      <w:highlight w:val="none"/>
                      <w:lang w:val="zh-CN"/>
                    </w:rPr>
                    <w:t>噪声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5" w:type="pct"/>
                  <w:vMerge w:val="continue"/>
                  <w:tcBorders>
                    <w:tl2br w:val="nil"/>
                    <w:tr2bl w:val="nil"/>
                  </w:tcBorders>
                  <w:noWrap w:val="0"/>
                  <w:vAlign w:val="center"/>
                </w:tcPr>
                <w:p>
                  <w:pPr>
                    <w:adjustRightInd w:val="0"/>
                    <w:snapToGrid w:val="0"/>
                    <w:jc w:val="center"/>
                    <w:rPr>
                      <w:color w:val="auto"/>
                      <w:highlight w:val="none"/>
                    </w:rPr>
                  </w:pPr>
                </w:p>
              </w:tc>
              <w:tc>
                <w:tcPr>
                  <w:tcW w:w="329" w:type="pct"/>
                  <w:tcBorders>
                    <w:tl2br w:val="nil"/>
                    <w:tr2bl w:val="nil"/>
                  </w:tcBorders>
                  <w:noWrap w:val="0"/>
                  <w:vAlign w:val="center"/>
                </w:tcPr>
                <w:p>
                  <w:pPr>
                    <w:adjustRightInd w:val="0"/>
                    <w:snapToGrid w:val="0"/>
                    <w:jc w:val="center"/>
                    <w:rPr>
                      <w:color w:val="auto"/>
                      <w:highlight w:val="none"/>
                    </w:rPr>
                  </w:pPr>
                </w:p>
              </w:tc>
              <w:tc>
                <w:tcPr>
                  <w:tcW w:w="1374" w:type="pct"/>
                  <w:tcBorders>
                    <w:tl2br w:val="nil"/>
                    <w:tr2bl w:val="nil"/>
                  </w:tcBorders>
                  <w:noWrap w:val="0"/>
                  <w:vAlign w:val="center"/>
                </w:tcPr>
                <w:p>
                  <w:pPr>
                    <w:adjustRightInd w:val="0"/>
                    <w:snapToGrid w:val="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剪板产生的钢材边角料</w:t>
                  </w:r>
                </w:p>
              </w:tc>
              <w:tc>
                <w:tcPr>
                  <w:tcW w:w="717"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剪板</w:t>
                  </w:r>
                </w:p>
              </w:tc>
              <w:tc>
                <w:tcPr>
                  <w:tcW w:w="1136"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S1</w:t>
                  </w:r>
                </w:p>
              </w:tc>
              <w:tc>
                <w:tcPr>
                  <w:tcW w:w="1136" w:type="pct"/>
                  <w:tcBorders>
                    <w:tl2br w:val="nil"/>
                    <w:tr2bl w:val="nil"/>
                  </w:tcBorders>
                  <w:noWrap w:val="0"/>
                  <w:vAlign w:val="center"/>
                </w:tcPr>
                <w:p>
                  <w:pPr>
                    <w:adjustRightInd w:val="0"/>
                    <w:snapToGrid w:val="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钢材</w:t>
                  </w:r>
                </w:p>
              </w:tc>
            </w:tr>
          </w:tbl>
          <w:p>
            <w:pPr>
              <w:pStyle w:val="85"/>
              <w:numPr>
                <w:ilvl w:val="0"/>
                <w:numId w:val="0"/>
              </w:numPr>
              <w:bidi w:val="0"/>
              <w:ind w:left="403" w:leftChars="0"/>
              <w:jc w:val="both"/>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noWrap w:val="0"/>
            <w:vAlign w:val="center"/>
          </w:tcPr>
          <w:p>
            <w:pPr>
              <w:pStyle w:val="19"/>
              <w:adjustRightInd w:val="0"/>
              <w:snapToGrid w:val="0"/>
              <w:spacing w:before="0" w:beforeAutospacing="0" w:after="0" w:afterAutospacing="0"/>
              <w:jc w:val="center"/>
              <w:rPr>
                <w:rFonts w:cs="宋体"/>
                <w:color w:val="auto"/>
                <w:szCs w:val="24"/>
                <w:highlight w:val="none"/>
              </w:rPr>
            </w:pPr>
            <w:r>
              <w:rPr>
                <w:rFonts w:hint="eastAsia" w:cs="宋体"/>
                <w:bCs/>
                <w:color w:val="auto"/>
                <w:kern w:val="2"/>
                <w:szCs w:val="24"/>
                <w:highlight w:val="none"/>
              </w:rPr>
              <w:t>与项目有关的原有环境污染问题</w:t>
            </w:r>
          </w:p>
        </w:tc>
        <w:tc>
          <w:tcPr>
            <w:tcW w:w="8618" w:type="dxa"/>
            <w:noWrap w:val="0"/>
            <w:vAlign w:val="top"/>
          </w:tcPr>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本项目为新建，租赁工业园空置标准厂房，场地内无遗留废水、固体废物等遗留物，无遗留环境问题，因此不存在与本项目有关的原有污染情况及主要环境问题。</w:t>
            </w:r>
          </w:p>
          <w:p>
            <w:pPr>
              <w:pStyle w:val="7"/>
              <w:spacing w:before="0" w:after="0" w:line="360" w:lineRule="auto"/>
              <w:ind w:firstLine="480" w:firstLineChars="200"/>
              <w:jc w:val="left"/>
              <w:rPr>
                <w:rFonts w:hint="eastAsia" w:ascii="宋体" w:hAnsi="宋体" w:eastAsia="宋体" w:cs="宋体"/>
                <w:b w:val="0"/>
                <w:bCs w:val="0"/>
                <w:color w:val="auto"/>
                <w:sz w:val="24"/>
                <w:szCs w:val="24"/>
                <w:highlight w:val="none"/>
                <w:lang w:eastAsia="zh-CN"/>
              </w:rPr>
            </w:pPr>
          </w:p>
        </w:tc>
      </w:tr>
    </w:tbl>
    <w:p>
      <w:pPr>
        <w:pStyle w:val="19"/>
        <w:jc w:val="center"/>
        <w:rPr>
          <w:rFonts w:ascii="黑体" w:hAnsi="黑体" w:eastAsia="黑体"/>
          <w:snapToGrid w:val="0"/>
          <w:color w:val="auto"/>
          <w:sz w:val="36"/>
          <w:szCs w:val="36"/>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auto"/>
          <w:sz w:val="30"/>
          <w:szCs w:val="30"/>
        </w:rPr>
      </w:pPr>
      <w:bookmarkStart w:id="5" w:name="_Toc98256021"/>
      <w:r>
        <w:rPr>
          <w:rFonts w:hint="eastAsia" w:ascii="黑体" w:hAnsi="黑体" w:eastAsia="黑体"/>
          <w:snapToGrid w:val="0"/>
          <w:color w:val="auto"/>
          <w:sz w:val="30"/>
          <w:szCs w:val="30"/>
        </w:rPr>
        <w:t>三、区域环境质量现状、环境保护目标及评价标准</w:t>
      </w:r>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区域</w:t>
            </w:r>
          </w:p>
          <w:p>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现状</w:t>
            </w:r>
          </w:p>
        </w:tc>
        <w:tc>
          <w:tcPr>
            <w:tcW w:w="8190" w:type="dxa"/>
            <w:noWrap w:val="0"/>
            <w:vAlign w:val="center"/>
          </w:tcPr>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1、环境空气质量现状</w:t>
            </w:r>
          </w:p>
          <w:p>
            <w:pPr>
              <w:spacing w:line="360" w:lineRule="auto"/>
              <w:ind w:firstLine="480"/>
              <w:rPr>
                <w:rFonts w:hint="eastAsia" w:eastAsia="宋体"/>
                <w:color w:val="000000" w:themeColor="text1"/>
                <w:sz w:val="24"/>
                <w:szCs w:val="24"/>
                <w:u w:val="none"/>
                <w:lang w:eastAsia="zh-CN"/>
                <w14:textFill>
                  <w14:solidFill>
                    <w14:schemeClr w14:val="tx1"/>
                  </w14:solidFill>
                </w14:textFill>
              </w:rPr>
            </w:pP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1</w:t>
            </w:r>
            <w:r>
              <w:rPr>
                <w:rFonts w:hint="eastAsia"/>
                <w:color w:val="000000" w:themeColor="text1"/>
                <w:sz w:val="24"/>
                <w:szCs w:val="24"/>
                <w:u w:val="none"/>
                <w:lang w:eastAsia="zh-CN"/>
                <w14:textFill>
                  <w14:solidFill>
                    <w14:schemeClr w14:val="tx1"/>
                  </w14:solidFill>
                </w14:textFill>
              </w:rPr>
              <w:t>）常规监测数据</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建设项目环境影响报告表编制技术指南（污染影响类）》，排放国家、地方环境空气质量标准中有标准限值要求的特征污染物时，引用建设项目周边5千米范围内近3年的现有监测数据，无相关数据的选择当季主导风向下风向1个点位补充不少于3天的监测数据。本次环评大气常规污染物引用永州市生态环境局公布的环境质量常规监测数据，挥发有机物为本项目特征污染物，该污染物无国家环境空气质量标准，湖南省无挥发有机物地方环境质量标准，本次不再监测。</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根据永州市生态环境局公布的环境质量常规监测数据，2021年1月~2021年12月永州市</w:t>
            </w:r>
            <w:r>
              <w:rPr>
                <w:rFonts w:hint="eastAsia"/>
                <w:color w:val="000000" w:themeColor="text1"/>
                <w:sz w:val="24"/>
                <w:szCs w:val="24"/>
                <w:u w:val="none"/>
                <w:lang w:eastAsia="zh-CN"/>
                <w14:textFill>
                  <w14:solidFill>
                    <w14:schemeClr w14:val="tx1"/>
                  </w14:solidFill>
                </w14:textFill>
              </w:rPr>
              <w:t>中心城区</w:t>
            </w:r>
            <w:r>
              <w:rPr>
                <w:rFonts w:hint="eastAsia"/>
                <w:color w:val="000000" w:themeColor="text1"/>
                <w:sz w:val="24"/>
                <w:szCs w:val="24"/>
                <w:u w:val="none"/>
                <w14:textFill>
                  <w14:solidFill>
                    <w14:schemeClr w14:val="tx1"/>
                  </w14:solidFill>
                </w14:textFill>
              </w:rPr>
              <w:t>的环境空气质量</w:t>
            </w:r>
            <w:r>
              <w:rPr>
                <w:rFonts w:hint="eastAsia"/>
                <w:color w:val="000000" w:themeColor="text1"/>
                <w:sz w:val="24"/>
                <w:szCs w:val="24"/>
                <w:u w:val="none"/>
                <w:lang w:eastAsia="zh-CN"/>
                <w14:textFill>
                  <w14:solidFill>
                    <w14:schemeClr w14:val="tx1"/>
                  </w14:solidFill>
                </w14:textFill>
              </w:rPr>
              <w:t>（中心城区的共</w:t>
            </w:r>
            <w:r>
              <w:rPr>
                <w:rFonts w:hint="eastAsia"/>
                <w:color w:val="000000" w:themeColor="text1"/>
                <w:sz w:val="24"/>
                <w:szCs w:val="24"/>
                <w:u w:val="none"/>
                <w:lang w:val="en-US" w:eastAsia="zh-CN"/>
                <w14:textFill>
                  <w14:solidFill>
                    <w14:schemeClr w14:val="tx1"/>
                  </w14:solidFill>
                </w14:textFill>
              </w:rPr>
              <w:t>5个</w:t>
            </w:r>
            <w:r>
              <w:rPr>
                <w:rFonts w:hint="eastAsia"/>
                <w:color w:val="000000" w:themeColor="text1"/>
                <w:sz w:val="24"/>
                <w:szCs w:val="24"/>
                <w:u w:val="none"/>
                <w:lang w:eastAsia="zh-CN"/>
                <w14:textFill>
                  <w14:solidFill>
                    <w14:schemeClr w14:val="tx1"/>
                  </w14:solidFill>
                </w14:textFill>
              </w:rPr>
              <w:t>常规监测点位，分别位于点位为冷水滩区环保局、永州市环保局、市环境监测站、零陵区环保局、零陵南津渡），具体统计</w:t>
            </w:r>
            <w:r>
              <w:rPr>
                <w:rFonts w:hint="eastAsia"/>
                <w:color w:val="000000" w:themeColor="text1"/>
                <w:sz w:val="24"/>
                <w:szCs w:val="24"/>
                <w:u w:val="none"/>
                <w14:textFill>
                  <w14:solidFill>
                    <w14:schemeClr w14:val="tx1"/>
                  </w14:solidFill>
                </w14:textFill>
              </w:rPr>
              <w:t>如表3-1。</w:t>
            </w:r>
          </w:p>
          <w:p>
            <w:pPr>
              <w:spacing w:line="240" w:lineRule="auto"/>
              <w:ind w:firstLine="422"/>
              <w:jc w:val="center"/>
              <w:rPr>
                <w:rFonts w:hAnsi="宋体"/>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表</w:t>
            </w:r>
            <w:r>
              <w:rPr>
                <w:rFonts w:hint="eastAsia" w:hAnsi="宋体"/>
                <w:b/>
                <w:bCs/>
                <w:color w:val="000000" w:themeColor="text1"/>
                <w:sz w:val="21"/>
                <w:szCs w:val="21"/>
                <w14:textFill>
                  <w14:solidFill>
                    <w14:schemeClr w14:val="tx1"/>
                  </w14:solidFill>
                </w14:textFill>
              </w:rPr>
              <w:t>3</w:t>
            </w:r>
            <w:r>
              <w:rPr>
                <w:rFonts w:hAnsi="宋体"/>
                <w:b/>
                <w:bCs/>
                <w:color w:val="000000" w:themeColor="text1"/>
                <w:sz w:val="21"/>
                <w:szCs w:val="21"/>
                <w14:textFill>
                  <w14:solidFill>
                    <w14:schemeClr w14:val="tx1"/>
                  </w14:solidFill>
                </w14:textFill>
              </w:rPr>
              <w:t>-1</w:t>
            </w:r>
            <w:r>
              <w:rPr>
                <w:rFonts w:hint="eastAsia" w:hAnsi="宋体"/>
                <w:b/>
                <w:bCs/>
                <w:color w:val="000000" w:themeColor="text1"/>
                <w:sz w:val="21"/>
                <w:szCs w:val="21"/>
                <w14:textFill>
                  <w14:solidFill>
                    <w14:schemeClr w14:val="tx1"/>
                  </w14:solidFill>
                </w14:textFill>
              </w:rPr>
              <w:t xml:space="preserve">  2021年永州市环境空气质量状况</w:t>
            </w:r>
            <w:r>
              <w:rPr>
                <w:rFonts w:hAnsi="宋体"/>
                <w:b/>
                <w:bCs/>
                <w:color w:val="000000" w:themeColor="text1"/>
                <w:sz w:val="21"/>
                <w:szCs w:val="21"/>
                <w14:textFill>
                  <w14:solidFill>
                    <w14:schemeClr w14:val="tx1"/>
                  </w14:solidFill>
                </w14:textFill>
              </w:rPr>
              <w:t>统计结果</w:t>
            </w:r>
          </w:p>
          <w:tbl>
            <w:tblPr>
              <w:tblStyle w:val="23"/>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1917"/>
              <w:gridCol w:w="1275"/>
              <w:gridCol w:w="1258"/>
              <w:gridCol w:w="1314"/>
              <w:gridCol w:w="10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年评价指标</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监测浓度</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标准值</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占标率(%)</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10</w:t>
                  </w:r>
                </w:p>
              </w:tc>
              <w:tc>
                <w:tcPr>
                  <w:tcW w:w="1204" w:type="pct"/>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68.6</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2.5</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94.3</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r>
                    <w:rPr>
                      <w:color w:val="000000" w:themeColor="text1"/>
                      <w:sz w:val="21"/>
                      <w:szCs w:val="21"/>
                      <w:vertAlign w:val="subscript"/>
                      <w14:textFill>
                        <w14:solidFill>
                          <w14:schemeClr w14:val="tx1"/>
                        </w14:solidFill>
                      </w14:textFill>
                    </w:rPr>
                    <w:t>3</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百分位数8h平均质量浓度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77.5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百分位数日平均质量浓度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1mg/m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4mg/m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bl>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由上表可知，永州市环境空气中SO</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14:textFill>
                  <w14:solidFill>
                    <w14:schemeClr w14:val="tx1"/>
                  </w14:solidFill>
                </w14:textFill>
              </w:rPr>
              <w:t>、NO</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14:textFill>
                  <w14:solidFill>
                    <w14:schemeClr w14:val="tx1"/>
                  </w14:solidFill>
                </w14:textFill>
              </w:rPr>
              <w:t>、CO、O</w:t>
            </w:r>
            <w:r>
              <w:rPr>
                <w:rFonts w:hint="eastAsia"/>
                <w:color w:val="000000" w:themeColor="text1"/>
                <w:sz w:val="24"/>
                <w:szCs w:val="24"/>
                <w:vertAlign w:val="subscript"/>
                <w14:textFill>
                  <w14:solidFill>
                    <w14:schemeClr w14:val="tx1"/>
                  </w14:solidFill>
                </w14:textFill>
              </w:rPr>
              <w:t>3</w:t>
            </w:r>
            <w:r>
              <w:rPr>
                <w:rFonts w:hint="eastAsia"/>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10</w:t>
            </w:r>
            <w:r>
              <w:rPr>
                <w:rFonts w:hint="eastAsia"/>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2.5</w:t>
            </w:r>
            <w:r>
              <w:rPr>
                <w:rFonts w:hint="eastAsia"/>
                <w:color w:val="000000" w:themeColor="text1"/>
                <w:sz w:val="24"/>
                <w:szCs w:val="24"/>
                <w14:textFill>
                  <w14:solidFill>
                    <w14:schemeClr w14:val="tx1"/>
                  </w14:solidFill>
                </w14:textFill>
              </w:rPr>
              <w:t>达到《环境空气质量标准》（GB3095-2012）中的二级标准，为达标区。</w:t>
            </w:r>
          </w:p>
          <w:p>
            <w:pPr>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（2）其他污染物环境质量现状补充监测数据</w:t>
            </w:r>
          </w:p>
          <w:p>
            <w:pPr>
              <w:spacing w:line="360" w:lineRule="auto"/>
              <w:ind w:firstLine="480"/>
              <w:rPr>
                <w:rFonts w:hint="default" w:ascii="Times New Roman" w:hAnsi="Times New Roman" w:eastAsia="宋体" w:cs="Times New Roman"/>
                <w:sz w:val="24"/>
                <w:szCs w:val="24"/>
              </w:rPr>
            </w:pPr>
            <w:r>
              <w:rPr>
                <w:rFonts w:ascii="宋体" w:hAnsi="宋体" w:eastAsia="宋体" w:cs="宋体"/>
                <w:sz w:val="24"/>
                <w:szCs w:val="24"/>
              </w:rPr>
              <w:t>本次评价涉及的废气污染物主要特征污染因子为挥发性有机物，在环境空气质量评价中，选取 TVOC 进行评价，本次引用《湖南潇湘时代新能源有限公司磷酸铁锂电池生产项目环境影响报告表》中对周边环境空气质量的监测数据，湖南潇湘时代新能源有限</w:t>
            </w:r>
            <w:r>
              <w:rPr>
                <w:rFonts w:hint="default" w:ascii="Times New Roman" w:hAnsi="Times New Roman" w:eastAsia="宋体" w:cs="Times New Roman"/>
                <w:sz w:val="24"/>
                <w:szCs w:val="24"/>
              </w:rPr>
              <w:t>公司磷酸铁锂电池生产项目位于本项目</w:t>
            </w:r>
            <w:r>
              <w:rPr>
                <w:rFonts w:hint="eastAsia" w:eastAsia="宋体" w:cs="Times New Roman"/>
                <w:sz w:val="24"/>
                <w:szCs w:val="24"/>
                <w:lang w:val="en-US" w:eastAsia="zh-CN"/>
              </w:rPr>
              <w:t>西</w:t>
            </w:r>
            <w:r>
              <w:rPr>
                <w:rFonts w:hint="default" w:ascii="Times New Roman" w:hAnsi="Times New Roman" w:eastAsia="宋体" w:cs="Times New Roman"/>
                <w:sz w:val="24"/>
                <w:szCs w:val="24"/>
              </w:rPr>
              <w:t>侧约</w:t>
            </w:r>
            <w:r>
              <w:rPr>
                <w:rFonts w:hint="eastAsia" w:eastAsia="宋体" w:cs="Times New Roman"/>
                <w:sz w:val="24"/>
                <w:szCs w:val="24"/>
                <w:lang w:val="en-US" w:eastAsia="zh-CN"/>
              </w:rPr>
              <w:t>2.54km</w:t>
            </w:r>
            <w:r>
              <w:rPr>
                <w:rFonts w:hint="default" w:ascii="Times New Roman" w:hAnsi="Times New Roman" w:eastAsia="宋体" w:cs="Times New Roman"/>
                <w:sz w:val="24"/>
                <w:szCs w:val="24"/>
              </w:rPr>
              <w:t>处，距离项目较近，其监测时间为2021年12月29日~2021年12月31日，监测时间未超过3年，因此引用其监测数据进行评价可行。引用监测情况如下：</w:t>
            </w:r>
          </w:p>
          <w:p>
            <w:pPr>
              <w:numPr>
                <w:ilvl w:val="0"/>
                <w:numId w:val="9"/>
              </w:numPr>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引用监测因子： TVOC8 小时平均值 </w:t>
            </w:r>
          </w:p>
          <w:p>
            <w:pPr>
              <w:numPr>
                <w:ilvl w:val="0"/>
                <w:numId w:val="9"/>
              </w:numPr>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引用监测点位：共选取 2 个监测点位： G1：湖南潇湘时代新能源有限公司磷酸铁锂电池生产项目厂区，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位于项目</w:t>
            </w:r>
            <w:r>
              <w:rPr>
                <w:rFonts w:hint="eastAsia" w:eastAsia="宋体" w:cs="Times New Roman"/>
                <w:color w:val="000000" w:themeColor="text1"/>
                <w:sz w:val="24"/>
                <w:szCs w:val="24"/>
                <w:lang w:val="en-US" w:eastAsia="zh-CN"/>
                <w14:textFill>
                  <w14:solidFill>
                    <w14:schemeClr w14:val="tx1"/>
                  </w14:solidFill>
                </w14:textFill>
              </w:rPr>
              <w:t>西</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侧</w:t>
            </w:r>
            <w:r>
              <w:rPr>
                <w:rFonts w:hint="eastAsia" w:eastAsia="宋体" w:cs="Times New Roman"/>
                <w:color w:val="000000" w:themeColor="text1"/>
                <w:sz w:val="24"/>
                <w:szCs w:val="24"/>
                <w:lang w:val="en-US" w:eastAsia="zh-CN"/>
                <w14:textFill>
                  <w14:solidFill>
                    <w14:schemeClr w14:val="tx1"/>
                  </w14:solidFill>
                </w14:textFill>
              </w:rPr>
              <w:t>2.54k</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m处；</w:t>
            </w:r>
          </w:p>
          <w:p>
            <w:pPr>
              <w:pStyle w:val="2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G2：西南侧敏感点，位于本项目</w:t>
            </w:r>
            <w:r>
              <w:rPr>
                <w:rFonts w:hint="eastAsia" w:eastAsia="宋体" w:cs="Times New Roman"/>
                <w:color w:val="000000" w:themeColor="text1"/>
                <w:kern w:val="2"/>
                <w:sz w:val="24"/>
                <w:szCs w:val="24"/>
                <w:lang w:val="en-US" w:eastAsia="zh-CN" w:bidi="ar-SA"/>
                <w14:textFill>
                  <w14:solidFill>
                    <w14:schemeClr w14:val="tx1"/>
                  </w14:solidFill>
                </w14:textFill>
              </w:rPr>
              <w:t>西</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南面</w:t>
            </w:r>
            <w:r>
              <w:rPr>
                <w:rFonts w:hint="eastAsia" w:eastAsia="宋体" w:cs="Times New Roman"/>
                <w:color w:val="000000" w:themeColor="text1"/>
                <w:kern w:val="2"/>
                <w:sz w:val="24"/>
                <w:szCs w:val="24"/>
                <w:lang w:val="en-US" w:eastAsia="zh-CN" w:bidi="ar-SA"/>
                <w14:textFill>
                  <w14:solidFill>
                    <w14:schemeClr w14:val="tx1"/>
                  </w14:solidFill>
                </w14:textFill>
              </w:rPr>
              <w:t>2.63k</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m处。</w:t>
            </w:r>
          </w:p>
          <w:p>
            <w:pPr>
              <w:numPr>
                <w:ilvl w:val="0"/>
                <w:numId w:val="9"/>
              </w:numPr>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监测频次及采样时间：连续监测 3 天，2021.12.29~2021.12.31。</w:t>
            </w:r>
          </w:p>
          <w:p>
            <w:pPr>
              <w:numPr>
                <w:ilvl w:val="0"/>
                <w:numId w:val="9"/>
              </w:numPr>
              <w:spacing w:line="360" w:lineRule="auto"/>
              <w:ind w:left="0" w:lef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 xml:space="preserve"> 执行标准： TVOC 执行 HJ202-2018 附录 D 中参考 8 小时平均限 值。 </w:t>
            </w:r>
          </w:p>
          <w:p>
            <w:pPr>
              <w:numPr>
                <w:ilvl w:val="0"/>
                <w:numId w:val="9"/>
              </w:numPr>
              <w:spacing w:line="360" w:lineRule="auto"/>
              <w:ind w:left="0" w:lef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监测结果及评价：</w:t>
            </w:r>
          </w:p>
          <w:p>
            <w:pPr>
              <w:numPr>
                <w:ilvl w:val="0"/>
                <w:numId w:val="0"/>
              </w:numPr>
              <w:spacing w:line="360" w:lineRule="auto"/>
              <w:ind w:left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 3-</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 xml:space="preserve"> 大气环境质量补充监测结果及评价表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7"/>
              <w:gridCol w:w="1396"/>
              <w:gridCol w:w="1396"/>
              <w:gridCol w:w="139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监测点位</w:t>
                  </w: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监测时间</w:t>
                  </w: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监测因子</w:t>
                  </w: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监测结果ug/m</w:t>
                  </w:r>
                  <w:r>
                    <w:rPr>
                      <w:rFonts w:hint="eastAsia"/>
                      <w:sz w:val="21"/>
                      <w:szCs w:val="21"/>
                      <w:vertAlign w:val="superscript"/>
                      <w:lang w:val="en-US" w:eastAsia="zh-CN"/>
                    </w:rPr>
                    <w:t>3</w:t>
                  </w: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标准限值ug/m</w:t>
                  </w:r>
                  <w:r>
                    <w:rPr>
                      <w:rFonts w:hint="eastAsia"/>
                      <w:sz w:val="21"/>
                      <w:szCs w:val="21"/>
                      <w:vertAlign w:val="superscript"/>
                      <w:lang w:val="en-US" w:eastAsia="zh-CN"/>
                    </w:rPr>
                    <w:t>3</w:t>
                  </w:r>
                </w:p>
              </w:tc>
              <w:tc>
                <w:tcPr>
                  <w:tcW w:w="1398"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G1</w:t>
                  </w: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2021.12.29</w:t>
                  </w:r>
                </w:p>
              </w:tc>
              <w:tc>
                <w:tcPr>
                  <w:tcW w:w="139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TVOC</w:t>
                  </w: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220</w:t>
                  </w:r>
                </w:p>
              </w:tc>
              <w:tc>
                <w:tcPr>
                  <w:tcW w:w="139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600</w:t>
                  </w:r>
                </w:p>
              </w:tc>
              <w:tc>
                <w:tcPr>
                  <w:tcW w:w="1398"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2021.12.30</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253</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2021.12.31</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216</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G2</w:t>
                  </w: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2021.12.29</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8</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2021.12.30</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6</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2021.12.31</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7</w:t>
                  </w:r>
                </w:p>
              </w:tc>
              <w:tc>
                <w:tcPr>
                  <w:tcW w:w="139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bl>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根据表 3-</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可知，两个监测点位各监测时段监测结果，TVOC 的 8 小时平均值均能满足 HJ202-2018 附录 D 中参考 8 小时平均限值。</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2、声环境质量现状</w:t>
            </w:r>
          </w:p>
          <w:p>
            <w:pPr>
              <w:spacing w:line="360" w:lineRule="auto"/>
              <w:ind w:firstLine="480"/>
              <w:rPr>
                <w:rFonts w:hint="eastAsia"/>
                <w:color w:val="0000FF"/>
                <w:sz w:val="24"/>
                <w:szCs w:val="24"/>
                <w:u w:val="none"/>
                <w:lang w:val="en-US" w:eastAsia="zh-CN"/>
              </w:rPr>
            </w:pPr>
            <w:r>
              <w:rPr>
                <w:rFonts w:hint="eastAsia"/>
                <w:color w:val="000000"/>
                <w:sz w:val="24"/>
                <w:szCs w:val="24"/>
                <w:u w:val="none"/>
                <w:lang w:eastAsia="zh-CN"/>
              </w:rPr>
              <w:t>根据《建设项目环境影响报告表编制技术指南（污染影响类）》，</w:t>
            </w:r>
            <w:r>
              <w:rPr>
                <w:rFonts w:hint="eastAsia"/>
                <w:color w:val="000000" w:themeColor="text1"/>
                <w:sz w:val="24"/>
                <w:szCs w:val="24"/>
                <w:u w:val="none"/>
                <w14:textFill>
                  <w14:solidFill>
                    <w14:schemeClr w14:val="tx1"/>
                  </w14:solidFill>
                </w14:textFill>
              </w:rPr>
              <w:t>厂界外周边50米范围内存在声环境保护目标的建设项目，应监测保护目标声环境质量现状并评价达标情况</w:t>
            </w:r>
            <w:r>
              <w:rPr>
                <w:rFonts w:hint="eastAsia"/>
                <w:color w:val="000000" w:themeColor="text1"/>
                <w:sz w:val="24"/>
                <w:szCs w:val="24"/>
                <w:u w:val="none"/>
                <w:lang w:eastAsia="zh-CN"/>
                <w14:textFill>
                  <w14:solidFill>
                    <w14:schemeClr w14:val="tx1"/>
                  </w14:solidFill>
                </w14:textFill>
              </w:rPr>
              <w:t>。本</w:t>
            </w:r>
            <w:r>
              <w:rPr>
                <w:rFonts w:hint="eastAsia"/>
                <w:color w:val="000000" w:themeColor="text1"/>
                <w:sz w:val="24"/>
                <w:szCs w:val="24"/>
                <w:u w:val="none"/>
                <w14:textFill>
                  <w14:solidFill>
                    <w14:schemeClr w14:val="tx1"/>
                  </w14:solidFill>
                </w14:textFill>
              </w:rPr>
              <w:t>项目位于工业园，</w:t>
            </w:r>
            <w:r>
              <w:rPr>
                <w:rFonts w:hint="eastAsia"/>
                <w:color w:val="000000"/>
                <w:sz w:val="24"/>
                <w:szCs w:val="24"/>
                <w:u w:val="none"/>
                <w:lang w:eastAsia="zh-CN"/>
              </w:rPr>
              <w:t>根据《建设项目环境影响报告表编制技术指南（污染影响类）》，</w:t>
            </w:r>
            <w:r>
              <w:rPr>
                <w:rFonts w:hint="eastAsia"/>
                <w:color w:val="000000" w:themeColor="text1"/>
                <w:sz w:val="24"/>
                <w:szCs w:val="24"/>
                <w:u w:val="none"/>
                <w14:textFill>
                  <w14:solidFill>
                    <w14:schemeClr w14:val="tx1"/>
                  </w14:solidFill>
                </w14:textFill>
              </w:rPr>
              <w:t>厂界外周边50米范围内存在声环境保护目标的建设项目，应监测保护目标声环境质量现状并评价达标情况</w:t>
            </w:r>
            <w:r>
              <w:rPr>
                <w:rFonts w:hint="eastAsia"/>
                <w:color w:val="000000" w:themeColor="text1"/>
                <w:sz w:val="24"/>
                <w:szCs w:val="24"/>
                <w:u w:val="none"/>
                <w:lang w:eastAsia="zh-CN"/>
                <w14:textFill>
                  <w14:solidFill>
                    <w14:schemeClr w14:val="tx1"/>
                  </w14:solidFill>
                </w14:textFill>
              </w:rPr>
              <w:t>。本</w:t>
            </w:r>
            <w:r>
              <w:rPr>
                <w:rFonts w:hint="eastAsia"/>
                <w:color w:val="000000" w:themeColor="text1"/>
                <w:sz w:val="24"/>
                <w:szCs w:val="24"/>
                <w:u w:val="none"/>
                <w14:textFill>
                  <w14:solidFill>
                    <w14:schemeClr w14:val="tx1"/>
                  </w14:solidFill>
                </w14:textFill>
              </w:rPr>
              <w:t>项目位于工业</w:t>
            </w:r>
            <w:r>
              <w:rPr>
                <w:rFonts w:hint="eastAsia"/>
                <w:color w:val="auto"/>
                <w:sz w:val="24"/>
                <w:szCs w:val="24"/>
                <w:u w:val="none"/>
              </w:rPr>
              <w:t>园，厂区外</w:t>
            </w:r>
            <w:r>
              <w:rPr>
                <w:rFonts w:hint="eastAsia"/>
                <w:color w:val="auto"/>
                <w:sz w:val="24"/>
                <w:szCs w:val="24"/>
                <w:u w:val="none"/>
                <w:lang w:val="en-US" w:eastAsia="zh-CN"/>
              </w:rPr>
              <w:t>西南侧</w:t>
            </w:r>
            <w:r>
              <w:rPr>
                <w:rFonts w:hint="eastAsia"/>
                <w:color w:val="auto"/>
                <w:sz w:val="24"/>
                <w:szCs w:val="24"/>
                <w:u w:val="none"/>
              </w:rPr>
              <w:t>50m范围内</w:t>
            </w:r>
            <w:r>
              <w:rPr>
                <w:rFonts w:hint="eastAsia"/>
                <w:color w:val="auto"/>
                <w:sz w:val="24"/>
                <w:szCs w:val="24"/>
                <w:u w:val="none"/>
                <w:lang w:val="en-US" w:eastAsia="zh-CN"/>
              </w:rPr>
              <w:t>有一户</w:t>
            </w:r>
            <w:r>
              <w:rPr>
                <w:rFonts w:hint="eastAsia"/>
                <w:color w:val="auto"/>
                <w:sz w:val="24"/>
                <w:szCs w:val="24"/>
                <w:u w:val="none"/>
              </w:rPr>
              <w:t>居民区</w:t>
            </w:r>
            <w:r>
              <w:rPr>
                <w:rFonts w:hint="eastAsia"/>
                <w:color w:val="auto"/>
                <w:sz w:val="24"/>
                <w:szCs w:val="24"/>
                <w:u w:val="none"/>
                <w:lang w:eastAsia="zh-CN"/>
              </w:rPr>
              <w:t>，</w:t>
            </w:r>
            <w:r>
              <w:rPr>
                <w:rFonts w:hint="eastAsia"/>
                <w:color w:val="auto"/>
                <w:sz w:val="24"/>
                <w:szCs w:val="24"/>
                <w:u w:val="none"/>
                <w:lang w:val="en-US" w:eastAsia="zh-CN"/>
              </w:rPr>
              <w:t>本次现状监测委托湖南华科检测技术有限公司2023年5月4日对居民点进行了昼夜监测，监测结果见下表。</w:t>
            </w:r>
          </w:p>
          <w:p>
            <w:pPr>
              <w:spacing w:line="360" w:lineRule="auto"/>
              <w:ind w:firstLine="480"/>
              <w:jc w:val="center"/>
              <w:rPr>
                <w:rFonts w:hint="default"/>
                <w:b/>
                <w:bCs/>
                <w:color w:val="000000"/>
                <w:sz w:val="24"/>
                <w:szCs w:val="24"/>
                <w:u w:val="none"/>
                <w:lang w:val="en-US" w:eastAsia="zh-CN"/>
              </w:rPr>
            </w:pPr>
            <w:r>
              <w:rPr>
                <w:rFonts w:hint="eastAsia"/>
                <w:b/>
                <w:bCs/>
                <w:color w:val="000000"/>
                <w:sz w:val="24"/>
                <w:szCs w:val="24"/>
                <w:u w:val="none"/>
                <w:lang w:val="en-US" w:eastAsia="zh-CN"/>
              </w:rPr>
              <w:t>表3-2声环境现状监测数据  单位：</w:t>
            </w:r>
            <w:r>
              <w:rPr>
                <w:b/>
                <w:color w:val="auto"/>
                <w:kern w:val="0"/>
                <w:szCs w:val="21"/>
              </w:rPr>
              <w:t>dB(A)</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347"/>
              <w:gridCol w:w="1654"/>
              <w:gridCol w:w="139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监测点位</w:t>
                  </w:r>
                </w:p>
              </w:tc>
              <w:tc>
                <w:tcPr>
                  <w:tcW w:w="1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监测时间</w:t>
                  </w:r>
                </w:p>
              </w:tc>
              <w:tc>
                <w:tcPr>
                  <w:tcW w:w="1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昼间</w:t>
                  </w:r>
                </w:p>
              </w:tc>
              <w:tc>
                <w:tcPr>
                  <w:tcW w:w="13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夜间</w:t>
                  </w:r>
                </w:p>
              </w:tc>
              <w:tc>
                <w:tcPr>
                  <w:tcW w:w="1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敏感点N1</w:t>
                  </w:r>
                </w:p>
              </w:tc>
              <w:tc>
                <w:tcPr>
                  <w:tcW w:w="1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2023.5.4</w:t>
                  </w:r>
                </w:p>
              </w:tc>
              <w:tc>
                <w:tcPr>
                  <w:tcW w:w="1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54</w:t>
                  </w:r>
                </w:p>
              </w:tc>
              <w:tc>
                <w:tcPr>
                  <w:tcW w:w="13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47.5</w:t>
                  </w:r>
                </w:p>
              </w:tc>
              <w:tc>
                <w:tcPr>
                  <w:tcW w:w="1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昼间65，夜间55</w:t>
                  </w:r>
                </w:p>
              </w:tc>
            </w:tr>
          </w:tbl>
          <w:p>
            <w:pPr>
              <w:spacing w:line="360" w:lineRule="auto"/>
              <w:ind w:firstLine="480"/>
              <w:rPr>
                <w:rFonts w:hint="eastAsia"/>
                <w:color w:val="000000"/>
                <w:sz w:val="24"/>
                <w:szCs w:val="24"/>
                <w:u w:val="none"/>
                <w:lang w:eastAsia="zh-CN"/>
              </w:rPr>
            </w:pPr>
            <w:r>
              <w:rPr>
                <w:rFonts w:hint="eastAsia"/>
                <w:color w:val="000000"/>
                <w:sz w:val="24"/>
                <w:szCs w:val="24"/>
                <w:u w:val="none"/>
                <w:lang w:eastAsia="zh-CN"/>
              </w:rPr>
              <w:t>由以上监测结果可知，项目地</w:t>
            </w:r>
            <w:r>
              <w:rPr>
                <w:rFonts w:hint="eastAsia"/>
                <w:color w:val="000000"/>
                <w:sz w:val="24"/>
                <w:szCs w:val="24"/>
                <w:u w:val="none"/>
                <w:lang w:val="en-US" w:eastAsia="zh-CN"/>
              </w:rPr>
              <w:t>西北侧敏感点</w:t>
            </w:r>
            <w:r>
              <w:rPr>
                <w:rFonts w:hint="eastAsia"/>
                <w:color w:val="000000"/>
                <w:sz w:val="24"/>
                <w:szCs w:val="24"/>
                <w:u w:val="none"/>
                <w:lang w:eastAsia="zh-CN"/>
              </w:rPr>
              <w:t>声环境</w:t>
            </w:r>
            <w:r>
              <w:rPr>
                <w:rFonts w:hint="eastAsia"/>
                <w:color w:val="000000"/>
                <w:sz w:val="24"/>
                <w:szCs w:val="24"/>
                <w:u w:val="none"/>
                <w:lang w:val="en-US" w:eastAsia="zh-CN"/>
              </w:rPr>
              <w:t>均</w:t>
            </w:r>
            <w:r>
              <w:rPr>
                <w:rFonts w:hint="eastAsia"/>
                <w:color w:val="000000"/>
                <w:sz w:val="24"/>
                <w:szCs w:val="24"/>
                <w:u w:val="none"/>
                <w:lang w:eastAsia="zh-CN"/>
              </w:rPr>
              <w:t>符合《声环境质量标准》（GB3096-2008）中 3 类标准，声环境现状良好。</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3、地表水环境质量现状</w:t>
            </w:r>
          </w:p>
          <w:p>
            <w:pPr>
              <w:spacing w:line="360" w:lineRule="auto"/>
              <w:ind w:firstLine="480"/>
              <w:rPr>
                <w:rFonts w:hint="eastAsia"/>
                <w:color w:val="000000"/>
                <w:sz w:val="24"/>
                <w:szCs w:val="24"/>
                <w:u w:val="none"/>
                <w:lang w:eastAsia="zh-CN"/>
              </w:rPr>
            </w:pPr>
            <w:r>
              <w:rPr>
                <w:rFonts w:hint="eastAsia"/>
                <w:color w:val="000000"/>
                <w:sz w:val="24"/>
                <w:szCs w:val="24"/>
                <w:u w:val="none"/>
                <w:lang w:eastAsia="zh-CN"/>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pPr>
              <w:spacing w:line="360" w:lineRule="auto"/>
              <w:ind w:firstLine="480"/>
              <w:rPr>
                <w:rFonts w:hint="eastAsia" w:eastAsia="宋体"/>
                <w:color w:val="000000"/>
                <w:sz w:val="24"/>
                <w:szCs w:val="24"/>
                <w:u w:val="none"/>
                <w:lang w:eastAsia="zh-CN"/>
              </w:rPr>
            </w:pPr>
            <w:r>
              <w:rPr>
                <w:rFonts w:hint="eastAsia"/>
                <w:color w:val="000000" w:themeColor="text1"/>
                <w:sz w:val="24"/>
                <w:szCs w:val="24"/>
                <w:u w:val="none"/>
                <w:lang w:eastAsia="zh-CN"/>
                <w14:textFill>
                  <w14:solidFill>
                    <w14:schemeClr w14:val="tx1"/>
                  </w14:solidFill>
                </w14:textFill>
              </w:rPr>
              <w:t>根据数据的可获得性，本次地表水环境质量现状引用永州市生态环境局《关于</w:t>
            </w:r>
            <w:r>
              <w:rPr>
                <w:rFonts w:hint="eastAsia"/>
                <w:color w:val="000000" w:themeColor="text1"/>
                <w:sz w:val="24"/>
                <w:szCs w:val="24"/>
                <w:u w:val="none"/>
                <w:lang w:val="en-US" w:eastAsia="zh-CN"/>
                <w14:textFill>
                  <w14:solidFill>
                    <w14:schemeClr w14:val="tx1"/>
                  </w14:solidFill>
                </w14:textFill>
              </w:rPr>
              <w:t>2022年2月份全市环境质量状况的通报</w:t>
            </w:r>
            <w:r>
              <w:rPr>
                <w:rFonts w:hint="eastAsia"/>
                <w:color w:val="000000" w:themeColor="text1"/>
                <w:sz w:val="24"/>
                <w:szCs w:val="24"/>
                <w:u w:val="none"/>
                <w:lang w:eastAsia="zh-CN"/>
                <w14:textFill>
                  <w14:solidFill>
                    <w14:schemeClr w14:val="tx1"/>
                  </w14:solidFill>
                </w14:textFill>
              </w:rPr>
              <w:t>》，该通报公布了永州市地表水达标情况的结论，未公示相关监测数据。</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本项目生活污水经预处理排入下河线污水处理厂。</w:t>
            </w:r>
            <w:r>
              <w:rPr>
                <w:rFonts w:hint="eastAsia"/>
                <w:color w:val="000000" w:themeColor="text1"/>
                <w:sz w:val="24"/>
                <w:szCs w:val="24"/>
                <w:u w:val="none"/>
                <w:lang w:eastAsia="zh-CN"/>
                <w14:textFill>
                  <w14:solidFill>
                    <w14:schemeClr w14:val="tx1"/>
                  </w14:solidFill>
                </w14:textFill>
              </w:rPr>
              <w:t>根据《关于</w:t>
            </w:r>
            <w:r>
              <w:rPr>
                <w:rFonts w:hint="eastAsia"/>
                <w:color w:val="000000" w:themeColor="text1"/>
                <w:sz w:val="24"/>
                <w:szCs w:val="24"/>
                <w:u w:val="none"/>
                <w:lang w:val="en-US" w:eastAsia="zh-CN"/>
                <w14:textFill>
                  <w14:solidFill>
                    <w14:schemeClr w14:val="tx1"/>
                  </w14:solidFill>
                </w14:textFill>
              </w:rPr>
              <w:t>2022年2月份全市环境质量状况的通报</w:t>
            </w: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14:textFill>
                  <w14:solidFill>
                    <w14:schemeClr w14:val="tx1"/>
                  </w14:solidFill>
                </w14:textFill>
              </w:rPr>
              <w:t>冷水滩区</w:t>
            </w:r>
            <w:r>
              <w:rPr>
                <w:rFonts w:hint="eastAsia"/>
                <w:color w:val="000000" w:themeColor="text1"/>
                <w:sz w:val="24"/>
                <w:szCs w:val="24"/>
                <w:u w:val="none"/>
                <w:lang w:eastAsia="zh-CN"/>
                <w14:textFill>
                  <w14:solidFill>
                    <w14:schemeClr w14:val="tx1"/>
                  </w14:solidFill>
                </w14:textFill>
              </w:rPr>
              <w:t>辖区的省控监测断面</w:t>
            </w:r>
            <w:r>
              <w:rPr>
                <w:rFonts w:hint="eastAsia"/>
                <w:color w:val="000000" w:themeColor="text1"/>
                <w:sz w:val="24"/>
                <w:szCs w:val="24"/>
                <w:u w:val="none"/>
                <w14:textFill>
                  <w14:solidFill>
                    <w14:schemeClr w14:val="tx1"/>
                  </w14:solidFill>
                </w14:textFill>
              </w:rPr>
              <w:t>湘江港子口、曲河、黄阳司、茅竹镇滴水</w:t>
            </w:r>
            <w:r>
              <w:rPr>
                <w:rFonts w:hint="eastAsia"/>
                <w:color w:val="000000" w:themeColor="text1"/>
                <w:sz w:val="24"/>
                <w:szCs w:val="24"/>
                <w:u w:val="none"/>
                <w:lang w:eastAsia="zh-CN"/>
                <w14:textFill>
                  <w14:solidFill>
                    <w14:schemeClr w14:val="tx1"/>
                  </w14:solidFill>
                </w14:textFill>
              </w:rPr>
              <w:t>等四个</w:t>
            </w:r>
            <w:r>
              <w:rPr>
                <w:rFonts w:hint="eastAsia"/>
                <w:color w:val="000000" w:themeColor="text1"/>
                <w:sz w:val="24"/>
                <w:szCs w:val="24"/>
                <w:u w:val="none"/>
                <w14:textFill>
                  <w14:solidFill>
                    <w14:schemeClr w14:val="tx1"/>
                  </w14:solidFill>
                </w14:textFill>
              </w:rPr>
              <w:t>断面均达到了地表水Ⅱ类水质要求。</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4、地下水、土壤现状调查</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建设项目环境影响报告表编制技术指南（污染影响类）》，原则上不开展地下水环境质量现状调查，建设项目存在土壤、地下水环境污染途径的，应结合污染源、保护目标分布情况开展现状调查以留作背景值。本项目厂区生产车间地面全部进行硬化，化学品原辅材料仓、危废暂存间等进行防渗防腐设置，本项目运营期主要的废气为非甲烷总烃废气，废水经预处理后排入下河线污水处理厂，根据《建设项目环境影响报告表编制技术指南（污染影响类）（试行）》，本项目不存在相关土壤、地下水污染途径。故可不开展土壤、地下水环境现状调查。</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5、生态环境</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本项目租用永州市经济技术开发区标准厂房，项目无新增用地，且用地范围内无生态环境保护目标。</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6、电磁辐射</w:t>
            </w:r>
          </w:p>
          <w:p>
            <w:pPr>
              <w:widowControl/>
              <w:snapToGrid w:val="0"/>
              <w:spacing w:line="360" w:lineRule="auto"/>
              <w:ind w:firstLine="480" w:firstLineChars="200"/>
              <w:rPr>
                <w:rFonts w:hint="eastAsia" w:ascii="宋体" w:hAnsi="宋体" w:cs="宋体"/>
                <w:color w:val="auto"/>
                <w:kern w:val="0"/>
                <w:szCs w:val="21"/>
                <w:highlight w:val="none"/>
              </w:rPr>
            </w:pPr>
            <w:r>
              <w:rPr>
                <w:rFonts w:hint="eastAsia"/>
                <w:color w:val="000000" w:themeColor="text1"/>
                <w:sz w:val="24"/>
                <w:szCs w:val="24"/>
                <w:u w:val="none"/>
                <w14:textFill>
                  <w14:solidFill>
                    <w14:schemeClr w14:val="tx1"/>
                  </w14:solidFill>
                </w14:textFill>
              </w:rPr>
              <w:t>本项目不涉及电磁辐射有关内容。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保护</w:t>
            </w:r>
          </w:p>
          <w:p>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 w:val="24"/>
                <w:highlight w:val="none"/>
              </w:rPr>
              <w:t>目标</w:t>
            </w:r>
          </w:p>
        </w:tc>
        <w:tc>
          <w:tcPr>
            <w:tcW w:w="8190" w:type="dxa"/>
            <w:noWrap w:val="0"/>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本项目位于</w:t>
            </w:r>
            <w:r>
              <w:rPr>
                <w:rFonts w:hint="eastAsia"/>
                <w:bCs/>
                <w:color w:val="000000" w:themeColor="text1"/>
                <w:sz w:val="24"/>
                <w:szCs w:val="24"/>
                <w14:textFill>
                  <w14:solidFill>
                    <w14:schemeClr w14:val="tx1"/>
                  </w14:solidFill>
                </w14:textFill>
              </w:rPr>
              <w:t>永州市经济技术开发区南部片区</w:t>
            </w:r>
            <w:r>
              <w:rPr>
                <w:rFonts w:hint="eastAsia"/>
                <w:color w:val="000000" w:themeColor="text1"/>
                <w:sz w:val="24"/>
                <w:szCs w:val="24"/>
                <w14:textFill>
                  <w14:solidFill>
                    <w14:schemeClr w14:val="tx1"/>
                  </w14:solidFill>
                </w14:textFill>
              </w:rPr>
              <w:t>，据调查，项目厂界外500m范围内无自然保护区、风景名胜区、文化区，</w:t>
            </w:r>
            <w:r>
              <w:rPr>
                <w:rFonts w:hint="eastAsia"/>
                <w:color w:val="000000" w:themeColor="text1"/>
                <w:sz w:val="24"/>
                <w:szCs w:val="24"/>
                <w:lang w:val="zh-CN"/>
                <w14:textFill>
                  <w14:solidFill>
                    <w14:schemeClr w14:val="tx1"/>
                  </w14:solidFill>
                </w14:textFill>
              </w:rPr>
              <w:t>无地下水集中式饮用水水源和热水、矿泉水、温泉等特殊地下水资源</w:t>
            </w:r>
            <w:r>
              <w:rPr>
                <w:rFonts w:hint="eastAsia"/>
                <w:color w:val="000000" w:themeColor="text1"/>
                <w:sz w:val="24"/>
                <w:szCs w:val="24"/>
                <w14:textFill>
                  <w14:solidFill>
                    <w14:schemeClr w14:val="tx1"/>
                  </w14:solidFill>
                </w14:textFill>
              </w:rPr>
              <w:t>等；本次大气环境保护目标调查列出厂界外500m范围内居住区和农村地区中人群较集中的区域等保护目标的名称及与建设项目厂界位置关系，调查厂界外50m范围内声环境保护目标；确定需纳入保护的</w:t>
            </w:r>
            <w:r>
              <w:rPr>
                <w:color w:val="000000" w:themeColor="text1"/>
                <w:sz w:val="24"/>
                <w:szCs w:val="24"/>
                <w14:textFill>
                  <w14:solidFill>
                    <w14:schemeClr w14:val="tx1"/>
                  </w14:solidFill>
                </w14:textFill>
              </w:rPr>
              <w:t>环境保护目标</w:t>
            </w:r>
            <w:r>
              <w:rPr>
                <w:rFonts w:hint="eastAsia"/>
                <w:color w:val="000000" w:themeColor="text1"/>
                <w:sz w:val="24"/>
                <w:szCs w:val="24"/>
                <w14:textFill>
                  <w14:solidFill>
                    <w14:schemeClr w14:val="tx1"/>
                  </w14:solidFill>
                </w14:textFill>
              </w:rPr>
              <w:t>详</w:t>
            </w:r>
            <w:r>
              <w:rPr>
                <w:color w:val="000000" w:themeColor="text1"/>
                <w:sz w:val="24"/>
                <w:szCs w:val="24"/>
                <w14:textFill>
                  <w14:solidFill>
                    <w14:schemeClr w14:val="tx1"/>
                  </w14:solidFill>
                </w14:textFill>
              </w:rPr>
              <w:t>见表</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p>
          <w:p>
            <w:pPr>
              <w:spacing w:line="400" w:lineRule="exact"/>
              <w:ind w:firstLine="422"/>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3</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项目周边主要环境保护目标</w:t>
            </w:r>
          </w:p>
          <w:tbl>
            <w:tblPr>
              <w:tblStyle w:val="2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2"/>
              <w:gridCol w:w="1055"/>
              <w:gridCol w:w="961"/>
              <w:gridCol w:w="1867"/>
              <w:gridCol w:w="633"/>
              <w:gridCol w:w="773"/>
              <w:gridCol w:w="14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743" w:type="pct"/>
                  <w:vMerge w:val="restart"/>
                  <w:tcBorders>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名称</w:t>
                  </w:r>
                </w:p>
              </w:tc>
              <w:tc>
                <w:tcPr>
                  <w:tcW w:w="1267" w:type="pct"/>
                  <w:gridSpan w:val="2"/>
                  <w:tcBorders>
                    <w:lef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坐标/m</w:t>
                  </w:r>
                </w:p>
              </w:tc>
              <w:tc>
                <w:tcPr>
                  <w:tcW w:w="1174"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保护对象</w:t>
                  </w:r>
                </w:p>
              </w:tc>
              <w:tc>
                <w:tcPr>
                  <w:tcW w:w="398"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保护内容</w:t>
                  </w:r>
                </w:p>
              </w:tc>
              <w:tc>
                <w:tcPr>
                  <w:tcW w:w="486"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环境功能区</w:t>
                  </w:r>
                </w:p>
              </w:tc>
              <w:tc>
                <w:tcPr>
                  <w:tcW w:w="930"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方位及距离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743" w:type="pct"/>
                  <w:vMerge w:val="continue"/>
                  <w:tcBorders>
                    <w:bottom w:val="single" w:color="000000" w:sz="6"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663"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经度</w:t>
                  </w:r>
                </w:p>
              </w:tc>
              <w:tc>
                <w:tcPr>
                  <w:tcW w:w="604"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纬度</w:t>
                  </w:r>
                </w:p>
              </w:tc>
              <w:tc>
                <w:tcPr>
                  <w:tcW w:w="1174"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398"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486"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930"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 w:hRule="atLeast"/>
              </w:trPr>
              <w:tc>
                <w:tcPr>
                  <w:tcW w:w="5000" w:type="pct"/>
                  <w:gridSpan w:val="7"/>
                  <w:tcBorders>
                    <w:top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环境空气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trPr>
              <w:tc>
                <w:tcPr>
                  <w:tcW w:w="743" w:type="pct"/>
                  <w:tcBorders>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长丰小区</w:t>
                  </w:r>
                </w:p>
              </w:tc>
              <w:tc>
                <w:tcPr>
                  <w:tcW w:w="663" w:type="pct"/>
                  <w:tcBorders>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111.608650</w:t>
                  </w:r>
                </w:p>
              </w:tc>
              <w:tc>
                <w:tcPr>
                  <w:tcW w:w="604" w:type="pct"/>
                  <w:tcBorders>
                    <w:left w:val="single" w:color="000000" w:sz="6"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26.401758</w:t>
                  </w:r>
                </w:p>
              </w:tc>
              <w:tc>
                <w:tcPr>
                  <w:tcW w:w="1174" w:type="pct"/>
                  <w:tcBorders>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小区，约270 人</w:t>
                  </w:r>
                </w:p>
              </w:tc>
              <w:tc>
                <w:tcPr>
                  <w:tcW w:w="398"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6"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30" w:type="pct"/>
                  <w:tcBorders>
                    <w:left w:val="single" w:color="auto"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EN，</w:t>
                  </w:r>
                  <w:r>
                    <w:rPr>
                      <w:rFonts w:hint="eastAsia"/>
                      <w:color w:val="000000" w:themeColor="text1"/>
                      <w:kern w:val="0"/>
                      <w:sz w:val="21"/>
                      <w:szCs w:val="21"/>
                      <w:lang w:val="en-US" w:eastAsia="zh-CN"/>
                      <w14:textFill>
                        <w14:solidFill>
                          <w14:schemeClr w14:val="tx1"/>
                        </w14:solidFill>
                      </w14:textFill>
                    </w:rPr>
                    <w:t>245</w:t>
                  </w:r>
                  <w:r>
                    <w:rPr>
                      <w:rFonts w:hint="eastAsia"/>
                      <w:color w:val="000000" w:themeColor="text1"/>
                      <w:kern w:val="0"/>
                      <w:sz w:val="21"/>
                      <w:szCs w:val="21"/>
                      <w14:textFill>
                        <w14:solidFill>
                          <w14:schemeClr w14:val="tx1"/>
                        </w14:solidFill>
                      </w14:textFill>
                    </w:rPr>
                    <w:t>-500m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743"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毛坪村居民</w:t>
                  </w:r>
                </w:p>
              </w:tc>
              <w:tc>
                <w:tcPr>
                  <w:tcW w:w="663"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111.607598</w:t>
                  </w:r>
                </w:p>
              </w:tc>
              <w:tc>
                <w:tcPr>
                  <w:tcW w:w="604" w:type="pct"/>
                  <w:tcBorders>
                    <w:top w:val="single" w:color="000000" w:sz="6"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26.400163</w:t>
                  </w:r>
                </w:p>
              </w:tc>
              <w:tc>
                <w:tcPr>
                  <w:tcW w:w="1174" w:type="pct"/>
                  <w:tcBorders>
                    <w:top w:val="single" w:color="000000" w:sz="6"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居民散户，约</w:t>
                  </w:r>
                  <w:r>
                    <w:rPr>
                      <w:rFonts w:hint="eastAsia"/>
                      <w:color w:val="000000" w:themeColor="text1"/>
                      <w:kern w:val="0"/>
                      <w:sz w:val="21"/>
                      <w:szCs w:val="21"/>
                      <w:lang w:val="en-US" w:eastAsia="zh-CN"/>
                      <w14:textFill>
                        <w14:solidFill>
                          <w14:schemeClr w14:val="tx1"/>
                        </w14:solidFill>
                      </w14:textFill>
                    </w:rPr>
                    <w:t>8</w:t>
                  </w:r>
                  <w:r>
                    <w:rPr>
                      <w:rFonts w:hint="eastAsia"/>
                      <w:color w:val="000000" w:themeColor="text1"/>
                      <w:kern w:val="0"/>
                      <w:sz w:val="21"/>
                      <w:szCs w:val="21"/>
                      <w14:textFill>
                        <w14:solidFill>
                          <w14:schemeClr w14:val="tx1"/>
                        </w14:solidFill>
                      </w14:textFill>
                    </w:rPr>
                    <w:t>0人</w:t>
                  </w:r>
                </w:p>
              </w:tc>
              <w:tc>
                <w:tcPr>
                  <w:tcW w:w="398"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6"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30" w:type="pct"/>
                  <w:tcBorders>
                    <w:top w:val="single" w:color="000000" w:sz="6"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ES</w:t>
                  </w:r>
                  <w:r>
                    <w:rPr>
                      <w:rFonts w:hint="eastAsia"/>
                      <w:color w:val="000000" w:themeColor="text1"/>
                      <w:kern w:val="0"/>
                      <w:sz w:val="21"/>
                      <w:szCs w:val="21"/>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3</w:t>
                  </w:r>
                  <w:r>
                    <w:rPr>
                      <w:rFonts w:hint="eastAsia"/>
                      <w:color w:val="000000" w:themeColor="text1"/>
                      <w:kern w:val="0"/>
                      <w:sz w:val="21"/>
                      <w:szCs w:val="21"/>
                      <w14:textFill>
                        <w14:solidFill>
                          <w14:schemeClr w14:val="tx1"/>
                        </w14:solidFill>
                      </w14:textFill>
                    </w:rPr>
                    <w:t>0-</w:t>
                  </w:r>
                  <w:r>
                    <w:rPr>
                      <w:rFonts w:hint="eastAsia"/>
                      <w:color w:val="000000" w:themeColor="text1"/>
                      <w:kern w:val="0"/>
                      <w:sz w:val="21"/>
                      <w:szCs w:val="21"/>
                      <w:lang w:val="en-US" w:eastAsia="zh-CN"/>
                      <w14:textFill>
                        <w14:solidFill>
                          <w14:schemeClr w14:val="tx1"/>
                        </w14:solidFill>
                      </w14:textFill>
                    </w:rPr>
                    <w:t>5</w:t>
                  </w:r>
                  <w:r>
                    <w:rPr>
                      <w:rFonts w:hint="eastAsia"/>
                      <w:color w:val="000000" w:themeColor="text1"/>
                      <w:kern w:val="0"/>
                      <w:sz w:val="21"/>
                      <w:szCs w:val="21"/>
                      <w14:textFill>
                        <w14:solidFill>
                          <w14:schemeClr w14:val="tx1"/>
                        </w14:solidFill>
                      </w14:textFill>
                    </w:rPr>
                    <w:t>00m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743"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邓家村居民</w:t>
                  </w:r>
                </w:p>
              </w:tc>
              <w:tc>
                <w:tcPr>
                  <w:tcW w:w="663"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111.607362</w:t>
                  </w:r>
                </w:p>
              </w:tc>
              <w:tc>
                <w:tcPr>
                  <w:tcW w:w="604" w:type="pct"/>
                  <w:tcBorders>
                    <w:top w:val="single" w:color="auto" w:sz="4"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26.398107</w:t>
                  </w:r>
                </w:p>
              </w:tc>
              <w:tc>
                <w:tcPr>
                  <w:tcW w:w="1174" w:type="pct"/>
                  <w:tcBorders>
                    <w:top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居民散户，约</w:t>
                  </w:r>
                  <w:r>
                    <w:rPr>
                      <w:rFonts w:hint="eastAsia"/>
                      <w:color w:val="000000" w:themeColor="text1"/>
                      <w:kern w:val="0"/>
                      <w:sz w:val="21"/>
                      <w:szCs w:val="21"/>
                      <w:lang w:val="en-US" w:eastAsia="zh-CN"/>
                      <w14:textFill>
                        <w14:solidFill>
                          <w14:schemeClr w14:val="tx1"/>
                        </w14:solidFill>
                      </w14:textFill>
                    </w:rPr>
                    <w:t>4</w:t>
                  </w:r>
                  <w:r>
                    <w:rPr>
                      <w:rFonts w:hint="eastAsia"/>
                      <w:color w:val="000000" w:themeColor="text1"/>
                      <w:kern w:val="0"/>
                      <w:sz w:val="21"/>
                      <w:szCs w:val="21"/>
                      <w14:textFill>
                        <w14:solidFill>
                          <w14:schemeClr w14:val="tx1"/>
                        </w14:solidFill>
                      </w14:textFill>
                    </w:rPr>
                    <w:t>0人</w:t>
                  </w:r>
                </w:p>
              </w:tc>
              <w:tc>
                <w:tcPr>
                  <w:tcW w:w="39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人群</w:t>
                  </w:r>
                </w:p>
              </w:tc>
              <w:tc>
                <w:tcPr>
                  <w:tcW w:w="486"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30" w:type="pct"/>
                  <w:tcBorders>
                    <w:top w:val="single" w:color="auto" w:sz="4"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ES，330-500</w:t>
                  </w:r>
                  <w:r>
                    <w:rPr>
                      <w:rFonts w:hint="eastAsia"/>
                      <w:color w:val="000000" w:themeColor="text1"/>
                      <w:kern w:val="0"/>
                      <w:sz w:val="21"/>
                      <w:szCs w:val="21"/>
                      <w14:textFill>
                        <w14:solidFill>
                          <w14:schemeClr w14:val="tx1"/>
                        </w14:solidFill>
                      </w14:textFill>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5000" w:type="pct"/>
                  <w:gridSpan w:val="7"/>
                  <w:tcBorders>
                    <w:top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声环境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 w:hRule="atLeast"/>
              </w:trPr>
              <w:tc>
                <w:tcPr>
                  <w:tcW w:w="743"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000000" w:themeColor="text1"/>
                      <w:kern w:val="2"/>
                      <w:sz w:val="21"/>
                      <w:szCs w:val="21"/>
                      <w:lang w:val="zh-CN" w:eastAsia="zh-CN" w:bidi="ar-SA"/>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毛坪村居民</w:t>
                  </w:r>
                </w:p>
              </w:tc>
              <w:tc>
                <w:tcPr>
                  <w:tcW w:w="663"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111.607598</w:t>
                  </w:r>
                </w:p>
              </w:tc>
              <w:tc>
                <w:tcPr>
                  <w:tcW w:w="604" w:type="pct"/>
                  <w:tcBorders>
                    <w:top w:val="single" w:color="auto" w:sz="4"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26.400163</w:t>
                  </w:r>
                </w:p>
              </w:tc>
              <w:tc>
                <w:tcPr>
                  <w:tcW w:w="1174" w:type="pct"/>
                  <w:tcBorders>
                    <w:top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居民散户，约16人</w:t>
                  </w:r>
                </w:p>
              </w:tc>
              <w:tc>
                <w:tcPr>
                  <w:tcW w:w="39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人群</w:t>
                  </w:r>
                </w:p>
              </w:tc>
              <w:tc>
                <w:tcPr>
                  <w:tcW w:w="486"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3类</w:t>
                  </w:r>
                </w:p>
              </w:tc>
              <w:tc>
                <w:tcPr>
                  <w:tcW w:w="930" w:type="pct"/>
                  <w:tcBorders>
                    <w:top w:val="single" w:color="auto" w:sz="4"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ES</w:t>
                  </w:r>
                  <w:r>
                    <w:rPr>
                      <w:rFonts w:hint="eastAsia"/>
                      <w:color w:val="000000" w:themeColor="text1"/>
                      <w:kern w:val="0"/>
                      <w:sz w:val="21"/>
                      <w:szCs w:val="21"/>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3</w:t>
                  </w:r>
                  <w:r>
                    <w:rPr>
                      <w:rFonts w:hint="eastAsia"/>
                      <w:color w:val="000000" w:themeColor="text1"/>
                      <w:kern w:val="0"/>
                      <w:sz w:val="21"/>
                      <w:szCs w:val="21"/>
                      <w14:textFill>
                        <w14:solidFill>
                          <w14:schemeClr w14:val="tx1"/>
                        </w14:solidFill>
                      </w14:textFill>
                    </w:rPr>
                    <w:t>0-</w:t>
                  </w:r>
                  <w:r>
                    <w:rPr>
                      <w:rFonts w:hint="eastAsia"/>
                      <w:color w:val="000000" w:themeColor="text1"/>
                      <w:kern w:val="0"/>
                      <w:sz w:val="21"/>
                      <w:szCs w:val="21"/>
                      <w:lang w:val="en-US" w:eastAsia="zh-CN"/>
                      <w14:textFill>
                        <w14:solidFill>
                          <w14:schemeClr w14:val="tx1"/>
                        </w14:solidFill>
                      </w14:textFill>
                    </w:rPr>
                    <w:t>5</w:t>
                  </w:r>
                  <w:r>
                    <w:rPr>
                      <w:rFonts w:hint="eastAsia"/>
                      <w:color w:val="000000" w:themeColor="text1"/>
                      <w:kern w:val="0"/>
                      <w:sz w:val="21"/>
                      <w:szCs w:val="21"/>
                      <w14:textFill>
                        <w14:solidFill>
                          <w14:schemeClr w14:val="tx1"/>
                        </w14:solidFill>
                      </w14:textFill>
                    </w:rPr>
                    <w:t>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 w:hRule="atLeast"/>
              </w:trPr>
              <w:tc>
                <w:tcPr>
                  <w:tcW w:w="5000" w:type="pct"/>
                  <w:gridSpan w:val="7"/>
                  <w:tcBorders>
                    <w:top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声环境：厂界外50m范围内无声环境保护目标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743"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地下水环境</w:t>
                  </w:r>
                </w:p>
              </w:tc>
              <w:tc>
                <w:tcPr>
                  <w:tcW w:w="4256"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厂界外500米范围内无地下水集中式饮用水水源和热水、矿泉水、温泉等特殊地下水资源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743"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生态环境</w:t>
                  </w:r>
                </w:p>
              </w:tc>
              <w:tc>
                <w:tcPr>
                  <w:tcW w:w="4256"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无新增用地，不涉及生态环境保护目标</w:t>
                  </w:r>
                </w:p>
              </w:tc>
            </w:tr>
          </w:tbl>
          <w:p>
            <w:pPr>
              <w:widowControl/>
              <w:snapToGrid w:val="0"/>
              <w:spacing w:line="360" w:lineRule="auto"/>
              <w:ind w:firstLine="480" w:firstLineChars="200"/>
              <w:rPr>
                <w:rFonts w:hint="eastAsia"/>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7"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污染</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物排</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放控</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制标</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 w:val="24"/>
                <w:highlight w:val="none"/>
              </w:rPr>
              <w:t>准</w:t>
            </w:r>
          </w:p>
        </w:tc>
        <w:tc>
          <w:tcPr>
            <w:tcW w:w="8190" w:type="dxa"/>
            <w:noWrap w:val="0"/>
            <w:vAlign w:val="center"/>
          </w:tcPr>
          <w:p>
            <w:pPr>
              <w:pStyle w:val="55"/>
              <w:rPr>
                <w:color w:val="auto"/>
                <w:highlight w:val="none"/>
              </w:rPr>
            </w:pPr>
            <w:r>
              <w:rPr>
                <w:color w:val="auto"/>
                <w:highlight w:val="none"/>
              </w:rPr>
              <w:t>1</w:t>
            </w:r>
            <w:r>
              <w:rPr>
                <w:rFonts w:hint="eastAsia"/>
                <w:color w:val="auto"/>
                <w:highlight w:val="none"/>
              </w:rPr>
              <w:t>、</w:t>
            </w:r>
            <w:r>
              <w:rPr>
                <w:color w:val="auto"/>
                <w:highlight w:val="none"/>
              </w:rPr>
              <w:t>废气排放标准</w:t>
            </w:r>
          </w:p>
          <w:p>
            <w:pPr>
              <w:adjustRightInd w:val="0"/>
              <w:snapToGrid w:val="0"/>
              <w:spacing w:line="360" w:lineRule="auto"/>
              <w:ind w:firstLine="480" w:firstLineChars="200"/>
              <w:rPr>
                <w:rFonts w:hint="eastAsia"/>
                <w:color w:val="auto"/>
                <w:sz w:val="24"/>
                <w:highlight w:val="none"/>
                <w:shd w:val="clear" w:color="auto" w:fill="auto"/>
              </w:rPr>
            </w:pPr>
            <w:r>
              <w:rPr>
                <w:rFonts w:hint="eastAsia"/>
                <w:color w:val="auto"/>
                <w:sz w:val="24"/>
                <w:highlight w:val="none"/>
                <w:lang w:eastAsia="zh-CN"/>
              </w:rPr>
              <w:t>本项目工艺废气颗粒物、挥发性有机废气（以非甲烷总烃计）</w:t>
            </w:r>
            <w:bookmarkStart w:id="6" w:name="_Hlk79120991"/>
            <w:r>
              <w:rPr>
                <w:rFonts w:hint="eastAsia"/>
                <w:color w:val="auto"/>
                <w:sz w:val="24"/>
                <w:highlight w:val="none"/>
                <w:lang w:eastAsia="zh-CN"/>
              </w:rPr>
              <w:t>、</w:t>
            </w:r>
            <w:r>
              <w:rPr>
                <w:rFonts w:hint="eastAsia"/>
                <w:color w:val="auto"/>
                <w:sz w:val="24"/>
                <w:highlight w:val="none"/>
                <w:shd w:val="clear" w:color="auto" w:fill="auto"/>
                <w:lang w:eastAsia="zh-CN"/>
              </w:rPr>
              <w:t>天然气燃烧机燃烧产生的</w:t>
            </w:r>
            <w:r>
              <w:rPr>
                <w:rFonts w:hint="eastAsia"/>
                <w:color w:val="auto"/>
                <w:sz w:val="24"/>
                <w:highlight w:val="none"/>
                <w:shd w:val="clear" w:color="auto" w:fill="auto"/>
              </w:rPr>
              <w:t>二氧化硫、氮氧化物排放执行</w:t>
            </w:r>
            <w:r>
              <w:rPr>
                <w:color w:val="auto"/>
                <w:sz w:val="24"/>
                <w:highlight w:val="none"/>
                <w:shd w:val="clear" w:color="auto" w:fill="auto"/>
              </w:rPr>
              <w:t>《大气污染物综合排放标准》（GB16297-1996）表2中的二级标准</w:t>
            </w:r>
            <w:bookmarkEnd w:id="6"/>
            <w:r>
              <w:rPr>
                <w:rFonts w:hint="eastAsia"/>
                <w:color w:val="auto"/>
                <w:sz w:val="24"/>
                <w:highlight w:val="none"/>
                <w:shd w:val="clear" w:color="auto" w:fill="auto"/>
                <w:lang w:eastAsia="zh-CN"/>
              </w:rPr>
              <w:t>及相关无组织排放监控限值</w:t>
            </w:r>
            <w:r>
              <w:rPr>
                <w:rFonts w:hint="eastAsia"/>
                <w:color w:val="auto"/>
                <w:sz w:val="24"/>
                <w:highlight w:val="none"/>
                <w:shd w:val="clear" w:color="auto" w:fill="auto"/>
              </w:rPr>
              <w:t>；同时，天然气</w:t>
            </w:r>
            <w:r>
              <w:rPr>
                <w:rFonts w:hint="eastAsia"/>
                <w:color w:val="auto"/>
                <w:sz w:val="24"/>
                <w:highlight w:val="none"/>
                <w:shd w:val="clear" w:color="auto" w:fill="auto"/>
                <w:lang w:eastAsia="zh-CN"/>
              </w:rPr>
              <w:t>燃烧机燃烧</w:t>
            </w:r>
            <w:r>
              <w:rPr>
                <w:rFonts w:hint="eastAsia"/>
                <w:color w:val="auto"/>
                <w:sz w:val="24"/>
                <w:highlight w:val="none"/>
                <w:shd w:val="clear" w:color="auto" w:fill="auto"/>
              </w:rPr>
              <w:t>废气中</w:t>
            </w:r>
            <w:r>
              <w:rPr>
                <w:rFonts w:hint="eastAsia"/>
                <w:color w:val="auto"/>
                <w:sz w:val="24"/>
                <w:highlight w:val="none"/>
                <w:shd w:val="clear" w:color="auto" w:fill="auto"/>
                <w:lang w:eastAsia="zh-CN"/>
              </w:rPr>
              <w:t>烟尘（颗粒物）、</w:t>
            </w:r>
            <w:r>
              <w:rPr>
                <w:rFonts w:hint="eastAsia"/>
                <w:color w:val="auto"/>
                <w:sz w:val="24"/>
                <w:highlight w:val="none"/>
                <w:shd w:val="clear" w:color="auto" w:fill="auto"/>
              </w:rPr>
              <w:t>烟气黑度排放执行《工业炉窑大气污染物排放标准》（GB9078-1996）表2的干燥炉、窑二级标准限值要求。厂区内非甲烷总烃无组织排放执行《挥发性有机物无组织排放控制标准》（GB37822-2019）中限值要求。</w:t>
            </w:r>
          </w:p>
          <w:p>
            <w:pPr>
              <w:adjustRightInd w:val="0"/>
              <w:snapToGrid w:val="0"/>
              <w:spacing w:line="360" w:lineRule="auto"/>
              <w:ind w:firstLine="480" w:firstLineChars="200"/>
              <w:rPr>
                <w:rFonts w:hint="eastAsia"/>
                <w:color w:val="auto"/>
                <w:sz w:val="24"/>
                <w:highlight w:val="none"/>
                <w:shd w:val="clear" w:color="auto" w:fill="auto"/>
              </w:rPr>
            </w:pPr>
            <w:r>
              <w:rPr>
                <w:rFonts w:hint="eastAsia"/>
                <w:color w:val="auto"/>
                <w:sz w:val="24"/>
                <w:highlight w:val="none"/>
                <w:shd w:val="clear" w:color="auto" w:fill="auto"/>
              </w:rPr>
              <w:t>运营期</w:t>
            </w:r>
            <w:r>
              <w:rPr>
                <w:rFonts w:hint="eastAsia"/>
                <w:color w:val="auto"/>
                <w:sz w:val="24"/>
                <w:highlight w:val="none"/>
                <w:shd w:val="clear" w:color="auto" w:fill="auto"/>
                <w:lang w:eastAsia="zh-CN"/>
              </w:rPr>
              <w:t>工艺</w:t>
            </w:r>
            <w:r>
              <w:rPr>
                <w:color w:val="auto"/>
                <w:sz w:val="24"/>
                <w:highlight w:val="none"/>
                <w:shd w:val="clear" w:color="auto" w:fill="auto"/>
              </w:rPr>
              <w:t>废气排放标准详见</w:t>
            </w:r>
            <w:r>
              <w:rPr>
                <w:rFonts w:hint="eastAsia"/>
                <w:color w:val="auto"/>
                <w:sz w:val="24"/>
                <w:highlight w:val="none"/>
                <w:shd w:val="clear" w:color="auto" w:fill="auto"/>
              </w:rPr>
              <w:t>表</w:t>
            </w:r>
            <w:r>
              <w:rPr>
                <w:color w:val="auto"/>
                <w:sz w:val="24"/>
                <w:highlight w:val="none"/>
                <w:shd w:val="clear" w:color="auto" w:fill="auto"/>
              </w:rPr>
              <w:t>3</w:t>
            </w:r>
            <w:r>
              <w:rPr>
                <w:rFonts w:hint="eastAsia"/>
                <w:color w:val="auto"/>
                <w:sz w:val="24"/>
                <w:highlight w:val="none"/>
                <w:shd w:val="clear" w:color="auto" w:fill="auto"/>
              </w:rPr>
              <w:t>-</w:t>
            </w:r>
            <w:r>
              <w:rPr>
                <w:rFonts w:hint="eastAsia"/>
                <w:color w:val="auto"/>
                <w:sz w:val="24"/>
                <w:highlight w:val="none"/>
                <w:shd w:val="clear" w:color="auto" w:fill="auto"/>
                <w:lang w:val="en-US" w:eastAsia="zh-CN"/>
              </w:rPr>
              <w:t>4</w:t>
            </w:r>
            <w:r>
              <w:rPr>
                <w:rFonts w:hint="eastAsia"/>
                <w:color w:val="auto"/>
                <w:sz w:val="24"/>
                <w:highlight w:val="none"/>
                <w:shd w:val="clear" w:color="auto" w:fill="auto"/>
              </w:rPr>
              <w:t>、</w:t>
            </w:r>
            <w:r>
              <w:rPr>
                <w:color w:val="auto"/>
                <w:sz w:val="24"/>
                <w:highlight w:val="none"/>
                <w:shd w:val="clear" w:color="auto" w:fill="auto"/>
              </w:rPr>
              <w:t>表3</w:t>
            </w:r>
            <w:r>
              <w:rPr>
                <w:rFonts w:hint="eastAsia"/>
                <w:color w:val="auto"/>
                <w:sz w:val="24"/>
                <w:highlight w:val="none"/>
                <w:shd w:val="clear" w:color="auto" w:fill="auto"/>
              </w:rPr>
              <w:t>-</w:t>
            </w:r>
            <w:r>
              <w:rPr>
                <w:rFonts w:hint="eastAsia"/>
                <w:color w:val="auto"/>
                <w:sz w:val="24"/>
                <w:highlight w:val="none"/>
                <w:shd w:val="clear" w:color="auto" w:fill="auto"/>
                <w:lang w:val="en-US" w:eastAsia="zh-CN"/>
              </w:rPr>
              <w:t>5</w:t>
            </w:r>
            <w:r>
              <w:rPr>
                <w:color w:val="auto"/>
                <w:sz w:val="24"/>
                <w:highlight w:val="none"/>
                <w:shd w:val="clear" w:color="auto" w:fill="auto"/>
              </w:rPr>
              <w:t>。</w:t>
            </w:r>
          </w:p>
          <w:p>
            <w:pPr>
              <w:pStyle w:val="80"/>
              <w:numPr>
                <w:ilvl w:val="0"/>
                <w:numId w:val="0"/>
              </w:numPr>
              <w:bidi w:val="0"/>
              <w:ind w:left="403" w:leftChars="0"/>
              <w:rPr>
                <w:color w:val="auto"/>
                <w:highlight w:val="none"/>
              </w:rPr>
            </w:pPr>
            <w:r>
              <w:rPr>
                <w:rFonts w:hint="eastAsia"/>
                <w:b/>
                <w:bCs/>
                <w:color w:val="auto"/>
                <w:sz w:val="21"/>
                <w:szCs w:val="21"/>
                <w:highlight w:val="none"/>
                <w:lang w:val="en-US" w:eastAsia="zh-CN"/>
              </w:rPr>
              <w:t xml:space="preserve">表3-4 </w:t>
            </w:r>
            <w:r>
              <w:rPr>
                <w:b/>
                <w:bCs/>
                <w:color w:val="auto"/>
                <w:sz w:val="21"/>
                <w:szCs w:val="21"/>
                <w:highlight w:val="none"/>
              </w:rPr>
              <w:t>有组织废气污染物排放标准限值</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559"/>
              <w:gridCol w:w="1128"/>
              <w:gridCol w:w="993"/>
              <w:gridCol w:w="1277"/>
              <w:gridCol w:w="257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4"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序号</w:t>
                  </w:r>
                </w:p>
              </w:tc>
              <w:tc>
                <w:tcPr>
                  <w:tcW w:w="978"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涉及排气筒编号</w:t>
                  </w:r>
                </w:p>
              </w:tc>
              <w:tc>
                <w:tcPr>
                  <w:tcW w:w="708"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污染物名称</w:t>
                  </w:r>
                </w:p>
              </w:tc>
              <w:tc>
                <w:tcPr>
                  <w:tcW w:w="1424" w:type="pct"/>
                  <w:gridSpan w:val="2"/>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有组织排放标准限值</w:t>
                  </w:r>
                </w:p>
              </w:tc>
              <w:tc>
                <w:tcPr>
                  <w:tcW w:w="1613"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4"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c>
                <w:tcPr>
                  <w:tcW w:w="978"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c>
                <w:tcPr>
                  <w:tcW w:w="708"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c>
                <w:tcPr>
                  <w:tcW w:w="62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排放浓度</w:t>
                  </w:r>
                </w:p>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mg/m</w:t>
                  </w:r>
                  <w:r>
                    <w:rPr>
                      <w:bCs/>
                      <w:color w:val="auto"/>
                      <w:sz w:val="21"/>
                      <w:szCs w:val="21"/>
                      <w:highlight w:val="none"/>
                      <w:shd w:val="clear" w:color="auto" w:fill="auto"/>
                      <w:vertAlign w:val="superscript"/>
                    </w:rPr>
                    <w:t>3</w:t>
                  </w:r>
                </w:p>
              </w:tc>
              <w:tc>
                <w:tcPr>
                  <w:tcW w:w="801"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lang w:val="en-US" w:eastAsia="zh-CN"/>
                    </w:rPr>
                    <w:t>15</w:t>
                  </w:r>
                  <w:r>
                    <w:rPr>
                      <w:bCs/>
                      <w:color w:val="auto"/>
                      <w:sz w:val="21"/>
                      <w:szCs w:val="21"/>
                      <w:highlight w:val="none"/>
                      <w:shd w:val="clear" w:color="auto" w:fill="auto"/>
                    </w:rPr>
                    <w:t>m高排气筒</w:t>
                  </w:r>
                </w:p>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排放速率kg/h</w:t>
                  </w:r>
                </w:p>
              </w:tc>
              <w:tc>
                <w:tcPr>
                  <w:tcW w:w="1613"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4"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1</w:t>
                  </w:r>
                </w:p>
              </w:tc>
              <w:tc>
                <w:tcPr>
                  <w:tcW w:w="978"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D</w:t>
                  </w:r>
                  <w:r>
                    <w:rPr>
                      <w:bCs/>
                      <w:color w:val="auto"/>
                      <w:sz w:val="21"/>
                      <w:szCs w:val="21"/>
                      <w:highlight w:val="none"/>
                      <w:shd w:val="clear" w:color="auto" w:fill="auto"/>
                    </w:rPr>
                    <w:t>A002</w:t>
                  </w:r>
                </w:p>
              </w:tc>
              <w:tc>
                <w:tcPr>
                  <w:tcW w:w="708"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烟气黑度</w:t>
                  </w:r>
                </w:p>
              </w:tc>
              <w:tc>
                <w:tcPr>
                  <w:tcW w:w="62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1</w:t>
                  </w:r>
                </w:p>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(林</w:t>
                  </w:r>
                  <w:r>
                    <w:rPr>
                      <w:rFonts w:hint="eastAsia"/>
                      <w:bCs/>
                      <w:color w:val="auto"/>
                      <w:sz w:val="21"/>
                      <w:szCs w:val="21"/>
                      <w:highlight w:val="none"/>
                      <w:shd w:val="clear" w:color="auto" w:fill="auto"/>
                      <w:lang w:eastAsia="zh-CN"/>
                    </w:rPr>
                    <w:t>格</w:t>
                  </w:r>
                  <w:r>
                    <w:rPr>
                      <w:rFonts w:hint="eastAsia"/>
                      <w:bCs/>
                      <w:color w:val="auto"/>
                      <w:sz w:val="21"/>
                      <w:szCs w:val="21"/>
                      <w:highlight w:val="none"/>
                      <w:shd w:val="clear" w:color="auto" w:fill="auto"/>
                    </w:rPr>
                    <w:t>曼级)</w:t>
                  </w:r>
                </w:p>
              </w:tc>
              <w:tc>
                <w:tcPr>
                  <w:tcW w:w="801"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w:t>
                  </w:r>
                </w:p>
              </w:tc>
              <w:tc>
                <w:tcPr>
                  <w:tcW w:w="1613"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《工业炉窑大气污染物排放标准》（GB9078-1996）表2的干燥炉、窑二级标准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4"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2</w:t>
                  </w:r>
                </w:p>
              </w:tc>
              <w:tc>
                <w:tcPr>
                  <w:tcW w:w="978" w:type="pct"/>
                  <w:vMerge w:val="continue"/>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p>
              </w:tc>
              <w:tc>
                <w:tcPr>
                  <w:tcW w:w="708"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颗粒物</w:t>
                  </w:r>
                </w:p>
              </w:tc>
              <w:tc>
                <w:tcPr>
                  <w:tcW w:w="623" w:type="pct"/>
                  <w:tcBorders>
                    <w:tl2br w:val="nil"/>
                    <w:tr2bl w:val="nil"/>
                  </w:tcBorders>
                  <w:noWrap w:val="0"/>
                  <w:vAlign w:val="center"/>
                </w:tcPr>
                <w:p>
                  <w:pPr>
                    <w:snapToGrid w:val="0"/>
                    <w:ind w:left="-105" w:leftChars="-50" w:right="-105" w:rightChars="-50"/>
                    <w:jc w:val="center"/>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100</w:t>
                  </w:r>
                </w:p>
              </w:tc>
              <w:tc>
                <w:tcPr>
                  <w:tcW w:w="801"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w:t>
                  </w:r>
                </w:p>
              </w:tc>
              <w:tc>
                <w:tcPr>
                  <w:tcW w:w="1613" w:type="pct"/>
                  <w:vMerge w:val="continue"/>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4"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3</w:t>
                  </w:r>
                </w:p>
              </w:tc>
              <w:tc>
                <w:tcPr>
                  <w:tcW w:w="978" w:type="pct"/>
                  <w:tcBorders>
                    <w:tl2br w:val="nil"/>
                    <w:tr2bl w:val="nil"/>
                  </w:tcBorders>
                  <w:noWrap w:val="0"/>
                  <w:vAlign w:val="center"/>
                </w:tcPr>
                <w:p>
                  <w:pPr>
                    <w:snapToGrid w:val="0"/>
                    <w:ind w:left="-105" w:leftChars="-50" w:right="-105" w:rightChars="-50"/>
                    <w:jc w:val="center"/>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DA001</w:t>
                  </w:r>
                </w:p>
              </w:tc>
              <w:tc>
                <w:tcPr>
                  <w:tcW w:w="708"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颗粒物</w:t>
                  </w:r>
                </w:p>
              </w:tc>
              <w:tc>
                <w:tcPr>
                  <w:tcW w:w="62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120</w:t>
                  </w:r>
                </w:p>
              </w:tc>
              <w:tc>
                <w:tcPr>
                  <w:tcW w:w="801" w:type="pct"/>
                  <w:tcBorders>
                    <w:tl2br w:val="nil"/>
                    <w:tr2bl w:val="nil"/>
                  </w:tcBorders>
                  <w:noWrap w:val="0"/>
                  <w:vAlign w:val="center"/>
                </w:tcPr>
                <w:p>
                  <w:pPr>
                    <w:snapToGrid w:val="0"/>
                    <w:ind w:left="-105" w:leftChars="-50" w:right="-105" w:rightChars="-50"/>
                    <w:jc w:val="center"/>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1.75</w:t>
                  </w:r>
                </w:p>
              </w:tc>
              <w:tc>
                <w:tcPr>
                  <w:tcW w:w="1613" w:type="pct"/>
                  <w:vMerge w:val="restart"/>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r>
                    <w:rPr>
                      <w:rFonts w:hint="eastAsia"/>
                      <w:color w:val="auto"/>
                      <w:sz w:val="21"/>
                      <w:szCs w:val="21"/>
                      <w:highlight w:val="none"/>
                      <w:shd w:val="clear" w:color="auto" w:fill="auto"/>
                    </w:rPr>
                    <w:t>《大气污染物综合排放标准》（GB16297-1996）</w:t>
                  </w:r>
                </w:p>
                <w:p>
                  <w:pPr>
                    <w:snapToGrid w:val="0"/>
                    <w:ind w:left="-105" w:leftChars="-50" w:right="-105" w:rightChars="-50"/>
                    <w:jc w:val="center"/>
                    <w:rPr>
                      <w:rFonts w:hint="eastAsia"/>
                      <w:bCs/>
                      <w:color w:val="auto"/>
                      <w:sz w:val="21"/>
                      <w:szCs w:val="21"/>
                      <w:highlight w:val="none"/>
                      <w:shd w:val="clear" w:color="auto" w:fill="auto"/>
                    </w:rPr>
                  </w:pPr>
                  <w:r>
                    <w:rPr>
                      <w:color w:val="auto"/>
                      <w:sz w:val="21"/>
                      <w:szCs w:val="21"/>
                      <w:highlight w:val="none"/>
                      <w:shd w:val="clear" w:color="auto" w:fill="auto"/>
                    </w:rPr>
                    <w:t>表2</w:t>
                  </w:r>
                  <w:r>
                    <w:rPr>
                      <w:rFonts w:hint="eastAsia"/>
                      <w:color w:val="auto"/>
                      <w:sz w:val="21"/>
                      <w:szCs w:val="21"/>
                      <w:highlight w:val="none"/>
                      <w:shd w:val="clear" w:color="auto" w:fill="auto"/>
                    </w:rPr>
                    <w:t>中</w:t>
                  </w:r>
                  <w:r>
                    <w:rPr>
                      <w:color w:val="auto"/>
                      <w:sz w:val="21"/>
                      <w:szCs w:val="21"/>
                      <w:highlight w:val="none"/>
                      <w:shd w:val="clear" w:color="auto" w:fill="auto"/>
                    </w:rPr>
                    <w:t>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4</w:t>
                  </w:r>
                </w:p>
              </w:tc>
              <w:tc>
                <w:tcPr>
                  <w:tcW w:w="978"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D</w:t>
                  </w:r>
                  <w:r>
                    <w:rPr>
                      <w:bCs/>
                      <w:color w:val="auto"/>
                      <w:sz w:val="21"/>
                      <w:szCs w:val="21"/>
                      <w:highlight w:val="none"/>
                      <w:shd w:val="clear" w:color="auto" w:fill="auto"/>
                    </w:rPr>
                    <w:t>A002</w:t>
                  </w:r>
                </w:p>
              </w:tc>
              <w:tc>
                <w:tcPr>
                  <w:tcW w:w="708"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二氧化硫</w:t>
                  </w:r>
                </w:p>
              </w:tc>
              <w:tc>
                <w:tcPr>
                  <w:tcW w:w="623" w:type="pct"/>
                  <w:tcBorders>
                    <w:tl2br w:val="nil"/>
                    <w:tr2bl w:val="nil"/>
                  </w:tcBorders>
                  <w:noWrap w:val="0"/>
                  <w:vAlign w:val="center"/>
                </w:tcPr>
                <w:p>
                  <w:pPr>
                    <w:widowControl/>
                    <w:snapToGrid w:val="0"/>
                    <w:jc w:val="center"/>
                    <w:rPr>
                      <w:bCs/>
                      <w:color w:val="auto"/>
                      <w:sz w:val="21"/>
                      <w:szCs w:val="21"/>
                      <w:highlight w:val="none"/>
                      <w:shd w:val="clear" w:color="auto" w:fill="auto"/>
                    </w:rPr>
                  </w:pPr>
                  <w:r>
                    <w:rPr>
                      <w:rFonts w:hint="eastAsia"/>
                      <w:bCs/>
                      <w:color w:val="auto"/>
                      <w:sz w:val="21"/>
                      <w:szCs w:val="21"/>
                      <w:highlight w:val="none"/>
                      <w:shd w:val="clear" w:color="auto" w:fill="auto"/>
                    </w:rPr>
                    <w:t>5</w:t>
                  </w:r>
                  <w:r>
                    <w:rPr>
                      <w:bCs/>
                      <w:color w:val="auto"/>
                      <w:sz w:val="21"/>
                      <w:szCs w:val="21"/>
                      <w:highlight w:val="none"/>
                      <w:shd w:val="clear" w:color="auto" w:fill="auto"/>
                    </w:rPr>
                    <w:t>50</w:t>
                  </w:r>
                </w:p>
              </w:tc>
              <w:tc>
                <w:tcPr>
                  <w:tcW w:w="801" w:type="pct"/>
                  <w:tcBorders>
                    <w:tl2br w:val="nil"/>
                    <w:tr2bl w:val="nil"/>
                  </w:tcBorders>
                  <w:noWrap w:val="0"/>
                  <w:vAlign w:val="center"/>
                </w:tcPr>
                <w:p>
                  <w:pPr>
                    <w:snapToGrid w:val="0"/>
                    <w:ind w:left="-105" w:leftChars="-50" w:right="-105" w:rightChars="-50"/>
                    <w:jc w:val="center"/>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1.3</w:t>
                  </w:r>
                </w:p>
              </w:tc>
              <w:tc>
                <w:tcPr>
                  <w:tcW w:w="1613"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5</w:t>
                  </w:r>
                </w:p>
              </w:tc>
              <w:tc>
                <w:tcPr>
                  <w:tcW w:w="978"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D</w:t>
                  </w:r>
                  <w:r>
                    <w:rPr>
                      <w:bCs/>
                      <w:color w:val="auto"/>
                      <w:sz w:val="21"/>
                      <w:szCs w:val="21"/>
                      <w:highlight w:val="none"/>
                      <w:shd w:val="clear" w:color="auto" w:fill="auto"/>
                    </w:rPr>
                    <w:t>A002</w:t>
                  </w:r>
                </w:p>
              </w:tc>
              <w:tc>
                <w:tcPr>
                  <w:tcW w:w="708"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氮氧化物</w:t>
                  </w:r>
                </w:p>
              </w:tc>
              <w:tc>
                <w:tcPr>
                  <w:tcW w:w="623" w:type="pct"/>
                  <w:tcBorders>
                    <w:tl2br w:val="nil"/>
                    <w:tr2bl w:val="nil"/>
                  </w:tcBorders>
                  <w:noWrap w:val="0"/>
                  <w:vAlign w:val="center"/>
                </w:tcPr>
                <w:p>
                  <w:pPr>
                    <w:widowControl/>
                    <w:snapToGrid w:val="0"/>
                    <w:jc w:val="center"/>
                    <w:rPr>
                      <w:bCs/>
                      <w:color w:val="auto"/>
                      <w:sz w:val="21"/>
                      <w:szCs w:val="21"/>
                      <w:highlight w:val="none"/>
                      <w:shd w:val="clear" w:color="auto" w:fill="auto"/>
                    </w:rPr>
                  </w:pPr>
                  <w:r>
                    <w:rPr>
                      <w:rFonts w:hint="eastAsia"/>
                      <w:bCs/>
                      <w:color w:val="auto"/>
                      <w:sz w:val="21"/>
                      <w:szCs w:val="21"/>
                      <w:highlight w:val="none"/>
                      <w:shd w:val="clear" w:color="auto" w:fill="auto"/>
                    </w:rPr>
                    <w:t>2</w:t>
                  </w:r>
                  <w:r>
                    <w:rPr>
                      <w:bCs/>
                      <w:color w:val="auto"/>
                      <w:sz w:val="21"/>
                      <w:szCs w:val="21"/>
                      <w:highlight w:val="none"/>
                      <w:shd w:val="clear" w:color="auto" w:fill="auto"/>
                    </w:rPr>
                    <w:t>40</w:t>
                  </w:r>
                </w:p>
              </w:tc>
              <w:tc>
                <w:tcPr>
                  <w:tcW w:w="801" w:type="pct"/>
                  <w:tcBorders>
                    <w:tl2br w:val="nil"/>
                    <w:tr2bl w:val="nil"/>
                  </w:tcBorders>
                  <w:noWrap w:val="0"/>
                  <w:vAlign w:val="center"/>
                </w:tcPr>
                <w:p>
                  <w:pPr>
                    <w:snapToGrid w:val="0"/>
                    <w:ind w:left="-105" w:leftChars="-50" w:right="-105" w:rightChars="-50"/>
                    <w:jc w:val="center"/>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0.385</w:t>
                  </w:r>
                </w:p>
              </w:tc>
              <w:tc>
                <w:tcPr>
                  <w:tcW w:w="1613"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6</w:t>
                  </w:r>
                </w:p>
              </w:tc>
              <w:tc>
                <w:tcPr>
                  <w:tcW w:w="978"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D</w:t>
                  </w:r>
                  <w:r>
                    <w:rPr>
                      <w:bCs/>
                      <w:color w:val="auto"/>
                      <w:sz w:val="21"/>
                      <w:szCs w:val="21"/>
                      <w:highlight w:val="none"/>
                      <w:shd w:val="clear" w:color="auto" w:fill="auto"/>
                    </w:rPr>
                    <w:t>A001</w:t>
                  </w:r>
                </w:p>
              </w:tc>
              <w:tc>
                <w:tcPr>
                  <w:tcW w:w="708"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非甲烷总烃</w:t>
                  </w:r>
                </w:p>
              </w:tc>
              <w:tc>
                <w:tcPr>
                  <w:tcW w:w="62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1</w:t>
                  </w:r>
                  <w:r>
                    <w:rPr>
                      <w:bCs/>
                      <w:color w:val="auto"/>
                      <w:sz w:val="21"/>
                      <w:szCs w:val="21"/>
                      <w:highlight w:val="none"/>
                      <w:shd w:val="clear" w:color="auto" w:fill="auto"/>
                    </w:rPr>
                    <w:t>20</w:t>
                  </w:r>
                </w:p>
              </w:tc>
              <w:tc>
                <w:tcPr>
                  <w:tcW w:w="801" w:type="pc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eastAsia="宋体"/>
                      <w:bCs/>
                      <w:color w:val="auto"/>
                      <w:sz w:val="21"/>
                      <w:szCs w:val="21"/>
                      <w:highlight w:val="none"/>
                      <w:shd w:val="clear" w:color="auto" w:fill="auto"/>
                      <w:lang w:val="en-US" w:eastAsia="zh-CN"/>
                    </w:rPr>
                    <w:t>5</w:t>
                  </w:r>
                </w:p>
              </w:tc>
              <w:tc>
                <w:tcPr>
                  <w:tcW w:w="1613" w:type="pct"/>
                  <w:vMerge w:val="continue"/>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tcBorders>
                    <w:tl2br w:val="nil"/>
                    <w:tr2bl w:val="nil"/>
                  </w:tcBorders>
                  <w:noWrap w:val="0"/>
                  <w:vAlign w:val="center"/>
                </w:tcPr>
                <w:p>
                  <w:pPr>
                    <w:snapToGrid w:val="0"/>
                    <w:ind w:left="-105" w:leftChars="-50" w:right="-105" w:rightChars="-50"/>
                    <w:jc w:val="left"/>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eastAsia="zh-CN"/>
                    </w:rPr>
                    <w:t>注：根据（GB16297-1996），</w:t>
                  </w:r>
                  <w:r>
                    <w:rPr>
                      <w:rFonts w:hint="eastAsia"/>
                      <w:color w:val="auto"/>
                      <w:sz w:val="21"/>
                      <w:szCs w:val="21"/>
                      <w:highlight w:val="none"/>
                      <w:shd w:val="clear" w:color="auto" w:fill="auto"/>
                    </w:rPr>
                    <w:t>排气筒高度应高出周围200m半径范围的建筑5m以上，不能达到该要求的排气筒，应按其高度对应的表列排放速率标准值严格50%执行。</w:t>
                  </w:r>
                  <w:r>
                    <w:rPr>
                      <w:rFonts w:hint="eastAsia"/>
                      <w:color w:val="auto"/>
                      <w:sz w:val="21"/>
                      <w:szCs w:val="21"/>
                      <w:highlight w:val="none"/>
                      <w:shd w:val="clear" w:color="auto" w:fill="auto"/>
                      <w:lang w:eastAsia="zh-CN"/>
                    </w:rPr>
                    <w:t>根据（GB9078-1996），本项目烟尘最高允许排放浓度应按相应区域排放标准值的</w:t>
                  </w:r>
                  <w:r>
                    <w:rPr>
                      <w:rFonts w:hint="eastAsia"/>
                      <w:color w:val="auto"/>
                      <w:sz w:val="21"/>
                      <w:szCs w:val="21"/>
                      <w:highlight w:val="none"/>
                      <w:shd w:val="clear" w:color="auto" w:fill="auto"/>
                      <w:lang w:val="en-US" w:eastAsia="zh-CN"/>
                    </w:rPr>
                    <w:t>50%执行。</w:t>
                  </w:r>
                </w:p>
              </w:tc>
            </w:tr>
          </w:tbl>
          <w:p>
            <w:pPr>
              <w:pStyle w:val="80"/>
              <w:numPr>
                <w:ilvl w:val="0"/>
                <w:numId w:val="0"/>
              </w:numPr>
              <w:bidi w:val="0"/>
              <w:ind w:left="403" w:leftChars="0"/>
              <w:rPr>
                <w:b/>
                <w:bCs/>
                <w:color w:val="auto"/>
                <w:sz w:val="21"/>
                <w:szCs w:val="21"/>
                <w:highlight w:val="none"/>
              </w:rPr>
            </w:pPr>
            <w:r>
              <w:rPr>
                <w:rFonts w:hint="eastAsia"/>
                <w:b/>
                <w:bCs/>
                <w:color w:val="auto"/>
                <w:sz w:val="21"/>
                <w:szCs w:val="21"/>
                <w:highlight w:val="none"/>
                <w:lang w:val="en-US" w:eastAsia="zh-CN"/>
              </w:rPr>
              <w:t xml:space="preserve">表3-5 </w:t>
            </w:r>
            <w:r>
              <w:rPr>
                <w:rFonts w:hint="eastAsia"/>
                <w:b/>
                <w:bCs/>
                <w:color w:val="auto"/>
                <w:sz w:val="21"/>
                <w:szCs w:val="21"/>
                <w:highlight w:val="none"/>
              </w:rPr>
              <w:t>厂界</w:t>
            </w:r>
            <w:r>
              <w:rPr>
                <w:b/>
                <w:bCs/>
                <w:color w:val="auto"/>
                <w:sz w:val="21"/>
                <w:szCs w:val="21"/>
                <w:highlight w:val="none"/>
              </w:rPr>
              <w:t>无组织废气污染物排放标准限值</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51"/>
              <w:gridCol w:w="3224"/>
              <w:gridCol w:w="256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序号</w:t>
                  </w:r>
                </w:p>
              </w:tc>
              <w:tc>
                <w:tcPr>
                  <w:tcW w:w="973"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污染物名称</w:t>
                  </w:r>
                </w:p>
              </w:tc>
              <w:tc>
                <w:tcPr>
                  <w:tcW w:w="2022"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无组织排放监控浓度限值</w:t>
                  </w:r>
                </w:p>
              </w:tc>
              <w:tc>
                <w:tcPr>
                  <w:tcW w:w="1610" w:type="pct"/>
                  <w:vMerge w:val="restar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c>
                <w:tcPr>
                  <w:tcW w:w="973"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c>
                <w:tcPr>
                  <w:tcW w:w="2022"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排放浓度mg/m</w:t>
                  </w:r>
                  <w:r>
                    <w:rPr>
                      <w:bCs/>
                      <w:color w:val="auto"/>
                      <w:sz w:val="21"/>
                      <w:szCs w:val="21"/>
                      <w:highlight w:val="none"/>
                      <w:shd w:val="clear" w:color="auto" w:fill="auto"/>
                      <w:vertAlign w:val="superscript"/>
                    </w:rPr>
                    <w:t>3</w:t>
                  </w:r>
                </w:p>
              </w:tc>
              <w:tc>
                <w:tcPr>
                  <w:tcW w:w="1610" w:type="pct"/>
                  <w:vMerge w:val="continue"/>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1</w:t>
                  </w:r>
                </w:p>
              </w:tc>
              <w:tc>
                <w:tcPr>
                  <w:tcW w:w="97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颗粒物</w:t>
                  </w:r>
                </w:p>
              </w:tc>
              <w:tc>
                <w:tcPr>
                  <w:tcW w:w="2022"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1.0</w:t>
                  </w:r>
                </w:p>
              </w:tc>
              <w:tc>
                <w:tcPr>
                  <w:tcW w:w="1610" w:type="pct"/>
                  <w:vMerge w:val="restart"/>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r>
                    <w:rPr>
                      <w:color w:val="auto"/>
                      <w:sz w:val="21"/>
                      <w:szCs w:val="21"/>
                      <w:highlight w:val="none"/>
                      <w:shd w:val="clear" w:color="auto" w:fill="auto"/>
                    </w:rPr>
                    <w:t>GB16297-1996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3</w:t>
                  </w:r>
                </w:p>
              </w:tc>
              <w:tc>
                <w:tcPr>
                  <w:tcW w:w="973"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color w:val="auto"/>
                      <w:sz w:val="21"/>
                      <w:szCs w:val="21"/>
                      <w:highlight w:val="none"/>
                      <w:shd w:val="clear" w:color="auto" w:fill="auto"/>
                    </w:rPr>
                    <w:t>SO</w:t>
                  </w:r>
                  <w:r>
                    <w:rPr>
                      <w:color w:val="auto"/>
                      <w:sz w:val="21"/>
                      <w:szCs w:val="21"/>
                      <w:highlight w:val="none"/>
                      <w:shd w:val="clear" w:color="auto" w:fill="auto"/>
                      <w:vertAlign w:val="subscript"/>
                    </w:rPr>
                    <w:t>2</w:t>
                  </w:r>
                </w:p>
              </w:tc>
              <w:tc>
                <w:tcPr>
                  <w:tcW w:w="2022"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0</w:t>
                  </w:r>
                  <w:r>
                    <w:rPr>
                      <w:bCs/>
                      <w:color w:val="auto"/>
                      <w:sz w:val="21"/>
                      <w:szCs w:val="21"/>
                      <w:highlight w:val="none"/>
                      <w:shd w:val="clear" w:color="auto" w:fill="auto"/>
                    </w:rPr>
                    <w:t>.40</w:t>
                  </w:r>
                </w:p>
              </w:tc>
              <w:tc>
                <w:tcPr>
                  <w:tcW w:w="1610" w:type="pct"/>
                  <w:vMerge w:val="continue"/>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bCs/>
                      <w:color w:val="auto"/>
                      <w:sz w:val="21"/>
                      <w:szCs w:val="21"/>
                      <w:highlight w:val="none"/>
                      <w:shd w:val="clear" w:color="auto" w:fill="auto"/>
                    </w:rPr>
                    <w:t>4</w:t>
                  </w:r>
                </w:p>
              </w:tc>
              <w:tc>
                <w:tcPr>
                  <w:tcW w:w="973"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color w:val="auto"/>
                      <w:sz w:val="21"/>
                      <w:szCs w:val="21"/>
                      <w:highlight w:val="none"/>
                      <w:shd w:val="clear" w:color="auto" w:fill="auto"/>
                    </w:rPr>
                    <w:t>NO</w:t>
                  </w:r>
                  <w:r>
                    <w:rPr>
                      <w:color w:val="auto"/>
                      <w:sz w:val="21"/>
                      <w:szCs w:val="21"/>
                      <w:highlight w:val="none"/>
                      <w:shd w:val="clear" w:color="auto" w:fill="auto"/>
                      <w:vertAlign w:val="subscript"/>
                    </w:rPr>
                    <w:t>x</w:t>
                  </w:r>
                </w:p>
              </w:tc>
              <w:tc>
                <w:tcPr>
                  <w:tcW w:w="2022" w:type="pct"/>
                  <w:tcBorders>
                    <w:tl2br w:val="nil"/>
                    <w:tr2bl w:val="nil"/>
                  </w:tcBorders>
                  <w:noWrap w:val="0"/>
                  <w:vAlign w:val="center"/>
                </w:tcPr>
                <w:p>
                  <w:pPr>
                    <w:snapToGrid w:val="0"/>
                    <w:ind w:left="-105" w:leftChars="-50" w:right="-105" w:rightChars="-50"/>
                    <w:jc w:val="center"/>
                    <w:rPr>
                      <w:bCs/>
                      <w:color w:val="auto"/>
                      <w:sz w:val="21"/>
                      <w:szCs w:val="21"/>
                      <w:highlight w:val="none"/>
                      <w:shd w:val="clear" w:color="auto" w:fill="auto"/>
                    </w:rPr>
                  </w:pPr>
                  <w:r>
                    <w:rPr>
                      <w:rFonts w:hint="eastAsia"/>
                      <w:bCs/>
                      <w:color w:val="auto"/>
                      <w:sz w:val="21"/>
                      <w:szCs w:val="21"/>
                      <w:highlight w:val="none"/>
                      <w:shd w:val="clear" w:color="auto" w:fill="auto"/>
                    </w:rPr>
                    <w:t>0</w:t>
                  </w:r>
                  <w:r>
                    <w:rPr>
                      <w:bCs/>
                      <w:color w:val="auto"/>
                      <w:sz w:val="21"/>
                      <w:szCs w:val="21"/>
                      <w:highlight w:val="none"/>
                      <w:shd w:val="clear" w:color="auto" w:fill="auto"/>
                    </w:rPr>
                    <w:t>.12</w:t>
                  </w:r>
                </w:p>
              </w:tc>
              <w:tc>
                <w:tcPr>
                  <w:tcW w:w="1610" w:type="pct"/>
                  <w:vMerge w:val="continue"/>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5</w:t>
                  </w:r>
                </w:p>
              </w:tc>
              <w:tc>
                <w:tcPr>
                  <w:tcW w:w="973"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非甲烷总烃</w:t>
                  </w:r>
                </w:p>
              </w:tc>
              <w:tc>
                <w:tcPr>
                  <w:tcW w:w="2022"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4</w:t>
                  </w:r>
                  <w:r>
                    <w:rPr>
                      <w:bCs/>
                      <w:color w:val="auto"/>
                      <w:sz w:val="21"/>
                      <w:szCs w:val="21"/>
                      <w:highlight w:val="none"/>
                      <w:shd w:val="clear" w:color="auto" w:fill="auto"/>
                    </w:rPr>
                    <w:t>.0</w:t>
                  </w:r>
                </w:p>
              </w:tc>
              <w:tc>
                <w:tcPr>
                  <w:tcW w:w="1610" w:type="pct"/>
                  <w:vMerge w:val="continue"/>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restart"/>
                  <w:tcBorders>
                    <w:tl2br w:val="nil"/>
                    <w:tr2bl w:val="nil"/>
                  </w:tcBorders>
                  <w:noWrap w:val="0"/>
                  <w:vAlign w:val="center"/>
                </w:tcPr>
                <w:p>
                  <w:pPr>
                    <w:snapToGrid w:val="0"/>
                    <w:ind w:left="-105" w:leftChars="-50" w:right="-105" w:rightChars="-50"/>
                    <w:jc w:val="center"/>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7</w:t>
                  </w:r>
                </w:p>
              </w:tc>
              <w:tc>
                <w:tcPr>
                  <w:tcW w:w="973" w:type="pct"/>
                  <w:vMerge w:val="restar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非甲烷总烃</w:t>
                  </w:r>
                  <w:r>
                    <w:rPr>
                      <w:bCs/>
                      <w:color w:val="auto"/>
                      <w:sz w:val="21"/>
                      <w:szCs w:val="21"/>
                      <w:highlight w:val="none"/>
                      <w:shd w:val="clear" w:color="auto" w:fill="auto"/>
                    </w:rPr>
                    <w:t>NMHC</w:t>
                  </w:r>
                </w:p>
              </w:tc>
              <w:tc>
                <w:tcPr>
                  <w:tcW w:w="2022"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1</w:t>
                  </w:r>
                  <w:r>
                    <w:rPr>
                      <w:bCs/>
                      <w:color w:val="auto"/>
                      <w:sz w:val="21"/>
                      <w:szCs w:val="21"/>
                      <w:highlight w:val="none"/>
                      <w:shd w:val="clear" w:color="auto" w:fill="auto"/>
                    </w:rPr>
                    <w:t>0</w:t>
                  </w:r>
                  <w:r>
                    <w:rPr>
                      <w:rFonts w:hint="eastAsia"/>
                      <w:bCs/>
                      <w:color w:val="auto"/>
                      <w:sz w:val="21"/>
                      <w:szCs w:val="21"/>
                      <w:highlight w:val="none"/>
                      <w:shd w:val="clear" w:color="auto" w:fill="auto"/>
                    </w:rPr>
                    <w:t>（监控点处1h平均浓度值）</w:t>
                  </w:r>
                </w:p>
              </w:tc>
              <w:tc>
                <w:tcPr>
                  <w:tcW w:w="1610" w:type="pct"/>
                  <w:vMerge w:val="restart"/>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r>
                    <w:rPr>
                      <w:color w:val="auto"/>
                      <w:sz w:val="21"/>
                      <w:szCs w:val="21"/>
                      <w:highlight w:val="none"/>
                      <w:shd w:val="clear" w:color="auto" w:fill="auto"/>
                    </w:rPr>
                    <w:t>GB37822-2019</w:t>
                  </w:r>
                </w:p>
                <w:p>
                  <w:pPr>
                    <w:snapToGrid w:val="0"/>
                    <w:ind w:left="-105" w:leftChars="-50" w:right="-105" w:rightChars="-50"/>
                    <w:jc w:val="center"/>
                    <w:rPr>
                      <w:color w:val="auto"/>
                      <w:sz w:val="21"/>
                      <w:szCs w:val="21"/>
                      <w:highlight w:val="none"/>
                      <w:shd w:val="clear" w:color="auto" w:fill="auto"/>
                    </w:rPr>
                  </w:pPr>
                  <w:r>
                    <w:rPr>
                      <w:rFonts w:hint="eastAsia"/>
                      <w:color w:val="auto"/>
                      <w:sz w:val="21"/>
                      <w:szCs w:val="21"/>
                      <w:highlight w:val="none"/>
                      <w:shd w:val="clear" w:color="auto" w:fill="auto"/>
                    </w:rPr>
                    <w:t>（在厂房外设监控点）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p>
              </w:tc>
              <w:tc>
                <w:tcPr>
                  <w:tcW w:w="973" w:type="pct"/>
                  <w:vMerge w:val="continue"/>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p>
              </w:tc>
              <w:tc>
                <w:tcPr>
                  <w:tcW w:w="2022" w:type="pct"/>
                  <w:tcBorders>
                    <w:tl2br w:val="nil"/>
                    <w:tr2bl w:val="nil"/>
                  </w:tcBorders>
                  <w:noWrap w:val="0"/>
                  <w:vAlign w:val="center"/>
                </w:tcPr>
                <w:p>
                  <w:pPr>
                    <w:snapToGrid w:val="0"/>
                    <w:ind w:left="-105" w:leftChars="-50" w:right="-105" w:rightChars="-50"/>
                    <w:jc w:val="center"/>
                    <w:rPr>
                      <w:rFonts w:hint="eastAsia"/>
                      <w:bCs/>
                      <w:color w:val="auto"/>
                      <w:sz w:val="21"/>
                      <w:szCs w:val="21"/>
                      <w:highlight w:val="none"/>
                      <w:shd w:val="clear" w:color="auto" w:fill="auto"/>
                    </w:rPr>
                  </w:pPr>
                  <w:r>
                    <w:rPr>
                      <w:rFonts w:hint="eastAsia"/>
                      <w:bCs/>
                      <w:color w:val="auto"/>
                      <w:sz w:val="21"/>
                      <w:szCs w:val="21"/>
                      <w:highlight w:val="none"/>
                      <w:shd w:val="clear" w:color="auto" w:fill="auto"/>
                    </w:rPr>
                    <w:t>3</w:t>
                  </w:r>
                  <w:r>
                    <w:rPr>
                      <w:bCs/>
                      <w:color w:val="auto"/>
                      <w:sz w:val="21"/>
                      <w:szCs w:val="21"/>
                      <w:highlight w:val="none"/>
                      <w:shd w:val="clear" w:color="auto" w:fill="auto"/>
                    </w:rPr>
                    <w:t>0</w:t>
                  </w:r>
                  <w:r>
                    <w:rPr>
                      <w:rFonts w:hint="eastAsia"/>
                      <w:bCs/>
                      <w:color w:val="auto"/>
                      <w:sz w:val="21"/>
                      <w:szCs w:val="21"/>
                      <w:highlight w:val="none"/>
                      <w:shd w:val="clear" w:color="auto" w:fill="auto"/>
                    </w:rPr>
                    <w:t>（监控点处任意一次浓度值）</w:t>
                  </w:r>
                </w:p>
              </w:tc>
              <w:tc>
                <w:tcPr>
                  <w:tcW w:w="1610" w:type="pct"/>
                  <w:vMerge w:val="continue"/>
                  <w:tcBorders>
                    <w:tl2br w:val="nil"/>
                    <w:tr2bl w:val="nil"/>
                  </w:tcBorders>
                  <w:noWrap w:val="0"/>
                  <w:vAlign w:val="center"/>
                </w:tcPr>
                <w:p>
                  <w:pPr>
                    <w:snapToGrid w:val="0"/>
                    <w:ind w:left="-105" w:leftChars="-50" w:right="-105" w:rightChars="-50"/>
                    <w:jc w:val="center"/>
                    <w:rPr>
                      <w:color w:val="auto"/>
                      <w:sz w:val="21"/>
                      <w:szCs w:val="21"/>
                      <w:highlight w:val="none"/>
                      <w:shd w:val="clear" w:color="auto" w:fill="auto"/>
                    </w:rPr>
                  </w:pPr>
                </w:p>
              </w:tc>
            </w:tr>
          </w:tbl>
          <w:p>
            <w:pPr>
              <w:pStyle w:val="55"/>
              <w:rPr>
                <w:color w:val="auto"/>
                <w:highlight w:val="none"/>
                <w:shd w:val="clear" w:color="auto" w:fill="auto"/>
              </w:rPr>
            </w:pPr>
            <w:r>
              <w:rPr>
                <w:rFonts w:hint="eastAsia"/>
                <w:color w:val="auto"/>
                <w:highlight w:val="none"/>
                <w:shd w:val="clear" w:color="auto" w:fill="auto"/>
              </w:rPr>
              <w:t>2、</w:t>
            </w:r>
            <w:r>
              <w:rPr>
                <w:color w:val="auto"/>
                <w:highlight w:val="none"/>
                <w:shd w:val="clear" w:color="auto" w:fill="auto"/>
              </w:rPr>
              <w:t>废水排放标准</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本项目生活污水预处理后经园区污水管网排入下河线污水处理厂，废水排放执行《污水综合排放标准》（GB8978-1996）表4中三级标准及下河线污水处理厂设计进水水质标准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污水处理厂处理后排水执行《城镇污水处理厂污染物排放标准》（GB18918-2002）中一级A标准，摘录部分因子排放标准见表3-</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w:t>
            </w:r>
          </w:p>
          <w:p>
            <w:pPr>
              <w:spacing w:line="240" w:lineRule="auto"/>
              <w:ind w:firstLine="42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rFonts w:hint="eastAsia"/>
                <w:b/>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废水污染物排放标准（节选）</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146"/>
              <w:gridCol w:w="214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14:textFill>
                        <w14:solidFill>
                          <w14:schemeClr w14:val="tx1"/>
                        </w14:solidFill>
                      </w14:textFill>
                    </w:rPr>
                    <w:t>GB8978-1996</w:t>
                  </w:r>
                  <w:r>
                    <w:rPr>
                      <w:rFonts w:hint="eastAsia"/>
                      <w:color w:val="000000" w:themeColor="text1"/>
                      <w:kern w:val="0"/>
                      <w:sz w:val="21"/>
                      <w:szCs w:val="21"/>
                      <w14:textFill>
                        <w14:solidFill>
                          <w14:schemeClr w14:val="tx1"/>
                        </w14:solidFill>
                      </w14:textFill>
                    </w:rPr>
                    <w:t>三级标准</w:t>
                  </w:r>
                </w:p>
              </w:tc>
              <w:tc>
                <w:tcPr>
                  <w:tcW w:w="1347"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污水处理厂设计进水水质标准</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PH</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c>
                <w:tcPr>
                  <w:tcW w:w="1347"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450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≤200mg/L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140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≤30mg/L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TP</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6"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TN</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w:t>
                  </w:r>
                </w:p>
              </w:tc>
            </w:tr>
          </w:tbl>
          <w:p>
            <w:pPr>
              <w:pStyle w:val="55"/>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3、噪声排放标准</w:t>
            </w:r>
          </w:p>
          <w:p>
            <w:pPr>
              <w:adjustRightInd w:val="0"/>
              <w:snapToGrid w:val="0"/>
              <w:spacing w:line="348" w:lineRule="auto"/>
              <w:ind w:firstLine="480" w:firstLineChars="200"/>
              <w:rPr>
                <w:rFonts w:hint="default" w:ascii="Times New Roman" w:hAnsi="Times New Roman" w:cs="Times New Roman"/>
                <w:color w:val="auto"/>
                <w:kern w:val="18"/>
                <w:sz w:val="24"/>
                <w:szCs w:val="20"/>
                <w:highlight w:val="none"/>
                <w:shd w:val="clear" w:color="auto" w:fill="auto"/>
              </w:rPr>
            </w:pPr>
            <w:r>
              <w:rPr>
                <w:rFonts w:hint="eastAsia" w:ascii="Times New Roman" w:hAnsi="Times New Roman" w:eastAsia="宋体" w:cs="Times New Roman"/>
                <w:color w:val="auto"/>
                <w:kern w:val="18"/>
                <w:sz w:val="24"/>
                <w:szCs w:val="20"/>
                <w:highlight w:val="none"/>
                <w:shd w:val="clear" w:color="auto" w:fill="auto"/>
              </w:rPr>
              <w:t>项目位于工业园，</w:t>
            </w:r>
            <w:r>
              <w:rPr>
                <w:rFonts w:hint="default" w:ascii="Times New Roman" w:hAnsi="Times New Roman" w:cs="Times New Roman"/>
                <w:color w:val="auto"/>
                <w:kern w:val="18"/>
                <w:sz w:val="24"/>
                <w:szCs w:val="20"/>
                <w:highlight w:val="none"/>
                <w:shd w:val="clear" w:color="auto" w:fill="auto"/>
              </w:rPr>
              <w:t>项目运营期厂界噪声执行《工业企业厂界环境噪声排放标准》（GB12348-2008）中3类区标准，详见下表。</w:t>
            </w:r>
          </w:p>
          <w:p>
            <w:pPr>
              <w:pStyle w:val="80"/>
              <w:numPr>
                <w:ilvl w:val="0"/>
                <w:numId w:val="0"/>
              </w:numPr>
              <w:bidi w:val="0"/>
              <w:ind w:left="403" w:leftChars="0"/>
              <w:jc w:val="center"/>
              <w:rPr>
                <w:rFonts w:hint="default" w:ascii="Times New Roman" w:hAnsi="Times New Roman" w:cs="Times New Roman"/>
                <w:b/>
                <w:bCs/>
                <w:color w:val="auto"/>
                <w:sz w:val="21"/>
                <w:szCs w:val="21"/>
                <w:highlight w:val="none"/>
              </w:rPr>
            </w:pPr>
            <w:r>
              <w:rPr>
                <w:rFonts w:hint="eastAsia" w:cs="Times New Roman"/>
                <w:b/>
                <w:bCs/>
                <w:color w:val="auto"/>
                <w:sz w:val="21"/>
                <w:szCs w:val="21"/>
                <w:highlight w:val="none"/>
                <w:lang w:val="en-US" w:eastAsia="zh-CN"/>
              </w:rPr>
              <w:t>表3-7</w:t>
            </w:r>
            <w:r>
              <w:rPr>
                <w:rFonts w:hint="default" w:ascii="Times New Roman" w:hAnsi="Times New Roman" w:cs="Times New Roman"/>
                <w:b/>
                <w:bCs/>
                <w:color w:val="auto"/>
                <w:sz w:val="21"/>
                <w:szCs w:val="21"/>
                <w:highlight w:val="none"/>
              </w:rPr>
              <w:t>噪声排放标准   单位：dB（A）</w:t>
            </w:r>
          </w:p>
          <w:tbl>
            <w:tblPr>
              <w:tblStyle w:val="23"/>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73"/>
              <w:gridCol w:w="1069"/>
              <w:gridCol w:w="1128"/>
              <w:gridCol w:w="1737"/>
              <w:gridCol w:w="247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序号</w:t>
                  </w:r>
                </w:p>
              </w:tc>
              <w:tc>
                <w:tcPr>
                  <w:tcW w:w="548"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时期</w:t>
                  </w:r>
                </w:p>
              </w:tc>
              <w:tc>
                <w:tcPr>
                  <w:tcW w:w="670"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位置</w:t>
                  </w:r>
                </w:p>
              </w:tc>
              <w:tc>
                <w:tcPr>
                  <w:tcW w:w="707"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时段</w:t>
                  </w:r>
                </w:p>
              </w:tc>
              <w:tc>
                <w:tcPr>
                  <w:tcW w:w="1089"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标准限值dB（A）</w:t>
                  </w:r>
                </w:p>
              </w:tc>
              <w:tc>
                <w:tcPr>
                  <w:tcW w:w="1553"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restart"/>
                  <w:tcBorders>
                    <w:tl2br w:val="nil"/>
                    <w:tr2bl w:val="nil"/>
                  </w:tcBorders>
                  <w:noWrap w:val="0"/>
                  <w:vAlign w:val="center"/>
                </w:tcPr>
                <w:p>
                  <w:pPr>
                    <w:adjustRightInd w:val="0"/>
                    <w:snapToGrid w:val="0"/>
                    <w:ind w:left="-105" w:leftChars="-50" w:right="-105" w:rightChars="-50"/>
                    <w:jc w:val="center"/>
                    <w:rPr>
                      <w:rFonts w:hint="default" w:ascii="Times New Roman" w:hAnsi="Times New Roman" w:eastAsia="宋体" w:cs="Times New Roman"/>
                      <w:bCs/>
                      <w:color w:val="auto"/>
                      <w:kern w:val="0"/>
                      <w:sz w:val="21"/>
                      <w:szCs w:val="21"/>
                      <w:highlight w:val="none"/>
                      <w:shd w:val="clear" w:color="auto" w:fill="auto"/>
                      <w:lang w:eastAsia="zh-CN"/>
                    </w:rPr>
                  </w:pPr>
                  <w:r>
                    <w:rPr>
                      <w:rFonts w:hint="default" w:ascii="Times New Roman" w:hAnsi="Times New Roman" w:cs="Times New Roman"/>
                      <w:bCs/>
                      <w:color w:val="auto"/>
                      <w:kern w:val="0"/>
                      <w:sz w:val="21"/>
                      <w:szCs w:val="21"/>
                      <w:highlight w:val="none"/>
                      <w:shd w:val="clear" w:color="auto" w:fill="auto"/>
                      <w:lang w:val="en-US" w:eastAsia="zh-CN"/>
                    </w:rPr>
                    <w:t>1</w:t>
                  </w:r>
                </w:p>
              </w:tc>
              <w:tc>
                <w:tcPr>
                  <w:tcW w:w="548" w:type="pct"/>
                  <w:vMerge w:val="restar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运营期</w:t>
                  </w:r>
                </w:p>
              </w:tc>
              <w:tc>
                <w:tcPr>
                  <w:tcW w:w="670" w:type="pct"/>
                  <w:vMerge w:val="restar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厂界</w:t>
                  </w:r>
                </w:p>
              </w:tc>
              <w:tc>
                <w:tcPr>
                  <w:tcW w:w="707"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昼间</w:t>
                  </w:r>
                </w:p>
              </w:tc>
              <w:tc>
                <w:tcPr>
                  <w:tcW w:w="1089"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65</w:t>
                  </w:r>
                </w:p>
              </w:tc>
              <w:tc>
                <w:tcPr>
                  <w:tcW w:w="1553" w:type="pct"/>
                  <w:vMerge w:val="restar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GB12348-2008中3类标准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p>
              </w:tc>
              <w:tc>
                <w:tcPr>
                  <w:tcW w:w="548" w:type="pct"/>
                  <w:vMerge w:val="continue"/>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p>
              </w:tc>
              <w:tc>
                <w:tcPr>
                  <w:tcW w:w="670" w:type="pct"/>
                  <w:vMerge w:val="continue"/>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p>
              </w:tc>
              <w:tc>
                <w:tcPr>
                  <w:tcW w:w="707"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夜间</w:t>
                  </w:r>
                </w:p>
              </w:tc>
              <w:tc>
                <w:tcPr>
                  <w:tcW w:w="1089" w:type="pct"/>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r>
                    <w:rPr>
                      <w:rFonts w:hint="default" w:ascii="Times New Roman" w:hAnsi="Times New Roman" w:cs="Times New Roman"/>
                      <w:bCs/>
                      <w:color w:val="auto"/>
                      <w:kern w:val="0"/>
                      <w:sz w:val="21"/>
                      <w:szCs w:val="21"/>
                      <w:highlight w:val="none"/>
                      <w:shd w:val="clear" w:color="auto" w:fill="auto"/>
                    </w:rPr>
                    <w:t>55</w:t>
                  </w:r>
                </w:p>
              </w:tc>
              <w:tc>
                <w:tcPr>
                  <w:tcW w:w="1553" w:type="pct"/>
                  <w:vMerge w:val="continue"/>
                  <w:tcBorders>
                    <w:tl2br w:val="nil"/>
                    <w:tr2bl w:val="nil"/>
                  </w:tcBorders>
                  <w:noWrap w:val="0"/>
                  <w:vAlign w:val="center"/>
                </w:tcPr>
                <w:p>
                  <w:pPr>
                    <w:adjustRightInd w:val="0"/>
                    <w:snapToGrid w:val="0"/>
                    <w:ind w:left="-105" w:leftChars="-50" w:right="-105" w:rightChars="-50"/>
                    <w:jc w:val="center"/>
                    <w:rPr>
                      <w:rFonts w:hint="default" w:ascii="Times New Roman" w:hAnsi="Times New Roman" w:cs="Times New Roman"/>
                      <w:bCs/>
                      <w:color w:val="auto"/>
                      <w:kern w:val="0"/>
                      <w:sz w:val="21"/>
                      <w:szCs w:val="21"/>
                      <w:highlight w:val="none"/>
                      <w:shd w:val="clear" w:color="auto" w:fill="auto"/>
                    </w:rPr>
                  </w:pPr>
                </w:p>
              </w:tc>
            </w:tr>
          </w:tbl>
          <w:p>
            <w:pPr>
              <w:pStyle w:val="55"/>
              <w:rPr>
                <w:color w:val="auto"/>
                <w:highlight w:val="none"/>
                <w:shd w:val="clear" w:color="auto" w:fill="auto"/>
              </w:rPr>
            </w:pPr>
            <w:r>
              <w:rPr>
                <w:rFonts w:hint="eastAsia"/>
                <w:color w:val="auto"/>
                <w:highlight w:val="none"/>
                <w:shd w:val="clear" w:color="auto" w:fill="auto"/>
              </w:rPr>
              <w:t>4、</w:t>
            </w:r>
            <w:r>
              <w:rPr>
                <w:color w:val="auto"/>
                <w:highlight w:val="none"/>
                <w:shd w:val="clear" w:color="auto" w:fill="auto"/>
              </w:rPr>
              <w:t>固体废物</w:t>
            </w:r>
          </w:p>
          <w:p>
            <w:pPr>
              <w:adjustRightInd w:val="0"/>
              <w:snapToGrid w:val="0"/>
              <w:spacing w:line="360" w:lineRule="auto"/>
              <w:ind w:firstLine="480" w:firstLineChars="200"/>
              <w:jc w:val="left"/>
              <w:rPr>
                <w:rFonts w:hint="eastAsia" w:ascii="宋体" w:hAnsi="宋体" w:cs="宋体"/>
                <w:color w:val="auto"/>
                <w:kern w:val="0"/>
                <w:szCs w:val="21"/>
                <w:highlight w:val="none"/>
              </w:rPr>
            </w:pPr>
            <w:r>
              <w:rPr>
                <w:rFonts w:hint="eastAsia"/>
                <w:color w:val="auto"/>
                <w:kern w:val="18"/>
                <w:sz w:val="24"/>
                <w:szCs w:val="20"/>
                <w:highlight w:val="none"/>
                <w:shd w:val="clear" w:color="auto" w:fill="auto"/>
              </w:rPr>
              <w:t>本项目运营期自产危险废物贮存均执行《危险废物贮存污染控制标准》（GB18597-2001）及其修改单中的有关规定，一般工业固体废物贮存过程应满足相应防扬尘、防雨淋、防渗漏等环境保护要求。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总量</w:t>
            </w:r>
          </w:p>
          <w:p>
            <w:pPr>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控制</w:t>
            </w:r>
          </w:p>
          <w:p>
            <w:pPr>
              <w:adjustRightInd w:val="0"/>
              <w:snapToGrid w:val="0"/>
              <w:jc w:val="center"/>
              <w:rPr>
                <w:rFonts w:ascii="宋体" w:hAnsi="宋体" w:cs="宋体"/>
                <w:color w:val="auto"/>
                <w:kern w:val="0"/>
                <w:szCs w:val="21"/>
                <w:highlight w:val="none"/>
              </w:rPr>
            </w:pPr>
            <w:r>
              <w:rPr>
                <w:rFonts w:hint="eastAsia" w:ascii="宋体" w:hAnsi="宋体" w:cs="宋体"/>
                <w:color w:val="auto"/>
                <w:kern w:val="0"/>
                <w:sz w:val="24"/>
                <w:highlight w:val="none"/>
              </w:rPr>
              <w:t>指标</w:t>
            </w:r>
          </w:p>
        </w:tc>
        <w:tc>
          <w:tcPr>
            <w:tcW w:w="8190" w:type="dxa"/>
            <w:noWrap w:val="0"/>
            <w:vAlign w:val="center"/>
          </w:tcPr>
          <w:p>
            <w:pPr>
              <w:spacing w:line="360" w:lineRule="auto"/>
              <w:ind w:firstLine="480"/>
              <w:rPr>
                <w:color w:val="000000" w:themeColor="text1"/>
                <w:sz w:val="24"/>
                <w:szCs w:val="24"/>
                <w:u w:val="none"/>
                <w14:textFill>
                  <w14:solidFill>
                    <w14:schemeClr w14:val="tx1"/>
                  </w14:solidFill>
                </w14:textFill>
              </w:rPr>
            </w:pPr>
            <w:r>
              <w:rPr>
                <w:color w:val="000000" w:themeColor="text1"/>
                <w:sz w:val="24"/>
                <w:szCs w:val="24"/>
                <w:u w:val="none"/>
                <w14:textFill>
                  <w14:solidFill>
                    <w14:schemeClr w14:val="tx1"/>
                  </w14:solidFill>
                </w14:textFill>
              </w:rPr>
              <w:t>根据</w:t>
            </w:r>
            <w:r>
              <w:rPr>
                <w:rFonts w:hint="eastAsia"/>
                <w:color w:val="000000" w:themeColor="text1"/>
                <w:sz w:val="24"/>
                <w:szCs w:val="24"/>
                <w:u w:val="none"/>
                <w14:textFill>
                  <w14:solidFill>
                    <w14:schemeClr w14:val="tx1"/>
                  </w14:solidFill>
                </w14:textFill>
              </w:rPr>
              <w:t>《</w:t>
            </w:r>
            <w:r>
              <w:rPr>
                <w:color w:val="000000" w:themeColor="text1"/>
                <w:sz w:val="24"/>
                <w:szCs w:val="24"/>
                <w:u w:val="none"/>
                <w14:textFill>
                  <w14:solidFill>
                    <w14:schemeClr w14:val="tx1"/>
                  </w14:solidFill>
                </w14:textFill>
              </w:rPr>
              <w:t>湖南省十四五环境保护规划</w:t>
            </w:r>
            <w:r>
              <w:rPr>
                <w:rFonts w:hint="eastAsia"/>
                <w:color w:val="000000" w:themeColor="text1"/>
                <w:sz w:val="24"/>
                <w:szCs w:val="24"/>
                <w:u w:val="none"/>
                <w14:textFill>
                  <w14:solidFill>
                    <w14:schemeClr w14:val="tx1"/>
                  </w14:solidFill>
                </w14:textFill>
              </w:rPr>
              <w:t>》，十四五期间</w:t>
            </w:r>
            <w:r>
              <w:rPr>
                <w:color w:val="000000" w:themeColor="text1"/>
                <w:sz w:val="24"/>
                <w:szCs w:val="24"/>
                <w:u w:val="none"/>
                <w14:textFill>
                  <w14:solidFill>
                    <w14:schemeClr w14:val="tx1"/>
                  </w14:solidFill>
                </w14:textFill>
              </w:rPr>
              <w:t>对化学需氧量、氨氮、二氧化硫、氮氧化物四种主要污染物实行排放总量控制计划管理。</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根据工程分析，</w:t>
            </w:r>
            <w:r>
              <w:rPr>
                <w:color w:val="000000" w:themeColor="text1"/>
                <w:sz w:val="24"/>
                <w:szCs w:val="24"/>
                <w:u w:val="none"/>
                <w14:textFill>
                  <w14:solidFill>
                    <w14:schemeClr w14:val="tx1"/>
                  </w14:solidFill>
                </w14:textFill>
              </w:rPr>
              <w:t>并结合本项目工程特征，确定本项目的总量控制因子为废水为COD、氨氮。</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1</w:t>
            </w:r>
            <w:r>
              <w:rPr>
                <w:rFonts w:hint="eastAsia"/>
                <w:color w:val="000000" w:themeColor="text1"/>
                <w:sz w:val="24"/>
                <w:szCs w:val="24"/>
                <w:u w:val="none"/>
                <w:lang w:eastAsia="zh-CN"/>
                <w14:textFill>
                  <w14:solidFill>
                    <w14:schemeClr w14:val="tx1"/>
                  </w14:solidFill>
                </w14:textFill>
              </w:rPr>
              <w:t>）</w:t>
            </w:r>
            <w:r>
              <w:rPr>
                <w:color w:val="000000" w:themeColor="text1"/>
                <w:sz w:val="24"/>
                <w:szCs w:val="24"/>
                <w:u w:val="none"/>
                <w14:textFill>
                  <w14:solidFill>
                    <w14:schemeClr w14:val="tx1"/>
                  </w14:solidFill>
                </w14:textFill>
              </w:rPr>
              <w:t>水污染物控制指标：</w:t>
            </w:r>
            <w:r>
              <w:rPr>
                <w:rFonts w:hint="eastAsia"/>
                <w:color w:val="000000" w:themeColor="text1"/>
                <w:sz w:val="24"/>
                <w:szCs w:val="24"/>
                <w:u w:val="none"/>
                <w14:textFill>
                  <w14:solidFill>
                    <w14:schemeClr w14:val="tx1"/>
                  </w14:solidFill>
                </w14:textFill>
              </w:rPr>
              <w:t>本项目</w:t>
            </w:r>
            <w:r>
              <w:rPr>
                <w:color w:val="000000" w:themeColor="text1"/>
                <w:sz w:val="24"/>
                <w:szCs w:val="24"/>
                <w:u w:val="none"/>
                <w14:textFill>
                  <w14:solidFill>
                    <w14:schemeClr w14:val="tx1"/>
                  </w14:solidFill>
                </w14:textFill>
              </w:rPr>
              <w:t>生活污水经</w:t>
            </w:r>
            <w:r>
              <w:rPr>
                <w:rFonts w:hint="eastAsia"/>
                <w:color w:val="000000" w:themeColor="text1"/>
                <w:sz w:val="24"/>
                <w:szCs w:val="24"/>
                <w:u w:val="none"/>
                <w14:textFill>
                  <w14:solidFill>
                    <w14:schemeClr w14:val="tx1"/>
                  </w14:solidFill>
                </w14:textFill>
              </w:rPr>
              <w:t>园区</w:t>
            </w:r>
            <w:r>
              <w:rPr>
                <w:color w:val="000000" w:themeColor="text1"/>
                <w:sz w:val="24"/>
                <w:szCs w:val="24"/>
                <w:u w:val="none"/>
                <w14:textFill>
                  <w14:solidFill>
                    <w14:schemeClr w14:val="tx1"/>
                  </w14:solidFill>
                </w14:textFill>
              </w:rPr>
              <w:t>化粪池污水处理</w:t>
            </w:r>
            <w:r>
              <w:rPr>
                <w:rFonts w:hint="eastAsia"/>
                <w:color w:val="000000" w:themeColor="text1"/>
                <w:sz w:val="24"/>
                <w:szCs w:val="24"/>
                <w:u w:val="none"/>
                <w14:textFill>
                  <w14:solidFill>
                    <w14:schemeClr w14:val="tx1"/>
                  </w14:solidFill>
                </w14:textFill>
              </w:rPr>
              <w:t>后</w:t>
            </w:r>
            <w:r>
              <w:rPr>
                <w:color w:val="000000" w:themeColor="text1"/>
                <w:sz w:val="24"/>
                <w:szCs w:val="24"/>
                <w:u w:val="none"/>
                <w14:textFill>
                  <w14:solidFill>
                    <w14:schemeClr w14:val="tx1"/>
                  </w14:solidFill>
                </w14:textFill>
              </w:rPr>
              <w:t>经污水管网排入</w:t>
            </w:r>
            <w:r>
              <w:rPr>
                <w:rFonts w:hint="eastAsia"/>
                <w:color w:val="000000" w:themeColor="text1"/>
                <w:sz w:val="24"/>
                <w:szCs w:val="24"/>
                <w:u w:val="none"/>
                <w14:textFill>
                  <w14:solidFill>
                    <w14:schemeClr w14:val="tx1"/>
                  </w14:solidFill>
                </w14:textFill>
              </w:rPr>
              <w:t>下河线污水处理厂后最终排入湘江。</w:t>
            </w:r>
            <w:r>
              <w:rPr>
                <w:color w:val="000000" w:themeColor="text1"/>
                <w:sz w:val="24"/>
                <w:szCs w:val="24"/>
                <w:u w:val="none"/>
                <w14:textFill>
                  <w14:solidFill>
                    <w14:schemeClr w14:val="tx1"/>
                  </w14:solidFill>
                </w14:textFill>
              </w:rPr>
              <w:t>因此无需申请</w:t>
            </w:r>
            <w:r>
              <w:rPr>
                <w:rFonts w:hint="eastAsia"/>
                <w:color w:val="000000" w:themeColor="text1"/>
                <w:sz w:val="24"/>
                <w:szCs w:val="24"/>
                <w:u w:val="none"/>
                <w14:textFill>
                  <w14:solidFill>
                    <w14:schemeClr w14:val="tx1"/>
                  </w14:solidFill>
                </w14:textFill>
              </w:rPr>
              <w:t>水</w:t>
            </w:r>
            <w:r>
              <w:rPr>
                <w:color w:val="000000" w:themeColor="text1"/>
                <w:sz w:val="24"/>
                <w:szCs w:val="24"/>
                <w:u w:val="none"/>
                <w14:textFill>
                  <w14:solidFill>
                    <w14:schemeClr w14:val="tx1"/>
                  </w14:solidFill>
                </w14:textFill>
              </w:rPr>
              <w:t>总量指标。</w:t>
            </w:r>
          </w:p>
          <w:p>
            <w:pPr>
              <w:adjustRightInd w:val="0"/>
              <w:snapToGrid w:val="0"/>
              <w:spacing w:line="360" w:lineRule="auto"/>
              <w:ind w:firstLine="480" w:firstLineChars="200"/>
              <w:rPr>
                <w:color w:val="auto"/>
                <w:sz w:val="24"/>
                <w:szCs w:val="24"/>
                <w:highlight w:val="none"/>
              </w:rPr>
            </w:pPr>
            <w:r>
              <w:rPr>
                <w:color w:val="auto"/>
                <w:sz w:val="24"/>
                <w:szCs w:val="24"/>
                <w:highlight w:val="none"/>
              </w:rPr>
              <w:t>（2）废气</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项目配备有 1 台 </w:t>
            </w:r>
            <w:r>
              <w:rPr>
                <w:rFonts w:hint="eastAsia"/>
                <w:color w:val="auto"/>
                <w:sz w:val="24"/>
                <w:highlight w:val="none"/>
                <w:lang w:val="en-US" w:eastAsia="zh-CN"/>
              </w:rPr>
              <w:t>60立方的天然气</w:t>
            </w:r>
            <w:r>
              <w:rPr>
                <w:rFonts w:hint="eastAsia"/>
                <w:color w:val="auto"/>
                <w:sz w:val="24"/>
                <w:highlight w:val="none"/>
              </w:rPr>
              <w:t>燃烧机，</w:t>
            </w:r>
            <w:r>
              <w:rPr>
                <w:rFonts w:hint="eastAsia"/>
                <w:color w:val="auto"/>
                <w:sz w:val="24"/>
                <w:highlight w:val="none"/>
                <w:lang w:val="en-US" w:eastAsia="zh-CN"/>
              </w:rPr>
              <w:t>该燃烧机每天使用时间为4小时，一年生产时间按270天计，则本项目天然气使用量为7.56</w:t>
            </w:r>
            <w:r>
              <w:rPr>
                <w:rFonts w:hint="eastAsia"/>
                <w:color w:val="auto"/>
                <w:sz w:val="24"/>
                <w:highlight w:val="none"/>
              </w:rPr>
              <w:t>万m</w:t>
            </w:r>
            <w:r>
              <w:rPr>
                <w:color w:val="auto"/>
                <w:sz w:val="24"/>
                <w:highlight w:val="none"/>
                <w:vertAlign w:val="superscript"/>
              </w:rPr>
              <w:t>3</w:t>
            </w:r>
            <w:r>
              <w:rPr>
                <w:color w:val="auto"/>
                <w:sz w:val="24"/>
                <w:highlight w:val="none"/>
              </w:rPr>
              <w:t>/a</w:t>
            </w:r>
            <w:r>
              <w:rPr>
                <w:rFonts w:hint="eastAsia"/>
                <w:color w:val="auto"/>
                <w:sz w:val="24"/>
                <w:highlight w:val="none"/>
                <w:lang w:val="en-US" w:eastAsia="zh-CN"/>
              </w:rPr>
              <w:t>。</w:t>
            </w:r>
            <w:r>
              <w:rPr>
                <w:rFonts w:hint="eastAsia"/>
                <w:color w:val="auto"/>
                <w:sz w:val="24"/>
                <w:highlight w:val="none"/>
              </w:rPr>
              <w:t>根据《排放源统计调查产排污核算方法和系数手册》（生态环境部公告 2021年 第24号）“33-37,431-434机械行业系数手册”中“14涂装”中天然气工业炉窑，二氧化硫的产污系数为</w:t>
            </w:r>
            <w:r>
              <w:rPr>
                <w:color w:val="auto"/>
                <w:sz w:val="24"/>
                <w:highlight w:val="none"/>
              </w:rPr>
              <w:t>0.02S</w:t>
            </w:r>
            <w:r>
              <w:rPr>
                <w:rFonts w:hint="eastAsia"/>
                <w:color w:val="auto"/>
                <w:sz w:val="24"/>
                <w:highlight w:val="none"/>
              </w:rPr>
              <w:t>kg</w:t>
            </w:r>
            <w:r>
              <w:rPr>
                <w:color w:val="auto"/>
                <w:sz w:val="24"/>
                <w:highlight w:val="none"/>
              </w:rPr>
              <w:t>/</w:t>
            </w:r>
            <w:r>
              <w:rPr>
                <w:rFonts w:hint="eastAsia"/>
                <w:color w:val="auto"/>
                <w:sz w:val="24"/>
                <w:highlight w:val="none"/>
              </w:rPr>
              <w:t>万</w:t>
            </w:r>
            <w:r>
              <w:rPr>
                <w:color w:val="auto"/>
                <w:sz w:val="24"/>
                <w:highlight w:val="none"/>
              </w:rPr>
              <w:t>m</w:t>
            </w:r>
            <w:r>
              <w:rPr>
                <w:color w:val="auto"/>
                <w:sz w:val="24"/>
                <w:highlight w:val="none"/>
                <w:vertAlign w:val="superscript"/>
              </w:rPr>
              <w:t>3</w:t>
            </w:r>
            <w:r>
              <w:rPr>
                <w:rFonts w:hint="eastAsia"/>
                <w:color w:val="auto"/>
                <w:sz w:val="24"/>
                <w:highlight w:val="none"/>
              </w:rPr>
              <w:t>-原料（S</w:t>
            </w:r>
            <w:r>
              <w:rPr>
                <w:color w:val="auto"/>
                <w:sz w:val="24"/>
                <w:highlight w:val="none"/>
              </w:rPr>
              <w:t>=100</w:t>
            </w:r>
            <w:r>
              <w:rPr>
                <w:rFonts w:hint="eastAsia"/>
                <w:color w:val="auto"/>
                <w:sz w:val="24"/>
                <w:highlight w:val="none"/>
              </w:rPr>
              <w:t>），氮氧化物的产污系数为</w:t>
            </w:r>
            <w:r>
              <w:rPr>
                <w:rFonts w:hint="eastAsia"/>
                <w:color w:val="auto"/>
                <w:sz w:val="24"/>
                <w:highlight w:val="none"/>
                <w:lang w:val="en-US" w:eastAsia="zh-CN"/>
              </w:rPr>
              <w:t>18.7</w:t>
            </w:r>
            <w:r>
              <w:rPr>
                <w:rFonts w:hint="eastAsia"/>
                <w:color w:val="auto"/>
                <w:sz w:val="24"/>
                <w:highlight w:val="none"/>
              </w:rPr>
              <w:t>kg</w:t>
            </w:r>
            <w:r>
              <w:rPr>
                <w:color w:val="auto"/>
                <w:sz w:val="24"/>
                <w:highlight w:val="none"/>
              </w:rPr>
              <w:t>/</w:t>
            </w:r>
            <w:r>
              <w:rPr>
                <w:rFonts w:hint="eastAsia"/>
                <w:color w:val="auto"/>
                <w:sz w:val="24"/>
                <w:highlight w:val="none"/>
              </w:rPr>
              <w:t>万</w:t>
            </w:r>
            <w:r>
              <w:rPr>
                <w:color w:val="auto"/>
                <w:sz w:val="24"/>
                <w:highlight w:val="none"/>
              </w:rPr>
              <w:t>m</w:t>
            </w:r>
            <w:r>
              <w:rPr>
                <w:color w:val="auto"/>
                <w:sz w:val="24"/>
                <w:highlight w:val="none"/>
                <w:vertAlign w:val="superscript"/>
              </w:rPr>
              <w:t>3</w:t>
            </w:r>
            <w:r>
              <w:rPr>
                <w:rFonts w:hint="eastAsia"/>
                <w:color w:val="auto"/>
                <w:sz w:val="24"/>
                <w:highlight w:val="none"/>
              </w:rPr>
              <w:t>-原料。</w:t>
            </w:r>
          </w:p>
          <w:p>
            <w:pPr>
              <w:adjustRightInd w:val="0"/>
              <w:snapToGrid w:val="0"/>
              <w:spacing w:line="360" w:lineRule="auto"/>
              <w:ind w:firstLine="480" w:firstLineChars="200"/>
              <w:rPr>
                <w:color w:val="auto"/>
                <w:sz w:val="24"/>
                <w:highlight w:val="none"/>
              </w:rPr>
            </w:pPr>
            <w:r>
              <w:rPr>
                <w:rFonts w:hint="eastAsia"/>
                <w:color w:val="auto"/>
                <w:sz w:val="24"/>
                <w:highlight w:val="none"/>
              </w:rPr>
              <w:t>经计算，</w:t>
            </w:r>
            <w:r>
              <w:rPr>
                <w:snapToGrid w:val="0"/>
                <w:color w:val="auto"/>
                <w:sz w:val="24"/>
                <w:highlight w:val="none"/>
              </w:rPr>
              <w:t>本项目天然气燃烧</w:t>
            </w:r>
            <w:r>
              <w:rPr>
                <w:rFonts w:hint="eastAsia"/>
                <w:snapToGrid w:val="0"/>
                <w:color w:val="auto"/>
                <w:sz w:val="24"/>
                <w:highlight w:val="none"/>
              </w:rPr>
              <w:t>废气</w:t>
            </w:r>
            <w:r>
              <w:rPr>
                <w:color w:val="auto"/>
                <w:sz w:val="24"/>
                <w:highlight w:val="none"/>
              </w:rPr>
              <w:t>总量控制指标</w:t>
            </w:r>
            <w:r>
              <w:rPr>
                <w:rFonts w:hint="eastAsia"/>
                <w:color w:val="auto"/>
                <w:sz w:val="24"/>
                <w:highlight w:val="none"/>
              </w:rPr>
              <w:t>如下</w:t>
            </w:r>
            <w:r>
              <w:rPr>
                <w:color w:val="auto"/>
                <w:sz w:val="24"/>
                <w:highlight w:val="none"/>
              </w:rPr>
              <w:t>：</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SO</w:t>
            </w:r>
            <w:r>
              <w:rPr>
                <w:rFonts w:hint="eastAsia"/>
                <w:color w:val="auto"/>
                <w:sz w:val="24"/>
                <w:highlight w:val="none"/>
                <w:vertAlign w:val="subscript"/>
                <w:lang w:val="en-US" w:eastAsia="zh-CN"/>
              </w:rPr>
              <w:t>2</w:t>
            </w:r>
            <w:r>
              <w:rPr>
                <w:rFonts w:hint="eastAsia"/>
                <w:color w:val="auto"/>
                <w:sz w:val="24"/>
                <w:highlight w:val="none"/>
                <w:lang w:val="en-US" w:eastAsia="zh-CN"/>
              </w:rPr>
              <w:t>：0.02×100×7.56×10</w:t>
            </w:r>
            <w:r>
              <w:rPr>
                <w:rFonts w:hint="eastAsia"/>
                <w:color w:val="auto"/>
                <w:sz w:val="24"/>
                <w:highlight w:val="none"/>
                <w:vertAlign w:val="superscript"/>
                <w:lang w:val="en-US" w:eastAsia="zh-CN"/>
              </w:rPr>
              <w:t>-3</w:t>
            </w:r>
            <w:r>
              <w:rPr>
                <w:rFonts w:hint="eastAsia"/>
                <w:color w:val="auto"/>
                <w:sz w:val="24"/>
                <w:highlight w:val="none"/>
                <w:lang w:val="en-US" w:eastAsia="zh-CN"/>
              </w:rPr>
              <w:t>=0.015t/a</w:t>
            </w:r>
          </w:p>
          <w:p>
            <w:pPr>
              <w:spacing w:line="360" w:lineRule="auto"/>
              <w:ind w:firstLine="480" w:firstLineChars="200"/>
              <w:rPr>
                <w:color w:val="auto"/>
                <w:sz w:val="24"/>
                <w:highlight w:val="none"/>
              </w:rPr>
            </w:pPr>
            <w:r>
              <w:rPr>
                <w:color w:val="auto"/>
                <w:sz w:val="24"/>
                <w:highlight w:val="none"/>
              </w:rPr>
              <w:t>NO</w:t>
            </w:r>
            <w:r>
              <w:rPr>
                <w:color w:val="auto"/>
                <w:sz w:val="24"/>
                <w:highlight w:val="none"/>
                <w:vertAlign w:val="subscript"/>
              </w:rPr>
              <w:t>x</w:t>
            </w:r>
            <w:r>
              <w:rPr>
                <w:color w:val="auto"/>
                <w:sz w:val="24"/>
                <w:highlight w:val="none"/>
              </w:rPr>
              <w:t>：</w:t>
            </w:r>
            <w:r>
              <w:rPr>
                <w:rFonts w:hint="eastAsia"/>
                <w:color w:val="auto"/>
                <w:sz w:val="24"/>
                <w:highlight w:val="none"/>
                <w:lang w:val="en-US" w:eastAsia="zh-CN"/>
              </w:rPr>
              <w:t>18.7</w:t>
            </w:r>
            <w:r>
              <w:rPr>
                <w:color w:val="auto"/>
                <w:sz w:val="24"/>
                <w:highlight w:val="none"/>
              </w:rPr>
              <w:t>×</w:t>
            </w:r>
            <w:r>
              <w:rPr>
                <w:rFonts w:hint="eastAsia"/>
                <w:color w:val="auto"/>
                <w:sz w:val="24"/>
                <w:highlight w:val="none"/>
                <w:lang w:val="en-US" w:eastAsia="zh-CN"/>
              </w:rPr>
              <w:t>7.56</w:t>
            </w:r>
            <w:r>
              <w:rPr>
                <w:color w:val="auto"/>
                <w:sz w:val="24"/>
                <w:highlight w:val="none"/>
              </w:rPr>
              <w:t>×10</w:t>
            </w:r>
            <w:r>
              <w:rPr>
                <w:color w:val="auto"/>
                <w:sz w:val="24"/>
                <w:highlight w:val="none"/>
                <w:vertAlign w:val="superscript"/>
              </w:rPr>
              <w:t>-3</w:t>
            </w:r>
            <w:r>
              <w:rPr>
                <w:color w:val="auto"/>
                <w:sz w:val="24"/>
                <w:highlight w:val="none"/>
              </w:rPr>
              <w:t>=</w:t>
            </w:r>
            <w:r>
              <w:rPr>
                <w:rFonts w:hint="eastAsia"/>
                <w:color w:val="auto"/>
                <w:sz w:val="24"/>
                <w:highlight w:val="none"/>
                <w:lang w:val="en-US" w:eastAsia="zh-CN"/>
              </w:rPr>
              <w:t>0.141</w:t>
            </w:r>
            <w:r>
              <w:rPr>
                <w:color w:val="auto"/>
                <w:sz w:val="24"/>
                <w:highlight w:val="none"/>
              </w:rPr>
              <w:t>t/a。</w:t>
            </w:r>
          </w:p>
          <w:p>
            <w:pPr>
              <w:spacing w:line="360" w:lineRule="auto"/>
              <w:ind w:firstLine="480" w:firstLineChars="200"/>
              <w:rPr>
                <w:color w:val="auto"/>
                <w:sz w:val="24"/>
                <w:highlight w:val="none"/>
              </w:rPr>
            </w:pPr>
            <w:r>
              <w:rPr>
                <w:rFonts w:hint="eastAsia"/>
                <w:color w:val="auto"/>
                <w:sz w:val="24"/>
                <w:highlight w:val="none"/>
              </w:rPr>
              <w:t>V</w:t>
            </w:r>
            <w:r>
              <w:rPr>
                <w:color w:val="auto"/>
                <w:sz w:val="24"/>
                <w:highlight w:val="none"/>
              </w:rPr>
              <w:t>OC</w:t>
            </w:r>
            <w:r>
              <w:rPr>
                <w:rFonts w:hint="eastAsia"/>
                <w:color w:val="auto"/>
                <w:sz w:val="24"/>
                <w:highlight w:val="none"/>
              </w:rPr>
              <w:t>s（以非甲烷总烃计）：根据污染物产排情况分析，</w:t>
            </w:r>
            <w:r>
              <w:rPr>
                <w:rFonts w:hint="eastAsia"/>
                <w:color w:val="auto"/>
                <w:sz w:val="24"/>
                <w:highlight w:val="none"/>
                <w:lang w:eastAsia="zh-CN"/>
              </w:rPr>
              <w:t>有组织</w:t>
            </w:r>
            <w:r>
              <w:rPr>
                <w:rFonts w:hint="eastAsia"/>
                <w:color w:val="auto"/>
                <w:sz w:val="24"/>
                <w:highlight w:val="none"/>
              </w:rPr>
              <w:t>排放情况如下：</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auto"/>
                <w:sz w:val="24"/>
                <w:highlight w:val="none"/>
              </w:rPr>
              <w:t>D</w:t>
            </w:r>
            <w:r>
              <w:rPr>
                <w:color w:val="auto"/>
                <w:sz w:val="24"/>
                <w:highlight w:val="none"/>
              </w:rPr>
              <w:t>A001</w:t>
            </w:r>
            <w:r>
              <w:rPr>
                <w:rFonts w:hint="eastAsia"/>
                <w:color w:val="auto"/>
                <w:sz w:val="24"/>
                <w:highlight w:val="none"/>
              </w:rPr>
              <w:t>排气筒有组织V</w:t>
            </w:r>
            <w:r>
              <w:rPr>
                <w:color w:val="auto"/>
                <w:sz w:val="24"/>
                <w:highlight w:val="none"/>
              </w:rPr>
              <w:t>OC</w:t>
            </w:r>
            <w:r>
              <w:rPr>
                <w:rFonts w:hint="eastAsia"/>
                <w:color w:val="auto"/>
                <w:sz w:val="24"/>
                <w:highlight w:val="none"/>
              </w:rPr>
              <w:t>s</w:t>
            </w:r>
            <w:r>
              <w:rPr>
                <w:rFonts w:hint="eastAsia"/>
                <w:color w:val="000000" w:themeColor="text1"/>
                <w:sz w:val="24"/>
                <w:highlight w:val="none"/>
                <w14:textFill>
                  <w14:solidFill>
                    <w14:schemeClr w14:val="tx1"/>
                  </w14:solidFill>
                </w14:textFill>
              </w:rPr>
              <w:t>排放量为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0.0004</w:t>
            </w:r>
            <w:r>
              <w:rPr>
                <w:rFonts w:hint="eastAsia"/>
                <w:color w:val="000000" w:themeColor="text1"/>
                <w:sz w:val="24"/>
                <w:highlight w:val="none"/>
                <w14:textFill>
                  <w14:solidFill>
                    <w14:schemeClr w14:val="tx1"/>
                  </w14:solidFill>
                </w14:textFill>
              </w:rPr>
              <w:t>t</w:t>
            </w:r>
            <w:r>
              <w:rPr>
                <w:color w:val="000000" w:themeColor="text1"/>
                <w:sz w:val="24"/>
                <w:highlight w:val="none"/>
                <w14:textFill>
                  <w14:solidFill>
                    <w14:schemeClr w14:val="tx1"/>
                  </w14:solidFill>
                </w14:textFill>
              </w:rPr>
              <w:t>/a</w:t>
            </w:r>
            <w:r>
              <w:rPr>
                <w:rFonts w:hint="eastAsia"/>
                <w:color w:val="000000" w:themeColor="text1"/>
                <w:sz w:val="24"/>
                <w:highlight w:val="none"/>
                <w14:textFill>
                  <w14:solidFill>
                    <w14:schemeClr w14:val="tx1"/>
                  </w14:solidFill>
                </w14:textFill>
              </w:rPr>
              <w:t>；</w:t>
            </w:r>
          </w:p>
          <w:p>
            <w:pPr>
              <w:spacing w:line="360" w:lineRule="auto"/>
              <w:ind w:firstLine="480" w:firstLineChars="200"/>
              <w:rPr>
                <w:b w:val="0"/>
                <w:bCs w:val="0"/>
                <w:color w:val="000000" w:themeColor="text1"/>
                <w:kern w:val="21"/>
                <w:sz w:val="24"/>
                <w:highlight w:val="none"/>
                <w14:textFill>
                  <w14:solidFill>
                    <w14:schemeClr w14:val="tx1"/>
                  </w14:solidFill>
                </w14:textFill>
              </w:rPr>
            </w:pPr>
            <w:r>
              <w:rPr>
                <w:rFonts w:hint="eastAsia"/>
                <w:b w:val="0"/>
                <w:bCs w:val="0"/>
                <w:color w:val="000000" w:themeColor="text1"/>
                <w:kern w:val="21"/>
                <w:sz w:val="24"/>
                <w:highlight w:val="none"/>
                <w14:textFill>
                  <w14:solidFill>
                    <w14:schemeClr w14:val="tx1"/>
                  </w14:solidFill>
                </w14:textFill>
              </w:rPr>
              <w:t>综上所述，本项目</w:t>
            </w:r>
            <w:r>
              <w:rPr>
                <w:b w:val="0"/>
                <w:bCs w:val="0"/>
                <w:color w:val="000000" w:themeColor="text1"/>
                <w:kern w:val="21"/>
                <w:sz w:val="24"/>
                <w:highlight w:val="none"/>
                <w14:textFill>
                  <w14:solidFill>
                    <w14:schemeClr w14:val="tx1"/>
                  </w14:solidFill>
                </w14:textFill>
              </w:rPr>
              <w:t>排放总量控制指标：</w:t>
            </w:r>
          </w:p>
          <w:p>
            <w:pPr>
              <w:spacing w:line="360" w:lineRule="auto"/>
              <w:ind w:firstLine="480" w:firstLineChars="200"/>
              <w:rPr>
                <w:rFonts w:hint="eastAsia"/>
                <w:b w:val="0"/>
                <w:bCs w:val="0"/>
                <w:color w:val="000000" w:themeColor="text1"/>
                <w:kern w:val="21"/>
                <w:sz w:val="24"/>
                <w:highlight w:val="none"/>
                <w14:textFill>
                  <w14:solidFill>
                    <w14:schemeClr w14:val="tx1"/>
                  </w14:solidFill>
                </w14:textFill>
              </w:rPr>
            </w:pPr>
            <w:r>
              <w:rPr>
                <w:rFonts w:hint="eastAsia"/>
                <w:b w:val="0"/>
                <w:bCs w:val="0"/>
                <w:snapToGrid w:val="0"/>
                <w:color w:val="000000" w:themeColor="text1"/>
                <w:sz w:val="24"/>
                <w:highlight w:val="none"/>
                <w14:textFill>
                  <w14:solidFill>
                    <w14:schemeClr w14:val="tx1"/>
                  </w14:solidFill>
                </w14:textFill>
              </w:rPr>
              <w:t>废气</w:t>
            </w:r>
            <w:r>
              <w:rPr>
                <w:rFonts w:hint="eastAsia"/>
                <w:b w:val="0"/>
                <w:bCs w:val="0"/>
                <w:snapToGrid w:val="0"/>
                <w:color w:val="000000" w:themeColor="text1"/>
                <w:sz w:val="24"/>
                <w:highlight w:val="none"/>
                <w:lang w:val="en-US" w:eastAsia="zh-CN"/>
                <w14:textFill>
                  <w14:solidFill>
                    <w14:schemeClr w14:val="tx1"/>
                  </w14:solidFill>
                </w14:textFill>
              </w:rPr>
              <w:t>SO</w:t>
            </w:r>
            <w:r>
              <w:rPr>
                <w:rFonts w:hint="eastAsia"/>
                <w:b w:val="0"/>
                <w:bCs w:val="0"/>
                <w:snapToGrid w:val="0"/>
                <w:color w:val="000000" w:themeColor="text1"/>
                <w:sz w:val="24"/>
                <w:highlight w:val="none"/>
                <w:vertAlign w:val="subscript"/>
                <w:lang w:val="en-US" w:eastAsia="zh-CN"/>
                <w14:textFill>
                  <w14:solidFill>
                    <w14:schemeClr w14:val="tx1"/>
                  </w14:solidFill>
                </w14:textFill>
              </w:rPr>
              <w:t>2</w:t>
            </w:r>
            <w:r>
              <w:rPr>
                <w:rFonts w:hint="eastAsia"/>
                <w:b w:val="0"/>
                <w:bCs w:val="0"/>
                <w:snapToGrid w:val="0"/>
                <w:color w:val="000000" w:themeColor="text1"/>
                <w:sz w:val="24"/>
                <w:highlight w:val="none"/>
                <w:vertAlign w:val="baseline"/>
                <w:lang w:val="en-US" w:eastAsia="zh-CN"/>
                <w14:textFill>
                  <w14:solidFill>
                    <w14:schemeClr w14:val="tx1"/>
                  </w14:solidFill>
                </w14:textFill>
              </w:rPr>
              <w:t>：</w:t>
            </w:r>
            <w:r>
              <w:rPr>
                <w:rFonts w:hint="eastAsia"/>
                <w:b w:val="0"/>
                <w:bCs w:val="0"/>
                <w:snapToGrid w:val="0"/>
                <w:color w:val="000000" w:themeColor="text1"/>
                <w:sz w:val="24"/>
                <w:highlight w:val="none"/>
                <w:lang w:val="en-US" w:eastAsia="zh-CN"/>
                <w14:textFill>
                  <w14:solidFill>
                    <w14:schemeClr w14:val="tx1"/>
                  </w14:solidFill>
                </w14:textFill>
              </w:rPr>
              <w:t>0.015t/a，</w:t>
            </w:r>
            <w:r>
              <w:rPr>
                <w:b w:val="0"/>
                <w:bCs w:val="0"/>
                <w:color w:val="000000" w:themeColor="text1"/>
                <w:kern w:val="21"/>
                <w:sz w:val="24"/>
                <w:highlight w:val="none"/>
                <w14:textFill>
                  <w14:solidFill>
                    <w14:schemeClr w14:val="tx1"/>
                  </w14:solidFill>
                </w14:textFill>
              </w:rPr>
              <w:t>NO</w:t>
            </w:r>
            <w:r>
              <w:rPr>
                <w:b w:val="0"/>
                <w:bCs w:val="0"/>
                <w:color w:val="000000" w:themeColor="text1"/>
                <w:kern w:val="21"/>
                <w:sz w:val="24"/>
                <w:highlight w:val="none"/>
                <w:vertAlign w:val="subscript"/>
                <w14:textFill>
                  <w14:solidFill>
                    <w14:schemeClr w14:val="tx1"/>
                  </w14:solidFill>
                </w14:textFill>
              </w:rPr>
              <w:t>x</w:t>
            </w:r>
            <w:r>
              <w:rPr>
                <w:b w:val="0"/>
                <w:bCs w:val="0"/>
                <w:color w:val="000000" w:themeColor="text1"/>
                <w:kern w:val="21"/>
                <w:sz w:val="24"/>
                <w:highlight w:val="none"/>
                <w14:textFill>
                  <w14:solidFill>
                    <w14:schemeClr w14:val="tx1"/>
                  </w14:solidFill>
                </w14:textFill>
              </w:rPr>
              <w:t>：0.</w:t>
            </w:r>
            <w:r>
              <w:rPr>
                <w:rFonts w:hint="eastAsia"/>
                <w:b w:val="0"/>
                <w:bCs w:val="0"/>
                <w:color w:val="000000" w:themeColor="text1"/>
                <w:kern w:val="21"/>
                <w:sz w:val="24"/>
                <w:highlight w:val="none"/>
                <w:lang w:val="en-US" w:eastAsia="zh-CN"/>
                <w14:textFill>
                  <w14:solidFill>
                    <w14:schemeClr w14:val="tx1"/>
                  </w14:solidFill>
                </w14:textFill>
              </w:rPr>
              <w:t>141</w:t>
            </w:r>
            <w:r>
              <w:rPr>
                <w:b w:val="0"/>
                <w:bCs w:val="0"/>
                <w:color w:val="000000" w:themeColor="text1"/>
                <w:kern w:val="21"/>
                <w:sz w:val="24"/>
                <w:highlight w:val="none"/>
                <w14:textFill>
                  <w14:solidFill>
                    <w14:schemeClr w14:val="tx1"/>
                  </w14:solidFill>
                </w14:textFill>
              </w:rPr>
              <w:t>t/a</w:t>
            </w:r>
            <w:r>
              <w:rPr>
                <w:rFonts w:hint="eastAsia"/>
                <w:b w:val="0"/>
                <w:bCs w:val="0"/>
                <w:color w:val="000000" w:themeColor="text1"/>
                <w:kern w:val="21"/>
                <w:sz w:val="24"/>
                <w:highlight w:val="none"/>
                <w14:textFill>
                  <w14:solidFill>
                    <w14:schemeClr w14:val="tx1"/>
                  </w14:solidFill>
                </w14:textFill>
              </w:rPr>
              <w:t>，V</w:t>
            </w:r>
            <w:r>
              <w:rPr>
                <w:b w:val="0"/>
                <w:bCs w:val="0"/>
                <w:color w:val="000000" w:themeColor="text1"/>
                <w:kern w:val="21"/>
                <w:sz w:val="24"/>
                <w:highlight w:val="none"/>
                <w14:textFill>
                  <w14:solidFill>
                    <w14:schemeClr w14:val="tx1"/>
                  </w14:solidFill>
                </w14:textFill>
              </w:rPr>
              <w:t>OC</w:t>
            </w:r>
            <w:r>
              <w:rPr>
                <w:rFonts w:hint="eastAsia"/>
                <w:b w:val="0"/>
                <w:bCs w:val="0"/>
                <w:color w:val="000000" w:themeColor="text1"/>
                <w:kern w:val="21"/>
                <w:sz w:val="24"/>
                <w:highlight w:val="none"/>
                <w14:textFill>
                  <w14:solidFill>
                    <w14:schemeClr w14:val="tx1"/>
                  </w14:solidFill>
                </w14:textFill>
              </w:rPr>
              <w:t>s</w:t>
            </w:r>
            <w:r>
              <w:rPr>
                <w:rFonts w:hint="eastAsia"/>
                <w:b w:val="0"/>
                <w:bCs w:val="0"/>
                <w:color w:val="000000" w:themeColor="text1"/>
                <w:kern w:val="21"/>
                <w:sz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0.0004</w:t>
            </w:r>
            <w:r>
              <w:rPr>
                <w:rFonts w:hint="eastAsia"/>
                <w:b w:val="0"/>
                <w:bCs w:val="0"/>
                <w:color w:val="000000" w:themeColor="text1"/>
                <w:kern w:val="21"/>
                <w:sz w:val="24"/>
                <w:highlight w:val="none"/>
                <w14:textFill>
                  <w14:solidFill>
                    <w14:schemeClr w14:val="tx1"/>
                  </w14:solidFill>
                </w14:textFill>
              </w:rPr>
              <w:t>t</w:t>
            </w:r>
            <w:r>
              <w:rPr>
                <w:b w:val="0"/>
                <w:bCs w:val="0"/>
                <w:color w:val="000000" w:themeColor="text1"/>
                <w:kern w:val="21"/>
                <w:sz w:val="24"/>
                <w:highlight w:val="none"/>
                <w14:textFill>
                  <w14:solidFill>
                    <w14:schemeClr w14:val="tx1"/>
                  </w14:solidFill>
                </w14:textFill>
              </w:rPr>
              <w:t>/a</w:t>
            </w:r>
            <w:r>
              <w:rPr>
                <w:rFonts w:hint="eastAsia"/>
                <w:b w:val="0"/>
                <w:bCs w:val="0"/>
                <w:color w:val="000000" w:themeColor="text1"/>
                <w:kern w:val="21"/>
                <w:sz w:val="24"/>
                <w:highlight w:val="none"/>
                <w14:textFill>
                  <w14:solidFill>
                    <w14:schemeClr w14:val="tx1"/>
                  </w14:solidFill>
                </w14:textFill>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djustRightInd w:val="0"/>
              <w:snapToGrid w:val="0"/>
              <w:jc w:val="both"/>
              <w:rPr>
                <w:rFonts w:hint="eastAsia" w:ascii="宋体" w:hAnsi="宋体" w:cs="宋体"/>
                <w:color w:val="auto"/>
                <w:kern w:val="0"/>
                <w:szCs w:val="21"/>
                <w:highlight w:val="none"/>
              </w:rPr>
            </w:pPr>
          </w:p>
        </w:tc>
      </w:tr>
    </w:tbl>
    <w:p>
      <w:pPr>
        <w:pStyle w:val="19"/>
        <w:jc w:val="both"/>
        <w:outlineLvl w:val="0"/>
        <w:rPr>
          <w:rFonts w:ascii="黑体" w:hAnsi="黑体" w:eastAsia="黑体"/>
          <w:snapToGrid w:val="0"/>
          <w:color w:val="auto"/>
          <w:sz w:val="30"/>
          <w:szCs w:val="3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pStyle w:val="19"/>
              <w:adjustRightInd w:val="0"/>
              <w:snapToGrid w:val="0"/>
              <w:spacing w:before="0" w:beforeAutospacing="0" w:after="0" w:afterAutospacing="0"/>
              <w:jc w:val="center"/>
              <w:rPr>
                <w:rFonts w:hint="eastAsia" w:cs="宋体"/>
                <w:color w:val="auto"/>
                <w:kern w:val="2"/>
                <w:szCs w:val="24"/>
                <w:highlight w:val="none"/>
              </w:rPr>
            </w:pPr>
            <w:r>
              <w:rPr>
                <w:rFonts w:hint="eastAsia" w:cs="宋体"/>
                <w:color w:val="auto"/>
                <w:kern w:val="2"/>
                <w:szCs w:val="24"/>
                <w:highlight w:val="none"/>
              </w:rPr>
              <w:t>施工</w:t>
            </w:r>
          </w:p>
          <w:p>
            <w:pPr>
              <w:pStyle w:val="19"/>
              <w:adjustRightInd w:val="0"/>
              <w:snapToGrid w:val="0"/>
              <w:spacing w:before="0" w:beforeAutospacing="0" w:after="0" w:afterAutospacing="0"/>
              <w:jc w:val="center"/>
              <w:rPr>
                <w:rFonts w:hint="eastAsia" w:cs="宋体"/>
                <w:color w:val="auto"/>
                <w:kern w:val="2"/>
                <w:szCs w:val="24"/>
                <w:highlight w:val="none"/>
              </w:rPr>
            </w:pPr>
            <w:r>
              <w:rPr>
                <w:rFonts w:hint="eastAsia" w:cs="宋体"/>
                <w:color w:val="auto"/>
                <w:kern w:val="2"/>
                <w:szCs w:val="24"/>
                <w:highlight w:val="none"/>
              </w:rPr>
              <w:t>期环</w:t>
            </w:r>
          </w:p>
          <w:p>
            <w:pPr>
              <w:pStyle w:val="19"/>
              <w:adjustRightInd w:val="0"/>
              <w:snapToGrid w:val="0"/>
              <w:spacing w:before="0" w:beforeAutospacing="0" w:after="0" w:afterAutospacing="0"/>
              <w:jc w:val="center"/>
              <w:rPr>
                <w:rFonts w:hint="eastAsia" w:cs="宋体"/>
                <w:color w:val="auto"/>
                <w:kern w:val="2"/>
                <w:szCs w:val="24"/>
                <w:highlight w:val="none"/>
              </w:rPr>
            </w:pPr>
            <w:r>
              <w:rPr>
                <w:rFonts w:hint="eastAsia" w:cs="宋体"/>
                <w:color w:val="auto"/>
                <w:kern w:val="2"/>
                <w:szCs w:val="24"/>
                <w:highlight w:val="none"/>
              </w:rPr>
              <w:t>境保</w:t>
            </w:r>
          </w:p>
          <w:p>
            <w:pPr>
              <w:pStyle w:val="19"/>
              <w:adjustRightInd w:val="0"/>
              <w:snapToGrid w:val="0"/>
              <w:spacing w:before="0" w:beforeAutospacing="0" w:after="0" w:afterAutospacing="0"/>
              <w:jc w:val="center"/>
              <w:rPr>
                <w:rFonts w:ascii="黑体" w:hAnsi="黑体" w:eastAsia="黑体"/>
                <w:snapToGrid w:val="0"/>
                <w:color w:val="auto"/>
                <w:sz w:val="30"/>
                <w:szCs w:val="30"/>
                <w:vertAlign w:val="baseline"/>
              </w:rPr>
            </w:pPr>
            <w:r>
              <w:rPr>
                <w:rFonts w:hint="eastAsia" w:cs="宋体"/>
                <w:color w:val="auto"/>
                <w:kern w:val="2"/>
                <w:szCs w:val="24"/>
                <w:highlight w:val="none"/>
              </w:rPr>
              <w:t>护措施</w:t>
            </w:r>
          </w:p>
        </w:tc>
        <w:tc>
          <w:tcPr>
            <w:tcW w:w="8314" w:type="dxa"/>
          </w:tcPr>
          <w:p>
            <w:pPr>
              <w:pStyle w:val="19"/>
              <w:jc w:val="both"/>
              <w:outlineLvl w:val="0"/>
              <w:rPr>
                <w:rFonts w:hint="eastAsia" w:ascii="Times New Roman" w:hAnsi="Times New Roman" w:eastAsia="宋体" w:cs="Times New Roman"/>
                <w:color w:val="auto"/>
                <w:sz w:val="24"/>
                <w:highlight w:val="none"/>
                <w:lang w:val="en-US" w:eastAsia="zh-CN"/>
              </w:rPr>
            </w:pPr>
          </w:p>
          <w:p>
            <w:pPr>
              <w:pStyle w:val="19"/>
              <w:jc w:val="both"/>
              <w:outlineLvl w:val="0"/>
              <w:rPr>
                <w:rFonts w:ascii="黑体" w:hAnsi="黑体" w:eastAsia="黑体"/>
                <w:snapToGrid w:val="0"/>
                <w:color w:val="auto"/>
                <w:sz w:val="30"/>
                <w:szCs w:val="30"/>
                <w:vertAlign w:val="baseline"/>
              </w:rPr>
            </w:pPr>
            <w:r>
              <w:rPr>
                <w:rFonts w:hint="eastAsia" w:ascii="Times New Roman" w:hAnsi="Times New Roman" w:eastAsia="宋体" w:cs="Times New Roman"/>
                <w:color w:val="auto"/>
                <w:sz w:val="24"/>
                <w:highlight w:val="none"/>
                <w:lang w:val="en-US" w:eastAsia="zh-CN"/>
              </w:rPr>
              <w:t>项目租用标准厂房，进行设备安装后便可投入使用，</w:t>
            </w:r>
            <w:r>
              <w:rPr>
                <w:rFonts w:hint="eastAsia"/>
                <w:color w:val="auto"/>
                <w:sz w:val="24"/>
                <w:highlight w:val="none"/>
                <w:lang w:val="en-US" w:eastAsia="zh-CN"/>
              </w:rPr>
              <w:t>不考虑施工期环境影响。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保护</w:t>
            </w:r>
          </w:p>
          <w:p>
            <w:pPr>
              <w:pStyle w:val="19"/>
              <w:adjustRightInd w:val="0"/>
              <w:snapToGrid w:val="0"/>
              <w:spacing w:before="0" w:beforeAutospacing="0" w:after="0" w:afterAutospacing="0"/>
              <w:jc w:val="center"/>
              <w:rPr>
                <w:rFonts w:hint="eastAsia" w:cs="宋体"/>
                <w:color w:val="auto"/>
                <w:kern w:val="2"/>
                <w:szCs w:val="24"/>
                <w:highlight w:val="none"/>
              </w:rPr>
            </w:pPr>
            <w:r>
              <w:rPr>
                <w:rFonts w:hint="eastAsia" w:ascii="宋体" w:hAnsi="宋体" w:cs="宋体"/>
                <w:bCs/>
                <w:color w:val="auto"/>
                <w:sz w:val="24"/>
                <w:highlight w:val="none"/>
              </w:rPr>
              <w:t>措施</w:t>
            </w:r>
          </w:p>
        </w:tc>
        <w:tc>
          <w:tcPr>
            <w:tcW w:w="8314" w:type="dxa"/>
          </w:tcPr>
          <w:p>
            <w:pPr>
              <w:pStyle w:val="55"/>
              <w:rPr>
                <w:rFonts w:hint="eastAsia"/>
                <w:color w:val="auto"/>
                <w:highlight w:val="none"/>
              </w:rPr>
            </w:pPr>
            <w:r>
              <w:rPr>
                <w:rFonts w:hint="eastAsia"/>
                <w:color w:val="auto"/>
                <w:highlight w:val="none"/>
              </w:rPr>
              <w:t>1、废气环境影响和保护措施</w:t>
            </w:r>
          </w:p>
          <w:p>
            <w:pPr>
              <w:adjustRightInd w:val="0"/>
              <w:snapToGrid w:val="0"/>
              <w:spacing w:line="360" w:lineRule="auto"/>
              <w:ind w:firstLine="480" w:firstLineChars="200"/>
              <w:rPr>
                <w:rFonts w:hint="eastAsia"/>
                <w:color w:val="auto"/>
                <w:sz w:val="24"/>
                <w:highlight w:val="none"/>
                <w:lang w:eastAsia="zh-CN"/>
              </w:rPr>
            </w:pPr>
            <w:r>
              <w:rPr>
                <w:color w:val="auto"/>
                <w:sz w:val="24"/>
                <w:highlight w:val="none"/>
              </w:rPr>
              <w:t>本项目废气主要包括</w:t>
            </w:r>
            <w:r>
              <w:rPr>
                <w:rFonts w:hint="eastAsia"/>
                <w:color w:val="auto"/>
                <w:sz w:val="24"/>
                <w:highlight w:val="none"/>
                <w:lang w:eastAsia="zh-CN"/>
              </w:rPr>
              <w:t>剪板废气、焊接</w:t>
            </w:r>
            <w:r>
              <w:rPr>
                <w:color w:val="auto"/>
                <w:sz w:val="24"/>
                <w:highlight w:val="none"/>
              </w:rPr>
              <w:t>废气、</w:t>
            </w:r>
            <w:r>
              <w:rPr>
                <w:rFonts w:hint="eastAsia"/>
                <w:color w:val="auto"/>
                <w:sz w:val="24"/>
                <w:highlight w:val="none"/>
                <w:lang w:eastAsia="zh-CN"/>
              </w:rPr>
              <w:t>喷塑废气、固化废气、</w:t>
            </w:r>
            <w:r>
              <w:rPr>
                <w:rFonts w:hint="eastAsia"/>
                <w:color w:val="auto"/>
                <w:sz w:val="24"/>
                <w:highlight w:val="none"/>
              </w:rPr>
              <w:t>天然气</w:t>
            </w:r>
            <w:r>
              <w:rPr>
                <w:color w:val="auto"/>
                <w:sz w:val="24"/>
                <w:highlight w:val="none"/>
              </w:rPr>
              <w:t>燃烧废气</w:t>
            </w:r>
            <w:r>
              <w:rPr>
                <w:rFonts w:hint="eastAsia"/>
                <w:color w:val="auto"/>
                <w:sz w:val="24"/>
                <w:highlight w:val="none"/>
                <w:lang w:eastAsia="zh-CN"/>
              </w:rPr>
              <w:t>、</w:t>
            </w:r>
            <w:r>
              <w:rPr>
                <w:rFonts w:hint="eastAsia"/>
                <w:color w:val="auto"/>
                <w:sz w:val="24"/>
                <w:highlight w:val="none"/>
                <w:lang w:val="en-US" w:eastAsia="zh-CN"/>
              </w:rPr>
              <w:t>食堂油烟废气</w:t>
            </w:r>
            <w:r>
              <w:rPr>
                <w:rFonts w:hint="eastAsia"/>
                <w:color w:val="auto"/>
                <w:sz w:val="24"/>
                <w:highlight w:val="none"/>
                <w:lang w:eastAsia="zh-CN"/>
              </w:rPr>
              <w:t>。</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）剪板废气</w:t>
            </w:r>
          </w:p>
          <w:p>
            <w:pPr>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eastAsia="zh-CN"/>
              </w:rPr>
              <w:t>本项目路灯杆生产过程中剪板工序会产生剪板废气，其主要污染物为粉尘。根据《排放源统计调查产排污核算方法和系数手册》（生态环境部公告 2021年 第24号）“</w:t>
            </w:r>
            <w:r>
              <w:rPr>
                <w:rFonts w:hint="eastAsia"/>
                <w:color w:val="auto"/>
                <w:sz w:val="24"/>
                <w:highlight w:val="none"/>
                <w:lang w:val="en-US" w:eastAsia="zh-CN"/>
              </w:rPr>
              <w:t>33-37,431-434机械行业系数手册</w:t>
            </w:r>
            <w:r>
              <w:rPr>
                <w:rFonts w:hint="eastAsia"/>
                <w:color w:val="auto"/>
                <w:sz w:val="24"/>
                <w:highlight w:val="none"/>
                <w:lang w:eastAsia="zh-CN"/>
              </w:rPr>
              <w:t>”中“</w:t>
            </w:r>
            <w:r>
              <w:rPr>
                <w:rFonts w:hint="eastAsia"/>
                <w:color w:val="auto"/>
                <w:sz w:val="24"/>
                <w:highlight w:val="none"/>
                <w:lang w:val="en-US" w:eastAsia="zh-CN"/>
              </w:rPr>
              <w:t>04下料</w:t>
            </w:r>
            <w:r>
              <w:rPr>
                <w:rFonts w:hint="eastAsia"/>
                <w:color w:val="auto"/>
                <w:sz w:val="24"/>
                <w:highlight w:val="none"/>
                <w:lang w:eastAsia="zh-CN"/>
              </w:rPr>
              <w:t>”，剪板工序工业粉尘产污系数为</w:t>
            </w:r>
            <w:r>
              <w:rPr>
                <w:rFonts w:hint="eastAsia"/>
                <w:color w:val="auto"/>
                <w:sz w:val="24"/>
                <w:highlight w:val="none"/>
                <w:lang w:val="en-US" w:eastAsia="zh-CN"/>
              </w:rPr>
              <w:t>5.30kg/t-原料，本项目热轧钢板合计为860t/a，则本项目剪板工序产生粉尘量为4.558t/a，2.11kg/h。项目拟采用集气罩收集后通过布袋除尘器处理切割粉尘，处理后通过 15m 高排气筒DA001排放，该处理设施的收集效率 90%，处理效率 98%，风量为5000m</w:t>
            </w:r>
            <w:r>
              <w:rPr>
                <w:rFonts w:hint="eastAsia"/>
                <w:color w:val="auto"/>
                <w:sz w:val="24"/>
                <w:highlight w:val="none"/>
                <w:vertAlign w:val="superscript"/>
                <w:lang w:val="en-US" w:eastAsia="zh-CN"/>
              </w:rPr>
              <w:t>3</w:t>
            </w:r>
            <w:r>
              <w:rPr>
                <w:rFonts w:hint="eastAsia"/>
                <w:color w:val="auto"/>
                <w:sz w:val="24"/>
                <w:highlight w:val="none"/>
                <w:lang w:val="en-US" w:eastAsia="zh-CN"/>
              </w:rPr>
              <w:t>/h。则切割粉尘收集量为 4.102t/a（1.9kg/h），</w:t>
            </w:r>
            <w:r>
              <w:rPr>
                <w:rFonts w:hint="eastAsia"/>
                <w:color w:val="000000" w:themeColor="text1"/>
                <w:sz w:val="24"/>
                <w:highlight w:val="none"/>
                <w:lang w:val="en-US" w:eastAsia="zh-CN"/>
                <w14:textFill>
                  <w14:solidFill>
                    <w14:schemeClr w14:val="tx1"/>
                  </w14:solidFill>
                </w14:textFill>
              </w:rPr>
              <w:t>无组织排放量为0.4558t/a。</w:t>
            </w:r>
          </w:p>
          <w:p>
            <w:pPr>
              <w:adjustRightInd w:val="0"/>
              <w:snapToGrid w:val="0"/>
              <w:spacing w:line="360" w:lineRule="auto"/>
              <w:ind w:firstLine="480" w:firstLineChars="200"/>
              <w:rPr>
                <w:rFonts w:hint="eastAsia"/>
                <w:color w:val="auto"/>
                <w:sz w:val="24"/>
                <w:highlight w:val="none"/>
                <w:lang w:eastAsia="zh-CN"/>
              </w:rPr>
            </w:pPr>
            <w:r>
              <w:rPr>
                <w:color w:val="auto"/>
                <w:sz w:val="24"/>
                <w:highlight w:val="none"/>
              </w:rPr>
              <w:t>（</w:t>
            </w:r>
            <w:r>
              <w:rPr>
                <w:rFonts w:hint="eastAsia"/>
                <w:color w:val="auto"/>
                <w:sz w:val="24"/>
                <w:highlight w:val="none"/>
                <w:lang w:val="en-US" w:eastAsia="zh-CN"/>
              </w:rPr>
              <w:t>2）</w:t>
            </w:r>
            <w:r>
              <w:rPr>
                <w:rFonts w:hint="eastAsia"/>
                <w:color w:val="auto"/>
                <w:sz w:val="24"/>
                <w:highlight w:val="none"/>
                <w:lang w:eastAsia="zh-CN"/>
              </w:rPr>
              <w:t>喷塑废气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highlight w:val="none"/>
                <w:lang w:eastAsia="zh-CN"/>
              </w:rPr>
              <w:t>本项目路灯杆生产线喷塑工序会产生喷塑废气，其主要污染物为粉尘。根据《排放源统计调查产排污核算方法和系数手册》（生态环境部公告 2021年 第24号）“33-37,431-434机械行业系数手册”中“</w:t>
            </w:r>
            <w:r>
              <w:rPr>
                <w:rFonts w:hint="eastAsia"/>
                <w:color w:val="auto"/>
                <w:sz w:val="24"/>
                <w:highlight w:val="none"/>
                <w:lang w:val="en-US" w:eastAsia="zh-CN"/>
              </w:rPr>
              <w:t>14</w:t>
            </w:r>
            <w:r>
              <w:rPr>
                <w:rFonts w:hint="eastAsia"/>
                <w:color w:val="auto"/>
                <w:sz w:val="24"/>
                <w:highlight w:val="none"/>
                <w:lang w:eastAsia="zh-CN"/>
              </w:rPr>
              <w:t>涂装”，喷塑时工业粉尘产污系数为</w:t>
            </w:r>
            <w:r>
              <w:rPr>
                <w:rFonts w:hint="eastAsia"/>
                <w:color w:val="auto"/>
                <w:sz w:val="24"/>
                <w:highlight w:val="none"/>
                <w:lang w:val="en-US" w:eastAsia="zh-CN"/>
              </w:rPr>
              <w:t>300kg/t-原料，项目年用塑粉粉末涂料原料为30t，则本项目路灯杆生产线喷塑工序粉尘产生量为9t/a。由于装置在密闭状态下进行，仅在送件和取件时会有无组织的粉尘逸散出，约2%。其余粉尘通过设备配套的脉冲反吹滤芯过滤移动回收装置回收再用，捕捉效率达98%以上，处理效率95%，未捕捉到的粉尘由风量为5000m</w:t>
            </w:r>
            <w:r>
              <w:rPr>
                <w:rFonts w:hint="eastAsia"/>
                <w:color w:val="auto"/>
                <w:sz w:val="24"/>
                <w:highlight w:val="none"/>
                <w:vertAlign w:val="superscript"/>
                <w:lang w:val="en-US" w:eastAsia="zh-CN"/>
              </w:rPr>
              <w:t>3</w:t>
            </w:r>
            <w:r>
              <w:rPr>
                <w:rFonts w:hint="eastAsia"/>
                <w:color w:val="auto"/>
                <w:sz w:val="24"/>
                <w:highlight w:val="none"/>
                <w:lang w:val="en-US" w:eastAsia="zh-CN"/>
              </w:rPr>
              <w:t>/h的风机引至15m 高排气筒DA001排放，本项目喷粉工序时间为1080h。则喷粉粉尘无组织排放量为0.9t/a；收集量为8.1t/a（7.6kg/h）。</w:t>
            </w:r>
          </w:p>
          <w:p>
            <w:pPr>
              <w:spacing w:line="360" w:lineRule="auto"/>
              <w:ind w:firstLine="480" w:firstLineChars="200"/>
              <w:rPr>
                <w:rFonts w:hint="default"/>
                <w:sz w:val="24"/>
                <w:szCs w:val="24"/>
                <w:vertAlign w:val="baseline"/>
                <w:lang w:val="en-US" w:eastAsia="zh-CN"/>
              </w:rPr>
            </w:pPr>
            <w:r>
              <w:rPr>
                <w:rFonts w:hint="eastAsia"/>
                <w:color w:val="auto"/>
                <w:sz w:val="24"/>
                <w:szCs w:val="24"/>
                <w:highlight w:val="none"/>
                <w:lang w:val="en-US" w:eastAsia="zh-CN"/>
              </w:rPr>
              <w:t>本项目剪切、</w:t>
            </w:r>
            <w:r>
              <w:rPr>
                <w:rFonts w:hint="eastAsia"/>
                <w:color w:val="auto"/>
                <w:sz w:val="24"/>
                <w:szCs w:val="24"/>
                <w:highlight w:val="none"/>
                <w:lang w:eastAsia="zh-CN"/>
              </w:rPr>
              <w:t>喷塑</w:t>
            </w:r>
            <w:r>
              <w:rPr>
                <w:rFonts w:hint="eastAsia"/>
                <w:color w:val="auto"/>
                <w:sz w:val="24"/>
                <w:szCs w:val="24"/>
                <w:highlight w:val="none"/>
                <w:lang w:val="en-US" w:eastAsia="zh-CN"/>
              </w:rPr>
              <w:t>产生的粉尘收集后，经同一套袋式除尘器处理引至15m排气筒DA001排放，</w:t>
            </w:r>
            <w:r>
              <w:rPr>
                <w:rFonts w:hint="eastAsia"/>
                <w:sz w:val="24"/>
                <w:szCs w:val="24"/>
                <w:lang w:val="en-US" w:eastAsia="zh-CN"/>
              </w:rPr>
              <w:t>未捕集的颗粒物无组织总排放量为1.3558t/a，颗粒物总收集量为12.202t/a（11.298kg/h），袋式除尘器对颗粒物的去除效率为98%，则颗粒物排放量为0.61t/a（0.565kg/h），排放浓度为112.9mg/m</w:t>
            </w:r>
            <w:r>
              <w:rPr>
                <w:rFonts w:hint="eastAsia"/>
                <w:sz w:val="24"/>
                <w:szCs w:val="24"/>
                <w:vertAlign w:val="superscript"/>
                <w:lang w:val="en-US" w:eastAsia="zh-CN"/>
              </w:rPr>
              <w:t>3</w:t>
            </w:r>
            <w:r>
              <w:rPr>
                <w:rFonts w:hint="eastAsia"/>
                <w:sz w:val="24"/>
                <w:szCs w:val="24"/>
                <w:vertAlign w:val="baseline"/>
                <w:lang w:val="en-US" w:eastAsia="zh-CN"/>
              </w:rPr>
              <w:t>&lt;120mg/m</w:t>
            </w:r>
            <w:r>
              <w:rPr>
                <w:rFonts w:hint="eastAsia"/>
                <w:sz w:val="24"/>
                <w:szCs w:val="24"/>
                <w:vertAlign w:val="superscript"/>
                <w:lang w:val="en-US" w:eastAsia="zh-CN"/>
              </w:rPr>
              <w:t>3</w:t>
            </w:r>
            <w:r>
              <w:rPr>
                <w:rFonts w:hint="eastAsia"/>
                <w:sz w:val="24"/>
                <w:szCs w:val="24"/>
                <w:vertAlign w:val="baseline"/>
                <w:lang w:val="en-US" w:eastAsia="zh-CN"/>
              </w:rPr>
              <w:t>，可以达到《大气污染物综合排放标准》（GB16297-1996）表2中的二级标准。</w:t>
            </w:r>
          </w:p>
          <w:p>
            <w:pPr>
              <w:adjustRightInd w:val="0"/>
              <w:snapToGrid w:val="0"/>
              <w:spacing w:line="360" w:lineRule="auto"/>
              <w:ind w:firstLine="480" w:firstLineChars="200"/>
              <w:rPr>
                <w:rFonts w:hint="eastAsia"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）焊接废气</w:t>
            </w:r>
          </w:p>
          <w:p>
            <w:pPr>
              <w:adjustRightInd w:val="0"/>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lang w:eastAsia="zh-CN"/>
              </w:rPr>
              <w:t>本项目路灯杆生产线自动焊接、法兰焊接工序会产生焊接废气，其主要污染物为</w:t>
            </w:r>
            <w:r>
              <w:rPr>
                <w:rFonts w:hint="eastAsia"/>
                <w:color w:val="auto"/>
                <w:sz w:val="24"/>
                <w:highlight w:val="none"/>
                <w:lang w:val="en-US" w:eastAsia="zh-CN"/>
              </w:rPr>
              <w:t>颗粒物（指焊接烟尘）</w:t>
            </w:r>
            <w:r>
              <w:rPr>
                <w:rFonts w:hint="eastAsia"/>
                <w:color w:val="auto"/>
                <w:sz w:val="24"/>
                <w:highlight w:val="none"/>
                <w:lang w:eastAsia="zh-CN"/>
              </w:rPr>
              <w:t>。焊接烟尘是由金属和非金属物质在过热条件下产生的蒸汽经氧化和冷凝后而形成的。根据《排放源统计调查产排污核算方法和系数手册》（生态环境部公告 2021年 第24号）“33-37,431-434机械行业系数手册”中“0</w:t>
            </w:r>
            <w:r>
              <w:rPr>
                <w:rFonts w:hint="eastAsia"/>
                <w:color w:val="auto"/>
                <w:sz w:val="24"/>
                <w:highlight w:val="none"/>
                <w:lang w:val="en-US" w:eastAsia="zh-CN"/>
              </w:rPr>
              <w:t>9</w:t>
            </w:r>
            <w:r>
              <w:rPr>
                <w:rFonts w:hint="eastAsia"/>
                <w:color w:val="auto"/>
                <w:sz w:val="24"/>
                <w:highlight w:val="none"/>
                <w:lang w:eastAsia="zh-CN"/>
              </w:rPr>
              <w:t>焊接”，焊接时焊接烟尘产污系数为</w:t>
            </w:r>
            <w:r>
              <w:rPr>
                <w:rFonts w:hint="eastAsia"/>
                <w:color w:val="auto"/>
                <w:sz w:val="24"/>
                <w:highlight w:val="none"/>
                <w:lang w:val="en-US" w:eastAsia="zh-CN"/>
              </w:rPr>
              <w:t>9.19kg/t-原料，项目年用焊丝原料为4t，则本项目路灯杆生产线自动焊接、法兰焊接工序焊接烟尘产生量为0.037t/a，排放速率为0.017kg/h。建设单位拟在焊接工位采用移动式烟尘净化器对焊接烟尘进行处理，处理效率以90%计，排放量为3.7kg/a，排放速率为0.0017kg/h，处理后的烟尘以无组织的方式进行逸散，厂界周边颗粒物浓度能够满足《大气污染物综合排放标准》（GB16297-1996）表2中颗粒物无组织排放要求，对周围空气环境影响不大。</w:t>
            </w:r>
          </w:p>
          <w:p>
            <w:pPr>
              <w:adjustRightInd w:val="0"/>
              <w:snapToGrid w:val="0"/>
              <w:spacing w:line="360" w:lineRule="auto"/>
              <w:ind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）固化废气</w:t>
            </w:r>
          </w:p>
          <w:p>
            <w:pPr>
              <w:adjustRightInd w:val="0"/>
              <w:snapToGrid w:val="0"/>
              <w:spacing w:line="360" w:lineRule="auto"/>
              <w:ind w:firstLine="480" w:firstLineChars="200"/>
              <w:rPr>
                <w:rFonts w:hint="default"/>
                <w:color w:val="FF0000"/>
                <w:sz w:val="24"/>
                <w:highlight w:val="none"/>
                <w:vertAlign w:val="baseline"/>
                <w:lang w:val="en-US" w:eastAsia="zh-CN"/>
              </w:rPr>
            </w:pPr>
            <w:r>
              <w:rPr>
                <w:rFonts w:hint="eastAsia"/>
                <w:color w:val="auto"/>
                <w:sz w:val="24"/>
                <w:highlight w:val="none"/>
                <w:lang w:eastAsia="zh-CN"/>
              </w:rPr>
              <w:t>本项目路灯杆生产线固化工序会产生固化废气，其主要污染物为挥发性有机物（以非甲烷总烃计）。根据《排放源统计调查产排污核算方法和系数手册》（生态环境部公告 2021年 第24号）“33-37,431-434机械行业系数手册”中“</w:t>
            </w:r>
            <w:r>
              <w:rPr>
                <w:rFonts w:hint="eastAsia"/>
                <w:color w:val="auto"/>
                <w:sz w:val="24"/>
                <w:highlight w:val="none"/>
                <w:lang w:val="en-US" w:eastAsia="zh-CN"/>
              </w:rPr>
              <w:t>14</w:t>
            </w:r>
            <w:r>
              <w:rPr>
                <w:rFonts w:hint="eastAsia"/>
                <w:color w:val="auto"/>
                <w:sz w:val="24"/>
                <w:highlight w:val="none"/>
                <w:lang w:eastAsia="zh-CN"/>
              </w:rPr>
              <w:t>涂装”，喷塑后烘干时挥发性有机物产污系数为</w:t>
            </w:r>
            <w:r>
              <w:rPr>
                <w:rFonts w:hint="eastAsia"/>
                <w:color w:val="auto"/>
                <w:sz w:val="24"/>
                <w:highlight w:val="none"/>
                <w:lang w:val="en-US" w:eastAsia="zh-CN"/>
              </w:rPr>
              <w:t>1.2kg/t-原料，项目年用塑粉粉末涂料原料为30t，年固化时间为1080h，则本项目路灯杆生产线固化工序非甲烷总烃产生量为0.036t/a，产为生速率为0.03kg/h，该工序产生的废气通过引风机引至15m高排气筒DA002外排；设置的风机风量为1000m</w:t>
            </w:r>
            <w:r>
              <w:rPr>
                <w:rFonts w:hint="eastAsia"/>
                <w:color w:val="auto"/>
                <w:sz w:val="24"/>
                <w:highlight w:val="none"/>
                <w:vertAlign w:val="superscript"/>
                <w:lang w:val="en-US" w:eastAsia="zh-CN"/>
              </w:rPr>
              <w:t>3</w:t>
            </w:r>
            <w:r>
              <w:rPr>
                <w:rFonts w:hint="eastAsia"/>
                <w:color w:val="auto"/>
                <w:sz w:val="24"/>
                <w:highlight w:val="none"/>
                <w:lang w:val="en-US" w:eastAsia="zh-CN"/>
              </w:rPr>
              <w:t>/h，废气捕集效率按 90%计，则该工序无组织排放量为0.0036t/a，有组织排放量为0.00324t/a（0.03kg/h），排放浓度为30mg/m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&lt;120mg/m</w:t>
            </w:r>
            <w:r>
              <w:rPr>
                <w:rFonts w:hint="eastAsia"/>
                <w:color w:val="auto"/>
                <w:sz w:val="24"/>
                <w:highlight w:val="none"/>
                <w:vertAlign w:val="superscript"/>
                <w:lang w:val="en-US" w:eastAsia="zh-CN"/>
              </w:rPr>
              <w:t>3</w:t>
            </w:r>
            <w:r>
              <w:rPr>
                <w:rFonts w:hint="eastAsia"/>
                <w:color w:val="auto"/>
                <w:sz w:val="24"/>
                <w:highlight w:val="none"/>
                <w:vertAlign w:val="baseline"/>
                <w:lang w:val="en-US" w:eastAsia="zh-CN"/>
              </w:rPr>
              <w:t>。非甲烷总烃</w:t>
            </w:r>
            <w:r>
              <w:rPr>
                <w:rFonts w:hint="eastAsia"/>
                <w:color w:val="auto"/>
                <w:sz w:val="24"/>
                <w:highlight w:val="none"/>
                <w:lang w:val="en-US" w:eastAsia="zh-CN"/>
              </w:rPr>
              <w:t>排放达到《大气污染物综合排放标准》（GB16297-1996）表2中非甲烷总烃二级排放标准要求。</w:t>
            </w:r>
          </w:p>
          <w:p>
            <w:pPr>
              <w:adjustRightInd w:val="0"/>
              <w:snapToGrid w:val="0"/>
              <w:spacing w:line="360" w:lineRule="auto"/>
              <w:ind w:firstLine="480" w:firstLineChars="200"/>
              <w:rPr>
                <w:rFonts w:hint="default" w:ascii="Times New Roman" w:hAnsi="Times New Roman" w:cs="Times New Roman"/>
                <w:b w:val="0"/>
                <w:bCs w:val="0"/>
                <w:color w:val="auto"/>
                <w:sz w:val="24"/>
                <w:highlight w:val="none"/>
              </w:rPr>
            </w:pPr>
            <w:bookmarkStart w:id="7" w:name="_Hlk97063581"/>
            <w:r>
              <w:rPr>
                <w:rFonts w:hint="eastAsia" w:ascii="Times New Roman" w:hAnsi="Times New Roman" w:cs="Times New Roman"/>
                <w:b w:val="0"/>
                <w:bCs w:val="0"/>
                <w:color w:val="auto"/>
                <w:sz w:val="24"/>
                <w:highlight w:val="none"/>
                <w:lang w:eastAsia="zh-CN"/>
              </w:rPr>
              <w:t>（</w:t>
            </w:r>
            <w:r>
              <w:rPr>
                <w:rFonts w:hint="eastAsia" w:cs="Times New Roman"/>
                <w:b w:val="0"/>
                <w:bCs w:val="0"/>
                <w:color w:val="auto"/>
                <w:sz w:val="24"/>
                <w:highlight w:val="none"/>
                <w:lang w:val="en-US" w:eastAsia="zh-CN"/>
              </w:rPr>
              <w:t>5</w:t>
            </w:r>
            <w:r>
              <w:rPr>
                <w:rFonts w:hint="eastAsia"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rPr>
              <w:t>天然气</w:t>
            </w:r>
            <w:r>
              <w:rPr>
                <w:rFonts w:hint="default" w:ascii="Times New Roman" w:hAnsi="Times New Roman" w:cs="Times New Roman"/>
                <w:b w:val="0"/>
                <w:bCs w:val="0"/>
                <w:color w:val="auto"/>
                <w:sz w:val="24"/>
                <w:highlight w:val="none"/>
                <w:lang w:eastAsia="zh-CN"/>
              </w:rPr>
              <w:t>燃烧机燃烧</w:t>
            </w:r>
            <w:r>
              <w:rPr>
                <w:rFonts w:hint="default" w:ascii="Times New Roman" w:hAnsi="Times New Roman" w:cs="Times New Roman"/>
                <w:b w:val="0"/>
                <w:bCs w:val="0"/>
                <w:color w:val="auto"/>
                <w:sz w:val="24"/>
                <w:highlight w:val="none"/>
              </w:rPr>
              <w:t>废气</w:t>
            </w:r>
            <w:bookmarkEnd w:id="7"/>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本项目</w:t>
            </w:r>
            <w:r>
              <w:rPr>
                <w:rFonts w:hint="eastAsia"/>
                <w:color w:val="auto"/>
                <w:sz w:val="24"/>
                <w:highlight w:val="none"/>
              </w:rPr>
              <w:t>根据《排放源统计调查产排污核算方法和系数手册》（生态环境部公告 2021年 第24号）“33-37,431-434机械行业系数手册”中“</w:t>
            </w:r>
            <w:r>
              <w:rPr>
                <w:rFonts w:hint="eastAsia"/>
                <w:color w:val="auto"/>
                <w:sz w:val="24"/>
                <w:highlight w:val="none"/>
                <w:lang w:val="en-US" w:eastAsia="zh-CN"/>
              </w:rPr>
              <w:t>14</w:t>
            </w:r>
            <w:r>
              <w:rPr>
                <w:rFonts w:hint="eastAsia"/>
                <w:color w:val="auto"/>
                <w:sz w:val="24"/>
                <w:highlight w:val="none"/>
                <w:lang w:eastAsia="zh-CN"/>
              </w:rPr>
              <w:t>涂装</w:t>
            </w:r>
            <w:r>
              <w:rPr>
                <w:rFonts w:hint="eastAsia"/>
                <w:color w:val="auto"/>
                <w:sz w:val="24"/>
                <w:highlight w:val="none"/>
              </w:rPr>
              <w:t>”</w:t>
            </w:r>
            <w:r>
              <w:rPr>
                <w:rFonts w:hint="eastAsia"/>
                <w:color w:val="auto"/>
                <w:sz w:val="24"/>
                <w:highlight w:val="none"/>
                <w:lang w:eastAsia="zh-CN"/>
              </w:rPr>
              <w:t>中天然气工业炉窑</w:t>
            </w:r>
            <w:r>
              <w:rPr>
                <w:rFonts w:hint="eastAsia"/>
                <w:color w:val="auto"/>
                <w:sz w:val="24"/>
                <w:highlight w:val="none"/>
              </w:rPr>
              <w:t>，</w:t>
            </w:r>
            <w:r>
              <w:rPr>
                <w:rFonts w:hint="eastAsia"/>
                <w:color w:val="auto"/>
                <w:sz w:val="24"/>
                <w:highlight w:val="none"/>
                <w:lang w:eastAsia="zh-CN"/>
              </w:rPr>
              <w:t>来</w:t>
            </w:r>
            <w:r>
              <w:rPr>
                <w:rFonts w:hint="eastAsia"/>
                <w:color w:val="auto"/>
                <w:sz w:val="24"/>
                <w:highlight w:val="none"/>
              </w:rPr>
              <w:t>确定烟气产生量、氮氧化物及二氧化硫产污系数，具体产污系数见下表</w:t>
            </w:r>
            <w:r>
              <w:rPr>
                <w:rFonts w:hint="eastAsia"/>
                <w:color w:val="auto"/>
                <w:sz w:val="24"/>
                <w:highlight w:val="none"/>
                <w:lang w:eastAsia="zh-CN"/>
              </w:rPr>
              <w:t>。</w:t>
            </w:r>
          </w:p>
          <w:p>
            <w:pPr>
              <w:pStyle w:val="66"/>
              <w:bidi w:val="0"/>
              <w:rPr>
                <w:rFonts w:hint="eastAsia"/>
                <w:color w:val="auto"/>
                <w:highlight w:val="none"/>
              </w:rPr>
            </w:pPr>
            <w:r>
              <w:rPr>
                <w:rFonts w:hint="eastAsia"/>
                <w:color w:val="auto"/>
                <w:highlight w:val="none"/>
              </w:rPr>
              <w:t>热力生产和供应行业产污系数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280"/>
              <w:gridCol w:w="1280"/>
              <w:gridCol w:w="1280"/>
              <w:gridCol w:w="128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名称</w:t>
                  </w: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原料名称</w:t>
                  </w: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规模等级</w:t>
                  </w: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污染物指标</w:t>
                  </w:r>
                </w:p>
              </w:tc>
              <w:tc>
                <w:tcPr>
                  <w:tcW w:w="2174"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单位</w:t>
                  </w:r>
                </w:p>
              </w:tc>
              <w:tc>
                <w:tcPr>
                  <w:tcW w:w="2174"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Merge w:val="restart"/>
                  <w:tcBorders>
                    <w:tl2br w:val="nil"/>
                    <w:tr2bl w:val="nil"/>
                  </w:tcBorders>
                  <w:noWrap w:val="0"/>
                  <w:vAlign w:val="center"/>
                </w:tcPr>
                <w:p>
                  <w:pPr>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eastAsia="zh-CN"/>
                    </w:rPr>
                    <w:t>热力</w:t>
                  </w:r>
                  <w:r>
                    <w:rPr>
                      <w:rFonts w:hint="eastAsia"/>
                      <w:color w:val="auto"/>
                      <w:sz w:val="21"/>
                      <w:szCs w:val="21"/>
                      <w:highlight w:val="none"/>
                      <w:vertAlign w:val="baseline"/>
                      <w:lang w:val="en-US" w:eastAsia="zh-CN"/>
                    </w:rPr>
                    <w:t>/热水/其他</w:t>
                  </w:r>
                </w:p>
              </w:tc>
              <w:tc>
                <w:tcPr>
                  <w:tcW w:w="2172" w:type="dxa"/>
                  <w:vMerge w:val="restart"/>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天然气</w:t>
                  </w:r>
                </w:p>
              </w:tc>
              <w:tc>
                <w:tcPr>
                  <w:tcW w:w="2172" w:type="dxa"/>
                  <w:vMerge w:val="restart"/>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所有规模</w:t>
                  </w: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工业废气量</w:t>
                  </w:r>
                </w:p>
              </w:tc>
              <w:tc>
                <w:tcPr>
                  <w:tcW w:w="2174" w:type="dxa"/>
                  <w:tcBorders>
                    <w:tl2br w:val="nil"/>
                    <w:tr2bl w:val="nil"/>
                  </w:tcBorders>
                  <w:noWrap w:val="0"/>
                  <w:vAlign w:val="center"/>
                </w:tcPr>
                <w:p>
                  <w:pPr>
                    <w:jc w:val="center"/>
                    <w:rPr>
                      <w:rFonts w:hint="eastAsia"/>
                      <w:color w:val="auto"/>
                      <w:sz w:val="21"/>
                      <w:szCs w:val="21"/>
                      <w:highlight w:val="none"/>
                      <w:vertAlign w:val="baseline"/>
                    </w:rPr>
                  </w:pPr>
                  <w:r>
                    <w:rPr>
                      <w:rFonts w:hint="eastAsia"/>
                      <w:color w:val="auto"/>
                      <w:sz w:val="21"/>
                      <w:szCs w:val="21"/>
                      <w:highlight w:val="none"/>
                      <w:vertAlign w:val="baseline"/>
                    </w:rPr>
                    <w:t>立方米/立方米-原料</w:t>
                  </w:r>
                </w:p>
              </w:tc>
              <w:tc>
                <w:tcPr>
                  <w:tcW w:w="2174" w:type="dxa"/>
                  <w:tcBorders>
                    <w:tl2br w:val="nil"/>
                    <w:tr2bl w:val="nil"/>
                  </w:tcBorders>
                  <w:noWrap w:val="0"/>
                  <w:vAlign w:val="center"/>
                </w:tcPr>
                <w:p>
                  <w:pPr>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二氧化硫</w:t>
                  </w:r>
                </w:p>
              </w:tc>
              <w:tc>
                <w:tcPr>
                  <w:tcW w:w="2174" w:type="dxa"/>
                  <w:tcBorders>
                    <w:tl2br w:val="nil"/>
                    <w:tr2bl w:val="nil"/>
                  </w:tcBorders>
                  <w:noWrap w:val="0"/>
                  <w:vAlign w:val="center"/>
                </w:tcPr>
                <w:p>
                  <w:pPr>
                    <w:jc w:val="center"/>
                    <w:rPr>
                      <w:rFonts w:hint="eastAsia"/>
                      <w:color w:val="auto"/>
                      <w:sz w:val="21"/>
                      <w:szCs w:val="21"/>
                      <w:highlight w:val="none"/>
                      <w:vertAlign w:val="baseline"/>
                    </w:rPr>
                  </w:pPr>
                  <w:r>
                    <w:rPr>
                      <w:rFonts w:hint="eastAsia"/>
                      <w:color w:val="auto"/>
                      <w:sz w:val="21"/>
                      <w:szCs w:val="21"/>
                      <w:highlight w:val="none"/>
                      <w:vertAlign w:val="baseline"/>
                    </w:rPr>
                    <w:t>千克/立方米-原料</w:t>
                  </w:r>
                </w:p>
              </w:tc>
              <w:tc>
                <w:tcPr>
                  <w:tcW w:w="2174" w:type="dxa"/>
                  <w:tcBorders>
                    <w:tl2br w:val="nil"/>
                    <w:tr2bl w:val="nil"/>
                  </w:tcBorders>
                  <w:noWrap w:val="0"/>
                  <w:vAlign w:val="center"/>
                </w:tcPr>
                <w:p>
                  <w:pPr>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tcBorders>
                    <w:tl2br w:val="nil"/>
                    <w:tr2bl w:val="nil"/>
                  </w:tcBorders>
                  <w:noWrap w:val="0"/>
                  <w:vAlign w:val="center"/>
                </w:tcPr>
                <w:p>
                  <w:pPr>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氮氧化物</w:t>
                  </w:r>
                </w:p>
              </w:tc>
              <w:tc>
                <w:tcPr>
                  <w:tcW w:w="2174" w:type="dxa"/>
                  <w:tcBorders>
                    <w:tl2br w:val="nil"/>
                    <w:tr2bl w:val="nil"/>
                  </w:tcBorders>
                  <w:noWrap w:val="0"/>
                  <w:vAlign w:val="center"/>
                </w:tcPr>
                <w:p>
                  <w:pPr>
                    <w:jc w:val="center"/>
                    <w:rPr>
                      <w:rFonts w:hint="eastAsia"/>
                      <w:color w:val="auto"/>
                      <w:sz w:val="21"/>
                      <w:szCs w:val="21"/>
                      <w:highlight w:val="none"/>
                      <w:vertAlign w:val="baseline"/>
                    </w:rPr>
                  </w:pPr>
                  <w:r>
                    <w:rPr>
                      <w:rFonts w:hint="eastAsia"/>
                      <w:color w:val="auto"/>
                      <w:sz w:val="21"/>
                      <w:szCs w:val="21"/>
                      <w:highlight w:val="none"/>
                      <w:vertAlign w:val="baseline"/>
                    </w:rPr>
                    <w:t>千克/立方米-原料</w:t>
                  </w:r>
                </w:p>
              </w:tc>
              <w:tc>
                <w:tcPr>
                  <w:tcW w:w="2174" w:type="dxa"/>
                  <w:tcBorders>
                    <w:tl2br w:val="nil"/>
                    <w:tr2bl w:val="nil"/>
                  </w:tcBorders>
                  <w:noWrap w:val="0"/>
                  <w:vAlign w:val="center"/>
                </w:tcPr>
                <w:p>
                  <w:pPr>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0.00187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vMerge w:val="continue"/>
                  <w:tcBorders>
                    <w:tl2br w:val="nil"/>
                    <w:tr2bl w:val="nil"/>
                  </w:tcBorders>
                  <w:noWrap w:val="0"/>
                  <w:vAlign w:val="center"/>
                </w:tcPr>
                <w:p>
                  <w:pPr>
                    <w:jc w:val="center"/>
                    <w:rPr>
                      <w:rFonts w:hint="eastAsia"/>
                      <w:color w:val="auto"/>
                      <w:sz w:val="21"/>
                      <w:szCs w:val="21"/>
                      <w:highlight w:val="none"/>
                      <w:vertAlign w:val="baseline"/>
                    </w:rPr>
                  </w:pPr>
                </w:p>
              </w:tc>
              <w:tc>
                <w:tcPr>
                  <w:tcW w:w="2172" w:type="dxa"/>
                  <w:tcBorders>
                    <w:tl2br w:val="nil"/>
                    <w:tr2bl w:val="nil"/>
                  </w:tcBorders>
                  <w:noWrap w:val="0"/>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颗粒物</w:t>
                  </w:r>
                </w:p>
              </w:tc>
              <w:tc>
                <w:tcPr>
                  <w:tcW w:w="2174" w:type="dxa"/>
                  <w:tcBorders>
                    <w:tl2br w:val="nil"/>
                    <w:tr2bl w:val="nil"/>
                  </w:tcBorders>
                  <w:noWrap w:val="0"/>
                  <w:vAlign w:val="center"/>
                </w:tcPr>
                <w:p>
                  <w:pPr>
                    <w:jc w:val="center"/>
                    <w:rPr>
                      <w:rFonts w:hint="eastAsia"/>
                      <w:color w:val="auto"/>
                      <w:sz w:val="21"/>
                      <w:szCs w:val="21"/>
                      <w:highlight w:val="none"/>
                      <w:vertAlign w:val="baseline"/>
                    </w:rPr>
                  </w:pPr>
                  <w:r>
                    <w:rPr>
                      <w:rFonts w:hint="eastAsia"/>
                      <w:color w:val="auto"/>
                      <w:sz w:val="21"/>
                      <w:szCs w:val="21"/>
                      <w:highlight w:val="none"/>
                      <w:vertAlign w:val="baseline"/>
                    </w:rPr>
                    <w:t>千克/立方米-原料</w:t>
                  </w:r>
                </w:p>
              </w:tc>
              <w:tc>
                <w:tcPr>
                  <w:tcW w:w="2174" w:type="dxa"/>
                  <w:tcBorders>
                    <w:tl2br w:val="nil"/>
                    <w:tr2bl w:val="nil"/>
                  </w:tcBorders>
                  <w:noWrap w:val="0"/>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0.000284</w:t>
                  </w:r>
                </w:p>
              </w:tc>
            </w:tr>
          </w:tbl>
          <w:p>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color w:val="auto"/>
                <w:sz w:val="24"/>
                <w:highlight w:val="none"/>
              </w:rPr>
              <w:t>注：产排污</w:t>
            </w:r>
            <w:r>
              <w:rPr>
                <w:rFonts w:hint="eastAsia"/>
                <w:color w:val="auto"/>
                <w:sz w:val="24"/>
                <w:highlight w:val="none"/>
                <w:lang w:eastAsia="zh-CN"/>
              </w:rPr>
              <w:t>系</w:t>
            </w:r>
            <w:r>
              <w:rPr>
                <w:rFonts w:hint="eastAsia"/>
                <w:color w:val="auto"/>
                <w:sz w:val="24"/>
                <w:highlight w:val="none"/>
              </w:rPr>
              <w:t>数表中二氧化硫的产排污系数是以含硫量（S）的形式表示的，其中含硫量（S）是指燃气硫份含量，单位为</w:t>
            </w:r>
            <w:r>
              <w:rPr>
                <w:rFonts w:hint="default" w:ascii="Times New Roman" w:hAnsi="Times New Roman" w:cs="Times New Roman"/>
                <w:color w:val="auto"/>
                <w:sz w:val="24"/>
                <w:szCs w:val="24"/>
                <w:highlight w:val="none"/>
              </w:rPr>
              <w:t>毫克/立方米。根据《天然气》（GB17820-2018）表1天然气质量要求，项目含硫量</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S）</w:t>
            </w:r>
            <w:r>
              <w:rPr>
                <w:rFonts w:hint="default" w:ascii="Times New Roman" w:hAnsi="Times New Roman" w:cs="Times New Roman"/>
                <w:color w:val="auto"/>
                <w:sz w:val="24"/>
                <w:szCs w:val="24"/>
                <w:highlight w:val="none"/>
              </w:rPr>
              <w:t>为100mg/m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cs="Times New Roman"/>
                <w:color w:val="auto"/>
                <w:sz w:val="24"/>
                <w:szCs w:val="24"/>
                <w:highlight w:val="none"/>
                <w:vertAlign w:val="baseline"/>
                <w:lang w:val="en-US" w:eastAsia="zh-CN"/>
              </w:rPr>
              <w:t>S=100</w:t>
            </w:r>
            <w:r>
              <w:rPr>
                <w:rFonts w:hint="default" w:ascii="Times New Roman" w:hAnsi="Times New Roman" w:cs="Times New Roman"/>
                <w:color w:val="auto"/>
                <w:sz w:val="24"/>
                <w:szCs w:val="24"/>
                <w:highlight w:val="none"/>
              </w:rPr>
              <w:t>。</w:t>
            </w:r>
          </w:p>
          <w:p>
            <w:pPr>
              <w:adjustRightInd w:val="0"/>
              <w:snapToGrid w:val="0"/>
              <w:spacing w:line="360" w:lineRule="auto"/>
              <w:ind w:firstLine="480" w:firstLineChars="200"/>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auto"/>
                <w:sz w:val="24"/>
                <w:szCs w:val="24"/>
                <w:highlight w:val="none"/>
                <w:lang w:eastAsia="zh-CN"/>
              </w:rPr>
              <w:t>本项目使用天然气燃烧进行燃烧，要求建设单位充分燃烧后排放，烟气黑度能够＜1（林格曼级）。本项目厂区内的热力供应均由天然气燃烧供给，</w:t>
            </w:r>
            <w:r>
              <w:rPr>
                <w:rFonts w:hint="default" w:ascii="Times New Roman" w:hAnsi="Times New Roman" w:cs="Times New Roman"/>
                <w:color w:val="auto"/>
                <w:sz w:val="24"/>
                <w:szCs w:val="24"/>
                <w:highlight w:val="none"/>
                <w:lang w:val="en-US" w:eastAsia="zh-CN"/>
              </w:rPr>
              <w:t>本项目天然气年用量为7.56万m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，根据建设单位提供，天然气燃烧工作时间1080h</w:t>
            </w:r>
            <w:r>
              <w:rPr>
                <w:rFonts w:hint="default" w:ascii="Times New Roman" w:hAnsi="Times New Roman" w:cs="Times New Roman"/>
                <w:color w:val="auto"/>
                <w:sz w:val="24"/>
                <w:szCs w:val="24"/>
                <w:highlight w:val="none"/>
                <w:lang w:val="en-US" w:eastAsia="zh-CN"/>
              </w:rPr>
              <w:t>，经计算，本项目废气量为1028160m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/a（952m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/h）</w:t>
            </w:r>
            <w:r>
              <w:rPr>
                <w:rFonts w:hint="eastAsia" w:cs="Times New Roman"/>
                <w:color w:val="auto"/>
                <w:sz w:val="24"/>
                <w:szCs w:val="24"/>
                <w:highlight w:val="none"/>
                <w:lang w:val="en-US" w:eastAsia="zh-CN"/>
              </w:rPr>
              <w:t>本项目风机风量设为1000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/h，产生的二氧化硫、氮氧化物和颗粒物产生量分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别为0.015t/a（0.014kg/h）、0.141t/a（0.131kg/h）、0.021t/a（0.020kg/h），产生浓度分别为14mg/m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130.9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19.88</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color w:val="auto"/>
                <w:sz w:val="24"/>
                <w:highlight w:val="none"/>
                <w:lang w:val="en-US" w:eastAsia="zh-CN"/>
              </w:rPr>
              <w:t>经15m高排气筒DA002排</w:t>
            </w:r>
            <w:r>
              <w:rPr>
                <w:rFonts w:hint="eastAsia"/>
                <w:color w:val="000000" w:themeColor="text1"/>
                <w:sz w:val="24"/>
                <w:szCs w:val="24"/>
                <w:highlight w:val="none"/>
                <w:lang w:val="en-US" w:eastAsia="zh-CN"/>
                <w14:textFill>
                  <w14:solidFill>
                    <w14:schemeClr w14:val="tx1"/>
                  </w14:solidFill>
                </w14:textFill>
              </w:rPr>
              <w:t>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二氧化硫和氮氧化物</w:t>
            </w:r>
            <w:r>
              <w:rPr>
                <w:rFonts w:hint="eastAsia" w:cs="Times New Roman"/>
                <w:color w:val="000000" w:themeColor="text1"/>
                <w:sz w:val="24"/>
                <w:szCs w:val="24"/>
                <w:highlight w:val="none"/>
                <w:lang w:val="en-US" w:eastAsia="zh-CN"/>
                <w14:textFill>
                  <w14:solidFill>
                    <w14:schemeClr w14:val="tx1"/>
                  </w14:solidFill>
                </w14:textFill>
              </w:rPr>
              <w:t>排放浓度可以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满足</w:t>
            </w:r>
            <w:r>
              <w:rPr>
                <w:rFonts w:hint="eastAsia"/>
                <w:bCs/>
                <w:color w:val="auto"/>
                <w:sz w:val="24"/>
                <w:szCs w:val="24"/>
                <w:highlight w:val="none"/>
                <w:shd w:val="clear" w:color="auto" w:fill="auto"/>
              </w:rPr>
              <w:t>《工业炉窑大气污染物排放标准》（GB9078-1996）表2的干燥炉、窑二级标准</w:t>
            </w:r>
            <w:r>
              <w:rPr>
                <w:rFonts w:hint="eastAsia"/>
                <w:bCs/>
                <w:color w:val="auto"/>
                <w:sz w:val="24"/>
                <w:szCs w:val="24"/>
                <w:highlight w:val="none"/>
                <w:shd w:val="clear" w:color="auto" w:fill="auto"/>
                <w:lang w:val="en-US" w:eastAsia="zh-CN"/>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颗粒物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排放浓度可以满足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《大气污染物综合排放标准》（GB16297-1996）及修改单表2大气污染物排放限值要求。</w:t>
            </w:r>
          </w:p>
          <w:p>
            <w:pPr>
              <w:pStyle w:val="2"/>
              <w:ind w:firstLine="480" w:firstLineChars="200"/>
              <w:rPr>
                <w:rFonts w:hint="default"/>
                <w:sz w:val="24"/>
                <w:szCs w:val="24"/>
                <w:lang w:val="en-US" w:eastAsia="zh-CN"/>
              </w:rPr>
            </w:pPr>
            <w:r>
              <w:rPr>
                <w:rFonts w:hint="eastAsia"/>
                <w:color w:val="000000" w:themeColor="text1"/>
                <w:sz w:val="24"/>
                <w:szCs w:val="24"/>
                <w:highlight w:val="none"/>
                <w:lang w:val="en-US" w:eastAsia="zh-CN"/>
                <w14:textFill>
                  <w14:solidFill>
                    <w14:schemeClr w14:val="tx1"/>
                  </w14:solidFill>
                </w14:textFill>
              </w:rPr>
              <w:t>（6）食堂油烟废气</w:t>
            </w:r>
          </w:p>
          <w:p>
            <w:pPr>
              <w:pStyle w:val="55"/>
              <w:keepNext w:val="0"/>
              <w:keepLines w:val="0"/>
              <w:pageBreakBefore w:val="0"/>
              <w:kinsoku/>
              <w:wordWrap/>
              <w:overflowPunct/>
              <w:topLinePunct w:val="0"/>
              <w:autoSpaceDE/>
              <w:autoSpaceDN/>
              <w:bidi w:val="0"/>
              <w:spacing w:beforeAutospacing="0" w:afterAutospacing="0"/>
              <w:ind w:firstLine="48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本项目中晚餐就餐人数为</w:t>
            </w:r>
            <w:r>
              <w:rPr>
                <w:rFonts w:hint="eastAsia" w:ascii="Times New Roman" w:hAnsi="Times New Roman" w:eastAsia="宋体" w:cs="Times New Roman"/>
                <w:color w:val="auto"/>
                <w:highlight w:val="none"/>
                <w:lang w:val="en-US" w:eastAsia="zh-CN"/>
              </w:rPr>
              <w:t>30</w:t>
            </w:r>
            <w:r>
              <w:rPr>
                <w:rFonts w:hint="default" w:ascii="Times New Roman" w:hAnsi="Times New Roman" w:eastAsia="宋体" w:cs="Times New Roman"/>
                <w:color w:val="auto"/>
                <w:highlight w:val="none"/>
              </w:rPr>
              <w:t>人，厨房食堂油烟主要成分是动植物油烟。南方人均食用油用量约30g/人·餐，则耗油量为0.</w:t>
            </w:r>
            <w:r>
              <w:rPr>
                <w:rFonts w:hint="eastAsia"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kg/d（0.</w:t>
            </w:r>
            <w:r>
              <w:rPr>
                <w:rFonts w:hint="eastAsia" w:ascii="Times New Roman" w:hAnsi="Times New Roman" w:eastAsia="宋体" w:cs="Times New Roman"/>
                <w:color w:val="auto"/>
                <w:highlight w:val="none"/>
                <w:lang w:val="en-US" w:eastAsia="zh-CN"/>
              </w:rPr>
              <w:t>243</w:t>
            </w:r>
            <w:r>
              <w:rPr>
                <w:rFonts w:hint="default" w:ascii="Times New Roman" w:hAnsi="Times New Roman" w:eastAsia="宋体" w:cs="Times New Roman"/>
                <w:color w:val="auto"/>
                <w:highlight w:val="none"/>
              </w:rPr>
              <w:t>t/a）。一般油烟挥发量占总耗油量的2%～4%，本项目取3%，则食堂油烟产生量为</w:t>
            </w:r>
            <w:r>
              <w:rPr>
                <w:rFonts w:hint="eastAsia" w:ascii="Times New Roman" w:hAnsi="Times New Roman" w:eastAsia="宋体" w:cs="Times New Roman"/>
                <w:color w:val="auto"/>
                <w:highlight w:val="none"/>
                <w:lang w:val="en-US" w:eastAsia="zh-CN"/>
              </w:rPr>
              <w:t>27</w:t>
            </w:r>
            <w:r>
              <w:rPr>
                <w:rFonts w:hint="default" w:ascii="Times New Roman" w:hAnsi="Times New Roman" w:eastAsia="宋体" w:cs="Times New Roman"/>
                <w:color w:val="auto"/>
                <w:highlight w:val="none"/>
              </w:rPr>
              <w:t>g/d（</w:t>
            </w:r>
            <w:r>
              <w:rPr>
                <w:rFonts w:hint="eastAsia" w:ascii="Times New Roman" w:hAnsi="Times New Roman" w:eastAsia="宋体" w:cs="Times New Roman"/>
                <w:color w:val="auto"/>
                <w:highlight w:val="none"/>
                <w:lang w:val="en-US" w:eastAsia="zh-CN"/>
              </w:rPr>
              <w:t>7.29</w:t>
            </w:r>
            <w:r>
              <w:rPr>
                <w:rFonts w:hint="default" w:ascii="Times New Roman" w:hAnsi="Times New Roman" w:eastAsia="宋体" w:cs="Times New Roman"/>
                <w:color w:val="auto"/>
                <w:highlight w:val="none"/>
              </w:rPr>
              <w:t>kg/a)。本项目设一个基准灶头，灶头的排油烟机的风量为3000m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/h，油烟处理效率以60%计，每天的工作时间</w:t>
            </w:r>
            <w:r>
              <w:rPr>
                <w:rFonts w:hint="eastAsia" w:eastAsia="宋体" w:cs="Times New Roman"/>
                <w:color w:val="auto"/>
                <w:highlight w:val="none"/>
                <w:lang w:val="en-US" w:eastAsia="zh-CN"/>
              </w:rPr>
              <w:t>4</w:t>
            </w:r>
            <w:r>
              <w:rPr>
                <w:rFonts w:hint="default" w:ascii="Times New Roman" w:hAnsi="Times New Roman" w:eastAsia="宋体" w:cs="Times New Roman"/>
                <w:color w:val="auto"/>
                <w:highlight w:val="none"/>
              </w:rPr>
              <w:t>h，计算油烟排放浓度为0.</w:t>
            </w:r>
            <w:r>
              <w:rPr>
                <w:rFonts w:hint="eastAsia" w:eastAsia="宋体" w:cs="Times New Roman"/>
                <w:color w:val="auto"/>
                <w:highlight w:val="none"/>
                <w:lang w:val="en-US" w:eastAsia="zh-CN"/>
              </w:rPr>
              <w:t>9</w:t>
            </w:r>
            <w:r>
              <w:rPr>
                <w:rFonts w:hint="default" w:ascii="Times New Roman" w:hAnsi="Times New Roman" w:eastAsia="宋体" w:cs="Times New Roman"/>
                <w:color w:val="auto"/>
                <w:highlight w:val="none"/>
              </w:rPr>
              <w:t>mg/m</w:t>
            </w:r>
            <w:r>
              <w:rPr>
                <w:rFonts w:hint="default" w:ascii="Times New Roman" w:hAnsi="Times New Roman" w:eastAsia="宋体" w:cs="Times New Roman"/>
                <w:color w:val="auto"/>
                <w:highlight w:val="none"/>
                <w:vertAlign w:val="superscript"/>
              </w:rPr>
              <w:t>3</w:t>
            </w:r>
            <w:r>
              <w:rPr>
                <w:rFonts w:hint="eastAsia" w:eastAsia="宋体" w:cs="Times New Roman"/>
                <w:color w:val="auto"/>
                <w:highlight w:val="none"/>
                <w:vertAlign w:val="baseline"/>
                <w:lang w:val="en-US" w:eastAsia="zh-CN"/>
              </w:rPr>
              <w:t>&lt;2.0</w:t>
            </w:r>
            <w:r>
              <w:rPr>
                <w:rFonts w:hint="default" w:ascii="Times New Roman" w:hAnsi="Times New Roman" w:eastAsia="宋体" w:cs="Times New Roman"/>
                <w:color w:val="auto"/>
                <w:highlight w:val="none"/>
              </w:rPr>
              <w:t>mg/m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经15m高排气筒DA003排放，</w:t>
            </w:r>
            <w:r>
              <w:rPr>
                <w:rFonts w:hint="default" w:ascii="Times New Roman" w:hAnsi="Times New Roman" w:eastAsia="宋体" w:cs="Times New Roman"/>
                <w:color w:val="auto"/>
                <w:highlight w:val="none"/>
              </w:rPr>
              <w:t>满足《饮食业油烟排放标准（试行）》（GB18483- 2001）中的小型排放标准（≤2.0mg/m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w:t>
            </w:r>
          </w:p>
          <w:p>
            <w:pPr>
              <w:pStyle w:val="19"/>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本项目有组织废气的产生及排放状况见表 4-</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，有组织排放口基本情况</w:t>
            </w:r>
            <w:r>
              <w:rPr>
                <w:rFonts w:hint="default" w:ascii="Times New Roman" w:hAnsi="Times New Roman" w:eastAsia="宋体" w:cs="Times New Roman"/>
                <w:sz w:val="24"/>
                <w:szCs w:val="24"/>
                <w:lang w:val="en-US" w:eastAsia="zh-CN"/>
              </w:rPr>
              <w:t>见表4-3，</w:t>
            </w:r>
            <w:r>
              <w:rPr>
                <w:rFonts w:hint="default" w:ascii="Times New Roman" w:hAnsi="Times New Roman" w:eastAsia="宋体" w:cs="Times New Roman"/>
                <w:sz w:val="24"/>
                <w:szCs w:val="24"/>
              </w:rPr>
              <w:t>无组织废气排放</w:t>
            </w:r>
            <w:r>
              <w:rPr>
                <w:rFonts w:hint="default" w:ascii="Times New Roman" w:hAnsi="Times New Roman" w:eastAsia="宋体" w:cs="Times New Roman"/>
                <w:sz w:val="24"/>
                <w:szCs w:val="24"/>
                <w:lang w:val="en-US" w:eastAsia="zh-CN"/>
              </w:rPr>
              <w:t>量汇总见</w:t>
            </w:r>
            <w:r>
              <w:rPr>
                <w:rFonts w:hint="default" w:ascii="Times New Roman" w:hAnsi="Times New Roman" w:eastAsia="宋体" w:cs="Times New Roman"/>
                <w:sz w:val="24"/>
                <w:szCs w:val="24"/>
              </w:rPr>
              <w:t>表 4-</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pPr>
              <w:pStyle w:val="19"/>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left"/>
              <w:textAlignment w:val="auto"/>
              <w:outlineLvl w:val="0"/>
              <w:rPr>
                <w:rFonts w:hint="eastAsia" w:ascii="Times New Roman" w:hAnsi="Times New Roman" w:eastAsia="宋体" w:cs="Times New Roman"/>
                <w:sz w:val="24"/>
                <w:szCs w:val="24"/>
                <w:lang w:val="en-US" w:eastAsia="zh-CN"/>
              </w:rPr>
            </w:pPr>
          </w:p>
        </w:tc>
      </w:tr>
    </w:tbl>
    <w:p>
      <w:pPr>
        <w:pStyle w:val="19"/>
        <w:jc w:val="both"/>
        <w:outlineLvl w:val="0"/>
        <w:rPr>
          <w:rFonts w:ascii="黑体" w:hAnsi="黑体" w:eastAsia="黑体"/>
          <w:snapToGrid w:val="0"/>
          <w:color w:val="auto"/>
          <w:sz w:val="30"/>
          <w:szCs w:val="3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2"/>
        <w:gridCol w:w="132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13" w:hRule="atLeast"/>
          <w:jc w:val="center"/>
        </w:trPr>
        <w:tc>
          <w:tcPr>
            <w:tcW w:w="115" w:type="pct"/>
            <w:noWrap w:val="0"/>
            <w:tcMar>
              <w:left w:w="28" w:type="dxa"/>
              <w:right w:w="28" w:type="dxa"/>
            </w:tcMar>
            <w:vAlign w:val="center"/>
          </w:tcPr>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tc>
        <w:tc>
          <w:tcPr>
            <w:tcW w:w="4885" w:type="pct"/>
            <w:noWrap w:val="0"/>
            <w:vAlign w:val="center"/>
          </w:tcPr>
          <w:p>
            <w:pPr>
              <w:pStyle w:val="22"/>
              <w:spacing w:line="240" w:lineRule="auto"/>
              <w:jc w:val="center"/>
              <w:rPr>
                <w:rFonts w:hint="eastAsia"/>
                <w:b/>
                <w:bCs/>
                <w:sz w:val="21"/>
                <w:szCs w:val="21"/>
              </w:rPr>
            </w:pPr>
            <w:r>
              <w:rPr>
                <w:rFonts w:hint="eastAsia"/>
                <w:b/>
                <w:bCs/>
                <w:sz w:val="21"/>
                <w:szCs w:val="21"/>
              </w:rPr>
              <w:t>表 4-</w:t>
            </w:r>
            <w:r>
              <w:rPr>
                <w:rFonts w:hint="eastAsia"/>
                <w:b/>
                <w:bCs/>
                <w:sz w:val="21"/>
                <w:szCs w:val="21"/>
                <w:lang w:val="en-US" w:eastAsia="zh-CN"/>
              </w:rPr>
              <w:t>2</w:t>
            </w:r>
            <w:r>
              <w:rPr>
                <w:rFonts w:hint="eastAsia"/>
                <w:b/>
                <w:bCs/>
                <w:sz w:val="21"/>
                <w:szCs w:val="21"/>
              </w:rPr>
              <w:t xml:space="preserve"> 本项目有组织废气排放源强表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076"/>
              <w:gridCol w:w="948"/>
              <w:gridCol w:w="820"/>
              <w:gridCol w:w="938"/>
              <w:gridCol w:w="824"/>
              <w:gridCol w:w="839"/>
              <w:gridCol w:w="1048"/>
              <w:gridCol w:w="722"/>
              <w:gridCol w:w="811"/>
              <w:gridCol w:w="738"/>
              <w:gridCol w:w="910"/>
              <w:gridCol w:w="829"/>
              <w:gridCol w:w="83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3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排放源</w:t>
                  </w:r>
                </w:p>
              </w:tc>
              <w:tc>
                <w:tcPr>
                  <w:tcW w:w="41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排气量（m</w:t>
                  </w:r>
                  <w:r>
                    <w:rPr>
                      <w:rFonts w:hint="eastAsia"/>
                      <w:vertAlign w:val="superscript"/>
                      <w:lang w:val="en-US" w:eastAsia="zh-CN"/>
                    </w:rPr>
                    <w:t>3</w:t>
                  </w:r>
                  <w:r>
                    <w:rPr>
                      <w:rFonts w:hint="eastAsia"/>
                      <w:lang w:val="en-US" w:eastAsia="zh-CN"/>
                    </w:rPr>
                    <w:t>/h）</w:t>
                  </w:r>
                </w:p>
              </w:tc>
              <w:tc>
                <w:tcPr>
                  <w:tcW w:w="36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环节</w:t>
                  </w:r>
                </w:p>
              </w:tc>
              <w:tc>
                <w:tcPr>
                  <w:tcW w:w="31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污染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种类</w:t>
                  </w:r>
                </w:p>
              </w:tc>
              <w:tc>
                <w:tcPr>
                  <w:tcW w:w="1004"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产生情况</w:t>
                  </w:r>
                </w:p>
              </w:tc>
              <w:tc>
                <w:tcPr>
                  <w:tcW w:w="40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治理措施</w:t>
                  </w:r>
                </w:p>
              </w:tc>
              <w:tc>
                <w:tcPr>
                  <w:tcW w:w="27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是否为可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行技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术</w:t>
                  </w:r>
                </w:p>
              </w:tc>
              <w:tc>
                <w:tcPr>
                  <w:tcW w:w="27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收集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效率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tc>
              <w:tc>
                <w:tcPr>
                  <w:tcW w:w="28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去除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tc>
              <w:tc>
                <w:tcPr>
                  <w:tcW w:w="993"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排放情况</w:t>
                  </w:r>
                </w:p>
              </w:tc>
              <w:tc>
                <w:tcPr>
                  <w:tcW w:w="3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排放标准浓度mg/m</w:t>
                  </w:r>
                  <w:r>
                    <w:rPr>
                      <w:rFonts w:hint="eastAsia"/>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41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31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产生浓度mg/m</w:t>
                  </w:r>
                  <w:r>
                    <w:rPr>
                      <w:rFonts w:hint="eastAsia"/>
                      <w:vertAlign w:val="superscript"/>
                    </w:rPr>
                    <w:t>3</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产生速率 kg/h</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t/a</w:t>
                  </w:r>
                </w:p>
              </w:tc>
              <w:tc>
                <w:tcPr>
                  <w:tcW w:w="40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27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27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28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浓度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mg/m</w:t>
                  </w:r>
                  <w:r>
                    <w:rPr>
                      <w:rFonts w:hint="eastAsia"/>
                      <w:vertAlign w:val="superscript"/>
                    </w:rPr>
                    <w:t>3</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排放速率 kg/h</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排放量t/a</w:t>
                  </w: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DA001</w:t>
                  </w: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5000</w:t>
                  </w:r>
                </w:p>
              </w:tc>
              <w:tc>
                <w:tcPr>
                  <w:tcW w:w="36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剪板、</w:t>
                  </w:r>
                  <w:r>
                    <w:rPr>
                      <w:rFonts w:hint="eastAsia"/>
                      <w:color w:val="auto"/>
                      <w:sz w:val="24"/>
                      <w:highlight w:val="none"/>
                      <w:lang w:eastAsia="zh-CN"/>
                    </w:rPr>
                    <w:t>喷塑</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lang w:val="en-US" w:eastAsia="zh-CN"/>
                    </w:rPr>
                    <w:t>颗粒物</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2259.67</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11.298</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12.2</w:t>
                  </w:r>
                </w:p>
              </w:tc>
              <w:tc>
                <w:tcPr>
                  <w:tcW w:w="4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lang w:val="en-US" w:eastAsia="zh-CN"/>
                    </w:rPr>
                  </w:pPr>
                  <w:r>
                    <w:rPr>
                      <w:rFonts w:hint="eastAsia"/>
                      <w:color w:val="auto"/>
                      <w:lang w:val="en-US" w:eastAsia="zh-CN"/>
                    </w:rPr>
                    <w:t>集气罩+袋式除尘器+</w:t>
                  </w:r>
                  <w:r>
                    <w:rPr>
                      <w:rFonts w:hint="eastAsia"/>
                      <w:color w:val="auto"/>
                      <w:sz w:val="21"/>
                      <w:szCs w:val="21"/>
                      <w:highlight w:val="none"/>
                      <w:lang w:val="en-US" w:eastAsia="zh-CN"/>
                    </w:rPr>
                    <w:t>15m高排气筒排放</w:t>
                  </w:r>
                </w:p>
              </w:tc>
              <w:tc>
                <w:tcPr>
                  <w:tcW w:w="2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是</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90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95</w:t>
                  </w: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112.9</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0.565</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0.61</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DA002</w:t>
                  </w: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1000</w:t>
                  </w:r>
                </w:p>
              </w:tc>
              <w:tc>
                <w:tcPr>
                  <w:tcW w:w="36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lang w:val="en-US" w:eastAsia="zh-CN"/>
                    </w:rPr>
                    <w:t>固化</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lang w:val="en-US" w:eastAsia="zh-CN"/>
                    </w:rPr>
                    <w:t>非甲烷总烃</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30</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0.03</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0.0324</w:t>
                  </w:r>
                </w:p>
              </w:tc>
              <w:tc>
                <w:tcPr>
                  <w:tcW w:w="4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lang w:val="en-US" w:eastAsia="zh-CN"/>
                    </w:rPr>
                  </w:pPr>
                  <w:r>
                    <w:rPr>
                      <w:rFonts w:hint="eastAsia"/>
                      <w:color w:val="auto"/>
                      <w:sz w:val="21"/>
                      <w:szCs w:val="21"/>
                      <w:highlight w:val="none"/>
                      <w:lang w:eastAsia="zh-CN"/>
                    </w:rPr>
                    <w:t>管道收集</w:t>
                  </w:r>
                  <w:r>
                    <w:rPr>
                      <w:rFonts w:hint="eastAsia"/>
                      <w:color w:val="auto"/>
                      <w:sz w:val="21"/>
                      <w:szCs w:val="21"/>
                      <w:highlight w:val="none"/>
                      <w:lang w:val="en-US" w:eastAsia="zh-CN"/>
                    </w:rPr>
                    <w:t>+15m高排气筒排放</w:t>
                  </w:r>
                </w:p>
              </w:tc>
              <w:tc>
                <w:tcPr>
                  <w:tcW w:w="2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是</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90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30</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0.03</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0.0324</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3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DA002</w:t>
                  </w:r>
                </w:p>
              </w:tc>
              <w:tc>
                <w:tcPr>
                  <w:tcW w:w="41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1000</w:t>
                  </w:r>
                </w:p>
              </w:tc>
              <w:tc>
                <w:tcPr>
                  <w:tcW w:w="36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color w:val="auto"/>
                      <w:sz w:val="21"/>
                      <w:szCs w:val="21"/>
                      <w:highlight w:val="none"/>
                      <w:lang w:eastAsia="zh-CN"/>
                    </w:rPr>
                    <w:t>天然气燃烧机燃烧</w:t>
                  </w:r>
                </w:p>
              </w:tc>
              <w:tc>
                <w:tcPr>
                  <w:tcW w:w="317"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eastAsia="zh-CN"/>
                    </w:rPr>
                    <w:t>颗粒物</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19.88</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0.014</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0.015</w:t>
                  </w:r>
                </w:p>
              </w:tc>
              <w:tc>
                <w:tcPr>
                  <w:tcW w:w="40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r>
                    <w:rPr>
                      <w:rFonts w:hint="eastAsia"/>
                      <w:color w:val="auto"/>
                      <w:sz w:val="21"/>
                      <w:szCs w:val="21"/>
                      <w:highlight w:val="none"/>
                      <w:lang w:eastAsia="zh-CN"/>
                    </w:rPr>
                    <w:t>管道收集</w:t>
                  </w:r>
                  <w:r>
                    <w:rPr>
                      <w:rFonts w:hint="eastAsia"/>
                      <w:color w:val="auto"/>
                      <w:sz w:val="21"/>
                      <w:szCs w:val="21"/>
                      <w:highlight w:val="none"/>
                      <w:lang w:val="en-US" w:eastAsia="zh-CN"/>
                    </w:rPr>
                    <w:t>+15m高排气筒排放</w:t>
                  </w:r>
                </w:p>
              </w:tc>
              <w:tc>
                <w:tcPr>
                  <w:tcW w:w="27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是</w:t>
                  </w:r>
                </w:p>
              </w:tc>
              <w:tc>
                <w:tcPr>
                  <w:tcW w:w="27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100</w:t>
                  </w:r>
                </w:p>
              </w:tc>
              <w:tc>
                <w:tcPr>
                  <w:tcW w:w="28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19.88</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0.014</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0.015</w:t>
                  </w:r>
                </w:p>
              </w:tc>
              <w:tc>
                <w:tcPr>
                  <w:tcW w:w="318"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41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17"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eastAsia="zh-CN"/>
                    </w:rPr>
                    <w:t>氮氧化物</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130.9</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0.131</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0.141</w:t>
                  </w:r>
                </w:p>
              </w:tc>
              <w:tc>
                <w:tcPr>
                  <w:tcW w:w="40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c>
                <w:tcPr>
                  <w:tcW w:w="27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p>
              </w:tc>
              <w:tc>
                <w:tcPr>
                  <w:tcW w:w="27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p>
              </w:tc>
              <w:tc>
                <w:tcPr>
                  <w:tcW w:w="28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130.9</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0.131</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0.141</w:t>
                  </w:r>
                </w:p>
              </w:tc>
              <w:tc>
                <w:tcPr>
                  <w:tcW w:w="318"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p>
              </w:tc>
              <w:tc>
                <w:tcPr>
                  <w:tcW w:w="41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17"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eastAsia="zh-CN"/>
                    </w:rPr>
                    <w:t>二氧化硫</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14</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0.02</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0.022</w:t>
                  </w:r>
                </w:p>
              </w:tc>
              <w:tc>
                <w:tcPr>
                  <w:tcW w:w="40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c>
                <w:tcPr>
                  <w:tcW w:w="27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27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28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14</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0.02</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0.022</w:t>
                  </w:r>
                </w:p>
              </w:tc>
              <w:tc>
                <w:tcPr>
                  <w:tcW w:w="318" w:type="pct"/>
                  <w:vAlign w:val="center"/>
                </w:tcPr>
                <w:p>
                  <w:pPr>
                    <w:adjustRightInd w:val="0"/>
                    <w:snapToGrid w:val="0"/>
                    <w:ind w:left="-63" w:leftChars="-30" w:right="-63" w:rightChars="-30"/>
                    <w:jc w:val="center"/>
                    <w:rPr>
                      <w:rFonts w:hint="eastAsia"/>
                      <w:lang w:val="en-US" w:eastAsia="zh-CN"/>
                    </w:rPr>
                  </w:pPr>
                  <w:r>
                    <w:rPr>
                      <w:rFonts w:hint="eastAsia"/>
                      <w:color w:val="auto"/>
                      <w:sz w:val="21"/>
                      <w:szCs w:val="21"/>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41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17" w:type="pct"/>
                  <w:vAlign w:val="center"/>
                </w:tcPr>
                <w:p>
                  <w:pPr>
                    <w:adjustRightInd w:val="0"/>
                    <w:snapToGrid w:val="0"/>
                    <w:ind w:left="-63" w:leftChars="-30" w:right="-63" w:rightChars="-30"/>
                    <w:jc w:val="center"/>
                    <w:rPr>
                      <w:rFonts w:hint="eastAsia"/>
                      <w:lang w:val="en-US" w:eastAsia="zh-CN"/>
                    </w:rPr>
                  </w:pPr>
                  <w:r>
                    <w:rPr>
                      <w:rFonts w:hint="eastAsia" w:eastAsia="宋体"/>
                      <w:color w:val="auto"/>
                      <w:sz w:val="21"/>
                      <w:szCs w:val="21"/>
                      <w:highlight w:val="none"/>
                      <w:lang w:val="en-US" w:eastAsia="zh-CN"/>
                    </w:rPr>
                    <w:t>烟气黑度</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40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c>
                <w:tcPr>
                  <w:tcW w:w="27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27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28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318" w:type="pct"/>
                  <w:vAlign w:val="center"/>
                </w:tcPr>
                <w:p>
                  <w:pPr>
                    <w:adjustRightInd w:val="0"/>
                    <w:snapToGrid w:val="0"/>
                    <w:ind w:left="-63" w:leftChars="-30" w:right="-63" w:rightChars="-30"/>
                    <w:jc w:val="center"/>
                    <w:rPr>
                      <w:rFonts w:hint="eastAsia"/>
                      <w:lang w:val="en-US" w:eastAsia="zh-CN"/>
                    </w:rPr>
                  </w:pPr>
                  <w:r>
                    <w:rPr>
                      <w:rFonts w:hint="eastAsia" w:ascii="宋体" w:hAnsi="宋体" w:eastAsia="宋体" w:cs="宋体"/>
                      <w:color w:val="auto"/>
                      <w:sz w:val="21"/>
                      <w:szCs w:val="21"/>
                      <w:highlight w:val="none"/>
                      <w:lang w:val="en-US" w:eastAsia="zh-CN"/>
                    </w:rPr>
                    <w:t>≦</w:t>
                  </w:r>
                  <w:r>
                    <w:rPr>
                      <w:rFonts w:hint="eastAsia" w:eastAsia="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DA003</w:t>
                  </w: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5000</w:t>
                  </w:r>
                </w:p>
              </w:tc>
              <w:tc>
                <w:tcPr>
                  <w:tcW w:w="36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食堂</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油烟</w:t>
                  </w:r>
                </w:p>
              </w:tc>
              <w:tc>
                <w:tcPr>
                  <w:tcW w:w="3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2.25</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0.009</w:t>
                  </w:r>
                </w:p>
              </w:tc>
              <w:tc>
                <w:tcPr>
                  <w:tcW w:w="3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0.007</w:t>
                  </w:r>
                </w:p>
              </w:tc>
              <w:tc>
                <w:tcPr>
                  <w:tcW w:w="4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lang w:val="en-US" w:eastAsia="zh-CN"/>
                    </w:rPr>
                  </w:pPr>
                  <w:r>
                    <w:rPr>
                      <w:rFonts w:hint="eastAsia"/>
                      <w:color w:val="auto"/>
                      <w:lang w:val="en-US" w:eastAsia="zh-CN"/>
                    </w:rPr>
                    <w:t>集气罩+油烟净化器+</w:t>
                  </w:r>
                  <w:r>
                    <w:rPr>
                      <w:rFonts w:hint="eastAsia"/>
                      <w:color w:val="auto"/>
                      <w:sz w:val="21"/>
                      <w:szCs w:val="21"/>
                      <w:highlight w:val="none"/>
                      <w:lang w:val="en-US" w:eastAsia="zh-CN"/>
                    </w:rPr>
                    <w:t>15m高排气筒排放</w:t>
                  </w:r>
                </w:p>
              </w:tc>
              <w:tc>
                <w:tcPr>
                  <w:tcW w:w="2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是</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60</w:t>
                  </w:r>
                </w:p>
              </w:tc>
              <w:tc>
                <w:tcPr>
                  <w:tcW w:w="3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0.9</w:t>
                  </w:r>
                </w:p>
              </w:tc>
              <w:tc>
                <w:tcPr>
                  <w:tcW w:w="32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0.004</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0.003</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2.0</w:t>
                  </w:r>
                </w:p>
              </w:tc>
            </w:tr>
          </w:tbl>
          <w:p>
            <w:pPr>
              <w:pStyle w:val="55"/>
              <w:rPr>
                <w:rFonts w:hint="eastAsia"/>
                <w:color w:val="auto"/>
                <w:highlight w:val="none"/>
              </w:rPr>
            </w:pPr>
          </w:p>
          <w:p>
            <w:pPr>
              <w:pStyle w:val="2"/>
              <w:jc w:val="center"/>
              <w:rPr>
                <w:rFonts w:hint="eastAsia"/>
                <w:sz w:val="21"/>
                <w:szCs w:val="21"/>
              </w:rPr>
            </w:pPr>
            <w:r>
              <w:rPr>
                <w:rFonts w:hint="eastAsia"/>
                <w:b/>
                <w:bCs/>
                <w:sz w:val="21"/>
                <w:szCs w:val="21"/>
              </w:rPr>
              <w:t>表 4-</w:t>
            </w:r>
            <w:r>
              <w:rPr>
                <w:rFonts w:hint="eastAsia"/>
                <w:b/>
                <w:bCs/>
                <w:sz w:val="21"/>
                <w:szCs w:val="21"/>
                <w:lang w:val="en-US" w:eastAsia="zh-CN"/>
              </w:rPr>
              <w:t>2</w:t>
            </w:r>
            <w:r>
              <w:rPr>
                <w:rFonts w:hint="eastAsia"/>
                <w:b/>
                <w:bCs/>
                <w:sz w:val="21"/>
                <w:szCs w:val="21"/>
              </w:rPr>
              <w:t xml:space="preserve"> 有组织排放口基本情况表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1"/>
              <w:gridCol w:w="1264"/>
              <w:gridCol w:w="1770"/>
              <w:gridCol w:w="1697"/>
              <w:gridCol w:w="899"/>
              <w:gridCol w:w="1577"/>
              <w:gridCol w:w="1131"/>
              <w:gridCol w:w="1038"/>
              <w:gridCol w:w="1324"/>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序号</w:t>
                  </w:r>
                </w:p>
              </w:tc>
              <w:tc>
                <w:tcPr>
                  <w:tcW w:w="48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名称</w:t>
                  </w:r>
                </w:p>
              </w:tc>
              <w:tc>
                <w:tcPr>
                  <w:tcW w:w="1330"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排放口中心经纬度</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排气筒高度（m）</w:t>
                  </w:r>
                </w:p>
              </w:tc>
              <w:tc>
                <w:tcPr>
                  <w:tcW w:w="60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排气筒内径（m）</w:t>
                  </w:r>
                </w:p>
              </w:tc>
              <w:tc>
                <w:tcPr>
                  <w:tcW w:w="43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rPr>
                  </w:pPr>
                  <w:r>
                    <w:rPr>
                      <w:rFonts w:hint="default"/>
                      <w:sz w:val="21"/>
                      <w:szCs w:val="21"/>
                      <w:lang w:val="en-US" w:eastAsia="zh-CN"/>
                    </w:rPr>
                    <w:t>烟气温度（℃）</w:t>
                  </w:r>
                </w:p>
              </w:tc>
              <w:tc>
                <w:tcPr>
                  <w:tcW w:w="3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污染物</w:t>
                  </w:r>
                </w:p>
              </w:tc>
              <w:tc>
                <w:tcPr>
                  <w:tcW w:w="5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5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排放限值mg/m3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38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48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67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default"/>
                      <w:sz w:val="21"/>
                      <w:szCs w:val="21"/>
                      <w:lang w:val="en-US" w:eastAsia="zh-CN"/>
                    </w:rPr>
                    <w:t>X</w:t>
                  </w:r>
                </w:p>
              </w:tc>
              <w:tc>
                <w:tcPr>
                  <w:tcW w:w="6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default"/>
                      <w:sz w:val="21"/>
                      <w:szCs w:val="21"/>
                      <w:lang w:val="en-US" w:eastAsia="zh-CN"/>
                    </w:rPr>
                    <w:t>Y</w:t>
                  </w:r>
                </w:p>
              </w:tc>
              <w:tc>
                <w:tcPr>
                  <w:tcW w:w="34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60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43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5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5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4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DA001</w:t>
                  </w:r>
                </w:p>
              </w:tc>
              <w:tc>
                <w:tcPr>
                  <w:tcW w:w="6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111°36.317'</w:t>
                  </w:r>
                </w:p>
              </w:tc>
              <w:tc>
                <w:tcPr>
                  <w:tcW w:w="65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26°24.064'</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15</w:t>
                  </w:r>
                </w:p>
              </w:tc>
              <w:tc>
                <w:tcPr>
                  <w:tcW w:w="6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sz w:val="21"/>
                      <w:szCs w:val="21"/>
                      <w:lang w:val="en-US" w:eastAsia="zh-CN"/>
                    </w:rPr>
                  </w:pPr>
                  <w:r>
                    <w:rPr>
                      <w:rFonts w:hint="eastAsia"/>
                      <w:sz w:val="21"/>
                      <w:szCs w:val="21"/>
                      <w:lang w:val="en-US" w:eastAsia="zh-CN"/>
                    </w:rPr>
                    <w:t>0.5</w:t>
                  </w:r>
                </w:p>
              </w:tc>
              <w:tc>
                <w:tcPr>
                  <w:tcW w:w="4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eastAsia"/>
                      <w:sz w:val="21"/>
                      <w:szCs w:val="21"/>
                      <w:lang w:val="en-US" w:eastAsia="zh-CN"/>
                    </w:rPr>
                    <w:t>常温</w:t>
                  </w:r>
                </w:p>
              </w:tc>
              <w:tc>
                <w:tcPr>
                  <w:tcW w:w="39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sz w:val="21"/>
                      <w:szCs w:val="21"/>
                      <w:lang w:val="en-US" w:eastAsia="zh-CN"/>
                    </w:rPr>
                  </w:pPr>
                  <w:r>
                    <w:rPr>
                      <w:rFonts w:hint="eastAsia"/>
                      <w:sz w:val="21"/>
                      <w:szCs w:val="21"/>
                      <w:lang w:val="en-US" w:eastAsia="zh-CN"/>
                    </w:rPr>
                    <w:t>颗粒物</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eastAsia"/>
                      <w:lang w:val="en-US" w:eastAsia="zh-CN"/>
                    </w:rPr>
                    <w:t>45.19</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38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2</w:t>
                  </w:r>
                </w:p>
              </w:tc>
              <w:tc>
                <w:tcPr>
                  <w:tcW w:w="48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DA002</w:t>
                  </w:r>
                </w:p>
              </w:tc>
              <w:tc>
                <w:tcPr>
                  <w:tcW w:w="6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111°36.280'</w:t>
                  </w:r>
                </w:p>
              </w:tc>
              <w:tc>
                <w:tcPr>
                  <w:tcW w:w="65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26°24.081'</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15</w:t>
                  </w:r>
                </w:p>
              </w:tc>
              <w:tc>
                <w:tcPr>
                  <w:tcW w:w="60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default"/>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5</w:t>
                  </w:r>
                </w:p>
              </w:tc>
              <w:tc>
                <w:tcPr>
                  <w:tcW w:w="43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80</w:t>
                  </w: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非甲烷总烃</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30</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38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48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6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65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60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39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eastAsia="zh-CN"/>
                    </w:rPr>
                    <w:t>颗粒物</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19.88</w:t>
                  </w:r>
                </w:p>
              </w:tc>
              <w:tc>
                <w:tcPr>
                  <w:tcW w:w="50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38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8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0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9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eastAsia="zh-CN"/>
                    </w:rPr>
                    <w:t>氮氧化物</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130.9</w:t>
                  </w:r>
                </w:p>
              </w:tc>
              <w:tc>
                <w:tcPr>
                  <w:tcW w:w="50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val="en-US" w:eastAsia="zh-CN"/>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38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8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0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9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eastAsia="zh-CN"/>
                    </w:rPr>
                    <w:t>二氧化硫</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14</w:t>
                  </w:r>
                </w:p>
              </w:tc>
              <w:tc>
                <w:tcPr>
                  <w:tcW w:w="50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color w:val="auto"/>
                      <w:sz w:val="21"/>
                      <w:szCs w:val="21"/>
                      <w:highlight w:val="none"/>
                      <w:lang w:val="en-US" w:eastAsia="zh-CN"/>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38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8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60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p>
              </w:tc>
              <w:tc>
                <w:tcPr>
                  <w:tcW w:w="39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eastAsia="宋体"/>
                      <w:color w:val="auto"/>
                      <w:sz w:val="21"/>
                      <w:szCs w:val="21"/>
                      <w:highlight w:val="none"/>
                      <w:lang w:val="en-US" w:eastAsia="zh-CN"/>
                    </w:rPr>
                    <w:t>烟气黑度</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w:t>
                  </w:r>
                </w:p>
              </w:tc>
              <w:tc>
                <w:tcPr>
                  <w:tcW w:w="508" w:type="pct"/>
                  <w:tcBorders>
                    <w:tl2br w:val="nil"/>
                    <w:tr2bl w:val="nil"/>
                  </w:tcBorders>
                  <w:noWrap w:val="0"/>
                  <w:vAlign w:val="center"/>
                </w:tcPr>
                <w:p>
                  <w:pPr>
                    <w:adjustRightInd w:val="0"/>
                    <w:snapToGrid w:val="0"/>
                    <w:ind w:left="-63" w:leftChars="-30" w:right="-63" w:rightChars="-30"/>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highlight w:val="none"/>
                      <w:lang w:val="en-US" w:eastAsia="zh-CN"/>
                    </w:rPr>
                    <w:t>≦</w:t>
                  </w:r>
                  <w:r>
                    <w:rPr>
                      <w:rFonts w:hint="eastAsia" w:eastAsia="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3</w:t>
                  </w:r>
                </w:p>
              </w:tc>
              <w:tc>
                <w:tcPr>
                  <w:tcW w:w="4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DA003</w:t>
                  </w:r>
                </w:p>
              </w:tc>
              <w:tc>
                <w:tcPr>
                  <w:tcW w:w="6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111°36.240'</w:t>
                  </w:r>
                </w:p>
              </w:tc>
              <w:tc>
                <w:tcPr>
                  <w:tcW w:w="65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26°24.092'</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15</w:t>
                  </w:r>
                </w:p>
              </w:tc>
              <w:tc>
                <w:tcPr>
                  <w:tcW w:w="6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sz w:val="21"/>
                      <w:szCs w:val="21"/>
                      <w:lang w:val="en-US" w:eastAsia="zh-CN"/>
                    </w:rPr>
                  </w:pPr>
                  <w:r>
                    <w:rPr>
                      <w:rFonts w:hint="eastAsia"/>
                      <w:sz w:val="21"/>
                      <w:szCs w:val="21"/>
                      <w:lang w:val="en-US" w:eastAsia="zh-CN"/>
                    </w:rPr>
                    <w:t>0.42</w:t>
                  </w:r>
                </w:p>
              </w:tc>
              <w:tc>
                <w:tcPr>
                  <w:tcW w:w="4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sz w:val="21"/>
                      <w:szCs w:val="21"/>
                      <w:lang w:val="en-US" w:eastAsia="zh-CN"/>
                    </w:rPr>
                  </w:pPr>
                  <w:r>
                    <w:rPr>
                      <w:rFonts w:hint="eastAsia"/>
                      <w:sz w:val="21"/>
                      <w:szCs w:val="21"/>
                      <w:lang w:val="en-US" w:eastAsia="zh-CN"/>
                    </w:rPr>
                    <w:t>70</w:t>
                  </w:r>
                </w:p>
              </w:tc>
              <w:tc>
                <w:tcPr>
                  <w:tcW w:w="39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sz w:val="21"/>
                      <w:szCs w:val="21"/>
                      <w:lang w:val="en-US" w:eastAsia="zh-CN"/>
                    </w:rPr>
                  </w:pPr>
                  <w:r>
                    <w:rPr>
                      <w:rFonts w:hint="eastAsia"/>
                      <w:sz w:val="21"/>
                      <w:szCs w:val="21"/>
                      <w:lang w:val="en-US" w:eastAsia="zh-CN"/>
                    </w:rPr>
                    <w:t>油烟</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lang w:val="en-US" w:eastAsia="zh-CN"/>
                    </w:rPr>
                  </w:pPr>
                  <w:r>
                    <w:rPr>
                      <w:rFonts w:hint="eastAsia"/>
                      <w:lang w:val="en-US" w:eastAsia="zh-CN"/>
                    </w:rPr>
                    <w:t>0.9</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2.0</w:t>
                  </w:r>
                </w:p>
              </w:tc>
            </w:tr>
          </w:tbl>
          <w:p>
            <w:pPr>
              <w:pStyle w:val="22"/>
              <w:keepNext w:val="0"/>
              <w:keepLines w:val="0"/>
              <w:pageBreakBefore w:val="0"/>
              <w:widowControl w:val="0"/>
              <w:kinsoku/>
              <w:wordWrap/>
              <w:overflowPunct/>
              <w:topLinePunct w:val="0"/>
              <w:autoSpaceDE/>
              <w:autoSpaceDN/>
              <w:bidi w:val="0"/>
              <w:adjustRightInd/>
              <w:snapToGrid/>
              <w:spacing w:after="0"/>
              <w:ind w:left="0" w:leftChars="0" w:firstLine="422" w:firstLineChars="200"/>
              <w:jc w:val="center"/>
              <w:textAlignment w:val="auto"/>
              <w:rPr>
                <w:rFonts w:hint="default" w:eastAsia="宋体"/>
                <w:b/>
                <w:bCs/>
                <w:sz w:val="21"/>
                <w:szCs w:val="21"/>
                <w:lang w:val="en-US" w:eastAsia="zh-CN"/>
              </w:rPr>
            </w:pPr>
            <w:r>
              <w:rPr>
                <w:rFonts w:hint="eastAsia"/>
                <w:b/>
                <w:bCs/>
                <w:sz w:val="21"/>
                <w:szCs w:val="21"/>
                <w:lang w:val="en-US" w:eastAsia="zh-CN"/>
              </w:rPr>
              <w:t>4-3</w:t>
            </w:r>
            <w:r>
              <w:rPr>
                <w:rFonts w:hint="eastAsia"/>
                <w:b/>
                <w:bCs/>
                <w:sz w:val="21"/>
                <w:szCs w:val="21"/>
              </w:rPr>
              <w:t>本项目无组织废气排放</w:t>
            </w:r>
            <w:r>
              <w:rPr>
                <w:rFonts w:hint="eastAsia"/>
                <w:b/>
                <w:bCs/>
                <w:sz w:val="21"/>
                <w:szCs w:val="21"/>
                <w:lang w:val="en-US" w:eastAsia="zh-CN"/>
              </w:rPr>
              <w:t>量汇总表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3751"/>
              <w:gridCol w:w="1697"/>
              <w:gridCol w:w="2007"/>
              <w:gridCol w:w="154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污染源位置</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产污环节</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污染物种类</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无组织排放量(t/a)</w:t>
                  </w:r>
                </w:p>
              </w:tc>
              <w:tc>
                <w:tcPr>
                  <w:tcW w:w="59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rPr>
                  </w:pPr>
                  <w:r>
                    <w:rPr>
                      <w:rFonts w:hint="default" w:ascii="Times New Roman" w:hAnsi="Times New Roman" w:cs="Times New Roman"/>
                      <w:color w:val="auto"/>
                      <w:sz w:val="21"/>
                      <w:szCs w:val="21"/>
                      <w:vertAlign w:val="baseline"/>
                      <w:lang w:eastAsia="zh-CN"/>
                    </w:rPr>
                    <w:t>面源</w:t>
                  </w:r>
                  <w:r>
                    <w:rPr>
                      <w:rFonts w:hint="eastAsia" w:ascii="Times New Roman" w:hAnsi="Times New Roman" w:cs="Times New Roman"/>
                      <w:color w:val="auto"/>
                      <w:sz w:val="21"/>
                      <w:szCs w:val="21"/>
                      <w:vertAlign w:val="baseline"/>
                      <w:lang w:val="en-US" w:eastAsia="zh-CN"/>
                    </w:rPr>
                    <w:t>面积</w:t>
                  </w:r>
                  <w:r>
                    <w:rPr>
                      <w:rFonts w:hint="default" w:ascii="Times New Roman" w:hAnsi="Times New Roman" w:cs="Times New Roman"/>
                      <w:color w:val="auto"/>
                      <w:sz w:val="21"/>
                      <w:szCs w:val="21"/>
                      <w:vertAlign w:val="baseline"/>
                      <w:lang w:eastAsia="zh-CN"/>
                    </w:rPr>
                    <w:t>m</w:t>
                  </w:r>
                  <w:r>
                    <w:rPr>
                      <w:rFonts w:hint="eastAsia" w:ascii="Times New Roman" w:hAnsi="Times New Roman" w:cs="Times New Roman"/>
                      <w:color w:val="auto"/>
                      <w:sz w:val="21"/>
                      <w:szCs w:val="21"/>
                      <w:vertAlign w:val="superscript"/>
                      <w:lang w:val="en-US" w:eastAsia="zh-CN"/>
                    </w:rPr>
                    <w:t>2</w:t>
                  </w:r>
                </w:p>
              </w:tc>
              <w:tc>
                <w:tcPr>
                  <w:tcW w:w="86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default" w:ascii="Times New Roman" w:hAnsi="Times New Roman" w:cs="Times New Roman"/>
                      <w:color w:val="auto"/>
                      <w:sz w:val="21"/>
                      <w:szCs w:val="21"/>
                      <w:vertAlign w:val="baseline"/>
                      <w:lang w:eastAsia="zh-CN"/>
                    </w:rPr>
                    <w:t>面源有效排放高度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生产厂房</w:t>
                  </w:r>
                </w:p>
              </w:tc>
              <w:tc>
                <w:tcPr>
                  <w:tcW w:w="143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eastAsia="宋体"/>
                      <w:sz w:val="21"/>
                      <w:szCs w:val="21"/>
                      <w:lang w:val="en-US" w:eastAsia="zh-CN"/>
                    </w:rPr>
                    <w:t>剪板、</w:t>
                  </w:r>
                  <w:r>
                    <w:rPr>
                      <w:rFonts w:hint="eastAsia"/>
                      <w:color w:val="auto"/>
                      <w:sz w:val="21"/>
                      <w:szCs w:val="21"/>
                      <w:highlight w:val="none"/>
                      <w:lang w:eastAsia="zh-CN"/>
                    </w:rPr>
                    <w:t>喷塑、焊接、固化</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颗粒物</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1.3558</w:t>
                  </w:r>
                </w:p>
              </w:tc>
              <w:tc>
                <w:tcPr>
                  <w:tcW w:w="59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5400</w:t>
                  </w:r>
                </w:p>
              </w:tc>
              <w:tc>
                <w:tcPr>
                  <w:tcW w:w="86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43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非甲烷总烃</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0.0004</w:t>
                  </w:r>
                </w:p>
              </w:tc>
              <w:tc>
                <w:tcPr>
                  <w:tcW w:w="59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c>
                <w:tcPr>
                  <w:tcW w:w="8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）非正常工况源强参数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非正常工况主要是生产运行阶段的开、停、检修、操作不正常或设备故障等，不包括事故排放。本项目非正常工况选用废气处理装置失效或关闭，废气未经处理直接排放。非正常工况的废气排放参数见表 4-</w:t>
            </w:r>
            <w:r>
              <w:rPr>
                <w:rFonts w:hint="eastAsia"/>
                <w:sz w:val="24"/>
                <w:szCs w:val="24"/>
                <w:lang w:val="en-US" w:eastAsia="zh-CN"/>
              </w:rPr>
              <w:t>4。</w:t>
            </w:r>
          </w:p>
          <w:p>
            <w:pPr>
              <w:pStyle w:val="2"/>
              <w:jc w:val="center"/>
              <w:rPr>
                <w:rFonts w:hint="eastAsia"/>
                <w:b/>
                <w:bCs/>
                <w:sz w:val="21"/>
                <w:szCs w:val="21"/>
                <w:lang w:val="en-US" w:eastAsia="zh-CN"/>
              </w:rPr>
            </w:pPr>
            <w:r>
              <w:rPr>
                <w:rFonts w:hint="eastAsia"/>
                <w:b/>
                <w:bCs/>
                <w:sz w:val="21"/>
                <w:szCs w:val="21"/>
                <w:lang w:val="en-US" w:eastAsia="zh-CN"/>
              </w:rPr>
              <w:t>表4-4 非正常情况下有组织废气污染物排放状况一览表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2172"/>
              <w:gridCol w:w="2769"/>
              <w:gridCol w:w="1575"/>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rPr>
                  </w:pPr>
                  <w:r>
                    <w:rPr>
                      <w:rFonts w:hint="eastAsia"/>
                      <w:vertAlign w:val="baseline"/>
                    </w:rPr>
                    <w:t>非正常排放源</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工序</w:t>
                  </w:r>
                </w:p>
              </w:tc>
              <w:tc>
                <w:tcPr>
                  <w:tcW w:w="10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非正常排放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原因</w:t>
                  </w:r>
                </w:p>
              </w:tc>
              <w:tc>
                <w:tcPr>
                  <w:tcW w:w="6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污染物</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非正常排放浓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度（mg/m</w:t>
                  </w:r>
                  <w:r>
                    <w:rPr>
                      <w:rFonts w:hint="eastAsia"/>
                      <w:vertAlign w:val="superscript"/>
                    </w:rPr>
                    <w:t>3</w:t>
                  </w:r>
                  <w:r>
                    <w:rPr>
                      <w:rFonts w:hint="eastAsia"/>
                      <w:vertAlign w:val="baseline"/>
                    </w:rPr>
                    <w:t>）</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DA001 排气筒</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lang w:val="en-US" w:eastAsia="zh-CN"/>
                    </w:rPr>
                    <w:t>剪板、</w:t>
                  </w:r>
                  <w:r>
                    <w:rPr>
                      <w:rFonts w:hint="eastAsia"/>
                      <w:color w:val="auto"/>
                      <w:sz w:val="24"/>
                      <w:highlight w:val="none"/>
                      <w:lang w:eastAsia="zh-CN"/>
                    </w:rPr>
                    <w:t>喷塑</w:t>
                  </w:r>
                </w:p>
              </w:tc>
              <w:tc>
                <w:tcPr>
                  <w:tcW w:w="10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color w:val="auto"/>
                      <w:lang w:val="en-US" w:eastAsia="zh-CN"/>
                    </w:rPr>
                    <w:t>袋式除尘器</w:t>
                  </w:r>
                  <w:r>
                    <w:rPr>
                      <w:rFonts w:hint="eastAsia"/>
                      <w:vertAlign w:val="baseline"/>
                    </w:rPr>
                    <w:t>收集失效或关闭</w:t>
                  </w:r>
                </w:p>
              </w:tc>
              <w:tc>
                <w:tcPr>
                  <w:tcW w:w="6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颗粒物</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lang w:val="en-US" w:eastAsia="zh-CN"/>
                    </w:rPr>
                    <w:t>2259.67</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定期检查设备，定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期维护保养，一旦设备故障立即停产检修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DA00</w:t>
                  </w:r>
                  <w:r>
                    <w:rPr>
                      <w:rFonts w:hint="eastAsia"/>
                      <w:vertAlign w:val="baseline"/>
                      <w:lang w:val="en-US" w:eastAsia="zh-CN"/>
                    </w:rPr>
                    <w:t>2</w:t>
                  </w:r>
                  <w:r>
                    <w:rPr>
                      <w:rFonts w:hint="eastAsia"/>
                      <w:vertAlign w:val="baseline"/>
                    </w:rPr>
                    <w:t xml:space="preserve"> 排气筒</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食堂</w:t>
                  </w:r>
                </w:p>
              </w:tc>
              <w:tc>
                <w:tcPr>
                  <w:tcW w:w="10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油烟净化器失效或关闭</w:t>
                  </w:r>
                </w:p>
              </w:tc>
              <w:tc>
                <w:tcPr>
                  <w:tcW w:w="6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油烟</w:t>
                  </w:r>
                </w:p>
              </w:tc>
              <w:tc>
                <w:tcPr>
                  <w:tcW w:w="83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t>2.25</w:t>
                  </w:r>
                </w:p>
              </w:tc>
              <w:tc>
                <w:tcPr>
                  <w:tcW w:w="83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p>
              </w:tc>
            </w:tr>
          </w:tbl>
          <w:p>
            <w:pPr>
              <w:keepNext w:val="0"/>
              <w:keepLines w:val="0"/>
              <w:widowControl w:val="0"/>
              <w:suppressLineNumbers w:val="0"/>
              <w:spacing w:before="0" w:beforeAutospacing="0" w:after="0" w:afterAutospacing="0" w:line="360" w:lineRule="auto"/>
              <w:ind w:right="0"/>
              <w:jc w:val="both"/>
              <w:rPr>
                <w:rFonts w:hint="eastAsia" w:ascii="宋体" w:hAnsi="宋体" w:cs="宋体"/>
                <w:bCs/>
                <w:color w:val="auto"/>
                <w:spacing w:val="-10"/>
                <w:sz w:val="24"/>
                <w:highlight w:val="none"/>
              </w:rPr>
            </w:pPr>
          </w:p>
        </w:tc>
      </w:tr>
    </w:tbl>
    <w:p>
      <w:pPr>
        <w:adjustRightInd w:val="0"/>
        <w:snapToGrid w:val="0"/>
        <w:spacing w:line="360" w:lineRule="auto"/>
        <w:rPr>
          <w:rFonts w:hint="eastAsia" w:ascii="宋体" w:cs="宋体"/>
          <w:b/>
          <w:color w:val="auto"/>
          <w:kern w:val="0"/>
          <w:sz w:val="28"/>
          <w:szCs w:val="28"/>
        </w:rPr>
        <w:sectPr>
          <w:pgSz w:w="16840" w:h="11907"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bookmarkStart w:id="8" w:name="_Toc98256023"/>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r>
              <w:rPr>
                <w:rFonts w:hint="eastAsia"/>
                <w:vertAlign w:val="baseline"/>
              </w:rPr>
              <w:t>运营</w:t>
            </w: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r>
              <w:rPr>
                <w:rFonts w:hint="eastAsia"/>
                <w:vertAlign w:val="baseline"/>
              </w:rPr>
              <w:t>期环</w:t>
            </w: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r>
              <w:rPr>
                <w:rFonts w:hint="eastAsia"/>
                <w:vertAlign w:val="baseline"/>
              </w:rPr>
              <w:t>境影</w:t>
            </w: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r>
              <w:rPr>
                <w:rFonts w:hint="eastAsia"/>
                <w:vertAlign w:val="baseline"/>
              </w:rPr>
              <w:t>响和</w:t>
            </w:r>
          </w:p>
          <w:p>
            <w:pPr>
              <w:pStyle w:val="2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vertAlign w:val="baseline"/>
              </w:rPr>
            </w:pPr>
            <w:r>
              <w:rPr>
                <w:rFonts w:hint="eastAsia"/>
                <w:vertAlign w:val="baseline"/>
              </w:rPr>
              <w:t>保护</w:t>
            </w:r>
          </w:p>
          <w:p>
            <w:pPr>
              <w:pStyle w:val="19"/>
              <w:keepNext w:val="0"/>
              <w:keepLines w:val="0"/>
              <w:pageBreakBefore w:val="0"/>
              <w:kinsoku/>
              <w:wordWrap/>
              <w:overflowPunct/>
              <w:topLinePunct w:val="0"/>
              <w:autoSpaceDE/>
              <w:autoSpaceDN/>
              <w:bidi w:val="0"/>
              <w:adjustRightInd/>
              <w:snapToGrid/>
              <w:spacing w:before="0" w:beforeAutospacing="0" w:afterAutospacing="0"/>
              <w:jc w:val="center"/>
              <w:textAlignment w:val="auto"/>
              <w:outlineLvl w:val="0"/>
              <w:rPr>
                <w:rFonts w:hint="eastAsia" w:ascii="黑体" w:hAnsi="黑体" w:eastAsia="黑体"/>
                <w:snapToGrid w:val="0"/>
                <w:color w:val="auto"/>
                <w:sz w:val="30"/>
                <w:szCs w:val="30"/>
                <w:vertAlign w:val="baseline"/>
              </w:rPr>
            </w:pPr>
            <w:r>
              <w:rPr>
                <w:rFonts w:hint="eastAsia"/>
                <w:vertAlign w:val="baseline"/>
              </w:rPr>
              <w:t>措施</w:t>
            </w:r>
          </w:p>
        </w:tc>
        <w:tc>
          <w:tcPr>
            <w:tcW w:w="8303" w:type="dxa"/>
          </w:tcPr>
          <w:p>
            <w:pPr>
              <w:keepNext w:val="0"/>
              <w:keepLines w:val="0"/>
              <w:pageBreakBefore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废气处理设施及可行性分析</w:t>
            </w:r>
          </w:p>
          <w:p>
            <w:pPr>
              <w:pStyle w:val="2"/>
              <w:overflowPunct w:val="0"/>
              <w:autoSpaceDE w:val="0"/>
              <w:autoSpaceDN w:val="0"/>
              <w:spacing w:before="0" w:after="0"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）本项目对</w:t>
            </w:r>
            <w:r>
              <w:rPr>
                <w:rFonts w:hint="eastAsia"/>
                <w:color w:val="auto"/>
                <w:sz w:val="24"/>
                <w:highlight w:val="none"/>
                <w:lang w:val="en-US" w:eastAsia="zh-CN"/>
              </w:rPr>
              <w:t>剪板、喷塑工序</w:t>
            </w:r>
            <w:r>
              <w:rPr>
                <w:rFonts w:hint="eastAsia"/>
                <w:color w:val="auto"/>
                <w:sz w:val="24"/>
                <w:highlight w:val="none"/>
                <w:lang w:eastAsia="zh-CN"/>
              </w:rPr>
              <w:t>工序产生的废气（污染物种类包括颗粒物）经收集起来，通过“布袋除尘器”装置进行处理（颗粒物处理效率9</w:t>
            </w:r>
            <w:r>
              <w:rPr>
                <w:rFonts w:hint="eastAsia"/>
                <w:color w:val="auto"/>
                <w:sz w:val="24"/>
                <w:highlight w:val="none"/>
                <w:lang w:val="en-US" w:eastAsia="zh-CN"/>
              </w:rPr>
              <w:t>8</w:t>
            </w:r>
            <w:r>
              <w:rPr>
                <w:rFonts w:hint="eastAsia"/>
                <w:color w:val="auto"/>
                <w:sz w:val="24"/>
                <w:highlight w:val="none"/>
                <w:lang w:eastAsia="zh-CN"/>
              </w:rPr>
              <w:t>%），处理后由一根15m高排气筒高空排放，</w:t>
            </w:r>
            <w:r>
              <w:rPr>
                <w:rFonts w:hint="eastAsia"/>
                <w:color w:val="auto"/>
                <w:sz w:val="24"/>
                <w:highlight w:val="none"/>
                <w:lang w:val="en-US" w:eastAsia="zh-CN"/>
              </w:rPr>
              <w:t>固化、天然气燃烧废气经收集后引至15m高排气筒高空排放；</w:t>
            </w:r>
            <w:r>
              <w:rPr>
                <w:rFonts w:hint="eastAsia"/>
                <w:color w:val="auto"/>
                <w:sz w:val="24"/>
                <w:highlight w:val="none"/>
                <w:lang w:eastAsia="zh-CN"/>
              </w:rPr>
              <w:t>根据分析，各污染物均可达标排放，且项目各污染物处理措施是《排放源统计调查产排污核算方法和系数手册》（生态环境部公告 2021年 第24号）“33-37,431-434机械行业系数手册”中的可行技术，故本项目工艺废气收集及处理措施可行。</w:t>
            </w:r>
          </w:p>
          <w:p>
            <w:pPr>
              <w:pStyle w:val="2"/>
              <w:overflowPunct w:val="0"/>
              <w:autoSpaceDE w:val="0"/>
              <w:autoSpaceDN w:val="0"/>
              <w:spacing w:before="0" w:after="0" w:line="360" w:lineRule="auto"/>
              <w:ind w:firstLine="480" w:firstLineChars="200"/>
              <w:rPr>
                <w:color w:val="auto"/>
                <w:sz w:val="24"/>
                <w:szCs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）本项目的燃料为天然气，是一种清洁能源，污染少。根据废气污染物源强核算结果，天然气燃烧废气通过D</w:t>
            </w:r>
            <w:r>
              <w:rPr>
                <w:color w:val="auto"/>
                <w:sz w:val="24"/>
                <w:highlight w:val="none"/>
              </w:rPr>
              <w:t>A00</w:t>
            </w:r>
            <w:r>
              <w:rPr>
                <w:rFonts w:hint="eastAsia"/>
                <w:color w:val="auto"/>
                <w:sz w:val="24"/>
                <w:highlight w:val="none"/>
                <w:lang w:val="en-US" w:eastAsia="zh-CN"/>
              </w:rPr>
              <w:t>2</w:t>
            </w:r>
            <w:r>
              <w:rPr>
                <w:rFonts w:hint="eastAsia"/>
                <w:color w:val="auto"/>
                <w:sz w:val="24"/>
                <w:highlight w:val="none"/>
              </w:rPr>
              <w:t>排气筒排放，天然气燃烧废气中烟气黑度能满足《工业炉窑大气污染物排放标准》（GB9078-1996）表2的干燥炉、窑二级标准，颗粒物、二氧化硫、氮氧化物能满足《大气污染物综合排放标准》（GB16297-1996）表2中二级标准。</w:t>
            </w:r>
          </w:p>
          <w:p>
            <w:pPr>
              <w:pStyle w:val="2"/>
              <w:overflowPunct w:val="0"/>
              <w:autoSpaceDE w:val="0"/>
              <w:autoSpaceDN w:val="0"/>
              <w:snapToGrid/>
              <w:spacing w:before="0" w:after="0" w:line="360" w:lineRule="auto"/>
              <w:ind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排油烟机的工作原理是抽吸室内的油烟气体，经分离油雾后通过管道排向室外。排油烟机安装于炉灶上部，由机体内的电动机驱动涡壳中的叶轮旋转，在进风口区域形成一定的负压，通过集烟腔的引流。从而在炉灶上方一定的空间范围内形成负压区，其周边的油烟气体受负压吸引到达滤网，经过过滤分离出一部分大颗粒油雾，其余气体进入烟机内部的离心风机系统，经过风机叶轮的高速旋转，油烟气体受到离心力的作用被甩出叶轮，再次进行油烟分离，分离出来的油经过导油系统流入油杯，净化后的烟气沿涡壳弧线变径方向顺着风管排出室外。</w:t>
            </w:r>
          </w:p>
          <w:p>
            <w:pPr>
              <w:pStyle w:val="2"/>
              <w:overflowPunct w:val="0"/>
              <w:autoSpaceDE w:val="0"/>
              <w:autoSpaceDN w:val="0"/>
              <w:snapToGrid/>
              <w:spacing w:before="0" w:after="0" w:line="360" w:lineRule="auto"/>
              <w:ind w:right="0" w:firstLine="480" w:firstLineChars="200"/>
              <w:rPr>
                <w:rFonts w:hint="eastAsia" w:eastAsia="宋体"/>
                <w:color w:val="auto"/>
                <w:sz w:val="24"/>
                <w:highlight w:val="none"/>
                <w:lang w:eastAsia="zh-CN"/>
              </w:rPr>
            </w:pPr>
            <w:r>
              <w:rPr>
                <w:rFonts w:hint="eastAsia"/>
                <w:color w:val="auto"/>
                <w:sz w:val="24"/>
                <w:highlight w:val="none"/>
                <w:lang w:eastAsia="zh-CN"/>
              </w:rPr>
              <w:t>油烟排放浓度为0.</w:t>
            </w:r>
            <w:r>
              <w:rPr>
                <w:rFonts w:hint="eastAsia"/>
                <w:color w:val="auto"/>
                <w:sz w:val="24"/>
                <w:highlight w:val="none"/>
                <w:lang w:val="en-US" w:eastAsia="zh-CN"/>
              </w:rPr>
              <w:t>9</w:t>
            </w:r>
            <w:r>
              <w:rPr>
                <w:rFonts w:hint="eastAsia"/>
                <w:color w:val="auto"/>
                <w:sz w:val="24"/>
                <w:highlight w:val="none"/>
                <w:lang w:eastAsia="zh-CN"/>
              </w:rPr>
              <w:t>mg/m</w:t>
            </w:r>
            <w:r>
              <w:rPr>
                <w:rFonts w:hint="eastAsia"/>
                <w:color w:val="auto"/>
                <w:sz w:val="24"/>
                <w:highlight w:val="none"/>
                <w:vertAlign w:val="superscript"/>
                <w:lang w:eastAsia="zh-CN"/>
              </w:rPr>
              <w:t>3</w:t>
            </w:r>
            <w:r>
              <w:rPr>
                <w:rFonts w:hint="eastAsia"/>
                <w:color w:val="auto"/>
                <w:sz w:val="24"/>
                <w:highlight w:val="none"/>
                <w:lang w:eastAsia="zh-CN"/>
              </w:rPr>
              <w:t>，满足《饮食业油烟排放标准（试行）》（GB18483- 2001）中的小型排放标准（≤2.0mg/m</w:t>
            </w:r>
            <w:r>
              <w:rPr>
                <w:rFonts w:hint="eastAsia"/>
                <w:color w:val="auto"/>
                <w:sz w:val="24"/>
                <w:highlight w:val="none"/>
                <w:vertAlign w:val="superscript"/>
                <w:lang w:eastAsia="zh-CN"/>
              </w:rPr>
              <w:t>3</w:t>
            </w:r>
            <w:r>
              <w:rPr>
                <w:rFonts w:hint="eastAsia"/>
                <w:color w:val="auto"/>
                <w:sz w:val="24"/>
                <w:highlight w:val="none"/>
                <w:lang w:eastAsia="zh-CN"/>
              </w:rPr>
              <w:t>），故处理措施可行。</w:t>
            </w:r>
          </w:p>
          <w:p>
            <w:pPr>
              <w:pStyle w:val="2"/>
              <w:overflowPunct w:val="0"/>
              <w:autoSpaceDE w:val="0"/>
              <w:autoSpaceDN w:val="0"/>
              <w:snapToGrid/>
              <w:spacing w:before="0" w:after="0" w:line="360" w:lineRule="auto"/>
              <w:ind w:right="0" w:firstLine="480" w:firstLineChars="200"/>
              <w:rPr>
                <w:rFonts w:hint="eastAsia"/>
                <w:color w:val="auto"/>
                <w:sz w:val="24"/>
                <w:szCs w:val="24"/>
                <w:highlight w:val="none"/>
              </w:rPr>
            </w:pPr>
            <w:r>
              <w:rPr>
                <w:rFonts w:hint="eastAsia"/>
                <w:color w:val="auto"/>
                <w:sz w:val="24"/>
                <w:highlight w:val="none"/>
              </w:rPr>
              <w:t>综上所述，</w:t>
            </w:r>
            <w:r>
              <w:rPr>
                <w:color w:val="auto"/>
                <w:sz w:val="24"/>
                <w:highlight w:val="none"/>
              </w:rPr>
              <w:t>本项目废气</w:t>
            </w:r>
            <w:r>
              <w:rPr>
                <w:rFonts w:hint="eastAsia"/>
                <w:color w:val="auto"/>
                <w:sz w:val="24"/>
                <w:highlight w:val="none"/>
                <w:lang w:eastAsia="zh-CN"/>
              </w:rPr>
              <w:t>污染物</w:t>
            </w:r>
            <w:r>
              <w:rPr>
                <w:color w:val="auto"/>
                <w:sz w:val="24"/>
                <w:highlight w:val="none"/>
              </w:rPr>
              <w:t>主要包括</w:t>
            </w:r>
            <w:r>
              <w:rPr>
                <w:rFonts w:hint="eastAsia"/>
                <w:color w:val="auto"/>
                <w:sz w:val="24"/>
                <w:highlight w:val="none"/>
                <w:lang w:eastAsia="zh-CN"/>
              </w:rPr>
              <w:t>挥发性有机物、颗粒物</w:t>
            </w:r>
            <w:r>
              <w:rPr>
                <w:color w:val="auto"/>
                <w:sz w:val="24"/>
                <w:highlight w:val="none"/>
              </w:rPr>
              <w:t>、</w:t>
            </w:r>
            <w:r>
              <w:rPr>
                <w:rFonts w:hint="eastAsia"/>
                <w:color w:val="auto"/>
                <w:sz w:val="24"/>
                <w:highlight w:val="none"/>
              </w:rPr>
              <w:t>天然气</w:t>
            </w:r>
            <w:r>
              <w:rPr>
                <w:color w:val="auto"/>
                <w:sz w:val="24"/>
                <w:highlight w:val="none"/>
              </w:rPr>
              <w:t>燃烧废气</w:t>
            </w:r>
            <w:r>
              <w:rPr>
                <w:rFonts w:hint="eastAsia"/>
                <w:color w:val="auto"/>
                <w:sz w:val="24"/>
                <w:highlight w:val="none"/>
                <w:lang w:eastAsia="zh-CN"/>
              </w:rPr>
              <w:t>、</w:t>
            </w:r>
            <w:r>
              <w:rPr>
                <w:rFonts w:hint="eastAsia"/>
                <w:color w:val="auto"/>
                <w:sz w:val="24"/>
                <w:highlight w:val="none"/>
                <w:lang w:val="en-US" w:eastAsia="zh-CN"/>
              </w:rPr>
              <w:t>食堂油烟废气</w:t>
            </w:r>
            <w:r>
              <w:rPr>
                <w:color w:val="auto"/>
                <w:sz w:val="24"/>
                <w:highlight w:val="none"/>
              </w:rPr>
              <w:t>，</w:t>
            </w:r>
            <w:r>
              <w:rPr>
                <w:rFonts w:hint="eastAsia"/>
                <w:color w:val="auto"/>
                <w:sz w:val="24"/>
                <w:highlight w:val="none"/>
                <w:lang w:eastAsia="zh-CN"/>
              </w:rPr>
              <w:t>废气</w:t>
            </w:r>
            <w:r>
              <w:rPr>
                <w:rFonts w:hint="eastAsia"/>
                <w:color w:val="auto"/>
                <w:sz w:val="24"/>
                <w:highlight w:val="none"/>
              </w:rPr>
              <w:t>收集后再</w:t>
            </w:r>
            <w:r>
              <w:rPr>
                <w:rFonts w:hint="eastAsia"/>
                <w:color w:val="auto"/>
                <w:sz w:val="24"/>
                <w:highlight w:val="none"/>
                <w:lang w:val="en-US" w:eastAsia="zh-CN"/>
              </w:rPr>
              <w:t>通过相应的处理设施处理达标后</w:t>
            </w:r>
            <w:r>
              <w:rPr>
                <w:rFonts w:hint="eastAsia"/>
                <w:color w:val="auto"/>
                <w:sz w:val="24"/>
                <w:szCs w:val="24"/>
                <w:highlight w:val="none"/>
                <w:lang w:val="en-US" w:eastAsia="zh-CN"/>
              </w:rPr>
              <w:t>排放</w:t>
            </w:r>
            <w:r>
              <w:rPr>
                <w:rFonts w:hint="eastAsia"/>
                <w:color w:val="auto"/>
                <w:sz w:val="24"/>
                <w:szCs w:val="24"/>
                <w:highlight w:val="none"/>
              </w:rPr>
              <w:t>，废气处理措施是可行的。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污染源监测要求</w:t>
            </w:r>
          </w:p>
          <w:p>
            <w:pPr>
              <w:spacing w:line="360" w:lineRule="auto"/>
              <w:ind w:firstLine="480" w:firstLineChars="200"/>
              <w:jc w:val="both"/>
              <w:rPr>
                <w:rFonts w:hint="eastAsia"/>
                <w:color w:val="auto"/>
                <w:sz w:val="24"/>
                <w:highlight w:val="none"/>
              </w:rPr>
            </w:pPr>
            <w:r>
              <w:rPr>
                <w:rFonts w:hint="eastAsia"/>
                <w:color w:val="auto"/>
                <w:sz w:val="24"/>
                <w:highlight w:val="none"/>
              </w:rPr>
              <w:t xml:space="preserve">根据《排污许可证申请与核发技术规范 </w:t>
            </w:r>
            <w:r>
              <w:rPr>
                <w:rFonts w:hint="eastAsia"/>
                <w:color w:val="auto"/>
                <w:sz w:val="24"/>
                <w:highlight w:val="none"/>
                <w:lang w:eastAsia="zh-CN"/>
              </w:rPr>
              <w:t>总则</w:t>
            </w:r>
            <w:r>
              <w:rPr>
                <w:rFonts w:hint="eastAsia"/>
                <w:color w:val="auto"/>
                <w:sz w:val="24"/>
                <w:highlight w:val="none"/>
              </w:rPr>
              <w:t>》（HJ 9</w:t>
            </w:r>
            <w:r>
              <w:rPr>
                <w:rFonts w:hint="eastAsia"/>
                <w:color w:val="auto"/>
                <w:sz w:val="24"/>
                <w:highlight w:val="none"/>
                <w:lang w:val="en-US" w:eastAsia="zh-CN"/>
              </w:rPr>
              <w:t>42</w:t>
            </w:r>
            <w:r>
              <w:rPr>
                <w:rFonts w:hint="eastAsia"/>
                <w:color w:val="auto"/>
                <w:sz w:val="24"/>
                <w:highlight w:val="none"/>
              </w:rPr>
              <w:t xml:space="preserve">-2018）、《排污单位自行监测技术指南 </w:t>
            </w:r>
            <w:r>
              <w:rPr>
                <w:rFonts w:hint="eastAsia"/>
                <w:color w:val="auto"/>
                <w:sz w:val="24"/>
                <w:highlight w:val="none"/>
                <w:lang w:val="en-US" w:eastAsia="zh-CN"/>
              </w:rPr>
              <w:t>涂装</w:t>
            </w:r>
            <w:r>
              <w:rPr>
                <w:rFonts w:hint="eastAsia"/>
                <w:color w:val="auto"/>
                <w:sz w:val="24"/>
                <w:highlight w:val="none"/>
              </w:rPr>
              <w:t>》（HJ 1086-2020）、《排污单位自行监测技术指南 总则》（HJ 819-2017）相关规范要求，详见下表。</w:t>
            </w:r>
          </w:p>
          <w:p>
            <w:pPr>
              <w:jc w:val="center"/>
              <w:rPr>
                <w:rFonts w:hint="eastAsia"/>
                <w:b/>
                <w:bCs/>
                <w:sz w:val="21"/>
                <w:szCs w:val="21"/>
              </w:rPr>
            </w:pPr>
            <w:r>
              <w:rPr>
                <w:rFonts w:hint="eastAsia"/>
                <w:b/>
                <w:bCs/>
                <w:sz w:val="21"/>
                <w:szCs w:val="21"/>
              </w:rPr>
              <w:t>表 4-</w:t>
            </w:r>
            <w:r>
              <w:rPr>
                <w:rFonts w:hint="eastAsia"/>
                <w:b/>
                <w:bCs/>
                <w:sz w:val="21"/>
                <w:szCs w:val="21"/>
                <w:lang w:val="en-US" w:eastAsia="zh-CN"/>
              </w:rPr>
              <w:t>5</w:t>
            </w:r>
            <w:r>
              <w:rPr>
                <w:rFonts w:hint="eastAsia"/>
                <w:b/>
                <w:bCs/>
                <w:sz w:val="21"/>
                <w:szCs w:val="21"/>
              </w:rPr>
              <w:t xml:space="preserve"> 废气环境监测计划</w:t>
            </w:r>
          </w:p>
          <w:tbl>
            <w:tblPr>
              <w:tblStyle w:val="23"/>
              <w:tblW w:w="4983" w:type="pct"/>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23"/>
              <w:gridCol w:w="2222"/>
              <w:gridCol w:w="943"/>
              <w:gridCol w:w="224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blHeader/>
              </w:trPr>
              <w:tc>
                <w:tcPr>
                  <w:tcW w:w="5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监测类别</w:t>
                  </w:r>
                </w:p>
              </w:tc>
              <w:tc>
                <w:tcPr>
                  <w:tcW w:w="10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监测布点</w:t>
                  </w: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监测项目</w:t>
                  </w:r>
                </w:p>
              </w:tc>
              <w:tc>
                <w:tcPr>
                  <w:tcW w:w="5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eastAsia="zh-CN"/>
                    </w:rPr>
                  </w:pPr>
                  <w:r>
                    <w:rPr>
                      <w:color w:val="auto"/>
                      <w:sz w:val="21"/>
                      <w:szCs w:val="21"/>
                      <w:highlight w:val="none"/>
                    </w:rPr>
                    <w:t>监测</w:t>
                  </w:r>
                  <w:r>
                    <w:rPr>
                      <w:rFonts w:hint="eastAsia"/>
                      <w:color w:val="auto"/>
                      <w:sz w:val="21"/>
                      <w:szCs w:val="21"/>
                      <w:highlight w:val="none"/>
                      <w:lang w:val="en-US" w:eastAsia="zh-CN"/>
                    </w:rPr>
                    <w:t>频次</w:t>
                  </w:r>
                </w:p>
              </w:tc>
              <w:tc>
                <w:tcPr>
                  <w:tcW w:w="13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sz w:val="21"/>
                      <w:szCs w:val="21"/>
                      <w:vertAlign w:val="baseline"/>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57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废气</w:t>
                  </w:r>
                </w:p>
              </w:tc>
              <w:tc>
                <w:tcPr>
                  <w:tcW w:w="10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D</w:t>
                  </w:r>
                  <w:r>
                    <w:rPr>
                      <w:color w:val="auto"/>
                      <w:sz w:val="21"/>
                      <w:szCs w:val="21"/>
                      <w:highlight w:val="none"/>
                    </w:rPr>
                    <w:t>A001</w:t>
                  </w:r>
                  <w:r>
                    <w:rPr>
                      <w:rFonts w:hint="eastAsia"/>
                      <w:color w:val="auto"/>
                      <w:sz w:val="21"/>
                      <w:szCs w:val="21"/>
                      <w:highlight w:val="none"/>
                    </w:rPr>
                    <w:t>排气筒</w:t>
                  </w: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eastAsia="宋体"/>
                      <w:color w:val="auto"/>
                      <w:sz w:val="21"/>
                      <w:szCs w:val="21"/>
                      <w:highlight w:val="none"/>
                      <w:lang w:eastAsia="zh-CN"/>
                    </w:rPr>
                  </w:pPr>
                  <w:r>
                    <w:rPr>
                      <w:rFonts w:hint="eastAsia" w:eastAsia="宋体"/>
                      <w:color w:val="auto"/>
                      <w:kern w:val="0"/>
                      <w:sz w:val="21"/>
                      <w:szCs w:val="21"/>
                      <w:highlight w:val="none"/>
                      <w:lang w:val="en-US" w:eastAsia="zh-CN"/>
                    </w:rPr>
                    <w:t>颗粒物</w:t>
                  </w:r>
                </w:p>
              </w:tc>
              <w:tc>
                <w:tcPr>
                  <w:tcW w:w="5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eastAsia="zh-CN"/>
                    </w:rPr>
                  </w:pPr>
                  <w:r>
                    <w:rPr>
                      <w:color w:val="auto"/>
                      <w:sz w:val="21"/>
                      <w:szCs w:val="21"/>
                      <w:highlight w:val="none"/>
                    </w:rPr>
                    <w:t>1次/</w:t>
                  </w:r>
                  <w:r>
                    <w:rPr>
                      <w:rFonts w:hint="eastAsia"/>
                      <w:color w:val="auto"/>
                      <w:sz w:val="21"/>
                      <w:szCs w:val="21"/>
                      <w:highlight w:val="none"/>
                      <w:lang w:eastAsia="zh-CN"/>
                    </w:rPr>
                    <w:t>年</w:t>
                  </w:r>
                </w:p>
              </w:tc>
              <w:tc>
                <w:tcPr>
                  <w:tcW w:w="13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《大气综合排放标准》GB16297-1996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5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10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厂界无组织</w:t>
                  </w:r>
                  <w:r>
                    <w:rPr>
                      <w:rFonts w:hint="eastAsia"/>
                      <w:color w:val="auto"/>
                      <w:sz w:val="21"/>
                      <w:szCs w:val="21"/>
                      <w:highlight w:val="none"/>
                    </w:rPr>
                    <w:t>废气</w:t>
                  </w: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eastAsia="宋体"/>
                      <w:color w:val="auto"/>
                      <w:sz w:val="21"/>
                      <w:szCs w:val="21"/>
                      <w:highlight w:val="none"/>
                      <w:lang w:eastAsia="zh-CN"/>
                    </w:rPr>
                  </w:pPr>
                  <w:r>
                    <w:rPr>
                      <w:rFonts w:hint="eastAsia"/>
                      <w:color w:val="auto"/>
                      <w:kern w:val="0"/>
                      <w:sz w:val="21"/>
                      <w:szCs w:val="21"/>
                      <w:highlight w:val="none"/>
                    </w:rPr>
                    <w:t>非甲烷总烃</w:t>
                  </w:r>
                  <w:r>
                    <w:rPr>
                      <w:rFonts w:hint="eastAsia"/>
                      <w:color w:val="auto"/>
                      <w:kern w:val="0"/>
                      <w:sz w:val="21"/>
                      <w:szCs w:val="21"/>
                      <w:highlight w:val="none"/>
                      <w:lang w:eastAsia="zh-CN"/>
                    </w:rPr>
                    <w:t>、颗粒物</w:t>
                  </w:r>
                </w:p>
              </w:tc>
              <w:tc>
                <w:tcPr>
                  <w:tcW w:w="5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1次/</w:t>
                  </w:r>
                  <w:r>
                    <w:rPr>
                      <w:rFonts w:hint="eastAsia"/>
                      <w:color w:val="auto"/>
                      <w:sz w:val="21"/>
                      <w:szCs w:val="21"/>
                      <w:highlight w:val="none"/>
                    </w:rPr>
                    <w:t>年</w:t>
                  </w:r>
                </w:p>
              </w:tc>
              <w:tc>
                <w:tcPr>
                  <w:tcW w:w="13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10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DA002排气筒</w:t>
                  </w: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color w:val="auto"/>
                      <w:kern w:val="0"/>
                      <w:sz w:val="21"/>
                      <w:szCs w:val="21"/>
                      <w:highlight w:val="none"/>
                    </w:rPr>
                  </w:pPr>
                  <w:r>
                    <w:rPr>
                      <w:color w:val="auto"/>
                      <w:kern w:val="0"/>
                      <w:sz w:val="21"/>
                      <w:szCs w:val="21"/>
                      <w:highlight w:val="none"/>
                    </w:rPr>
                    <w:t>颗粒物</w:t>
                  </w:r>
                </w:p>
              </w:tc>
              <w:tc>
                <w:tcPr>
                  <w:tcW w:w="58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1次/年</w:t>
                  </w:r>
                </w:p>
              </w:tc>
              <w:tc>
                <w:tcPr>
                  <w:tcW w:w="13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p>
              </w:tc>
              <w:tc>
                <w:tcPr>
                  <w:tcW w:w="10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r>
                    <w:rPr>
                      <w:rFonts w:hint="eastAsia"/>
                      <w:color w:val="auto"/>
                      <w:kern w:val="0"/>
                      <w:sz w:val="21"/>
                      <w:szCs w:val="21"/>
                      <w:highlight w:val="none"/>
                    </w:rPr>
                    <w:t>二氧化硫、氮氧化物</w:t>
                  </w:r>
                  <w:r>
                    <w:rPr>
                      <w:rFonts w:hint="eastAsia"/>
                      <w:color w:val="auto"/>
                      <w:kern w:val="0"/>
                      <w:sz w:val="21"/>
                      <w:szCs w:val="21"/>
                      <w:highlight w:val="none"/>
                      <w:lang w:eastAsia="zh-CN"/>
                    </w:rPr>
                    <w:t>、</w:t>
                  </w:r>
                  <w:r>
                    <w:rPr>
                      <w:rFonts w:hint="eastAsia"/>
                      <w:color w:val="auto"/>
                      <w:kern w:val="0"/>
                      <w:sz w:val="21"/>
                      <w:szCs w:val="21"/>
                      <w:highlight w:val="none"/>
                    </w:rPr>
                    <w:t>林格曼黑度</w:t>
                  </w:r>
                </w:p>
              </w:tc>
              <w:tc>
                <w:tcPr>
                  <w:tcW w:w="58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p>
              </w:tc>
              <w:tc>
                <w:tcPr>
                  <w:tcW w:w="13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bCs/>
                      <w:color w:val="auto"/>
                      <w:sz w:val="24"/>
                      <w:szCs w:val="24"/>
                      <w:highlight w:val="none"/>
                      <w:shd w:val="clear" w:color="auto" w:fill="auto"/>
                    </w:rPr>
                    <w:t>《工业炉窑大气污染物排放标准》（GB9078-1996）表2的干燥炉、窑二级标准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57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10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D</w:t>
                  </w:r>
                  <w:r>
                    <w:rPr>
                      <w:color w:val="auto"/>
                      <w:sz w:val="21"/>
                      <w:szCs w:val="21"/>
                      <w:highlight w:val="none"/>
                    </w:rPr>
                    <w:t>A00</w:t>
                  </w:r>
                  <w:r>
                    <w:rPr>
                      <w:rFonts w:hint="eastAsia"/>
                      <w:color w:val="auto"/>
                      <w:sz w:val="21"/>
                      <w:szCs w:val="21"/>
                      <w:highlight w:val="none"/>
                      <w:lang w:val="en-US" w:eastAsia="zh-CN"/>
                    </w:rPr>
                    <w:t>3</w:t>
                  </w:r>
                  <w:r>
                    <w:rPr>
                      <w:rFonts w:hint="eastAsia"/>
                      <w:color w:val="auto"/>
                      <w:sz w:val="21"/>
                      <w:szCs w:val="21"/>
                      <w:highlight w:val="none"/>
                    </w:rPr>
                    <w:t>排气筒</w:t>
                  </w:r>
                </w:p>
              </w:tc>
              <w:tc>
                <w:tcPr>
                  <w:tcW w:w="13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油烟</w:t>
                  </w:r>
                </w:p>
              </w:tc>
              <w:tc>
                <w:tcPr>
                  <w:tcW w:w="5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rPr>
                    <w:t>1次/年</w:t>
                  </w:r>
                </w:p>
              </w:tc>
              <w:tc>
                <w:tcPr>
                  <w:tcW w:w="13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default" w:ascii="Times New Roman" w:hAnsi="Times New Roman" w:eastAsia="宋体" w:cs="Times New Roman"/>
                      <w:color w:val="auto"/>
                      <w:sz w:val="24"/>
                      <w:szCs w:val="24"/>
                      <w:highlight w:val="none"/>
                    </w:rPr>
                    <w:t>《饮食业油烟排放标准（试行）》（GB18483- 2001）</w:t>
                  </w:r>
                </w:p>
              </w:tc>
            </w:tr>
          </w:tbl>
          <w:p>
            <w:pPr>
              <w:pStyle w:val="55"/>
              <w:rPr>
                <w:rFonts w:hint="eastAsia"/>
                <w:color w:val="auto"/>
                <w:szCs w:val="22"/>
                <w:highlight w:val="none"/>
              </w:rPr>
            </w:pPr>
            <w:r>
              <w:rPr>
                <w:rFonts w:hint="eastAsia"/>
                <w:color w:val="auto"/>
                <w:highlight w:val="none"/>
                <w:lang w:val="en-US" w:eastAsia="zh-CN"/>
              </w:rPr>
              <w:t>2、</w:t>
            </w:r>
            <w:r>
              <w:rPr>
                <w:rFonts w:hint="eastAsia"/>
                <w:color w:val="auto"/>
                <w:highlight w:val="none"/>
              </w:rPr>
              <w:t>废水环境影响和保护措施</w:t>
            </w:r>
          </w:p>
          <w:p>
            <w:pPr>
              <w:pStyle w:val="55"/>
              <w:rPr>
                <w:color w:val="auto"/>
                <w:highlight w:val="none"/>
              </w:rPr>
            </w:pPr>
            <w:r>
              <w:rPr>
                <w:rFonts w:hint="eastAsia"/>
                <w:color w:val="auto"/>
                <w:highlight w:val="none"/>
              </w:rPr>
              <w:t>2</w:t>
            </w:r>
            <w:r>
              <w:rPr>
                <w:color w:val="auto"/>
                <w:highlight w:val="none"/>
              </w:rPr>
              <w:t>.1</w:t>
            </w:r>
            <w:r>
              <w:rPr>
                <w:rFonts w:hint="eastAsia"/>
                <w:color w:val="auto"/>
                <w:highlight w:val="none"/>
              </w:rPr>
              <w:t>废水产生情况</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本项目无生产废水产生。本项目地面清理方式为清扫，无地面清洗废水。项目外排废水仅为生活废水。</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生活</w:t>
            </w:r>
            <w:r>
              <w:rPr>
                <w:rFonts w:hint="eastAsia"/>
                <w:color w:val="auto"/>
                <w:sz w:val="24"/>
                <w:highlight w:val="none"/>
                <w:lang w:eastAsia="zh-CN"/>
              </w:rPr>
              <w:t>废水</w:t>
            </w:r>
          </w:p>
          <w:p>
            <w:pPr>
              <w:adjustRightInd w:val="0"/>
              <w:snapToGrid w:val="0"/>
              <w:spacing w:line="360" w:lineRule="auto"/>
              <w:ind w:firstLine="480" w:firstLineChars="200"/>
              <w:rPr>
                <w:color w:val="auto"/>
                <w:sz w:val="24"/>
                <w:highlight w:val="none"/>
              </w:rPr>
            </w:pPr>
            <w:r>
              <w:rPr>
                <w:rFonts w:hint="eastAsia"/>
                <w:color w:val="auto"/>
                <w:sz w:val="24"/>
                <w:szCs w:val="24"/>
                <w:highlight w:val="none"/>
              </w:rPr>
              <w:t>本项目满负荷时劳动定员</w:t>
            </w:r>
            <w:r>
              <w:rPr>
                <w:rFonts w:hint="eastAsia"/>
                <w:color w:val="auto"/>
                <w:sz w:val="24"/>
                <w:szCs w:val="24"/>
                <w:highlight w:val="none"/>
                <w:lang w:val="en-US" w:eastAsia="zh-CN"/>
              </w:rPr>
              <w:t>30</w:t>
            </w:r>
            <w:r>
              <w:rPr>
                <w:rFonts w:hint="eastAsia"/>
                <w:color w:val="auto"/>
                <w:sz w:val="24"/>
                <w:szCs w:val="24"/>
                <w:highlight w:val="none"/>
              </w:rPr>
              <w:t>人</w:t>
            </w:r>
            <w:r>
              <w:rPr>
                <w:rFonts w:hint="eastAsia"/>
                <w:color w:val="auto"/>
                <w:sz w:val="24"/>
                <w:szCs w:val="24"/>
                <w:highlight w:val="none"/>
                <w:lang w:eastAsia="zh-CN"/>
              </w:rPr>
              <w:t>，</w:t>
            </w:r>
            <w:r>
              <w:rPr>
                <w:rFonts w:hint="eastAsia"/>
                <w:color w:val="000000" w:themeColor="text1"/>
                <w:sz w:val="24"/>
                <w:szCs w:val="24"/>
                <w14:textFill>
                  <w14:solidFill>
                    <w14:schemeClr w14:val="tx1"/>
                  </w14:solidFill>
                </w14:textFill>
              </w:rPr>
              <w:t>年工作</w:t>
            </w:r>
            <w:r>
              <w:rPr>
                <w:rFonts w:hint="eastAsia"/>
                <w:color w:val="000000" w:themeColor="text1"/>
                <w:sz w:val="24"/>
                <w:szCs w:val="24"/>
                <w:lang w:val="en-US" w:eastAsia="zh-CN"/>
                <w14:textFill>
                  <w14:solidFill>
                    <w14:schemeClr w14:val="tx1"/>
                  </w14:solidFill>
                </w14:textFill>
              </w:rPr>
              <w:t>27</w:t>
            </w:r>
            <w:r>
              <w:rPr>
                <w:rFonts w:hint="eastAsia"/>
                <w:color w:val="000000" w:themeColor="text1"/>
                <w:sz w:val="24"/>
                <w:szCs w:val="24"/>
                <w14:textFill>
                  <w14:solidFill>
                    <w14:schemeClr w14:val="tx1"/>
                  </w14:solidFill>
                </w14:textFill>
              </w:rPr>
              <w:t>0天，均不在厂区住宿员工用水量以</w:t>
            </w:r>
            <w:r>
              <w:rPr>
                <w:rFonts w:hint="eastAsia"/>
                <w:color w:val="000000" w:themeColor="text1"/>
                <w:sz w:val="24"/>
                <w:szCs w:val="24"/>
                <w:lang w:val="en-US" w:eastAsia="zh-CN"/>
                <w14:textFill>
                  <w14:solidFill>
                    <w14:schemeClr w14:val="tx1"/>
                  </w14:solidFill>
                </w14:textFill>
              </w:rPr>
              <w:t>50</w:t>
            </w:r>
            <w:r>
              <w:rPr>
                <w:rFonts w:hint="eastAsia"/>
                <w:color w:val="000000" w:themeColor="text1"/>
                <w:sz w:val="24"/>
                <w:szCs w:val="24"/>
                <w14:textFill>
                  <w14:solidFill>
                    <w14:schemeClr w14:val="tx1"/>
                  </w14:solidFill>
                </w14:textFill>
              </w:rPr>
              <w:t>L/d•人计，则生活用水量为</w:t>
            </w:r>
            <w:r>
              <w:rPr>
                <w:rFonts w:hint="eastAsia"/>
                <w:color w:val="000000" w:themeColor="text1"/>
                <w:sz w:val="24"/>
                <w:szCs w:val="24"/>
                <w:lang w:val="en-US" w:eastAsia="zh-CN"/>
                <w14:textFill>
                  <w14:solidFill>
                    <w14:schemeClr w14:val="tx1"/>
                  </w14:solidFill>
                </w14:textFill>
              </w:rPr>
              <w:t>364.5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/d），排水量按用水量的85%计，则本项目排水量为</w:t>
            </w:r>
            <w:r>
              <w:rPr>
                <w:rFonts w:hint="eastAsia"/>
                <w:color w:val="000000" w:themeColor="text1"/>
                <w:sz w:val="24"/>
                <w:szCs w:val="24"/>
                <w:lang w:val="en-US" w:eastAsia="zh-CN"/>
                <w14:textFill>
                  <w14:solidFill>
                    <w14:schemeClr w14:val="tx1"/>
                  </w14:solidFill>
                </w14:textFill>
              </w:rPr>
              <w:t>344.25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1.275</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/d），主要污染物为CODcr2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0mg/L、BOD</w:t>
            </w:r>
            <w:r>
              <w:rPr>
                <w:rFonts w:hint="eastAsia"/>
                <w:color w:val="000000" w:themeColor="text1"/>
                <w:sz w:val="24"/>
                <w:szCs w:val="24"/>
                <w:vertAlign w:val="subscript"/>
                <w14:textFill>
                  <w14:solidFill>
                    <w14:schemeClr w14:val="tx1"/>
                  </w14:solidFill>
                </w14:textFill>
              </w:rPr>
              <w:t>5</w:t>
            </w:r>
            <w:r>
              <w:rPr>
                <w:rFonts w:hint="eastAsia"/>
                <w:color w:val="000000" w:themeColor="text1"/>
                <w:sz w:val="24"/>
                <w:szCs w:val="24"/>
                <w14:textFill>
                  <w14:solidFill>
                    <w14:schemeClr w14:val="tx1"/>
                  </w14:solidFill>
                </w14:textFill>
              </w:rPr>
              <w:t>120mg/L、SS150mg/L、氨氮25mg/L</w:t>
            </w:r>
            <w:r>
              <w:rPr>
                <w:rFonts w:hint="eastAsia"/>
                <w:color w:val="000000" w:themeColor="text1"/>
                <w:sz w:val="24"/>
                <w:szCs w:val="24"/>
                <w:lang w:val="en-US" w:eastAsia="zh-CN"/>
                <w14:textFill>
                  <w14:solidFill>
                    <w14:schemeClr w14:val="tx1"/>
                  </w14:solidFill>
                </w14:textFill>
              </w:rPr>
              <w:t>、总磷4</w:t>
            </w:r>
            <w:r>
              <w:rPr>
                <w:rFonts w:hint="eastAsia"/>
                <w:color w:val="000000" w:themeColor="text1"/>
                <w:sz w:val="24"/>
                <w:szCs w:val="24"/>
                <w14:textFill>
                  <w14:solidFill>
                    <w14:schemeClr w14:val="tx1"/>
                  </w14:solidFill>
                </w14:textFill>
              </w:rPr>
              <w:t>mg/L</w:t>
            </w:r>
            <w:r>
              <w:rPr>
                <w:rFonts w:hint="eastAsia"/>
                <w:color w:val="000000" w:themeColor="text1"/>
                <w:sz w:val="24"/>
                <w:szCs w:val="24"/>
                <w:lang w:val="en-US" w:eastAsia="zh-CN"/>
                <w14:textFill>
                  <w14:solidFill>
                    <w14:schemeClr w14:val="tx1"/>
                  </w14:solidFill>
                </w14:textFill>
              </w:rPr>
              <w:t>、总氮30</w:t>
            </w:r>
            <w:r>
              <w:rPr>
                <w:rFonts w:hint="eastAsia"/>
                <w:color w:val="000000" w:themeColor="text1"/>
                <w:sz w:val="24"/>
                <w:szCs w:val="24"/>
                <w14:textFill>
                  <w14:solidFill>
                    <w14:schemeClr w14:val="tx1"/>
                  </w14:solidFill>
                </w14:textFill>
              </w:rPr>
              <w:t>mg/L</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动植物油15</w:t>
            </w:r>
            <w:r>
              <w:rPr>
                <w:rFonts w:hint="eastAsia"/>
                <w:color w:val="000000" w:themeColor="text1"/>
                <w:sz w:val="24"/>
                <w:szCs w:val="24"/>
                <w14:textFill>
                  <w14:solidFill>
                    <w14:schemeClr w14:val="tx1"/>
                  </w14:solidFill>
                </w14:textFill>
              </w:rPr>
              <w:t>mg/L等。</w:t>
            </w:r>
            <w:r>
              <w:rPr>
                <w:rFonts w:hint="eastAsia"/>
                <w:color w:val="auto"/>
                <w:sz w:val="24"/>
                <w:highlight w:val="none"/>
              </w:rPr>
              <w:t>生活污水经化粪池处理排入</w:t>
            </w:r>
            <w:r>
              <w:rPr>
                <w:rFonts w:hint="eastAsia"/>
                <w:color w:val="auto"/>
                <w:sz w:val="24"/>
                <w:highlight w:val="none"/>
                <w:lang w:val="en-US" w:eastAsia="zh-CN"/>
              </w:rPr>
              <w:t>下河线</w:t>
            </w:r>
            <w:r>
              <w:rPr>
                <w:rFonts w:hint="eastAsia"/>
                <w:color w:val="auto"/>
                <w:sz w:val="24"/>
                <w:highlight w:val="none"/>
              </w:rPr>
              <w:t>污水处理厂深度处理，</w:t>
            </w:r>
            <w:r>
              <w:rPr>
                <w:rFonts w:hint="eastAsia"/>
                <w:color w:val="auto"/>
                <w:sz w:val="24"/>
                <w:highlight w:val="none"/>
                <w:lang w:val="en-US" w:eastAsia="zh-CN"/>
              </w:rPr>
              <w:t>下河线</w:t>
            </w:r>
            <w:r>
              <w:rPr>
                <w:rFonts w:hint="eastAsia"/>
                <w:color w:val="auto"/>
                <w:sz w:val="24"/>
                <w:highlight w:val="none"/>
              </w:rPr>
              <w:t>污水处理厂尾水最终排入</w:t>
            </w:r>
            <w:r>
              <w:rPr>
                <w:rFonts w:hint="eastAsia"/>
                <w:color w:val="auto"/>
                <w:sz w:val="24"/>
                <w:highlight w:val="none"/>
                <w:lang w:val="en-US" w:eastAsia="zh-CN"/>
              </w:rPr>
              <w:t>湘江</w:t>
            </w:r>
            <w:r>
              <w:rPr>
                <w:rFonts w:hint="eastAsia"/>
                <w:color w:val="auto"/>
                <w:sz w:val="24"/>
                <w:highlight w:val="none"/>
                <w:lang w:eastAsia="zh-CN"/>
              </w:rPr>
              <w:t>。</w:t>
            </w:r>
          </w:p>
          <w:p>
            <w:pPr>
              <w:pStyle w:val="55"/>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根据分析，项目废水</w:t>
            </w:r>
            <w:r>
              <w:rPr>
                <w:rFonts w:hint="eastAsia" w:ascii="宋体" w:hAnsi="宋体" w:eastAsia="宋体" w:cs="宋体"/>
                <w:b w:val="0"/>
                <w:bCs/>
                <w:color w:val="auto"/>
                <w:sz w:val="24"/>
                <w:highlight w:val="none"/>
              </w:rPr>
              <w:t>雨污分流、清污分流。生活污水采用化粪池处理</w:t>
            </w:r>
            <w:r>
              <w:rPr>
                <w:rFonts w:hint="eastAsia" w:ascii="宋体" w:hAnsi="宋体" w:eastAsia="宋体" w:cs="宋体"/>
                <w:b w:val="0"/>
                <w:bCs/>
                <w:color w:val="auto"/>
                <w:sz w:val="24"/>
                <w:highlight w:val="none"/>
                <w:lang w:eastAsia="zh-CN"/>
              </w:rPr>
              <w:t>后经市政管网排入</w:t>
            </w:r>
            <w:r>
              <w:rPr>
                <w:rFonts w:hint="eastAsia" w:ascii="宋体" w:hAnsi="宋体" w:eastAsia="宋体" w:cs="宋体"/>
                <w:b w:val="0"/>
                <w:bCs/>
                <w:color w:val="auto"/>
                <w:sz w:val="24"/>
                <w:highlight w:val="none"/>
                <w:lang w:val="en-US" w:eastAsia="zh-CN"/>
              </w:rPr>
              <w:t>下河线</w:t>
            </w:r>
            <w:r>
              <w:rPr>
                <w:rFonts w:hint="eastAsia" w:ascii="宋体" w:hAnsi="宋体" w:eastAsia="宋体" w:cs="宋体"/>
                <w:b w:val="0"/>
                <w:bCs/>
                <w:color w:val="auto"/>
                <w:sz w:val="24"/>
                <w:highlight w:val="none"/>
                <w:lang w:eastAsia="zh-CN"/>
              </w:rPr>
              <w:t>污水处理厂进行深度处理</w:t>
            </w:r>
            <w:r>
              <w:rPr>
                <w:rFonts w:hint="eastAsia" w:ascii="宋体" w:hAnsi="宋体" w:eastAsia="宋体" w:cs="宋体"/>
                <w:b w:val="0"/>
                <w:bCs/>
                <w:color w:val="auto"/>
                <w:sz w:val="24"/>
                <w:highlight w:val="none"/>
              </w:rPr>
              <w:t>。</w:t>
            </w:r>
          </w:p>
          <w:p>
            <w:pPr>
              <w:pStyle w:val="66"/>
              <w:bidi w:val="0"/>
              <w:rPr>
                <w:rFonts w:hint="default"/>
                <w:color w:val="auto"/>
                <w:highlight w:val="none"/>
              </w:rPr>
            </w:pPr>
            <w:r>
              <w:rPr>
                <w:rFonts w:hint="eastAsia"/>
                <w:color w:val="auto"/>
                <w:highlight w:val="none"/>
                <w:lang w:eastAsia="zh-CN"/>
              </w:rPr>
              <w:t>外排</w:t>
            </w:r>
            <w:r>
              <w:rPr>
                <w:rFonts w:hint="default"/>
                <w:color w:val="auto"/>
                <w:highlight w:val="none"/>
              </w:rPr>
              <w:t>废水污染源产生、排放汇总表</w:t>
            </w:r>
          </w:p>
          <w:tbl>
            <w:tblPr>
              <w:tblStyle w:val="23"/>
              <w:tblW w:w="4993"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4"/>
              <w:gridCol w:w="578"/>
              <w:gridCol w:w="712"/>
              <w:gridCol w:w="708"/>
              <w:gridCol w:w="602"/>
              <w:gridCol w:w="544"/>
              <w:gridCol w:w="681"/>
              <w:gridCol w:w="705"/>
              <w:gridCol w:w="715"/>
              <w:gridCol w:w="485"/>
              <w:gridCol w:w="351"/>
              <w:gridCol w:w="72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213"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序号</w:t>
                  </w:r>
                </w:p>
              </w:tc>
              <w:tc>
                <w:tcPr>
                  <w:tcW w:w="358"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产排污环节</w:t>
                  </w:r>
                </w:p>
              </w:tc>
              <w:tc>
                <w:tcPr>
                  <w:tcW w:w="441"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污染物种类</w:t>
                  </w:r>
                </w:p>
              </w:tc>
              <w:tc>
                <w:tcPr>
                  <w:tcW w:w="812" w:type="pct"/>
                  <w:gridSpan w:val="2"/>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产生情况</w:t>
                  </w:r>
                </w:p>
              </w:tc>
              <w:tc>
                <w:tcPr>
                  <w:tcW w:w="337"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排放形式</w:t>
                  </w:r>
                </w:p>
              </w:tc>
              <w:tc>
                <w:tcPr>
                  <w:tcW w:w="1302" w:type="pct"/>
                  <w:gridSpan w:val="3"/>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污染物排放情况</w:t>
                  </w:r>
                </w:p>
              </w:tc>
              <w:tc>
                <w:tcPr>
                  <w:tcW w:w="1535" w:type="pct"/>
                  <w:gridSpan w:val="4"/>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38"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产生量t/a</w:t>
                  </w:r>
                </w:p>
              </w:tc>
              <w:tc>
                <w:tcPr>
                  <w:tcW w:w="37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产生浓度mg/m</w:t>
                  </w:r>
                  <w:r>
                    <w:rPr>
                      <w:rFonts w:hint="eastAsia"/>
                      <w:color w:val="000000" w:themeColor="text1"/>
                      <w:kern w:val="0"/>
                      <w:sz w:val="21"/>
                      <w:szCs w:val="21"/>
                      <w:vertAlign w:val="superscript"/>
                      <w14:textFill>
                        <w14:solidFill>
                          <w14:schemeClr w14:val="tx1"/>
                        </w14:solidFill>
                      </w14:textFill>
                    </w:rPr>
                    <w:t>3</w:t>
                  </w:r>
                </w:p>
              </w:tc>
              <w:tc>
                <w:tcPr>
                  <w:tcW w:w="337" w:type="pct"/>
                  <w:vMerge w:val="continue"/>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废水排放量t/a</w:t>
                  </w:r>
                </w:p>
              </w:tc>
              <w:tc>
                <w:tcPr>
                  <w:tcW w:w="43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污染物排放量t/a</w:t>
                  </w:r>
                </w:p>
              </w:tc>
              <w:tc>
                <w:tcPr>
                  <w:tcW w:w="44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排放浓度mg/m</w:t>
                  </w:r>
                  <w:r>
                    <w:rPr>
                      <w:rFonts w:hint="eastAsia"/>
                      <w:color w:val="000000" w:themeColor="text1"/>
                      <w:kern w:val="0"/>
                      <w:sz w:val="21"/>
                      <w:szCs w:val="21"/>
                      <w:vertAlign w:val="superscript"/>
                      <w14:textFill>
                        <w14:solidFill>
                          <w14:schemeClr w14:val="tx1"/>
                        </w14:solidFill>
                      </w14:textFill>
                    </w:rPr>
                    <w:t>3</w:t>
                  </w:r>
                </w:p>
              </w:tc>
              <w:tc>
                <w:tcPr>
                  <w:tcW w:w="300"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w:t>
                  </w:r>
                </w:p>
              </w:tc>
              <w:tc>
                <w:tcPr>
                  <w:tcW w:w="21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收集效率</w:t>
                  </w:r>
                </w:p>
              </w:tc>
              <w:tc>
                <w:tcPr>
                  <w:tcW w:w="450"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治理工艺去除率%</w:t>
                  </w:r>
                </w:p>
              </w:tc>
              <w:tc>
                <w:tcPr>
                  <w:tcW w:w="567"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213"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p>
              </w:tc>
              <w:tc>
                <w:tcPr>
                  <w:tcW w:w="358"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生活污水</w:t>
                  </w:r>
                </w:p>
              </w:tc>
              <w:tc>
                <w:tcPr>
                  <w:tcW w:w="441"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086</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73"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w:t>
                  </w:r>
                  <w:r>
                    <w:rPr>
                      <w:rFonts w:hint="eastAsia"/>
                      <w:color w:val="000000" w:themeColor="text1"/>
                      <w:kern w:val="0"/>
                      <w:sz w:val="21"/>
                      <w:szCs w:val="21"/>
                      <w:lang w:val="en-US" w:eastAsia="zh-CN"/>
                      <w14:textFill>
                        <w14:solidFill>
                          <w14:schemeClr w14:val="tx1"/>
                        </w14:solidFill>
                      </w14:textFill>
                    </w:rPr>
                    <w:t>5</w:t>
                  </w:r>
                  <w:r>
                    <w:rPr>
                      <w:rFonts w:hint="eastAsia"/>
                      <w:color w:val="000000" w:themeColor="text1"/>
                      <w:kern w:val="0"/>
                      <w:sz w:val="21"/>
                      <w:szCs w:val="21"/>
                      <w14:textFill>
                        <w14:solidFill>
                          <w14:schemeClr w14:val="tx1"/>
                        </w14:solidFill>
                      </w14:textFill>
                    </w:rPr>
                    <w:t>0</w:t>
                  </w:r>
                </w:p>
              </w:tc>
              <w:tc>
                <w:tcPr>
                  <w:tcW w:w="337"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22" w:type="pct"/>
                  <w:vMerge w:val="restar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344.25</w:t>
                  </w:r>
                </w:p>
              </w:tc>
              <w:tc>
                <w:tcPr>
                  <w:tcW w:w="4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000000" w:themeColor="text1"/>
                      <w:kern w:val="0"/>
                      <w:sz w:val="2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17</w:t>
                  </w:r>
                </w:p>
              </w:tc>
              <w:tc>
                <w:tcPr>
                  <w:tcW w:w="44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c>
                <w:tcPr>
                  <w:tcW w:w="300"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化粪池</w:t>
                  </w:r>
                </w:p>
              </w:tc>
              <w:tc>
                <w:tcPr>
                  <w:tcW w:w="217"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100%</w:t>
                  </w:r>
                </w:p>
              </w:tc>
              <w:tc>
                <w:tcPr>
                  <w:tcW w:w="450"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567"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4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041</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73"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120</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000000" w:themeColor="text1"/>
                      <w:kern w:val="0"/>
                      <w:sz w:val="2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18</w:t>
                  </w:r>
                </w:p>
              </w:tc>
              <w:tc>
                <w:tcPr>
                  <w:tcW w:w="44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52</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052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7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028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443"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80</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09</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7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44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TP</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w:t>
                  </w:r>
                </w:p>
              </w:tc>
              <w:tc>
                <w:tcPr>
                  <w:tcW w:w="373" w:type="pct"/>
                  <w:noWrap/>
                  <w:vAlign w:val="center"/>
                </w:tcPr>
                <w:p>
                  <w:pPr>
                    <w:spacing w:line="240" w:lineRule="auto"/>
                    <w:ind w:firstLine="0" w:firstLineChars="0"/>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0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w:t>
                  </w:r>
                </w:p>
              </w:tc>
              <w:tc>
                <w:tcPr>
                  <w:tcW w:w="443" w:type="pct"/>
                  <w:noWrap/>
                  <w:vAlign w:val="center"/>
                </w:tcPr>
                <w:p>
                  <w:pPr>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0</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TN</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373"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0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443" w:type="pct"/>
                  <w:noWrap/>
                  <w:vAlign w:val="center"/>
                </w:tcPr>
                <w:p>
                  <w:pPr>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0</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1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8"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1" w:type="pct"/>
                  <w:noWrap/>
                  <w:vAlign w:val="center"/>
                </w:tcPr>
                <w:p>
                  <w:pPr>
                    <w:spacing w:line="240" w:lineRule="auto"/>
                    <w:ind w:firstLine="0" w:firstLineChars="0"/>
                    <w:jc w:val="center"/>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动植</w:t>
                  </w:r>
                </w:p>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物油</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w:t>
                  </w:r>
                </w:p>
              </w:tc>
              <w:tc>
                <w:tcPr>
                  <w:tcW w:w="373"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33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22"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w:t>
                  </w:r>
                </w:p>
              </w:tc>
              <w:tc>
                <w:tcPr>
                  <w:tcW w:w="443"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12</w:t>
                  </w:r>
                </w:p>
              </w:tc>
              <w:tc>
                <w:tcPr>
                  <w:tcW w:w="300"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1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50"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w:t>
                  </w:r>
                </w:p>
              </w:tc>
              <w:tc>
                <w:tcPr>
                  <w:tcW w:w="567"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bl>
          <w:p>
            <w:pPr>
              <w:rPr>
                <w:rFonts w:hint="default"/>
                <w:color w:val="auto"/>
                <w:highlight w:val="none"/>
              </w:rPr>
            </w:pP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表4-5  废水间接排放口基本情况表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06"/>
              <w:gridCol w:w="1650"/>
              <w:gridCol w:w="587"/>
              <w:gridCol w:w="659"/>
              <w:gridCol w:w="941"/>
              <w:gridCol w:w="68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30"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排放口编号</w:t>
                  </w:r>
                </w:p>
              </w:tc>
              <w:tc>
                <w:tcPr>
                  <w:tcW w:w="437"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排放口名称</w:t>
                  </w:r>
                </w:p>
              </w:tc>
              <w:tc>
                <w:tcPr>
                  <w:tcW w:w="1021"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地理坐标</w:t>
                  </w:r>
                </w:p>
              </w:tc>
              <w:tc>
                <w:tcPr>
                  <w:tcW w:w="363"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排放方式</w:t>
                  </w:r>
                </w:p>
              </w:tc>
              <w:tc>
                <w:tcPr>
                  <w:tcW w:w="40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排放规律</w:t>
                  </w:r>
                </w:p>
              </w:tc>
              <w:tc>
                <w:tcPr>
                  <w:tcW w:w="58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排放去向</w:t>
                  </w:r>
                </w:p>
              </w:tc>
              <w:tc>
                <w:tcPr>
                  <w:tcW w:w="423"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排放口类型</w:t>
                  </w:r>
                </w:p>
              </w:tc>
              <w:tc>
                <w:tcPr>
                  <w:tcW w:w="123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30"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DW001</w:t>
                  </w:r>
                </w:p>
              </w:tc>
              <w:tc>
                <w:tcPr>
                  <w:tcW w:w="437" w:type="pct"/>
                  <w:noWrap w:val="0"/>
                  <w:vAlign w:val="center"/>
                </w:tcPr>
                <w:p>
                  <w:pPr>
                    <w:spacing w:line="240" w:lineRule="auto"/>
                    <w:ind w:firstLine="0" w:firstLineChars="0"/>
                    <w:jc w:val="center"/>
                    <w:rPr>
                      <w:rFonts w:hint="eastAsia"/>
                      <w:color w:val="auto"/>
                      <w:kern w:val="0"/>
                      <w:sz w:val="21"/>
                      <w:szCs w:val="21"/>
                    </w:rPr>
                  </w:pPr>
                  <w:r>
                    <w:rPr>
                      <w:rFonts w:hint="eastAsia"/>
                      <w:color w:val="auto"/>
                      <w:kern w:val="0"/>
                      <w:sz w:val="21"/>
                      <w:szCs w:val="21"/>
                    </w:rPr>
                    <w:t>厂区总排口</w:t>
                  </w:r>
                </w:p>
              </w:tc>
              <w:tc>
                <w:tcPr>
                  <w:tcW w:w="1021" w:type="pct"/>
                  <w:noWrap w:val="0"/>
                  <w:vAlign w:val="center"/>
                </w:tcPr>
                <w:p>
                  <w:pPr>
                    <w:spacing w:line="240" w:lineRule="auto"/>
                    <w:ind w:firstLine="0" w:firstLineChars="0"/>
                    <w:jc w:val="center"/>
                    <w:rPr>
                      <w:color w:val="auto"/>
                      <w:kern w:val="0"/>
                      <w:sz w:val="21"/>
                      <w:szCs w:val="21"/>
                    </w:rPr>
                  </w:pPr>
                  <w:r>
                    <w:rPr>
                      <w:rFonts w:hint="eastAsia"/>
                      <w:color w:val="auto"/>
                      <w:kern w:val="0"/>
                      <w:sz w:val="21"/>
                      <w:szCs w:val="21"/>
                    </w:rPr>
                    <w:t>E111°36.240'，N26°24.058'</w:t>
                  </w:r>
                </w:p>
              </w:tc>
              <w:tc>
                <w:tcPr>
                  <w:tcW w:w="363"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0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连续排放，流量稳定</w:t>
                  </w:r>
                </w:p>
              </w:tc>
              <w:tc>
                <w:tcPr>
                  <w:tcW w:w="58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下河线污水处理厂</w:t>
                  </w:r>
                </w:p>
              </w:tc>
              <w:tc>
                <w:tcPr>
                  <w:tcW w:w="423"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一般排放口</w:t>
                  </w:r>
                </w:p>
              </w:tc>
              <w:tc>
                <w:tcPr>
                  <w:tcW w:w="123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污水综合排放标准》（GB8978-1996）排放限值，且需满足污水处理厂的进水水质要求</w:t>
                  </w:r>
                </w:p>
              </w:tc>
            </w:tr>
          </w:tbl>
          <w:p>
            <w:pPr>
              <w:spacing w:line="360" w:lineRule="auto"/>
              <w:ind w:firstLine="480"/>
              <w:rPr>
                <w:rFonts w:hint="eastAsia"/>
                <w:color w:val="000000" w:themeColor="text1"/>
                <w:sz w:val="24"/>
                <w:szCs w:val="24"/>
                <w14:textFill>
                  <w14:solidFill>
                    <w14:schemeClr w14:val="tx1"/>
                  </w14:solidFill>
                </w14:textFill>
              </w:rPr>
            </w:pPr>
            <w:r>
              <w:rPr>
                <w:rFonts w:hint="eastAsia"/>
                <w:color w:val="auto"/>
                <w:sz w:val="24"/>
                <w:szCs w:val="24"/>
                <w:highlight w:val="none"/>
              </w:rPr>
              <w:t>2.</w:t>
            </w:r>
            <w:r>
              <w:rPr>
                <w:rFonts w:hint="eastAsia"/>
                <w:color w:val="auto"/>
                <w:sz w:val="24"/>
                <w:szCs w:val="24"/>
                <w:highlight w:val="none"/>
                <w:lang w:val="en-US" w:eastAsia="zh-CN"/>
              </w:rPr>
              <w:t>2</w:t>
            </w:r>
            <w:r>
              <w:rPr>
                <w:rFonts w:hint="eastAsia"/>
                <w:color w:val="000000" w:themeColor="text1"/>
                <w:sz w:val="24"/>
                <w:szCs w:val="24"/>
                <w14:textFill>
                  <w14:solidFill>
                    <w14:schemeClr w14:val="tx1"/>
                  </w14:solidFill>
                </w14:textFill>
              </w:rPr>
              <w:t>本项目污水进入污水处理厂可行性</w:t>
            </w:r>
          </w:p>
          <w:p>
            <w:pPr>
              <w:spacing w:line="360" w:lineRule="auto"/>
              <w:ind w:firstLine="480"/>
              <w:rPr>
                <w:color w:val="000000" w:themeColor="text1"/>
                <w:sz w:val="24"/>
                <w:szCs w:val="24"/>
                <w:u w:val="single"/>
                <w:lang w:bidi="ar"/>
                <w14:textFill>
                  <w14:solidFill>
                    <w14:schemeClr w14:val="tx1"/>
                  </w14:solidFill>
                </w14:textFill>
              </w:rPr>
            </w:pPr>
            <w:r>
              <w:rPr>
                <w:rFonts w:hint="eastAsia"/>
                <w:color w:val="000000" w:themeColor="text1"/>
                <w:sz w:val="24"/>
                <w:szCs w:val="24"/>
                <w14:textFill>
                  <w14:solidFill>
                    <w14:schemeClr w14:val="tx1"/>
                  </w14:solidFill>
                </w14:textFill>
              </w:rPr>
              <w:t>永州市下河线污水处理厂位于永州市冷水滩区零陵北路896号。永州市下河线污水处理厂已经于2017年正式投入运行，设计规模20万m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/d。主要承担冷水滩区生活污水、工业废水的处理任务。</w:t>
            </w:r>
            <w:r>
              <w:rPr>
                <w:color w:val="000000" w:themeColor="text1"/>
                <w:sz w:val="24"/>
                <w:szCs w:val="24"/>
                <w14:textFill>
                  <w14:solidFill>
                    <w14:schemeClr w14:val="tx1"/>
                  </w14:solidFill>
                </w14:textFill>
              </w:rPr>
              <w:t>本项目位于</w:t>
            </w:r>
            <w:r>
              <w:rPr>
                <w:rFonts w:hint="eastAsia"/>
                <w:color w:val="000000" w:themeColor="text1"/>
                <w:sz w:val="24"/>
                <w:szCs w:val="24"/>
                <w:shd w:val="clear" w:color="auto" w:fill="FFFFFF"/>
                <w14:textFill>
                  <w14:solidFill>
                    <w14:schemeClr w14:val="tx1"/>
                  </w14:solidFill>
                </w14:textFill>
              </w:rPr>
              <w:t>湖南省永州经济技术开发区智慧装备产业园</w:t>
            </w:r>
            <w:r>
              <w:rPr>
                <w:color w:val="000000" w:themeColor="text1"/>
                <w:sz w:val="24"/>
                <w:szCs w:val="24"/>
                <w14:textFill>
                  <w14:solidFill>
                    <w14:schemeClr w14:val="tx1"/>
                  </w14:solidFill>
                </w14:textFill>
              </w:rPr>
              <w:t>，属于永州市污水处理厂纳污范围内，且项目排放的废水主要为生活污水</w:t>
            </w:r>
            <w:r>
              <w:rPr>
                <w:rFonts w:hint="eastAsia"/>
                <w:color w:val="000000" w:themeColor="text1"/>
                <w:sz w:val="24"/>
                <w:szCs w:val="24"/>
                <w14:textFill>
                  <w14:solidFill>
                    <w14:schemeClr w14:val="tx1"/>
                  </w14:solidFill>
                </w14:textFill>
              </w:rPr>
              <w:t>和纯水制备浓水，</w:t>
            </w:r>
            <w:r>
              <w:rPr>
                <w:color w:val="000000" w:themeColor="text1"/>
                <w:sz w:val="24"/>
                <w:szCs w:val="24"/>
                <w14:textFill>
                  <w14:solidFill>
                    <w14:schemeClr w14:val="tx1"/>
                  </w14:solidFill>
                </w14:textFill>
              </w:rPr>
              <w:t>废水水质简单，</w:t>
            </w:r>
            <w:r>
              <w:rPr>
                <w:rFonts w:hint="eastAsia"/>
                <w:color w:val="000000" w:themeColor="text1"/>
                <w:sz w:val="24"/>
                <w:szCs w:val="24"/>
                <w14:textFill>
                  <w14:solidFill>
                    <w14:schemeClr w14:val="tx1"/>
                  </w14:solidFill>
                </w14:textFill>
              </w:rPr>
              <w:t>生活污水</w:t>
            </w:r>
            <w:r>
              <w:rPr>
                <w:color w:val="000000" w:themeColor="text1"/>
                <w:sz w:val="24"/>
                <w:szCs w:val="24"/>
                <w14:textFill>
                  <w14:solidFill>
                    <w14:schemeClr w14:val="tx1"/>
                  </w14:solidFill>
                </w14:textFill>
              </w:rPr>
              <w:t>量为</w:t>
            </w:r>
            <w:r>
              <w:rPr>
                <w:rFonts w:hint="eastAsia"/>
                <w:color w:val="000000" w:themeColor="text1"/>
                <w:sz w:val="24"/>
                <w:szCs w:val="24"/>
                <w:lang w:val="en-US" w:eastAsia="zh-CN"/>
                <w14:textFill>
                  <w14:solidFill>
                    <w14:schemeClr w14:val="tx1"/>
                  </w14:solidFill>
                </w14:textFill>
              </w:rPr>
              <w:t>344.25</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/a，所占比例较小，生活废水经</w:t>
            </w:r>
            <w:r>
              <w:rPr>
                <w:rFonts w:hint="eastAsia"/>
                <w:color w:val="000000" w:themeColor="text1"/>
                <w:sz w:val="24"/>
                <w:szCs w:val="24"/>
                <w14:textFill>
                  <w14:solidFill>
                    <w14:schemeClr w14:val="tx1"/>
                  </w14:solidFill>
                </w14:textFill>
              </w:rPr>
              <w:t>化粪池</w:t>
            </w:r>
            <w:r>
              <w:rPr>
                <w:color w:val="000000" w:themeColor="text1"/>
                <w:sz w:val="24"/>
                <w:szCs w:val="24"/>
                <w14:textFill>
                  <w14:solidFill>
                    <w14:schemeClr w14:val="tx1"/>
                  </w14:solidFill>
                </w14:textFill>
              </w:rPr>
              <w:t>处理设施处理；生活污水经化粪池预处理后可达到永州下河线污水处理厂进水水质要求，就近排市政污水管网，进入下河线污水处理厂，因此本项目外排废水进入永州下河线污水厂处理可行，且对永州下河线污水处理厂的水质和水量不会产生冲击影响。</w:t>
            </w:r>
            <w:r>
              <w:rPr>
                <w:color w:val="000000" w:themeColor="text1"/>
                <w:sz w:val="24"/>
                <w:szCs w:val="24"/>
                <w:lang w:bidi="ar"/>
                <w14:textFill>
                  <w14:solidFill>
                    <w14:schemeClr w14:val="tx1"/>
                  </w14:solidFill>
                </w14:textFill>
              </w:rPr>
              <w:t>下河线污水处理厂是用于处理城市生活污水和工业污水的，其处理工艺能有效处理本项目产生的废水。</w:t>
            </w:r>
          </w:p>
          <w:p>
            <w:pPr>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2.3监测要求</w:t>
            </w:r>
          </w:p>
          <w:p>
            <w:pPr>
              <w:spacing w:line="360" w:lineRule="auto"/>
              <w:ind w:firstLine="422"/>
              <w:jc w:val="left"/>
              <w:rPr>
                <w:rFonts w:hint="eastAsia" w:eastAsia="宋体"/>
                <w:color w:val="auto"/>
                <w:sz w:val="24"/>
                <w:szCs w:val="24"/>
                <w:highlight w:val="none"/>
                <w:lang w:eastAsia="zh-CN"/>
              </w:rPr>
            </w:pPr>
            <w:r>
              <w:rPr>
                <w:rFonts w:hint="eastAsia"/>
                <w:color w:val="auto"/>
                <w:sz w:val="24"/>
                <w:szCs w:val="24"/>
                <w:highlight w:val="none"/>
                <w:lang w:val="en-US" w:eastAsia="zh-CN"/>
              </w:rPr>
              <w:t>根据</w:t>
            </w:r>
            <w:r>
              <w:rPr>
                <w:rFonts w:hint="eastAsia"/>
                <w:color w:val="auto"/>
                <w:sz w:val="24"/>
                <w:szCs w:val="24"/>
                <w:highlight w:val="none"/>
              </w:rPr>
              <w:t>《排污单位自行监测技术指南 总则》（HJ 819-2017）相关规范要求，制定本项目运营期环境监测计划</w:t>
            </w:r>
            <w:r>
              <w:rPr>
                <w:rFonts w:hint="eastAsia"/>
                <w:color w:val="auto"/>
                <w:sz w:val="24"/>
                <w:szCs w:val="24"/>
                <w:highlight w:val="none"/>
                <w:lang w:eastAsia="zh-CN"/>
              </w:rPr>
              <w:t>。</w:t>
            </w:r>
          </w:p>
          <w:p>
            <w:pPr>
              <w:spacing w:line="240" w:lineRule="auto"/>
              <w:ind w:firstLine="422"/>
              <w:jc w:val="center"/>
              <w:rPr>
                <w:rFonts w:hint="eastAsia"/>
                <w:lang w:val="en-US" w:eastAsia="zh-CN"/>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废水</w:t>
            </w:r>
            <w:r>
              <w:rPr>
                <w:rFonts w:hint="eastAsia"/>
                <w:b/>
                <w:bCs/>
                <w:color w:val="000000" w:themeColor="text1"/>
                <w:sz w:val="21"/>
                <w:szCs w:val="21"/>
                <w14:textFill>
                  <w14:solidFill>
                    <w14:schemeClr w14:val="tx1"/>
                  </w14:solidFill>
                </w14:textFill>
              </w:rPr>
              <w:t>自行监测一览表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405"/>
              <w:gridCol w:w="1355"/>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4"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监测点</w:t>
                  </w:r>
                </w:p>
              </w:tc>
              <w:tc>
                <w:tcPr>
                  <w:tcW w:w="1489"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839"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监测频次</w:t>
                  </w:r>
                </w:p>
              </w:tc>
              <w:tc>
                <w:tcPr>
                  <w:tcW w:w="1957" w:type="pct"/>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14"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废水外排口</w:t>
                  </w:r>
                </w:p>
              </w:tc>
              <w:tc>
                <w:tcPr>
                  <w:tcW w:w="1489" w:type="pct"/>
                  <w:noWrap w:val="0"/>
                  <w:vAlign w:val="center"/>
                </w:tcPr>
                <w:p>
                  <w:pPr>
                    <w:pStyle w:val="92"/>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化学需氧量、五日生化需氧量、氨氮、总磷、总氮、悬浮物、</w:t>
                  </w:r>
                  <w:r>
                    <w:rPr>
                      <w:rFonts w:hint="eastAsia" w:eastAsia="宋体"/>
                      <w:color w:val="000000" w:themeColor="text1"/>
                      <w:lang w:val="en-US" w:eastAsia="zh-CN"/>
                      <w14:textFill>
                        <w14:solidFill>
                          <w14:schemeClr w14:val="tx1"/>
                        </w14:solidFill>
                      </w14:textFill>
                    </w:rPr>
                    <w:t>动植物油</w:t>
                  </w:r>
                  <w:r>
                    <w:rPr>
                      <w:rFonts w:hint="default" w:eastAsia="宋体"/>
                      <w:color w:val="000000" w:themeColor="text1"/>
                      <w:lang w:val="en-US" w:eastAsia="zh-CN"/>
                      <w14:textFill>
                        <w14:solidFill>
                          <w14:schemeClr w14:val="tx1"/>
                        </w14:solidFill>
                      </w14:textFill>
                    </w:rPr>
                    <w:t>类</w:t>
                  </w:r>
                </w:p>
              </w:tc>
              <w:tc>
                <w:tcPr>
                  <w:tcW w:w="839" w:type="pct"/>
                  <w:noWrap w:val="0"/>
                  <w:vAlign w:val="center"/>
                </w:tcPr>
                <w:p>
                  <w:pPr>
                    <w:pStyle w:val="92"/>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1次/</w:t>
                  </w:r>
                  <w:r>
                    <w:rPr>
                      <w:rFonts w:hint="eastAsia"/>
                      <w:color w:val="000000" w:themeColor="text1"/>
                      <w:lang w:val="en-US" w:eastAsia="zh-CN"/>
                      <w14:textFill>
                        <w14:solidFill>
                          <w14:schemeClr w14:val="tx1"/>
                        </w14:solidFill>
                      </w14:textFill>
                    </w:rPr>
                    <w:t>年</w:t>
                  </w:r>
                </w:p>
              </w:tc>
              <w:tc>
                <w:tcPr>
                  <w:tcW w:w="1957" w:type="pct"/>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color w:val="auto"/>
                <w:szCs w:val="22"/>
                <w:highlight w:val="none"/>
              </w:rPr>
            </w:pPr>
            <w:r>
              <w:rPr>
                <w:rFonts w:hint="eastAsia" w:ascii="Times New Roman" w:hAnsi="Times New Roman" w:eastAsia="黑体" w:cs="Times New Roman"/>
                <w:bCs/>
                <w:color w:val="auto"/>
                <w:kern w:val="2"/>
                <w:sz w:val="24"/>
                <w:szCs w:val="24"/>
                <w:highlight w:val="none"/>
                <w:lang w:val="en-US" w:eastAsia="zh-CN" w:bidi="ar-SA"/>
              </w:rPr>
              <w:t>3、噪声环境影响和保护措施</w:t>
            </w:r>
          </w:p>
          <w:p>
            <w:pPr>
              <w:pStyle w:val="55"/>
              <w:rPr>
                <w:color w:val="auto"/>
                <w:highlight w:val="none"/>
              </w:rPr>
            </w:pPr>
            <w:r>
              <w:rPr>
                <w:color w:val="auto"/>
                <w:highlight w:val="none"/>
              </w:rPr>
              <w:t>3.1噪声污染源</w:t>
            </w:r>
            <w:r>
              <w:rPr>
                <w:rFonts w:hint="eastAsia"/>
                <w:color w:val="auto"/>
                <w:highlight w:val="none"/>
              </w:rPr>
              <w:t>及防治措施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1、噪声源强分析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营运期</w:t>
            </w:r>
            <w:r>
              <w:rPr>
                <w:color w:val="000000" w:themeColor="text1"/>
                <w:sz w:val="24"/>
                <w:szCs w:val="24"/>
                <w14:textFill>
                  <w14:solidFill>
                    <w14:schemeClr w14:val="tx1"/>
                  </w14:solidFill>
                </w14:textFill>
              </w:rPr>
              <w:t>主要噪声源为</w:t>
            </w:r>
            <w:r>
              <w:rPr>
                <w:rFonts w:hint="eastAsia"/>
                <w:color w:val="000000" w:themeColor="text1"/>
                <w:sz w:val="24"/>
                <w:szCs w:val="24"/>
                <w:lang w:val="en-US" w:eastAsia="zh-CN"/>
                <w14:textFill>
                  <w14:solidFill>
                    <w14:schemeClr w14:val="tx1"/>
                  </w14:solidFill>
                </w14:textFill>
              </w:rPr>
              <w:t>剪板机、展平机、折弯机、调直机、焊接、</w:t>
            </w:r>
            <w:r>
              <w:rPr>
                <w:rFonts w:hint="eastAsia"/>
                <w:color w:val="000000" w:themeColor="text1"/>
                <w:sz w:val="24"/>
                <w:szCs w:val="24"/>
                <w14:textFill>
                  <w14:solidFill>
                    <w14:schemeClr w14:val="tx1"/>
                  </w14:solidFill>
                </w14:textFill>
              </w:rPr>
              <w:t>风机</w:t>
            </w:r>
            <w:r>
              <w:rPr>
                <w:color w:val="000000" w:themeColor="text1"/>
                <w:sz w:val="24"/>
                <w:szCs w:val="24"/>
                <w14:textFill>
                  <w14:solidFill>
                    <w14:schemeClr w14:val="tx1"/>
                  </w14:solidFill>
                </w14:textFill>
              </w:rPr>
              <w:t>等设备运行噪声</w:t>
            </w:r>
            <w:r>
              <w:rPr>
                <w:rFonts w:hint="eastAsia"/>
                <w:color w:val="000000" w:themeColor="text1"/>
                <w:sz w:val="24"/>
                <w:szCs w:val="24"/>
                <w14:textFill>
                  <w14:solidFill>
                    <w14:schemeClr w14:val="tx1"/>
                  </w14:solidFill>
                </w14:textFill>
              </w:rPr>
              <w:t>、原材料和产品装卸噪声及运输车辆噪声</w:t>
            </w:r>
            <w:r>
              <w:rPr>
                <w:color w:val="000000" w:themeColor="text1"/>
                <w:sz w:val="24"/>
                <w:szCs w:val="24"/>
                <w14:textFill>
                  <w14:solidFill>
                    <w14:schemeClr w14:val="tx1"/>
                  </w14:solidFill>
                </w14:textFill>
              </w:rPr>
              <w:t>，通过类比分析可知，其噪声源强约为75-</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5dB(A)</w:t>
            </w:r>
            <w:r>
              <w:rPr>
                <w:rFonts w:hint="eastAsia"/>
                <w:color w:val="000000" w:themeColor="text1"/>
                <w:sz w:val="24"/>
                <w:szCs w:val="24"/>
                <w14:textFill>
                  <w14:solidFill>
                    <w14:schemeClr w14:val="tx1"/>
                  </w14:solidFill>
                </w14:textFill>
              </w:rPr>
              <w:t>，具体见表4-</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w:t>
            </w:r>
          </w:p>
          <w:p>
            <w:pPr>
              <w:spacing w:line="240" w:lineRule="auto"/>
              <w:ind w:firstLine="422"/>
              <w:jc w:val="center"/>
              <w:rPr>
                <w:rFonts w:hint="eastAsia"/>
                <w:b/>
                <w:color w:val="000000" w:themeColor="text1"/>
                <w:kern w:val="21"/>
                <w:sz w:val="24"/>
                <w:szCs w:val="24"/>
                <w14:textFill>
                  <w14:solidFill>
                    <w14:schemeClr w14:val="tx1"/>
                  </w14:solidFill>
                </w14:textFill>
              </w:rPr>
            </w:pPr>
            <w:r>
              <w:rPr>
                <w:rFonts w:hint="eastAsia"/>
                <w:b/>
                <w:color w:val="000000" w:themeColor="text1"/>
                <w:kern w:val="21"/>
                <w:sz w:val="24"/>
                <w:szCs w:val="24"/>
                <w14:textFill>
                  <w14:solidFill>
                    <w14:schemeClr w14:val="tx1"/>
                  </w14:solidFill>
                </w14:textFill>
              </w:rPr>
              <w:t>表4-</w:t>
            </w:r>
            <w:r>
              <w:rPr>
                <w:rFonts w:hint="eastAsia"/>
                <w:b/>
                <w:color w:val="000000" w:themeColor="text1"/>
                <w:kern w:val="21"/>
                <w:sz w:val="24"/>
                <w:szCs w:val="24"/>
                <w:lang w:val="en-US" w:eastAsia="zh-CN"/>
                <w14:textFill>
                  <w14:solidFill>
                    <w14:schemeClr w14:val="tx1"/>
                  </w14:solidFill>
                </w14:textFill>
              </w:rPr>
              <w:t>8</w:t>
            </w:r>
            <w:r>
              <w:rPr>
                <w:rFonts w:hint="eastAsia"/>
                <w:b/>
                <w:color w:val="000000" w:themeColor="text1"/>
                <w:kern w:val="21"/>
                <w:sz w:val="24"/>
                <w:szCs w:val="24"/>
                <w14:textFill>
                  <w14:solidFill>
                    <w14:schemeClr w14:val="tx1"/>
                  </w14:solidFill>
                </w14:textFill>
              </w:rPr>
              <w:t xml:space="preserve">  项目营运期主要设备噪声源强一览表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20"/>
              <w:gridCol w:w="1491"/>
              <w:gridCol w:w="152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序号</w:t>
                  </w:r>
                </w:p>
              </w:tc>
              <w:tc>
                <w:tcPr>
                  <w:tcW w:w="1003" w:type="pct"/>
                  <w:noWrap w:val="0"/>
                  <w:vAlign w:val="center"/>
                </w:tcPr>
                <w:p>
                  <w:pPr>
                    <w:pStyle w:val="2"/>
                    <w:jc w:val="center"/>
                    <w:rPr>
                      <w:rFonts w:hint="eastAsia"/>
                      <w:color w:val="auto"/>
                      <w:sz w:val="21"/>
                      <w:szCs w:val="21"/>
                    </w:rPr>
                  </w:pPr>
                  <w:r>
                    <w:rPr>
                      <w:rFonts w:hint="eastAsia"/>
                      <w:color w:val="auto"/>
                      <w:sz w:val="21"/>
                      <w:szCs w:val="21"/>
                    </w:rPr>
                    <w:t>设备名称</w:t>
                  </w:r>
                </w:p>
              </w:tc>
              <w:tc>
                <w:tcPr>
                  <w:tcW w:w="923" w:type="pct"/>
                  <w:noWrap w:val="0"/>
                  <w:vAlign w:val="center"/>
                </w:tcPr>
                <w:p>
                  <w:pPr>
                    <w:pStyle w:val="2"/>
                    <w:jc w:val="center"/>
                    <w:rPr>
                      <w:rFonts w:hint="eastAsia"/>
                      <w:color w:val="auto"/>
                      <w:sz w:val="21"/>
                      <w:szCs w:val="21"/>
                    </w:rPr>
                  </w:pPr>
                  <w:r>
                    <w:rPr>
                      <w:rFonts w:hint="eastAsia"/>
                      <w:color w:val="auto"/>
                      <w:sz w:val="21"/>
                      <w:szCs w:val="21"/>
                    </w:rPr>
                    <w:t>噪声源强（dB(A)）</w:t>
                  </w:r>
                </w:p>
              </w:tc>
              <w:tc>
                <w:tcPr>
                  <w:tcW w:w="942" w:type="pct"/>
                  <w:noWrap w:val="0"/>
                  <w:vAlign w:val="center"/>
                </w:tcPr>
                <w:p>
                  <w:pPr>
                    <w:pStyle w:val="2"/>
                    <w:jc w:val="center"/>
                    <w:rPr>
                      <w:rFonts w:hint="eastAsia"/>
                      <w:color w:val="auto"/>
                      <w:sz w:val="21"/>
                      <w:szCs w:val="21"/>
                    </w:rPr>
                  </w:pPr>
                  <w:r>
                    <w:rPr>
                      <w:rFonts w:hint="eastAsia"/>
                      <w:color w:val="auto"/>
                      <w:sz w:val="21"/>
                      <w:szCs w:val="21"/>
                    </w:rPr>
                    <w:t>位置</w:t>
                  </w:r>
                </w:p>
              </w:tc>
              <w:tc>
                <w:tcPr>
                  <w:tcW w:w="1747" w:type="pct"/>
                  <w:noWrap w:val="0"/>
                  <w:vAlign w:val="center"/>
                </w:tcPr>
                <w:p>
                  <w:pPr>
                    <w:pStyle w:val="2"/>
                    <w:jc w:val="center"/>
                    <w:rPr>
                      <w:rFonts w:hint="eastAsia"/>
                      <w:color w:val="auto"/>
                      <w:sz w:val="21"/>
                      <w:szCs w:val="21"/>
                    </w:rPr>
                  </w:pPr>
                  <w:r>
                    <w:rPr>
                      <w:rFonts w:hint="eastAsia"/>
                      <w:color w:val="auto"/>
                      <w:sz w:val="21"/>
                      <w:szCs w:val="21"/>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1</w:t>
                  </w:r>
                </w:p>
              </w:tc>
              <w:tc>
                <w:tcPr>
                  <w:tcW w:w="1003" w:type="pct"/>
                  <w:noWrap w:val="0"/>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剪板机</w:t>
                  </w:r>
                </w:p>
              </w:tc>
              <w:tc>
                <w:tcPr>
                  <w:tcW w:w="923" w:type="pct"/>
                  <w:noWrap w:val="0"/>
                  <w:vAlign w:val="center"/>
                </w:tcPr>
                <w:p>
                  <w:pPr>
                    <w:pStyle w:val="2"/>
                    <w:jc w:val="center"/>
                    <w:rPr>
                      <w:rFonts w:hint="eastAsia"/>
                      <w:color w:val="auto"/>
                      <w:sz w:val="21"/>
                      <w:szCs w:val="21"/>
                    </w:rPr>
                  </w:pPr>
                  <w:r>
                    <w:rPr>
                      <w:rFonts w:hint="eastAsia"/>
                      <w:color w:val="auto"/>
                      <w:sz w:val="21"/>
                      <w:szCs w:val="21"/>
                    </w:rPr>
                    <w:t>80-95</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2</w:t>
                  </w:r>
                </w:p>
              </w:tc>
              <w:tc>
                <w:tcPr>
                  <w:tcW w:w="1003" w:type="pct"/>
                  <w:noWrap w:val="0"/>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展平机</w:t>
                  </w:r>
                </w:p>
              </w:tc>
              <w:tc>
                <w:tcPr>
                  <w:tcW w:w="923" w:type="pct"/>
                  <w:noWrap w:val="0"/>
                  <w:vAlign w:val="center"/>
                </w:tcPr>
                <w:p>
                  <w:pPr>
                    <w:pStyle w:val="2"/>
                    <w:jc w:val="center"/>
                    <w:rPr>
                      <w:rFonts w:hint="eastAsia"/>
                      <w:color w:val="auto"/>
                      <w:sz w:val="21"/>
                      <w:szCs w:val="21"/>
                    </w:rPr>
                  </w:pPr>
                  <w:r>
                    <w:rPr>
                      <w:rFonts w:hint="eastAsia"/>
                      <w:color w:val="auto"/>
                      <w:sz w:val="21"/>
                      <w:szCs w:val="21"/>
                    </w:rPr>
                    <w:t>75-90</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3</w:t>
                  </w:r>
                </w:p>
              </w:tc>
              <w:tc>
                <w:tcPr>
                  <w:tcW w:w="1003" w:type="pct"/>
                  <w:noWrap w:val="0"/>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折弯机</w:t>
                  </w:r>
                </w:p>
              </w:tc>
              <w:tc>
                <w:tcPr>
                  <w:tcW w:w="923" w:type="pct"/>
                  <w:noWrap w:val="0"/>
                  <w:vAlign w:val="center"/>
                </w:tcPr>
                <w:p>
                  <w:pPr>
                    <w:pStyle w:val="2"/>
                    <w:jc w:val="center"/>
                    <w:rPr>
                      <w:rFonts w:hint="eastAsia"/>
                      <w:color w:val="auto"/>
                      <w:sz w:val="21"/>
                      <w:szCs w:val="21"/>
                    </w:rPr>
                  </w:pPr>
                  <w:r>
                    <w:rPr>
                      <w:rFonts w:hint="eastAsia"/>
                      <w:color w:val="auto"/>
                      <w:sz w:val="21"/>
                      <w:szCs w:val="21"/>
                    </w:rPr>
                    <w:t>80-95</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4</w:t>
                  </w:r>
                </w:p>
              </w:tc>
              <w:tc>
                <w:tcPr>
                  <w:tcW w:w="1003" w:type="pct"/>
                  <w:noWrap w:val="0"/>
                  <w:vAlign w:val="center"/>
                </w:tcPr>
                <w:p>
                  <w:pPr>
                    <w:pStyle w:val="2"/>
                    <w:jc w:val="center"/>
                    <w:rPr>
                      <w:rFonts w:hint="eastAsia" w:eastAsia="宋体"/>
                      <w:color w:val="auto"/>
                      <w:sz w:val="21"/>
                      <w:szCs w:val="21"/>
                      <w:lang w:eastAsia="zh-CN"/>
                    </w:rPr>
                  </w:pPr>
                  <w:r>
                    <w:rPr>
                      <w:rFonts w:hint="eastAsia"/>
                      <w:color w:val="auto"/>
                      <w:sz w:val="21"/>
                      <w:szCs w:val="21"/>
                      <w:lang w:val="en-US" w:eastAsia="zh-CN"/>
                    </w:rPr>
                    <w:t>调直机</w:t>
                  </w:r>
                </w:p>
              </w:tc>
              <w:tc>
                <w:tcPr>
                  <w:tcW w:w="923" w:type="pct"/>
                  <w:noWrap w:val="0"/>
                  <w:vAlign w:val="center"/>
                </w:tcPr>
                <w:p>
                  <w:pPr>
                    <w:pStyle w:val="2"/>
                    <w:jc w:val="center"/>
                    <w:rPr>
                      <w:rFonts w:hint="eastAsia"/>
                      <w:color w:val="auto"/>
                      <w:sz w:val="21"/>
                      <w:szCs w:val="21"/>
                    </w:rPr>
                  </w:pPr>
                  <w:r>
                    <w:rPr>
                      <w:rFonts w:hint="eastAsia"/>
                      <w:color w:val="auto"/>
                      <w:sz w:val="21"/>
                      <w:szCs w:val="21"/>
                    </w:rPr>
                    <w:t>75-85</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5</w:t>
                  </w:r>
                </w:p>
              </w:tc>
              <w:tc>
                <w:tcPr>
                  <w:tcW w:w="1003" w:type="pct"/>
                  <w:noWrap w:val="0"/>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焊接机</w:t>
                  </w:r>
                </w:p>
              </w:tc>
              <w:tc>
                <w:tcPr>
                  <w:tcW w:w="923" w:type="pct"/>
                  <w:noWrap w:val="0"/>
                  <w:vAlign w:val="center"/>
                </w:tcPr>
                <w:p>
                  <w:pPr>
                    <w:pStyle w:val="2"/>
                    <w:jc w:val="center"/>
                    <w:rPr>
                      <w:rFonts w:hint="eastAsia"/>
                      <w:color w:val="auto"/>
                      <w:sz w:val="21"/>
                      <w:szCs w:val="21"/>
                    </w:rPr>
                  </w:pPr>
                  <w:r>
                    <w:rPr>
                      <w:rFonts w:hint="eastAsia"/>
                      <w:color w:val="auto"/>
                      <w:sz w:val="21"/>
                      <w:szCs w:val="21"/>
                    </w:rPr>
                    <w:t>75-85</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0"/>
                  <w:vAlign w:val="center"/>
                </w:tcPr>
                <w:p>
                  <w:pPr>
                    <w:pStyle w:val="2"/>
                    <w:jc w:val="center"/>
                    <w:rPr>
                      <w:rFonts w:hint="eastAsia"/>
                      <w:color w:val="auto"/>
                      <w:sz w:val="21"/>
                      <w:szCs w:val="21"/>
                    </w:rPr>
                  </w:pPr>
                  <w:r>
                    <w:rPr>
                      <w:rFonts w:hint="eastAsia"/>
                      <w:color w:val="auto"/>
                      <w:sz w:val="21"/>
                      <w:szCs w:val="21"/>
                    </w:rPr>
                    <w:t>6</w:t>
                  </w:r>
                </w:p>
              </w:tc>
              <w:tc>
                <w:tcPr>
                  <w:tcW w:w="1003" w:type="pct"/>
                  <w:noWrap w:val="0"/>
                  <w:vAlign w:val="center"/>
                </w:tcPr>
                <w:p>
                  <w:pPr>
                    <w:pStyle w:val="2"/>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风机</w:t>
                  </w:r>
                </w:p>
              </w:tc>
              <w:tc>
                <w:tcPr>
                  <w:tcW w:w="923" w:type="pct"/>
                  <w:noWrap w:val="0"/>
                  <w:vAlign w:val="center"/>
                </w:tcPr>
                <w:p>
                  <w:pPr>
                    <w:pStyle w:val="2"/>
                    <w:jc w:val="center"/>
                    <w:rPr>
                      <w:rFonts w:hint="eastAsia"/>
                      <w:color w:val="auto"/>
                      <w:sz w:val="21"/>
                      <w:szCs w:val="21"/>
                    </w:rPr>
                  </w:pPr>
                  <w:r>
                    <w:rPr>
                      <w:rFonts w:hint="eastAsia"/>
                      <w:color w:val="auto"/>
                      <w:sz w:val="21"/>
                      <w:szCs w:val="21"/>
                    </w:rPr>
                    <w:t>80-95</w:t>
                  </w:r>
                </w:p>
              </w:tc>
              <w:tc>
                <w:tcPr>
                  <w:tcW w:w="942" w:type="pct"/>
                  <w:noWrap w:val="0"/>
                  <w:vAlign w:val="center"/>
                </w:tcPr>
                <w:p>
                  <w:pPr>
                    <w:pStyle w:val="2"/>
                    <w:jc w:val="center"/>
                    <w:rPr>
                      <w:rFonts w:hint="eastAsia"/>
                      <w:color w:val="auto"/>
                      <w:sz w:val="21"/>
                      <w:szCs w:val="21"/>
                    </w:rPr>
                  </w:pPr>
                  <w:r>
                    <w:rPr>
                      <w:rFonts w:hint="eastAsia"/>
                      <w:color w:val="auto"/>
                      <w:sz w:val="21"/>
                      <w:szCs w:val="21"/>
                    </w:rPr>
                    <w:t>生产车间</w:t>
                  </w:r>
                </w:p>
              </w:tc>
              <w:tc>
                <w:tcPr>
                  <w:tcW w:w="1747" w:type="pct"/>
                  <w:noWrap w:val="0"/>
                  <w:vAlign w:val="center"/>
                </w:tcPr>
                <w:p>
                  <w:pPr>
                    <w:pStyle w:val="2"/>
                    <w:jc w:val="center"/>
                    <w:rPr>
                      <w:rFonts w:hint="eastAsia"/>
                      <w:color w:val="auto"/>
                      <w:sz w:val="21"/>
                      <w:szCs w:val="21"/>
                    </w:rPr>
                  </w:pPr>
                  <w:r>
                    <w:rPr>
                      <w:rFonts w:hint="eastAsia"/>
                      <w:color w:val="auto"/>
                      <w:sz w:val="21"/>
                      <w:szCs w:val="21"/>
                    </w:rPr>
                    <w:t>基础减震、建筑隔声</w:t>
                  </w:r>
                </w:p>
              </w:tc>
            </w:tr>
          </w:tbl>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噪声预测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本次评价预测模式采用《环境影响评价技术导则</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声环境》（</w:t>
            </w:r>
            <w:r>
              <w:rPr>
                <w:color w:val="000000" w:themeColor="text1"/>
                <w:sz w:val="24"/>
                <w:szCs w:val="24"/>
                <w14:textFill>
                  <w14:solidFill>
                    <w14:schemeClr w14:val="tx1"/>
                  </w14:solidFill>
                </w14:textFill>
              </w:rPr>
              <w:t>HJ2.4-2009</w:t>
            </w:r>
            <w:r>
              <w:rPr>
                <w:rFonts w:hint="eastAsia"/>
                <w:color w:val="000000" w:themeColor="text1"/>
                <w:sz w:val="24"/>
                <w:szCs w:val="24"/>
                <w14:textFill>
                  <w14:solidFill>
                    <w14:schemeClr w14:val="tx1"/>
                  </w14:solidFill>
                </w14:textFill>
              </w:rPr>
              <w:t>）中推荐的点声源几何发散衰减模式。根据不同设备的噪声级、距厂界的距离等计算厂界的等效声级。</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为评估项目噪声对周围环境的最大影响，本次预测仅考虑几何发散，不考虑大气、地面效应、声屏障吸收和其他方面效应。预测模式如下：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①无指向性点声源几何发散衰减的计算公式：</w:t>
            </w:r>
          </w:p>
          <w:p>
            <w:pPr>
              <w:pStyle w:val="2"/>
              <w:spacing w:line="360" w:lineRule="auto"/>
              <w:ind w:firstLine="480"/>
              <w:rPr>
                <w:color w:val="000000" w:themeColor="text1"/>
                <w:sz w:val="24"/>
                <w:szCs w:val="24"/>
                <w14:textFill>
                  <w14:solidFill>
                    <w14:schemeClr w14:val="tx1"/>
                  </w14:solidFill>
                </w14:textFill>
              </w:rPr>
            </w:pPr>
            <w:r>
              <w:rPr>
                <w:color w:val="000000" w:themeColor="text1"/>
                <w:position w:val="-32"/>
                <w:sz w:val="24"/>
                <w:szCs w:val="24"/>
                <w14:textFill>
                  <w14:solidFill>
                    <w14:schemeClr w14:val="tx1"/>
                  </w14:solidFill>
                </w14:textFill>
              </w:rPr>
              <w:object>
                <v:shape id="_x0000_i1026" o:spt="75" type="#_x0000_t75" style="height:38.25pt;width:145.5pt;" o:ole="t" filled="f" o:preferrelative="t" stroked="f" coordsize="21600,21600">
                  <v:path/>
                  <v:fill on="f" focussize="0,0"/>
                  <v:stroke on="f"/>
                  <v:imagedata r:id="rId12" o:title=""/>
                  <o:lock v:ext="edit" aspectratio="t"/>
                  <w10:wrap type="none"/>
                  <w10:anchorlock/>
                </v:shape>
                <o:OLEObject Type="Embed" ProgID="Equation.3" ShapeID="_x0000_i1026" DrawAspect="Content" ObjectID="_1468075726" r:id="rId11">
                  <o:LockedField>false</o:LockedField>
                </o:OLEObject>
              </w:objec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式中: L(r)为距声源r处的声级，dB(A)；</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L(r0 )为距声源r0处的声级，dB(A)；</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Δ</w:t>
            </w:r>
            <w:r>
              <w:rPr>
                <w:rFonts w:hint="eastAsia"/>
                <w:color w:val="000000" w:themeColor="text1"/>
                <w:sz w:val="24"/>
                <w:szCs w:val="24"/>
                <w14:textFill>
                  <w14:solidFill>
                    <w14:schemeClr w14:val="tx1"/>
                  </w14:solidFill>
                </w14:textFill>
              </w:rPr>
              <w:t>L为衰减量，dB（A）。</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②对两个以上多个声源同时存在时，各预测点的总声压级采用以下公式对各声源产生的噪声值进行叠加计算：</w:t>
            </w:r>
          </w:p>
          <w:p>
            <w:pPr>
              <w:pStyle w:val="2"/>
              <w:spacing w:line="360" w:lineRule="auto"/>
              <w:ind w:firstLine="480"/>
              <w:rPr>
                <w:color w:val="000000" w:themeColor="text1"/>
                <w:sz w:val="24"/>
                <w:szCs w:val="24"/>
                <w14:textFill>
                  <w14:solidFill>
                    <w14:schemeClr w14:val="tx1"/>
                  </w14:solidFill>
                </w14:textFill>
              </w:rPr>
            </w:pPr>
            <w:r>
              <w:rPr>
                <w:color w:val="000000" w:themeColor="text1"/>
                <w:position w:val="-30"/>
                <w:sz w:val="24"/>
                <w:szCs w:val="24"/>
                <w14:textFill>
                  <w14:solidFill>
                    <w14:schemeClr w14:val="tx1"/>
                  </w14:solidFill>
                </w14:textFill>
              </w:rPr>
              <w:object>
                <v:shape id="_x0000_i1027" o:spt="75" type="#_x0000_t75" style="height:36pt;width:106.5pt;" o:ole="t" filled="f" o:preferrelative="t" stroked="f" coordsize="21600,21600">
                  <v:path/>
                  <v:fill on="f" focussize="0,0"/>
                  <v:stroke on="f"/>
                  <v:imagedata r:id="rId14" o:title=""/>
                  <o:lock v:ext="edit" aspectratio="t"/>
                  <w10:wrap type="none"/>
                  <w10:anchorlock/>
                </v:shape>
                <o:OLEObject Type="Embed" ProgID="Equation.3" ShapeID="_x0000_i1027" DrawAspect="Content" ObjectID="_1468075727" r:id="rId13">
                  <o:LockedField>false</o:LockedField>
                </o:OLEObject>
              </w:objec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式中：Leq—预测点的总等效声级dB（A）；</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Li—第i个声源对预测点的声级影响dB（A）。</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3、环境噪声预测结果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根据项目厂址周围环境状况，对厂界昼间</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本项目夜间不生产</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进行预测计算，结果见表4-</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w:t>
            </w:r>
          </w:p>
          <w:p>
            <w:pPr>
              <w:spacing w:line="240" w:lineRule="auto"/>
              <w:ind w:firstLine="422"/>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9</w:t>
            </w:r>
            <w:r>
              <w:rPr>
                <w:rFonts w:hint="eastAsia"/>
                <w:b/>
                <w:bCs/>
                <w:color w:val="000000" w:themeColor="text1"/>
                <w:sz w:val="24"/>
                <w:szCs w:val="24"/>
                <w14:textFill>
                  <w14:solidFill>
                    <w14:schemeClr w14:val="tx1"/>
                  </w14:solidFill>
                </w14:textFill>
              </w:rPr>
              <w:t xml:space="preserve"> 项目环境噪声预测结果</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65"/>
              <w:gridCol w:w="1121"/>
              <w:gridCol w:w="879"/>
              <w:gridCol w:w="867"/>
              <w:gridCol w:w="872"/>
              <w:gridCol w:w="88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预测时段</w:t>
                  </w:r>
                </w:p>
              </w:tc>
              <w:tc>
                <w:tcPr>
                  <w:tcW w:w="1031" w:type="pct"/>
                  <w:vMerge w:val="restar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预测点</w:t>
                  </w:r>
                </w:p>
              </w:tc>
              <w:tc>
                <w:tcPr>
                  <w:tcW w:w="694" w:type="pct"/>
                  <w:vMerge w:val="restar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噪声源与厂界距离</w:t>
                  </w:r>
                </w:p>
              </w:tc>
              <w:tc>
                <w:tcPr>
                  <w:tcW w:w="2168" w:type="pct"/>
                  <w:gridSpan w:val="4"/>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噪声级LeqdB(A)</w:t>
                  </w:r>
                </w:p>
              </w:tc>
              <w:tc>
                <w:tcPr>
                  <w:tcW w:w="609" w:type="pct"/>
                  <w:vMerge w:val="restar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noWrap w:val="0"/>
                  <w:vAlign w:val="center"/>
                </w:tcPr>
                <w:p>
                  <w:pPr>
                    <w:pStyle w:val="92"/>
                    <w:rPr>
                      <w:color w:val="000000" w:themeColor="text1"/>
                      <w14:textFill>
                        <w14:solidFill>
                          <w14:schemeClr w14:val="tx1"/>
                        </w14:solidFill>
                      </w14:textFill>
                    </w:rPr>
                  </w:pPr>
                </w:p>
              </w:tc>
              <w:tc>
                <w:tcPr>
                  <w:tcW w:w="1031" w:type="pct"/>
                  <w:vMerge w:val="continue"/>
                  <w:noWrap w:val="0"/>
                  <w:vAlign w:val="center"/>
                </w:tcPr>
                <w:p>
                  <w:pPr>
                    <w:pStyle w:val="92"/>
                    <w:rPr>
                      <w:color w:val="000000" w:themeColor="text1"/>
                      <w14:textFill>
                        <w14:solidFill>
                          <w14:schemeClr w14:val="tx1"/>
                        </w14:solidFill>
                      </w14:textFill>
                    </w:rPr>
                  </w:pPr>
                </w:p>
              </w:tc>
              <w:tc>
                <w:tcPr>
                  <w:tcW w:w="694" w:type="pct"/>
                  <w:vMerge w:val="continue"/>
                  <w:noWrap w:val="0"/>
                  <w:vAlign w:val="center"/>
                </w:tcPr>
                <w:p>
                  <w:pPr>
                    <w:pStyle w:val="92"/>
                    <w:rPr>
                      <w:color w:val="000000" w:themeColor="text1"/>
                      <w14:textFill>
                        <w14:solidFill>
                          <w14:schemeClr w14:val="tx1"/>
                        </w14:solidFill>
                      </w14:textFill>
                    </w:rPr>
                  </w:pPr>
                </w:p>
              </w:tc>
              <w:tc>
                <w:tcPr>
                  <w:tcW w:w="544"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贡献值</w:t>
                  </w:r>
                </w:p>
              </w:tc>
              <w:tc>
                <w:tcPr>
                  <w:tcW w:w="537"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背景值</w:t>
                  </w:r>
                </w:p>
              </w:tc>
              <w:tc>
                <w:tcPr>
                  <w:tcW w:w="540"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预测值</w:t>
                  </w:r>
                </w:p>
              </w:tc>
              <w:tc>
                <w:tcPr>
                  <w:tcW w:w="546"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609" w:type="pct"/>
                  <w:vMerge w:val="continue"/>
                  <w:noWrap w:val="0"/>
                  <w:vAlign w:val="center"/>
                </w:tcPr>
                <w:p>
                  <w:pPr>
                    <w:pStyle w:val="9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1031"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厂界东外1m处</w:t>
                  </w:r>
                </w:p>
              </w:tc>
              <w:tc>
                <w:tcPr>
                  <w:tcW w:w="694"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45m</w:t>
                  </w:r>
                </w:p>
              </w:tc>
              <w:tc>
                <w:tcPr>
                  <w:tcW w:w="544" w:type="pct"/>
                  <w:noWrap w:val="0"/>
                  <w:vAlign w:val="center"/>
                </w:tcPr>
                <w:p>
                  <w:pPr>
                    <w:pStyle w:val="9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42.4</w:t>
                  </w:r>
                </w:p>
              </w:tc>
              <w:tc>
                <w:tcPr>
                  <w:tcW w:w="537"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restar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类标准：昼间</w:t>
                  </w:r>
                  <w:r>
                    <w:rPr>
                      <w:rFonts w:hint="eastAsia"/>
                      <w:color w:val="000000" w:themeColor="text1"/>
                      <w14:textFill>
                        <w14:solidFill>
                          <w14:schemeClr w14:val="tx1"/>
                        </w14:solidFill>
                      </w14:textFill>
                    </w:rPr>
                    <w:t>65</w:t>
                  </w:r>
                </w:p>
              </w:tc>
              <w:tc>
                <w:tcPr>
                  <w:tcW w:w="609"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1031"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厂界南外1m处</w:t>
                  </w:r>
                </w:p>
              </w:tc>
              <w:tc>
                <w:tcPr>
                  <w:tcW w:w="694"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30m</w:t>
                  </w:r>
                </w:p>
              </w:tc>
              <w:tc>
                <w:tcPr>
                  <w:tcW w:w="544" w:type="pct"/>
                  <w:noWrap w:val="0"/>
                  <w:vAlign w:val="center"/>
                </w:tcPr>
                <w:p>
                  <w:pPr>
                    <w:pStyle w:val="9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57.2</w:t>
                  </w:r>
                </w:p>
              </w:tc>
              <w:tc>
                <w:tcPr>
                  <w:tcW w:w="537"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92"/>
                    <w:rPr>
                      <w:rFonts w:hint="eastAsia"/>
                      <w:color w:val="000000" w:themeColor="text1"/>
                      <w14:textFill>
                        <w14:solidFill>
                          <w14:schemeClr w14:val="tx1"/>
                        </w14:solidFill>
                      </w14:textFill>
                    </w:rPr>
                  </w:pPr>
                </w:p>
              </w:tc>
              <w:tc>
                <w:tcPr>
                  <w:tcW w:w="609"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1031"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厂界西外1m处</w:t>
                  </w:r>
                </w:p>
              </w:tc>
              <w:tc>
                <w:tcPr>
                  <w:tcW w:w="694"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45m</w:t>
                  </w:r>
                </w:p>
              </w:tc>
              <w:tc>
                <w:tcPr>
                  <w:tcW w:w="900" w:type="dxa"/>
                  <w:noWrap w:val="0"/>
                  <w:vAlign w:val="center"/>
                </w:tcPr>
                <w:p>
                  <w:pPr>
                    <w:pStyle w:val="9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49.6</w:t>
                  </w:r>
                </w:p>
              </w:tc>
              <w:tc>
                <w:tcPr>
                  <w:tcW w:w="537"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92"/>
                    <w:rPr>
                      <w:rFonts w:hint="eastAsia"/>
                      <w:color w:val="000000" w:themeColor="text1"/>
                      <w14:textFill>
                        <w14:solidFill>
                          <w14:schemeClr w14:val="tx1"/>
                        </w14:solidFill>
                      </w14:textFill>
                    </w:rPr>
                  </w:pPr>
                </w:p>
              </w:tc>
              <w:tc>
                <w:tcPr>
                  <w:tcW w:w="609"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1031"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厂界北外1m处</w:t>
                  </w:r>
                </w:p>
              </w:tc>
              <w:tc>
                <w:tcPr>
                  <w:tcW w:w="694"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30m</w:t>
                  </w:r>
                </w:p>
              </w:tc>
              <w:tc>
                <w:tcPr>
                  <w:tcW w:w="900" w:type="dxa"/>
                  <w:noWrap w:val="0"/>
                  <w:vAlign w:val="center"/>
                </w:tcPr>
                <w:p>
                  <w:pPr>
                    <w:pStyle w:val="9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53.9</w:t>
                  </w:r>
                </w:p>
              </w:tc>
              <w:tc>
                <w:tcPr>
                  <w:tcW w:w="537"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0"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46" w:type="pct"/>
                  <w:vMerge w:val="continue"/>
                  <w:noWrap w:val="0"/>
                  <w:vAlign w:val="center"/>
                </w:tcPr>
                <w:p>
                  <w:pPr>
                    <w:pStyle w:val="92"/>
                    <w:rPr>
                      <w:color w:val="000000" w:themeColor="text1"/>
                      <w14:textFill>
                        <w14:solidFill>
                          <w14:schemeClr w14:val="tx1"/>
                        </w14:solidFill>
                      </w14:textFill>
                    </w:rPr>
                  </w:pPr>
                </w:p>
              </w:tc>
              <w:tc>
                <w:tcPr>
                  <w:tcW w:w="609"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bl>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本次厂界噪声以贡献值作为评价量，根据上表数据可知，项目建成运营后昼、间厂界的贡献值均达到《工业企业厂界环境噪声排放标准》（GB12348-2008）3类标准，对周围声环境影响较小。</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为确保项目产生的噪声做到达标排放，本环评提出以下噪声防治要求：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①选用性能良好的低噪声设备。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②合理布置设备安装位置，将噪声较大的设备置于车间中间位置，延长噪声衰减距离，以降低设备噪声对厂界的影响。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③对生产设备做好防震、减震措施，设备安装时加装防震垫片。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④生产车间配备完好的门窗。</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⑤加强设备的日常维护和工人的生产操作管理，避免非正常生产噪声产生。</w:t>
            </w:r>
          </w:p>
          <w:p>
            <w:pPr>
              <w:spacing w:line="360" w:lineRule="auto"/>
              <w:ind w:firstLine="480"/>
              <w:rPr>
                <w:color w:val="000000" w:themeColor="text1"/>
                <w:sz w:val="24"/>
                <w:szCs w:val="24"/>
                <w:lang w:val="en-GB"/>
                <w14:textFill>
                  <w14:solidFill>
                    <w14:schemeClr w14:val="tx1"/>
                  </w14:solidFill>
                </w14:textFill>
              </w:rPr>
            </w:pPr>
            <w:r>
              <w:rPr>
                <w:rFonts w:hint="eastAsia"/>
                <w:color w:val="000000" w:themeColor="text1"/>
                <w:sz w:val="24"/>
                <w:szCs w:val="24"/>
                <w14:textFill>
                  <w14:solidFill>
                    <w14:schemeClr w14:val="tx1"/>
                  </w14:solidFill>
                </w14:textFill>
              </w:rPr>
              <w:t>综上，落实上述噪声防治措施后，本项目厂界的贡献值达到《工业企业厂界环境噪声排放标准》（GB12348-2008）3类标准，能够维持现有声环境质量现状，对周围声环境质量影响为可接受。</w:t>
            </w:r>
          </w:p>
          <w:p>
            <w:pPr>
              <w:spacing w:line="360" w:lineRule="auto"/>
              <w:ind w:firstLine="480"/>
              <w:rPr>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w:t>
            </w:r>
            <w:r>
              <w:rPr>
                <w:rFonts w:hint="eastAsia"/>
                <w:color w:val="000000" w:themeColor="text1"/>
                <w:sz w:val="24"/>
                <w:szCs w:val="24"/>
                <w14:textFill>
                  <w14:solidFill>
                    <w14:schemeClr w14:val="tx1"/>
                  </w14:solidFill>
                </w14:textFill>
              </w:rPr>
              <w:t>3</w:t>
            </w:r>
            <w:r>
              <w:rPr>
                <w:rFonts w:hint="eastAsia"/>
                <w:color w:val="000000" w:themeColor="text1"/>
                <w:sz w:val="24"/>
                <w:szCs w:val="24"/>
                <w:lang w:val="en-GB"/>
                <w14:textFill>
                  <w14:solidFill>
                    <w14:schemeClr w14:val="tx1"/>
                  </w14:solidFill>
                </w14:textFill>
              </w:rPr>
              <w:t>）监测要求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噪声自行监测要求如下</w:t>
            </w:r>
            <w:r>
              <w:rPr>
                <w:color w:val="000000" w:themeColor="text1"/>
                <w:sz w:val="24"/>
                <w:szCs w:val="24"/>
                <w14:textFill>
                  <w14:solidFill>
                    <w14:schemeClr w14:val="tx1"/>
                  </w14:solidFill>
                </w14:textFill>
              </w:rPr>
              <w:t>。</w:t>
            </w:r>
          </w:p>
          <w:p>
            <w:pPr>
              <w:spacing w:line="240" w:lineRule="auto"/>
              <w:ind w:firstLine="422"/>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10</w:t>
            </w:r>
            <w:r>
              <w:rPr>
                <w:rFonts w:hint="eastAsia"/>
                <w:b/>
                <w:bCs/>
                <w:color w:val="000000" w:themeColor="text1"/>
                <w:sz w:val="24"/>
                <w:szCs w:val="24"/>
                <w14:textFill>
                  <w14:solidFill>
                    <w14:schemeClr w14:val="tx1"/>
                  </w14:solidFill>
                </w14:textFill>
              </w:rPr>
              <w:t xml:space="preserve">   噪声自行监测一览表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711"/>
              <w:gridCol w:w="1677"/>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13"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监测点</w:t>
                  </w:r>
                </w:p>
              </w:tc>
              <w:tc>
                <w:tcPr>
                  <w:tcW w:w="1059"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038"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监测频次</w:t>
                  </w:r>
                </w:p>
              </w:tc>
              <w:tc>
                <w:tcPr>
                  <w:tcW w:w="2189" w:type="pct"/>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13"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四周厂界</w:t>
                  </w:r>
                </w:p>
              </w:tc>
              <w:tc>
                <w:tcPr>
                  <w:tcW w:w="1059" w:type="pct"/>
                  <w:noWrap w:val="0"/>
                  <w:vAlign w:val="center"/>
                </w:tcPr>
                <w:p>
                  <w:pPr>
                    <w:pStyle w:val="92"/>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等效连续A声级</w:t>
                  </w:r>
                </w:p>
              </w:tc>
              <w:tc>
                <w:tcPr>
                  <w:tcW w:w="1038" w:type="pct"/>
                  <w:noWrap w:val="0"/>
                  <w:vAlign w:val="center"/>
                </w:tcPr>
                <w:p>
                  <w:pPr>
                    <w:pStyle w:val="92"/>
                    <w:rPr>
                      <w:color w:val="000000" w:themeColor="text1"/>
                      <w14:textFill>
                        <w14:solidFill>
                          <w14:schemeClr w14:val="tx1"/>
                        </w14:solidFill>
                      </w14:textFill>
                    </w:rPr>
                  </w:pPr>
                  <w:r>
                    <w:rPr>
                      <w:rFonts w:hint="eastAsia"/>
                      <w:color w:val="000000" w:themeColor="text1"/>
                      <w14:textFill>
                        <w14:solidFill>
                          <w14:schemeClr w14:val="tx1"/>
                        </w14:solidFill>
                      </w14:textFill>
                    </w:rPr>
                    <w:t>1次/年</w:t>
                  </w:r>
                </w:p>
              </w:tc>
              <w:tc>
                <w:tcPr>
                  <w:tcW w:w="2189" w:type="pct"/>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厂界执行《工业企业厂界噪声排放标准》（GB12348-2008）中的3类标准</w:t>
                  </w:r>
                </w:p>
              </w:tc>
            </w:tr>
          </w:tbl>
          <w:p>
            <w:pPr>
              <w:pStyle w:val="55"/>
              <w:rPr>
                <w:rFonts w:hint="eastAsia"/>
                <w:color w:val="auto"/>
                <w:szCs w:val="22"/>
                <w:highlight w:val="none"/>
              </w:rPr>
            </w:pPr>
            <w:r>
              <w:rPr>
                <w:color w:val="auto"/>
                <w:highlight w:val="none"/>
              </w:rPr>
              <w:t>4</w:t>
            </w:r>
            <w:r>
              <w:rPr>
                <w:rFonts w:hint="eastAsia"/>
                <w:color w:val="auto"/>
                <w:highlight w:val="none"/>
              </w:rPr>
              <w:t>、固体废物环境影响和保护措施</w:t>
            </w:r>
          </w:p>
          <w:p>
            <w:pPr>
              <w:pStyle w:val="55"/>
              <w:rPr>
                <w:color w:val="auto"/>
                <w:highlight w:val="none"/>
              </w:rPr>
            </w:pPr>
            <w:r>
              <w:rPr>
                <w:rFonts w:hint="eastAsia"/>
                <w:color w:val="auto"/>
                <w:highlight w:val="none"/>
              </w:rPr>
              <w:t>4</w:t>
            </w:r>
            <w:r>
              <w:rPr>
                <w:color w:val="auto"/>
                <w:highlight w:val="none"/>
              </w:rPr>
              <w:t>.1</w:t>
            </w:r>
            <w:r>
              <w:rPr>
                <w:rFonts w:hint="eastAsia"/>
                <w:color w:val="auto"/>
                <w:highlight w:val="none"/>
              </w:rPr>
              <w:t>固体废物产排情况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rPr>
              <w:t>建设项目产生的固废主要为</w:t>
            </w:r>
            <w:r>
              <w:rPr>
                <w:rFonts w:hint="default" w:ascii="Times New Roman" w:hAnsi="Times New Roman" w:cs="Times New Roman"/>
                <w:b w:val="0"/>
                <w:bCs w:val="0"/>
                <w:color w:val="auto"/>
                <w:sz w:val="24"/>
                <w:highlight w:val="none"/>
                <w:lang w:eastAsia="zh-CN"/>
              </w:rPr>
              <w:t>钢材边角料</w:t>
            </w:r>
            <w:r>
              <w:rPr>
                <w:rFonts w:hint="eastAsia" w:ascii="Times New Roman" w:hAnsi="Times New Roman" w:cs="Times New Roman"/>
                <w:b w:val="0"/>
                <w:bCs w:val="0"/>
                <w:color w:val="auto"/>
                <w:sz w:val="24"/>
                <w:highlight w:val="none"/>
                <w:lang w:val="en-US" w:eastAsia="zh-CN"/>
              </w:rPr>
              <w:t>、</w:t>
            </w:r>
            <w:r>
              <w:rPr>
                <w:rFonts w:hint="default" w:ascii="Times New Roman" w:hAnsi="Times New Roman" w:cs="Times New Roman"/>
                <w:b w:val="0"/>
                <w:bCs w:val="0"/>
                <w:color w:val="auto"/>
                <w:sz w:val="24"/>
                <w:highlight w:val="none"/>
                <w:lang w:eastAsia="zh-CN"/>
              </w:rPr>
              <w:t>废气处理产生的固废（</w:t>
            </w:r>
            <w:r>
              <w:rPr>
                <w:rFonts w:hint="default" w:ascii="Times New Roman" w:hAnsi="Times New Roman" w:cs="Times New Roman"/>
                <w:b w:val="0"/>
                <w:bCs w:val="0"/>
                <w:color w:val="auto"/>
                <w:sz w:val="24"/>
                <w:highlight w:val="none"/>
                <w:lang w:val="en-US" w:eastAsia="zh-CN"/>
              </w:rPr>
              <w:t>废布袋</w:t>
            </w:r>
            <w:r>
              <w:rPr>
                <w:rFonts w:hint="eastAsia" w:ascii="Times New Roman" w:hAnsi="Times New Roman" w:cs="Times New Roman"/>
                <w:b w:val="0"/>
                <w:bCs w:val="0"/>
                <w:color w:val="auto"/>
                <w:sz w:val="24"/>
                <w:highlight w:val="none"/>
                <w:lang w:val="en-US" w:eastAsia="zh-CN"/>
              </w:rPr>
              <w:t>、除尘灰</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val="en-US" w:eastAsia="zh-CN"/>
              </w:rPr>
              <w:t>设备维护产生的固废（废润滑油、废润滑油桶）</w:t>
            </w:r>
            <w:r>
              <w:rPr>
                <w:rFonts w:hint="default" w:ascii="Times New Roman" w:hAnsi="Times New Roman" w:cs="Times New Roman"/>
                <w:b w:val="0"/>
                <w:bCs w:val="0"/>
                <w:color w:val="auto"/>
                <w:sz w:val="24"/>
                <w:highlight w:val="none"/>
              </w:rPr>
              <w:t>及工人日常生活产生的生活垃圾。</w:t>
            </w:r>
          </w:p>
          <w:p>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val="en-US" w:eastAsia="zh-CN"/>
              </w:rPr>
              <w:t>1</w:t>
            </w: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eastAsia="zh-CN"/>
              </w:rPr>
              <w:t>钢材边角料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根据建设单位提供，项目边角料产生量约占原料总用量的0.1%，钢材原料年用量为860t/a，则产生量约0.86t/a，收集后外售资源回收单位处理。</w:t>
            </w:r>
          </w:p>
          <w:p>
            <w:pPr>
              <w:adjustRightInd w:val="0"/>
              <w:snapToGrid w:val="0"/>
              <w:spacing w:line="360" w:lineRule="auto"/>
              <w:ind w:left="479" w:leftChars="228" w:firstLine="0" w:firstLineChars="0"/>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val="en-US" w:eastAsia="zh-CN"/>
              </w:rPr>
              <w:t>2</w:t>
            </w: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eastAsia="zh-CN"/>
              </w:rPr>
              <w:t>除尘</w:t>
            </w:r>
            <w:r>
              <w:rPr>
                <w:rFonts w:hint="default" w:ascii="Times New Roman" w:hAnsi="Times New Roman" w:cs="Times New Roman"/>
                <w:b w:val="0"/>
                <w:bCs w:val="0"/>
                <w:color w:val="auto"/>
                <w:sz w:val="24"/>
                <w:highlight w:val="none"/>
              </w:rPr>
              <w:t>灰</w:t>
            </w:r>
          </w:p>
          <w:p>
            <w:pPr>
              <w:adjustRightInd w:val="0"/>
              <w:snapToGrid w:val="0"/>
              <w:spacing w:line="360" w:lineRule="auto"/>
              <w:ind w:firstLine="480" w:firstLineChars="200"/>
              <w:rPr>
                <w:color w:val="0000FF"/>
                <w:sz w:val="24"/>
                <w:highlight w:val="none"/>
              </w:rPr>
            </w:pPr>
            <w:r>
              <w:rPr>
                <w:rFonts w:hint="eastAsia"/>
                <w:color w:val="auto"/>
                <w:sz w:val="24"/>
                <w:highlight w:val="none"/>
              </w:rPr>
              <w:t>根据</w:t>
            </w:r>
            <w:r>
              <w:rPr>
                <w:rFonts w:hint="eastAsia"/>
                <w:color w:val="auto"/>
                <w:sz w:val="24"/>
                <w:highlight w:val="none"/>
                <w:lang w:val="en-US" w:eastAsia="zh-CN"/>
              </w:rPr>
              <w:t>上文分析</w:t>
            </w:r>
            <w:r>
              <w:rPr>
                <w:rFonts w:hint="eastAsia"/>
                <w:color w:val="auto"/>
                <w:sz w:val="24"/>
                <w:highlight w:val="none"/>
              </w:rPr>
              <w:t>，</w:t>
            </w:r>
            <w:r>
              <w:rPr>
                <w:rFonts w:hint="eastAsia"/>
                <w:color w:val="auto"/>
                <w:sz w:val="24"/>
                <w:highlight w:val="none"/>
                <w:lang w:eastAsia="zh-CN"/>
              </w:rPr>
              <w:t>本项目废气处理设施布袋除尘器去除颗粒物量</w:t>
            </w:r>
            <w:r>
              <w:rPr>
                <w:rFonts w:hint="eastAsia"/>
                <w:color w:val="auto"/>
                <w:sz w:val="24"/>
                <w:highlight w:val="none"/>
                <w:lang w:val="en-US" w:eastAsia="zh-CN"/>
              </w:rPr>
              <w:t>11.59t/a</w:t>
            </w:r>
            <w:r>
              <w:rPr>
                <w:rFonts w:hint="eastAsia"/>
                <w:color w:val="auto"/>
                <w:sz w:val="24"/>
                <w:highlight w:val="none"/>
              </w:rPr>
              <w:t>，属于一般工业固体废物，收集后贮存于仓库，收集后外售资源回收单位处理。</w:t>
            </w:r>
          </w:p>
          <w:p>
            <w:pPr>
              <w:adjustRightInd w:val="0"/>
              <w:snapToGrid w:val="0"/>
              <w:spacing w:line="396" w:lineRule="auto"/>
              <w:ind w:firstLine="480" w:firstLineChars="200"/>
              <w:rPr>
                <w:b w:val="0"/>
                <w:bCs w:val="0"/>
                <w:color w:val="auto"/>
                <w:sz w:val="24"/>
                <w:highlight w:val="none"/>
              </w:rPr>
            </w:pPr>
            <w:r>
              <w:rPr>
                <w:rFonts w:hint="eastAsia"/>
                <w:b w:val="0"/>
                <w:bCs w:val="0"/>
                <w:color w:val="auto"/>
                <w:sz w:val="24"/>
                <w:highlight w:val="none"/>
              </w:rPr>
              <w:t>（</w:t>
            </w:r>
            <w:r>
              <w:rPr>
                <w:rFonts w:hint="eastAsia"/>
                <w:b w:val="0"/>
                <w:bCs w:val="0"/>
                <w:color w:val="auto"/>
                <w:sz w:val="24"/>
                <w:highlight w:val="none"/>
                <w:lang w:val="en-US" w:eastAsia="zh-CN"/>
              </w:rPr>
              <w:t>3</w:t>
            </w:r>
            <w:r>
              <w:rPr>
                <w:rFonts w:hint="eastAsia"/>
                <w:b w:val="0"/>
                <w:bCs w:val="0"/>
                <w:color w:val="auto"/>
                <w:sz w:val="24"/>
                <w:highlight w:val="none"/>
              </w:rPr>
              <w:t>）废</w:t>
            </w:r>
            <w:r>
              <w:rPr>
                <w:rFonts w:hint="eastAsia"/>
                <w:b w:val="0"/>
                <w:bCs w:val="0"/>
                <w:color w:val="auto"/>
                <w:sz w:val="24"/>
                <w:highlight w:val="none"/>
                <w:lang w:val="en-US" w:eastAsia="zh-CN"/>
              </w:rPr>
              <w:t>润滑</w:t>
            </w:r>
            <w:r>
              <w:rPr>
                <w:rFonts w:hint="eastAsia"/>
                <w:b w:val="0"/>
                <w:bCs w:val="0"/>
                <w:color w:val="auto"/>
                <w:sz w:val="24"/>
                <w:highlight w:val="none"/>
              </w:rPr>
              <w:t>油、废</w:t>
            </w:r>
            <w:r>
              <w:rPr>
                <w:rFonts w:hint="eastAsia"/>
                <w:b w:val="0"/>
                <w:bCs w:val="0"/>
                <w:color w:val="auto"/>
                <w:sz w:val="24"/>
                <w:highlight w:val="none"/>
                <w:lang w:val="en-US" w:eastAsia="zh-CN"/>
              </w:rPr>
              <w:t>润滑</w:t>
            </w:r>
            <w:r>
              <w:rPr>
                <w:rFonts w:hint="eastAsia"/>
                <w:b w:val="0"/>
                <w:bCs w:val="0"/>
                <w:color w:val="auto"/>
                <w:sz w:val="24"/>
                <w:highlight w:val="none"/>
              </w:rPr>
              <w:t>油桶</w:t>
            </w:r>
          </w:p>
          <w:p>
            <w:pPr>
              <w:adjustRightInd w:val="0"/>
              <w:snapToGrid w:val="0"/>
              <w:spacing w:line="396" w:lineRule="auto"/>
              <w:ind w:firstLine="480" w:firstLineChars="200"/>
              <w:rPr>
                <w:color w:val="auto"/>
                <w:sz w:val="24"/>
                <w:highlight w:val="none"/>
              </w:rPr>
            </w:pPr>
            <w:r>
              <w:rPr>
                <w:rFonts w:hint="eastAsia"/>
                <w:color w:val="auto"/>
                <w:sz w:val="24"/>
                <w:highlight w:val="none"/>
              </w:rPr>
              <w:t>设备维护保养产生废</w:t>
            </w:r>
            <w:r>
              <w:rPr>
                <w:rFonts w:hint="eastAsia"/>
                <w:color w:val="auto"/>
                <w:sz w:val="24"/>
                <w:highlight w:val="none"/>
                <w:lang w:val="en-US" w:eastAsia="zh-CN"/>
              </w:rPr>
              <w:t>润滑</w:t>
            </w:r>
            <w:r>
              <w:rPr>
                <w:rFonts w:hint="eastAsia"/>
                <w:color w:val="auto"/>
                <w:sz w:val="24"/>
                <w:highlight w:val="none"/>
              </w:rPr>
              <w:t>油，根据建设单位提供的资料，项目运营期产生废</w:t>
            </w:r>
            <w:r>
              <w:rPr>
                <w:rFonts w:hint="eastAsia"/>
                <w:color w:val="auto"/>
                <w:sz w:val="24"/>
                <w:highlight w:val="none"/>
                <w:lang w:val="en-US" w:eastAsia="zh-CN"/>
              </w:rPr>
              <w:t>润滑</w:t>
            </w:r>
            <w:r>
              <w:rPr>
                <w:rFonts w:hint="eastAsia"/>
                <w:color w:val="auto"/>
                <w:sz w:val="24"/>
                <w:highlight w:val="none"/>
              </w:rPr>
              <w:t>油预计为0.</w:t>
            </w:r>
            <w:r>
              <w:rPr>
                <w:rFonts w:hint="eastAsia"/>
                <w:color w:val="auto"/>
                <w:sz w:val="24"/>
                <w:highlight w:val="none"/>
                <w:lang w:val="en-US" w:eastAsia="zh-CN"/>
              </w:rPr>
              <w:t>05</w:t>
            </w:r>
            <w:r>
              <w:rPr>
                <w:rFonts w:hint="eastAsia"/>
                <w:color w:val="auto"/>
                <w:sz w:val="24"/>
                <w:highlight w:val="none"/>
              </w:rPr>
              <w:t>t/a，属于危险废物（H</w:t>
            </w:r>
            <w:r>
              <w:rPr>
                <w:color w:val="auto"/>
                <w:sz w:val="24"/>
                <w:highlight w:val="none"/>
              </w:rPr>
              <w:t>W08</w:t>
            </w:r>
            <w:r>
              <w:rPr>
                <w:rFonts w:hint="eastAsia"/>
                <w:color w:val="auto"/>
                <w:sz w:val="24"/>
                <w:highlight w:val="none"/>
              </w:rPr>
              <w:t>，</w:t>
            </w:r>
            <w:r>
              <w:rPr>
                <w:color w:val="auto"/>
                <w:sz w:val="24"/>
                <w:highlight w:val="none"/>
              </w:rPr>
              <w:t>900-219-08</w:t>
            </w:r>
            <w:r>
              <w:rPr>
                <w:rFonts w:hint="eastAsia"/>
                <w:color w:val="auto"/>
                <w:sz w:val="24"/>
                <w:highlight w:val="none"/>
              </w:rPr>
              <w:t>），收集后贮存于</w:t>
            </w:r>
            <w:r>
              <w:rPr>
                <w:rFonts w:hint="eastAsia"/>
                <w:color w:val="auto"/>
                <w:sz w:val="24"/>
                <w:highlight w:val="none"/>
                <w:lang w:eastAsia="zh-CN"/>
              </w:rPr>
              <w:t>危险废物暂存间</w:t>
            </w:r>
            <w:r>
              <w:rPr>
                <w:rFonts w:hint="eastAsia"/>
                <w:color w:val="auto"/>
                <w:sz w:val="24"/>
                <w:highlight w:val="none"/>
              </w:rPr>
              <w:t>，定期委托有资质单位处理。</w:t>
            </w:r>
          </w:p>
          <w:p>
            <w:pPr>
              <w:adjustRightInd w:val="0"/>
              <w:snapToGrid w:val="0"/>
              <w:spacing w:line="396" w:lineRule="auto"/>
              <w:ind w:firstLine="480" w:firstLineChars="200"/>
              <w:rPr>
                <w:color w:val="auto"/>
                <w:sz w:val="24"/>
                <w:highlight w:val="none"/>
              </w:rPr>
            </w:pPr>
            <w:r>
              <w:rPr>
                <w:rFonts w:hint="eastAsia"/>
                <w:color w:val="auto"/>
                <w:sz w:val="24"/>
                <w:highlight w:val="none"/>
              </w:rPr>
              <w:t>根据建设单位提供的资料，更换</w:t>
            </w:r>
            <w:r>
              <w:rPr>
                <w:rFonts w:hint="eastAsia"/>
                <w:color w:val="auto"/>
                <w:sz w:val="24"/>
                <w:highlight w:val="none"/>
                <w:lang w:val="en-US" w:eastAsia="zh-CN"/>
              </w:rPr>
              <w:t>润滑</w:t>
            </w:r>
            <w:r>
              <w:rPr>
                <w:rFonts w:hint="eastAsia"/>
                <w:color w:val="auto"/>
                <w:sz w:val="24"/>
                <w:highlight w:val="none"/>
              </w:rPr>
              <w:t>油产生废</w:t>
            </w:r>
            <w:r>
              <w:rPr>
                <w:rFonts w:hint="eastAsia"/>
                <w:color w:val="auto"/>
                <w:sz w:val="24"/>
                <w:highlight w:val="none"/>
                <w:lang w:val="en-US" w:eastAsia="zh-CN"/>
              </w:rPr>
              <w:t>润滑</w:t>
            </w:r>
            <w:r>
              <w:rPr>
                <w:rFonts w:hint="eastAsia"/>
                <w:color w:val="auto"/>
                <w:sz w:val="24"/>
                <w:highlight w:val="none"/>
              </w:rPr>
              <w:t>油桶约0.</w:t>
            </w:r>
            <w:r>
              <w:rPr>
                <w:rFonts w:hint="eastAsia"/>
                <w:color w:val="auto"/>
                <w:sz w:val="24"/>
                <w:highlight w:val="none"/>
                <w:lang w:val="en-US" w:eastAsia="zh-CN"/>
              </w:rPr>
              <w:t>05</w:t>
            </w:r>
            <w:r>
              <w:rPr>
                <w:rFonts w:hint="eastAsia"/>
                <w:color w:val="auto"/>
                <w:sz w:val="24"/>
                <w:highlight w:val="none"/>
              </w:rPr>
              <w:t>t/a，属于危险废物（H</w:t>
            </w:r>
            <w:r>
              <w:rPr>
                <w:color w:val="auto"/>
                <w:sz w:val="24"/>
                <w:highlight w:val="none"/>
              </w:rPr>
              <w:t>W08</w:t>
            </w:r>
            <w:r>
              <w:rPr>
                <w:rFonts w:hint="eastAsia"/>
                <w:color w:val="auto"/>
                <w:sz w:val="24"/>
                <w:highlight w:val="none"/>
              </w:rPr>
              <w:t>，</w:t>
            </w:r>
            <w:r>
              <w:rPr>
                <w:color w:val="auto"/>
                <w:sz w:val="24"/>
                <w:highlight w:val="none"/>
              </w:rPr>
              <w:t>900-249-08</w:t>
            </w:r>
            <w:r>
              <w:rPr>
                <w:rFonts w:hint="eastAsia"/>
                <w:color w:val="auto"/>
                <w:sz w:val="24"/>
                <w:highlight w:val="none"/>
              </w:rPr>
              <w:t>），收集后贮存于</w:t>
            </w:r>
            <w:r>
              <w:rPr>
                <w:rFonts w:hint="eastAsia"/>
                <w:color w:val="auto"/>
                <w:sz w:val="24"/>
                <w:highlight w:val="none"/>
                <w:lang w:eastAsia="zh-CN"/>
              </w:rPr>
              <w:t>危险废物暂存间</w:t>
            </w:r>
            <w:r>
              <w:rPr>
                <w:rFonts w:hint="eastAsia"/>
                <w:color w:val="auto"/>
                <w:sz w:val="24"/>
                <w:highlight w:val="none"/>
              </w:rPr>
              <w:t>，定期委托有资质单位处理。</w:t>
            </w:r>
          </w:p>
          <w:p>
            <w:pPr>
              <w:adjustRightInd w:val="0"/>
              <w:snapToGrid w:val="0"/>
              <w:spacing w:line="396" w:lineRule="auto"/>
              <w:ind w:firstLine="480" w:firstLineChars="200"/>
              <w:rPr>
                <w:rFonts w:hint="eastAsia" w:ascii="Times New Roman" w:hAnsi="Times New Roman" w:eastAsia="宋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val="en-US" w:eastAsia="zh-CN"/>
              </w:rPr>
              <w:t>4</w:t>
            </w:r>
            <w:r>
              <w:rPr>
                <w:rFonts w:hint="default" w:ascii="Times New Roman" w:hAnsi="Times New Roman" w:cs="Times New Roman"/>
                <w:b w:val="0"/>
                <w:bCs w:val="0"/>
                <w:color w:val="auto"/>
                <w:sz w:val="24"/>
                <w:highlight w:val="none"/>
              </w:rPr>
              <w:t>）废</w:t>
            </w:r>
            <w:r>
              <w:rPr>
                <w:rFonts w:hint="eastAsia" w:ascii="Times New Roman" w:hAnsi="Times New Roman" w:cs="Times New Roman"/>
                <w:b w:val="0"/>
                <w:bCs w:val="0"/>
                <w:color w:val="auto"/>
                <w:sz w:val="24"/>
                <w:highlight w:val="none"/>
                <w:lang w:eastAsia="zh-CN"/>
              </w:rPr>
              <w:t>布袋</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废气处理设施会产生废布袋，本项目产生的粉尘不属于高温、腐蚀大、湿度大的这类粉尘，根据厂家提供资料，正常情况下除尘器布袋更换时间为3年左右，更换一次下来废布袋量为0.1吨。根据固废通则，废布袋属于一般固体废物。</w:t>
            </w:r>
          </w:p>
          <w:p>
            <w:pPr>
              <w:adjustRightInd w:val="0"/>
              <w:snapToGrid w:val="0"/>
              <w:spacing w:line="396" w:lineRule="auto"/>
              <w:ind w:firstLine="480" w:firstLineChars="200"/>
              <w:rPr>
                <w:rFonts w:hint="eastAsia"/>
                <w:b w:val="0"/>
                <w:bCs w:val="0"/>
                <w:color w:val="auto"/>
                <w:sz w:val="24"/>
                <w:highlight w:val="none"/>
              </w:rPr>
            </w:pPr>
            <w:r>
              <w:rPr>
                <w:rFonts w:hint="eastAsia"/>
                <w:b w:val="0"/>
                <w:bCs w:val="0"/>
                <w:color w:val="auto"/>
                <w:sz w:val="24"/>
                <w:highlight w:val="none"/>
              </w:rPr>
              <w:t>（</w:t>
            </w:r>
            <w:r>
              <w:rPr>
                <w:rFonts w:hint="eastAsia"/>
                <w:b w:val="0"/>
                <w:bCs w:val="0"/>
                <w:color w:val="auto"/>
                <w:sz w:val="24"/>
                <w:highlight w:val="none"/>
                <w:lang w:val="en-US" w:eastAsia="zh-CN"/>
              </w:rPr>
              <w:t>5</w:t>
            </w:r>
            <w:r>
              <w:rPr>
                <w:rFonts w:hint="eastAsia"/>
                <w:b w:val="0"/>
                <w:bCs w:val="0"/>
                <w:color w:val="auto"/>
                <w:sz w:val="24"/>
                <w:highlight w:val="none"/>
              </w:rPr>
              <w:t>）生活垃圾</w:t>
            </w:r>
          </w:p>
          <w:p>
            <w:pPr>
              <w:adjustRightInd w:val="0"/>
              <w:snapToGrid w:val="0"/>
              <w:spacing w:line="396" w:lineRule="auto"/>
              <w:ind w:firstLine="480" w:firstLineChars="200"/>
              <w:rPr>
                <w:rFonts w:hint="eastAsia"/>
                <w:color w:val="auto"/>
                <w:sz w:val="24"/>
                <w:highlight w:val="none"/>
              </w:rPr>
            </w:pPr>
            <w:r>
              <w:rPr>
                <w:rFonts w:hint="eastAsia"/>
                <w:color w:val="auto"/>
                <w:sz w:val="24"/>
                <w:highlight w:val="none"/>
              </w:rPr>
              <w:t>本项目员工人数</w:t>
            </w:r>
            <w:r>
              <w:rPr>
                <w:rFonts w:hint="eastAsia"/>
                <w:color w:val="auto"/>
                <w:sz w:val="24"/>
                <w:highlight w:val="none"/>
                <w:lang w:val="en-US" w:eastAsia="zh-CN"/>
              </w:rPr>
              <w:t>30</w:t>
            </w:r>
            <w:r>
              <w:rPr>
                <w:rFonts w:hint="eastAsia"/>
                <w:color w:val="auto"/>
                <w:sz w:val="24"/>
                <w:highlight w:val="none"/>
              </w:rPr>
              <w:t>人，生活垃圾产生量按0.5kg/人•天计，</w:t>
            </w:r>
            <w:r>
              <w:rPr>
                <w:rFonts w:hint="eastAsia"/>
                <w:color w:val="auto"/>
                <w:sz w:val="24"/>
                <w:highlight w:val="none"/>
                <w:lang w:eastAsia="zh-CN"/>
              </w:rPr>
              <w:t>年工作时间</w:t>
            </w:r>
            <w:r>
              <w:rPr>
                <w:rFonts w:hint="eastAsia"/>
                <w:color w:val="auto"/>
                <w:sz w:val="24"/>
                <w:highlight w:val="none"/>
                <w:lang w:val="en-US" w:eastAsia="zh-CN"/>
              </w:rPr>
              <w:t>270天，</w:t>
            </w:r>
            <w:r>
              <w:rPr>
                <w:rFonts w:hint="eastAsia"/>
                <w:color w:val="auto"/>
                <w:sz w:val="24"/>
                <w:highlight w:val="none"/>
              </w:rPr>
              <w:t>则生活垃圾产生量</w:t>
            </w:r>
            <w:r>
              <w:rPr>
                <w:rFonts w:hint="eastAsia"/>
                <w:color w:val="auto"/>
                <w:sz w:val="24"/>
                <w:highlight w:val="none"/>
                <w:lang w:val="en-US" w:eastAsia="zh-CN"/>
              </w:rPr>
              <w:t>15</w:t>
            </w:r>
            <w:r>
              <w:rPr>
                <w:rFonts w:hint="eastAsia"/>
                <w:color w:val="auto"/>
                <w:sz w:val="24"/>
                <w:highlight w:val="none"/>
              </w:rPr>
              <w:t>kg/d，</w:t>
            </w:r>
            <w:r>
              <w:rPr>
                <w:rFonts w:hint="eastAsia"/>
                <w:color w:val="auto"/>
                <w:sz w:val="24"/>
                <w:highlight w:val="none"/>
                <w:lang w:val="en-US" w:eastAsia="zh-CN"/>
              </w:rPr>
              <w:t>4.05</w:t>
            </w:r>
            <w:r>
              <w:rPr>
                <w:rFonts w:hint="eastAsia"/>
                <w:color w:val="auto"/>
                <w:sz w:val="24"/>
                <w:highlight w:val="none"/>
              </w:rPr>
              <w:t>t/a，经收集后交环卫部门处理。</w:t>
            </w:r>
          </w:p>
          <w:p>
            <w:pPr>
              <w:adjustRightInd w:val="0"/>
              <w:snapToGrid w:val="0"/>
              <w:spacing w:line="396" w:lineRule="auto"/>
              <w:ind w:firstLine="480" w:firstLineChars="200"/>
              <w:rPr>
                <w:rFonts w:hint="eastAsia"/>
                <w:color w:val="auto"/>
                <w:sz w:val="24"/>
                <w:highlight w:val="none"/>
              </w:rPr>
            </w:pPr>
            <w:r>
              <w:rPr>
                <w:rFonts w:hint="eastAsia"/>
                <w:color w:val="auto"/>
                <w:sz w:val="24"/>
                <w:highlight w:val="none"/>
              </w:rPr>
              <w:t>根据上述分析，本项目固体废物产排情况见下表。</w:t>
            </w:r>
          </w:p>
          <w:p>
            <w:pPr>
              <w:pStyle w:val="66"/>
              <w:bidi w:val="0"/>
              <w:rPr>
                <w:color w:val="auto"/>
                <w:highlight w:val="none"/>
              </w:rPr>
            </w:pPr>
            <w:r>
              <w:rPr>
                <w:rFonts w:hint="eastAsia"/>
                <w:color w:val="auto"/>
                <w:highlight w:val="none"/>
              </w:rPr>
              <w:t>固体废物污染源强核算结果一览表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10"/>
              <w:gridCol w:w="929"/>
              <w:gridCol w:w="868"/>
              <w:gridCol w:w="1398"/>
              <w:gridCol w:w="209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0" w:type="pct"/>
                  <w:noWrap w:val="0"/>
                  <w:vAlign w:val="center"/>
                </w:tcPr>
                <w:p>
                  <w:pPr>
                    <w:pStyle w:val="92"/>
                    <w:rPr>
                      <w:rFonts w:hint="eastAsia"/>
                      <w:color w:val="auto"/>
                      <w:sz w:val="21"/>
                      <w:szCs w:val="21"/>
                      <w:u w:val="none"/>
                    </w:rPr>
                  </w:pPr>
                  <w:r>
                    <w:rPr>
                      <w:rFonts w:hint="eastAsia"/>
                      <w:color w:val="auto"/>
                      <w:sz w:val="21"/>
                      <w:szCs w:val="21"/>
                      <w:u w:val="none"/>
                    </w:rPr>
                    <w:t>序号</w:t>
                  </w:r>
                </w:p>
              </w:tc>
              <w:tc>
                <w:tcPr>
                  <w:tcW w:w="873" w:type="pct"/>
                  <w:noWrap w:val="0"/>
                  <w:vAlign w:val="center"/>
                </w:tcPr>
                <w:p>
                  <w:pPr>
                    <w:pStyle w:val="92"/>
                    <w:rPr>
                      <w:rFonts w:hint="eastAsia"/>
                      <w:color w:val="auto"/>
                      <w:sz w:val="21"/>
                      <w:szCs w:val="21"/>
                      <w:u w:val="none"/>
                    </w:rPr>
                  </w:pPr>
                  <w:r>
                    <w:rPr>
                      <w:rFonts w:hint="eastAsia"/>
                      <w:color w:val="auto"/>
                      <w:sz w:val="21"/>
                      <w:szCs w:val="21"/>
                      <w:u w:val="none"/>
                    </w:rPr>
                    <w:t>名称</w:t>
                  </w:r>
                </w:p>
              </w:tc>
              <w:tc>
                <w:tcPr>
                  <w:tcW w:w="575" w:type="pct"/>
                  <w:noWrap w:val="0"/>
                  <w:vAlign w:val="center"/>
                </w:tcPr>
                <w:p>
                  <w:pPr>
                    <w:pStyle w:val="92"/>
                    <w:rPr>
                      <w:rFonts w:hint="eastAsia"/>
                      <w:color w:val="auto"/>
                      <w:sz w:val="21"/>
                      <w:szCs w:val="21"/>
                      <w:u w:val="none"/>
                    </w:rPr>
                  </w:pPr>
                  <w:r>
                    <w:rPr>
                      <w:rFonts w:hint="eastAsia"/>
                      <w:color w:val="auto"/>
                      <w:sz w:val="21"/>
                      <w:szCs w:val="21"/>
                      <w:u w:val="none"/>
                    </w:rPr>
                    <w:t>产生量（t/a）</w:t>
                  </w:r>
                </w:p>
              </w:tc>
              <w:tc>
                <w:tcPr>
                  <w:tcW w:w="537" w:type="pct"/>
                  <w:noWrap w:val="0"/>
                  <w:vAlign w:val="center"/>
                </w:tcPr>
                <w:p>
                  <w:pPr>
                    <w:pStyle w:val="92"/>
                    <w:rPr>
                      <w:rFonts w:hint="eastAsia"/>
                      <w:color w:val="auto"/>
                      <w:sz w:val="21"/>
                      <w:szCs w:val="21"/>
                      <w:u w:val="none"/>
                    </w:rPr>
                  </w:pPr>
                  <w:r>
                    <w:rPr>
                      <w:rFonts w:hint="eastAsia"/>
                      <w:color w:val="auto"/>
                      <w:sz w:val="21"/>
                      <w:szCs w:val="21"/>
                      <w:u w:val="none"/>
                    </w:rPr>
                    <w:t>分类</w:t>
                  </w:r>
                </w:p>
                <w:p>
                  <w:pPr>
                    <w:pStyle w:val="92"/>
                    <w:rPr>
                      <w:rFonts w:hint="eastAsia"/>
                      <w:color w:val="auto"/>
                      <w:sz w:val="21"/>
                      <w:szCs w:val="21"/>
                      <w:u w:val="none"/>
                    </w:rPr>
                  </w:pPr>
                  <w:r>
                    <w:rPr>
                      <w:rFonts w:hint="eastAsia"/>
                      <w:color w:val="auto"/>
                      <w:sz w:val="21"/>
                      <w:szCs w:val="21"/>
                      <w:u w:val="none"/>
                    </w:rPr>
                    <w:t>编号</w:t>
                  </w:r>
                </w:p>
              </w:tc>
              <w:tc>
                <w:tcPr>
                  <w:tcW w:w="865" w:type="pct"/>
                  <w:noWrap w:val="0"/>
                  <w:vAlign w:val="center"/>
                </w:tcPr>
                <w:p>
                  <w:pPr>
                    <w:pStyle w:val="92"/>
                    <w:rPr>
                      <w:rFonts w:hint="eastAsia"/>
                      <w:color w:val="auto"/>
                      <w:sz w:val="21"/>
                      <w:szCs w:val="21"/>
                      <w:u w:val="none"/>
                    </w:rPr>
                  </w:pPr>
                  <w:r>
                    <w:rPr>
                      <w:rFonts w:hint="eastAsia"/>
                      <w:color w:val="auto"/>
                      <w:sz w:val="21"/>
                      <w:szCs w:val="21"/>
                      <w:u w:val="none"/>
                    </w:rPr>
                    <w:t>固废代码</w:t>
                  </w:r>
                </w:p>
              </w:tc>
              <w:tc>
                <w:tcPr>
                  <w:tcW w:w="1297" w:type="pct"/>
                  <w:noWrap w:val="0"/>
                  <w:vAlign w:val="center"/>
                </w:tcPr>
                <w:p>
                  <w:pPr>
                    <w:pStyle w:val="92"/>
                    <w:rPr>
                      <w:rFonts w:hint="eastAsia"/>
                      <w:color w:val="auto"/>
                      <w:sz w:val="21"/>
                      <w:szCs w:val="21"/>
                      <w:u w:val="none"/>
                    </w:rPr>
                  </w:pPr>
                  <w:r>
                    <w:rPr>
                      <w:rFonts w:hint="eastAsia"/>
                      <w:color w:val="auto"/>
                      <w:sz w:val="21"/>
                      <w:szCs w:val="21"/>
                      <w:u w:val="none"/>
                    </w:rPr>
                    <w:t>处理处置方式</w:t>
                  </w:r>
                </w:p>
              </w:tc>
              <w:tc>
                <w:tcPr>
                  <w:tcW w:w="560" w:type="pct"/>
                  <w:noWrap w:val="0"/>
                  <w:vAlign w:val="center"/>
                </w:tcPr>
                <w:p>
                  <w:pPr>
                    <w:pStyle w:val="92"/>
                    <w:rPr>
                      <w:rFonts w:hint="eastAsia"/>
                      <w:color w:val="auto"/>
                      <w:sz w:val="21"/>
                      <w:szCs w:val="21"/>
                      <w:u w:val="none"/>
                    </w:rPr>
                  </w:pPr>
                  <w:r>
                    <w:rPr>
                      <w:rFonts w:hint="eastAsia"/>
                      <w:color w:val="auto"/>
                      <w:sz w:val="21"/>
                      <w:szCs w:val="21"/>
                      <w:u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92"/>
                    <w:rPr>
                      <w:rFonts w:hint="eastAsia"/>
                      <w:color w:val="auto"/>
                      <w:sz w:val="21"/>
                      <w:szCs w:val="21"/>
                      <w:u w:val="none"/>
                    </w:rPr>
                  </w:pPr>
                  <w:r>
                    <w:rPr>
                      <w:rFonts w:hint="eastAsia"/>
                      <w:color w:val="auto"/>
                      <w:sz w:val="21"/>
                      <w:szCs w:val="21"/>
                      <w:u w:val="none"/>
                    </w:rPr>
                    <w:t>1</w:t>
                  </w:r>
                </w:p>
              </w:tc>
              <w:tc>
                <w:tcPr>
                  <w:tcW w:w="873" w:type="pct"/>
                  <w:noWrap w:val="0"/>
                  <w:vAlign w:val="center"/>
                </w:tcPr>
                <w:p>
                  <w:pPr>
                    <w:pStyle w:val="92"/>
                    <w:rPr>
                      <w:rFonts w:hint="default" w:eastAsia="宋体"/>
                      <w:color w:val="auto"/>
                      <w:sz w:val="21"/>
                      <w:szCs w:val="21"/>
                      <w:u w:val="none"/>
                      <w:lang w:val="en-US" w:eastAsia="zh-CN"/>
                    </w:rPr>
                  </w:pPr>
                  <w:r>
                    <w:rPr>
                      <w:rFonts w:hint="eastAsia" w:ascii="Times New Roman" w:hAnsi="Times New Roman" w:cs="Times New Roman"/>
                      <w:b w:val="0"/>
                      <w:bCs w:val="0"/>
                      <w:color w:val="auto"/>
                      <w:sz w:val="21"/>
                      <w:szCs w:val="21"/>
                      <w:highlight w:val="none"/>
                      <w:lang w:eastAsia="zh-CN"/>
                    </w:rPr>
                    <w:t>钢材边角料</w:t>
                  </w:r>
                </w:p>
              </w:tc>
              <w:tc>
                <w:tcPr>
                  <w:tcW w:w="575"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lang w:val="en-US" w:eastAsia="zh-CN"/>
                    </w:rPr>
                    <w:t>0.86</w:t>
                  </w:r>
                </w:p>
              </w:tc>
              <w:tc>
                <w:tcPr>
                  <w:tcW w:w="537" w:type="pct"/>
                  <w:vMerge w:val="restart"/>
                  <w:noWrap w:val="0"/>
                  <w:vAlign w:val="center"/>
                </w:tcPr>
                <w:p>
                  <w:pPr>
                    <w:pStyle w:val="92"/>
                    <w:rPr>
                      <w:rFonts w:hint="eastAsia"/>
                      <w:color w:val="auto"/>
                      <w:sz w:val="21"/>
                      <w:szCs w:val="21"/>
                      <w:u w:val="none"/>
                    </w:rPr>
                  </w:pPr>
                  <w:r>
                    <w:rPr>
                      <w:rFonts w:hint="eastAsia"/>
                      <w:color w:val="auto"/>
                      <w:sz w:val="21"/>
                      <w:szCs w:val="21"/>
                      <w:u w:val="none"/>
                    </w:rPr>
                    <w:t>一般固体废物</w:t>
                  </w:r>
                </w:p>
              </w:tc>
              <w:tc>
                <w:tcPr>
                  <w:tcW w:w="865"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rPr>
                    <w:t>900-</w:t>
                  </w:r>
                  <w:r>
                    <w:rPr>
                      <w:rFonts w:hint="eastAsia"/>
                      <w:color w:val="auto"/>
                      <w:sz w:val="21"/>
                      <w:szCs w:val="21"/>
                      <w:u w:val="none"/>
                      <w:lang w:val="en-US" w:eastAsia="zh-CN"/>
                    </w:rPr>
                    <w:t>999-99</w:t>
                  </w:r>
                </w:p>
              </w:tc>
              <w:tc>
                <w:tcPr>
                  <w:tcW w:w="1297" w:type="pct"/>
                  <w:vMerge w:val="restart"/>
                  <w:noWrap w:val="0"/>
                  <w:vAlign w:val="center"/>
                </w:tcPr>
                <w:p>
                  <w:pPr>
                    <w:pStyle w:val="92"/>
                    <w:rPr>
                      <w:rFonts w:hint="eastAsia" w:eastAsia="宋体"/>
                      <w:color w:val="auto"/>
                      <w:sz w:val="21"/>
                      <w:szCs w:val="21"/>
                      <w:u w:val="none"/>
                      <w:lang w:val="en-US" w:eastAsia="zh-CN"/>
                    </w:rPr>
                  </w:pPr>
                  <w:r>
                    <w:rPr>
                      <w:rFonts w:hint="eastAsia"/>
                      <w:color w:val="auto"/>
                      <w:sz w:val="21"/>
                      <w:szCs w:val="21"/>
                      <w:u w:val="none"/>
                    </w:rPr>
                    <w:t>收集后</w:t>
                  </w:r>
                  <w:r>
                    <w:rPr>
                      <w:rFonts w:hint="eastAsia"/>
                      <w:color w:val="auto"/>
                      <w:sz w:val="21"/>
                      <w:szCs w:val="21"/>
                      <w:u w:val="none"/>
                      <w:lang w:val="en-US" w:eastAsia="zh-CN"/>
                    </w:rPr>
                    <w:t>外售</w:t>
                  </w:r>
                </w:p>
              </w:tc>
              <w:tc>
                <w:tcPr>
                  <w:tcW w:w="560" w:type="pct"/>
                  <w:noWrap w:val="0"/>
                  <w:vAlign w:val="center"/>
                </w:tcPr>
                <w:p>
                  <w:pPr>
                    <w:pStyle w:val="92"/>
                    <w:rPr>
                      <w:rFonts w:hint="eastAsia"/>
                      <w:color w:val="auto"/>
                      <w:sz w:val="21"/>
                      <w:szCs w:val="21"/>
                      <w:u w:val="none"/>
                    </w:rPr>
                  </w:pPr>
                  <w:r>
                    <w:rPr>
                      <w:rFonts w:hint="eastAsia"/>
                      <w:color w:val="auto"/>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92"/>
                    <w:rPr>
                      <w:rFonts w:hint="eastAsia"/>
                      <w:color w:val="auto"/>
                      <w:sz w:val="21"/>
                      <w:szCs w:val="21"/>
                      <w:u w:val="none"/>
                    </w:rPr>
                  </w:pPr>
                  <w:r>
                    <w:rPr>
                      <w:rFonts w:hint="eastAsia"/>
                      <w:color w:val="auto"/>
                      <w:sz w:val="21"/>
                      <w:szCs w:val="21"/>
                      <w:u w:val="none"/>
                    </w:rPr>
                    <w:t>2</w:t>
                  </w:r>
                </w:p>
              </w:tc>
              <w:tc>
                <w:tcPr>
                  <w:tcW w:w="873" w:type="pct"/>
                  <w:noWrap w:val="0"/>
                  <w:vAlign w:val="center"/>
                </w:tcPr>
                <w:p>
                  <w:pPr>
                    <w:pStyle w:val="92"/>
                    <w:rPr>
                      <w:rFonts w:hint="default" w:eastAsia="宋体"/>
                      <w:color w:val="auto"/>
                      <w:sz w:val="21"/>
                      <w:szCs w:val="21"/>
                      <w:u w:val="none"/>
                      <w:lang w:val="en-US" w:eastAsia="zh-CN"/>
                    </w:rPr>
                  </w:pPr>
                  <w:r>
                    <w:rPr>
                      <w:rFonts w:hint="eastAsia" w:ascii="Times New Roman" w:hAnsi="Times New Roman" w:cs="Times New Roman"/>
                      <w:b w:val="0"/>
                      <w:bCs w:val="0"/>
                      <w:color w:val="auto"/>
                      <w:sz w:val="21"/>
                      <w:szCs w:val="21"/>
                      <w:highlight w:val="none"/>
                      <w:lang w:eastAsia="zh-CN"/>
                    </w:rPr>
                    <w:t>除尘</w:t>
                  </w:r>
                  <w:r>
                    <w:rPr>
                      <w:rFonts w:hint="default" w:ascii="Times New Roman" w:hAnsi="Times New Roman" w:cs="Times New Roman"/>
                      <w:b w:val="0"/>
                      <w:bCs w:val="0"/>
                      <w:color w:val="auto"/>
                      <w:sz w:val="21"/>
                      <w:szCs w:val="21"/>
                      <w:highlight w:val="none"/>
                    </w:rPr>
                    <w:t>灰</w:t>
                  </w:r>
                </w:p>
              </w:tc>
              <w:tc>
                <w:tcPr>
                  <w:tcW w:w="575"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lang w:val="en-US" w:eastAsia="zh-CN"/>
                    </w:rPr>
                    <w:t>11.59</w:t>
                  </w:r>
                </w:p>
              </w:tc>
              <w:tc>
                <w:tcPr>
                  <w:tcW w:w="537" w:type="pct"/>
                  <w:vMerge w:val="continue"/>
                  <w:noWrap w:val="0"/>
                  <w:vAlign w:val="center"/>
                </w:tcPr>
                <w:p>
                  <w:pPr>
                    <w:pStyle w:val="92"/>
                    <w:rPr>
                      <w:rFonts w:hint="eastAsia"/>
                      <w:color w:val="auto"/>
                      <w:sz w:val="21"/>
                      <w:szCs w:val="21"/>
                      <w:u w:val="none"/>
                    </w:rPr>
                  </w:pPr>
                </w:p>
              </w:tc>
              <w:tc>
                <w:tcPr>
                  <w:tcW w:w="865"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rPr>
                    <w:t>900-</w:t>
                  </w:r>
                  <w:r>
                    <w:rPr>
                      <w:rFonts w:hint="eastAsia"/>
                      <w:color w:val="auto"/>
                      <w:sz w:val="21"/>
                      <w:szCs w:val="21"/>
                      <w:u w:val="none"/>
                      <w:lang w:val="en-US" w:eastAsia="zh-CN"/>
                    </w:rPr>
                    <w:t>999</w:t>
                  </w:r>
                  <w:r>
                    <w:rPr>
                      <w:rFonts w:hint="eastAsia"/>
                      <w:color w:val="auto"/>
                      <w:sz w:val="21"/>
                      <w:szCs w:val="21"/>
                      <w:u w:val="none"/>
                    </w:rPr>
                    <w:t>-</w:t>
                  </w:r>
                  <w:r>
                    <w:rPr>
                      <w:rFonts w:hint="eastAsia"/>
                      <w:color w:val="auto"/>
                      <w:sz w:val="21"/>
                      <w:szCs w:val="21"/>
                      <w:u w:val="none"/>
                      <w:lang w:val="en-US" w:eastAsia="zh-CN"/>
                    </w:rPr>
                    <w:t>66</w:t>
                  </w:r>
                </w:p>
              </w:tc>
              <w:tc>
                <w:tcPr>
                  <w:tcW w:w="1297" w:type="pct"/>
                  <w:vMerge w:val="continue"/>
                  <w:noWrap w:val="0"/>
                  <w:vAlign w:val="center"/>
                </w:tcPr>
                <w:p>
                  <w:pPr>
                    <w:pStyle w:val="92"/>
                    <w:rPr>
                      <w:rFonts w:hint="eastAsia"/>
                      <w:color w:val="auto"/>
                      <w:sz w:val="21"/>
                      <w:szCs w:val="21"/>
                      <w:u w:val="none"/>
                    </w:rPr>
                  </w:pPr>
                </w:p>
              </w:tc>
              <w:tc>
                <w:tcPr>
                  <w:tcW w:w="560" w:type="pct"/>
                  <w:noWrap w:val="0"/>
                  <w:vAlign w:val="center"/>
                </w:tcPr>
                <w:p>
                  <w:pPr>
                    <w:pStyle w:val="92"/>
                    <w:rPr>
                      <w:rFonts w:hint="eastAsia"/>
                      <w:color w:val="auto"/>
                      <w:sz w:val="21"/>
                      <w:szCs w:val="21"/>
                      <w:u w:val="none"/>
                    </w:rPr>
                  </w:pPr>
                  <w:r>
                    <w:rPr>
                      <w:rFonts w:hint="eastAsia"/>
                      <w:color w:val="auto"/>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92"/>
                    <w:rPr>
                      <w:rFonts w:hint="eastAsia" w:eastAsia="宋体"/>
                      <w:color w:val="auto"/>
                      <w:sz w:val="21"/>
                      <w:szCs w:val="21"/>
                      <w:u w:val="none"/>
                      <w:lang w:val="en-US" w:eastAsia="zh-CN"/>
                    </w:rPr>
                  </w:pPr>
                  <w:r>
                    <w:rPr>
                      <w:rFonts w:hint="eastAsia"/>
                      <w:color w:val="auto"/>
                      <w:sz w:val="21"/>
                      <w:szCs w:val="21"/>
                      <w:u w:val="none"/>
                      <w:lang w:val="en-US" w:eastAsia="zh-CN"/>
                    </w:rPr>
                    <w:t>3</w:t>
                  </w:r>
                </w:p>
              </w:tc>
              <w:tc>
                <w:tcPr>
                  <w:tcW w:w="873" w:type="pct"/>
                  <w:noWrap w:val="0"/>
                  <w:vAlign w:val="center"/>
                </w:tcPr>
                <w:p>
                  <w:pPr>
                    <w:pStyle w:val="92"/>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废布袋</w:t>
                  </w:r>
                </w:p>
              </w:tc>
              <w:tc>
                <w:tcPr>
                  <w:tcW w:w="575" w:type="pct"/>
                  <w:noWrap w:val="0"/>
                  <w:vAlign w:val="center"/>
                </w:tcPr>
                <w:p>
                  <w:pPr>
                    <w:pStyle w:val="92"/>
                    <w:rPr>
                      <w:rFonts w:hint="default"/>
                      <w:color w:val="auto"/>
                      <w:sz w:val="21"/>
                      <w:szCs w:val="21"/>
                      <w:u w:val="none"/>
                      <w:lang w:val="en-US" w:eastAsia="zh-CN"/>
                    </w:rPr>
                  </w:pPr>
                  <w:r>
                    <w:rPr>
                      <w:rFonts w:hint="eastAsia"/>
                      <w:color w:val="auto"/>
                      <w:sz w:val="21"/>
                      <w:szCs w:val="21"/>
                      <w:u w:val="none"/>
                      <w:lang w:val="en-US" w:eastAsia="zh-CN"/>
                    </w:rPr>
                    <w:t>0.1</w:t>
                  </w:r>
                </w:p>
              </w:tc>
              <w:tc>
                <w:tcPr>
                  <w:tcW w:w="537" w:type="pct"/>
                  <w:vMerge w:val="continue"/>
                  <w:noWrap w:val="0"/>
                  <w:vAlign w:val="center"/>
                </w:tcPr>
                <w:p>
                  <w:pPr>
                    <w:pStyle w:val="92"/>
                    <w:rPr>
                      <w:rFonts w:hint="eastAsia"/>
                      <w:color w:val="auto"/>
                      <w:sz w:val="21"/>
                      <w:szCs w:val="21"/>
                      <w:u w:val="none"/>
                    </w:rPr>
                  </w:pPr>
                </w:p>
              </w:tc>
              <w:tc>
                <w:tcPr>
                  <w:tcW w:w="865" w:type="pct"/>
                  <w:noWrap w:val="0"/>
                  <w:vAlign w:val="center"/>
                </w:tcPr>
                <w:p>
                  <w:pPr>
                    <w:pStyle w:val="92"/>
                    <w:rPr>
                      <w:rFonts w:hint="eastAsia"/>
                      <w:color w:val="auto"/>
                      <w:sz w:val="21"/>
                      <w:szCs w:val="21"/>
                      <w:u w:val="none"/>
                    </w:rPr>
                  </w:pPr>
                  <w:r>
                    <w:rPr>
                      <w:rFonts w:hint="eastAsia"/>
                      <w:color w:val="auto"/>
                      <w:sz w:val="21"/>
                      <w:szCs w:val="21"/>
                      <w:u w:val="none"/>
                    </w:rPr>
                    <w:t>900-</w:t>
                  </w:r>
                  <w:r>
                    <w:rPr>
                      <w:rFonts w:hint="eastAsia"/>
                      <w:color w:val="auto"/>
                      <w:sz w:val="21"/>
                      <w:szCs w:val="21"/>
                      <w:u w:val="none"/>
                      <w:lang w:val="en-US" w:eastAsia="zh-CN"/>
                    </w:rPr>
                    <w:t>999-99</w:t>
                  </w:r>
                </w:p>
              </w:tc>
              <w:tc>
                <w:tcPr>
                  <w:tcW w:w="1297" w:type="pct"/>
                  <w:vMerge w:val="restar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lang w:val="en-US" w:eastAsia="zh-CN"/>
                    </w:rPr>
                    <w:t>收集后由环卫部门统一清运</w:t>
                  </w:r>
                </w:p>
              </w:tc>
              <w:tc>
                <w:tcPr>
                  <w:tcW w:w="560" w:type="pct"/>
                  <w:noWrap w:val="0"/>
                  <w:vAlign w:val="center"/>
                </w:tcPr>
                <w:p>
                  <w:pPr>
                    <w:pStyle w:val="92"/>
                    <w:rPr>
                      <w:rFonts w:hint="eastAsia" w:eastAsia="宋体"/>
                      <w:color w:val="auto"/>
                      <w:sz w:val="21"/>
                      <w:szCs w:val="21"/>
                      <w:u w:val="none"/>
                      <w:lang w:val="en-US" w:eastAsia="zh-CN"/>
                    </w:rPr>
                  </w:pPr>
                  <w:r>
                    <w:rPr>
                      <w:rFonts w:hint="eastAsia"/>
                      <w:color w:val="auto"/>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92"/>
                    <w:rPr>
                      <w:rFonts w:hint="eastAsia"/>
                      <w:color w:val="auto"/>
                      <w:sz w:val="21"/>
                      <w:szCs w:val="21"/>
                      <w:u w:val="none"/>
                    </w:rPr>
                  </w:pPr>
                  <w:r>
                    <w:rPr>
                      <w:rFonts w:hint="eastAsia"/>
                      <w:color w:val="auto"/>
                      <w:sz w:val="21"/>
                      <w:szCs w:val="21"/>
                      <w:u w:val="none"/>
                    </w:rPr>
                    <w:t>4</w:t>
                  </w:r>
                </w:p>
              </w:tc>
              <w:tc>
                <w:tcPr>
                  <w:tcW w:w="873"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lang w:val="en-US" w:eastAsia="zh-CN"/>
                    </w:rPr>
                    <w:t>生活垃圾</w:t>
                  </w:r>
                </w:p>
              </w:tc>
              <w:tc>
                <w:tcPr>
                  <w:tcW w:w="575" w:type="pct"/>
                  <w:noWrap w:val="0"/>
                  <w:vAlign w:val="center"/>
                </w:tcPr>
                <w:p>
                  <w:pPr>
                    <w:pStyle w:val="92"/>
                    <w:rPr>
                      <w:rFonts w:hint="default" w:eastAsia="宋体"/>
                      <w:color w:val="auto"/>
                      <w:sz w:val="21"/>
                      <w:szCs w:val="21"/>
                      <w:u w:val="none"/>
                      <w:lang w:val="en-US" w:eastAsia="zh-CN"/>
                    </w:rPr>
                  </w:pPr>
                  <w:r>
                    <w:rPr>
                      <w:rFonts w:hint="eastAsia"/>
                      <w:color w:val="auto"/>
                      <w:sz w:val="21"/>
                      <w:szCs w:val="21"/>
                      <w:u w:val="none"/>
                      <w:lang w:val="en-US" w:eastAsia="zh-CN"/>
                    </w:rPr>
                    <w:t>4.05</w:t>
                  </w:r>
                </w:p>
              </w:tc>
              <w:tc>
                <w:tcPr>
                  <w:tcW w:w="537" w:type="pct"/>
                  <w:vMerge w:val="continue"/>
                  <w:noWrap w:val="0"/>
                  <w:vAlign w:val="center"/>
                </w:tcPr>
                <w:p>
                  <w:pPr>
                    <w:pStyle w:val="92"/>
                    <w:rPr>
                      <w:rFonts w:hint="eastAsia"/>
                      <w:color w:val="auto"/>
                      <w:sz w:val="21"/>
                      <w:szCs w:val="21"/>
                      <w:u w:val="none"/>
                    </w:rPr>
                  </w:pPr>
                </w:p>
              </w:tc>
              <w:tc>
                <w:tcPr>
                  <w:tcW w:w="865" w:type="pct"/>
                  <w:noWrap w:val="0"/>
                  <w:vAlign w:val="center"/>
                </w:tcPr>
                <w:p>
                  <w:pPr>
                    <w:pStyle w:val="92"/>
                    <w:rPr>
                      <w:rFonts w:hint="eastAsia"/>
                      <w:color w:val="auto"/>
                      <w:sz w:val="21"/>
                      <w:szCs w:val="21"/>
                      <w:u w:val="none"/>
                    </w:rPr>
                  </w:pPr>
                  <w:r>
                    <w:rPr>
                      <w:rFonts w:hint="eastAsia"/>
                      <w:color w:val="auto"/>
                      <w:sz w:val="21"/>
                      <w:szCs w:val="21"/>
                      <w:u w:val="none"/>
                    </w:rPr>
                    <w:t>900-002-99</w:t>
                  </w:r>
                </w:p>
              </w:tc>
              <w:tc>
                <w:tcPr>
                  <w:tcW w:w="1297" w:type="pct"/>
                  <w:vMerge w:val="continue"/>
                  <w:noWrap w:val="0"/>
                  <w:vAlign w:val="center"/>
                </w:tcPr>
                <w:p>
                  <w:pPr>
                    <w:pStyle w:val="92"/>
                    <w:rPr>
                      <w:rFonts w:hint="default" w:eastAsia="宋体"/>
                      <w:color w:val="auto"/>
                      <w:sz w:val="21"/>
                      <w:szCs w:val="21"/>
                      <w:u w:val="none"/>
                      <w:lang w:val="en-US" w:eastAsia="zh-CN"/>
                    </w:rPr>
                  </w:pPr>
                </w:p>
              </w:tc>
              <w:tc>
                <w:tcPr>
                  <w:tcW w:w="560" w:type="pct"/>
                  <w:noWrap w:val="0"/>
                  <w:vAlign w:val="center"/>
                </w:tcPr>
                <w:p>
                  <w:pPr>
                    <w:pStyle w:val="92"/>
                    <w:rPr>
                      <w:rFonts w:hint="eastAsia"/>
                      <w:color w:val="auto"/>
                      <w:sz w:val="21"/>
                      <w:szCs w:val="21"/>
                      <w:u w:val="none"/>
                    </w:rPr>
                  </w:pPr>
                  <w:r>
                    <w:rPr>
                      <w:rFonts w:hint="eastAsia"/>
                      <w:color w:val="auto"/>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0" w:type="pct"/>
                  <w:noWrap w:val="0"/>
                  <w:vAlign w:val="center"/>
                </w:tcPr>
                <w:p>
                  <w:pPr>
                    <w:pStyle w:val="92"/>
                    <w:rPr>
                      <w:rFonts w:hint="eastAsia"/>
                      <w:color w:val="auto"/>
                      <w:sz w:val="21"/>
                      <w:szCs w:val="21"/>
                      <w:u w:val="none"/>
                    </w:rPr>
                  </w:pPr>
                  <w:r>
                    <w:rPr>
                      <w:rFonts w:hint="eastAsia"/>
                      <w:color w:val="auto"/>
                      <w:sz w:val="21"/>
                      <w:szCs w:val="21"/>
                      <w:u w:val="none"/>
                    </w:rPr>
                    <w:t>5</w:t>
                  </w:r>
                </w:p>
              </w:tc>
              <w:tc>
                <w:tcPr>
                  <w:tcW w:w="873"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lang w:val="en-US" w:eastAsia="zh-CN"/>
                    </w:rPr>
                    <w:t>废润滑油</w:t>
                  </w:r>
                </w:p>
              </w:tc>
              <w:tc>
                <w:tcPr>
                  <w:tcW w:w="575"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lang w:val="en-US" w:eastAsia="zh-CN"/>
                    </w:rPr>
                    <w:t>0.05</w:t>
                  </w:r>
                </w:p>
              </w:tc>
              <w:tc>
                <w:tcPr>
                  <w:tcW w:w="537" w:type="pct"/>
                  <w:vMerge w:val="restart"/>
                  <w:noWrap w:val="0"/>
                  <w:vAlign w:val="center"/>
                </w:tcPr>
                <w:p>
                  <w:pPr>
                    <w:pStyle w:val="92"/>
                    <w:rPr>
                      <w:rFonts w:hint="eastAsia"/>
                      <w:color w:val="auto"/>
                      <w:sz w:val="21"/>
                      <w:szCs w:val="21"/>
                      <w:u w:val="none"/>
                      <w:lang w:val="en-US" w:eastAsia="zh-CN"/>
                    </w:rPr>
                  </w:pPr>
                  <w:r>
                    <w:rPr>
                      <w:rFonts w:hint="eastAsia"/>
                      <w:color w:val="auto"/>
                      <w:sz w:val="21"/>
                      <w:szCs w:val="21"/>
                      <w:u w:val="none"/>
                      <w:lang w:val="en-US" w:eastAsia="zh-CN"/>
                    </w:rPr>
                    <w:t>危险</w:t>
                  </w:r>
                </w:p>
                <w:p>
                  <w:pPr>
                    <w:pStyle w:val="92"/>
                    <w:rPr>
                      <w:rFonts w:hint="eastAsia" w:eastAsia="宋体"/>
                      <w:color w:val="auto"/>
                      <w:sz w:val="21"/>
                      <w:szCs w:val="21"/>
                      <w:u w:val="none"/>
                      <w:lang w:val="en-US" w:eastAsia="zh-CN"/>
                    </w:rPr>
                  </w:pPr>
                  <w:r>
                    <w:rPr>
                      <w:rFonts w:hint="eastAsia"/>
                      <w:color w:val="auto"/>
                      <w:sz w:val="21"/>
                      <w:szCs w:val="21"/>
                      <w:u w:val="none"/>
                      <w:lang w:val="en-US" w:eastAsia="zh-CN"/>
                    </w:rPr>
                    <w:t>废物</w:t>
                  </w:r>
                </w:p>
              </w:tc>
              <w:tc>
                <w:tcPr>
                  <w:tcW w:w="865"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lang w:val="en-US" w:eastAsia="zh-CN"/>
                    </w:rPr>
                    <w:t>900-219-08</w:t>
                  </w:r>
                </w:p>
              </w:tc>
              <w:tc>
                <w:tcPr>
                  <w:tcW w:w="1297" w:type="pct"/>
                  <w:vMerge w:val="restart"/>
                  <w:noWrap w:val="0"/>
                  <w:vAlign w:val="center"/>
                </w:tcPr>
                <w:p>
                  <w:pPr>
                    <w:pStyle w:val="92"/>
                    <w:rPr>
                      <w:rFonts w:hint="eastAsia"/>
                      <w:color w:val="auto"/>
                      <w:sz w:val="21"/>
                      <w:szCs w:val="21"/>
                      <w:u w:val="none"/>
                    </w:rPr>
                  </w:pPr>
                  <w:r>
                    <w:rPr>
                      <w:rFonts w:hint="eastAsia"/>
                      <w:color w:val="auto"/>
                      <w:sz w:val="21"/>
                      <w:szCs w:val="21"/>
                      <w:u w:val="none"/>
                    </w:rPr>
                    <w:t>定期交有资质的单位处理</w:t>
                  </w:r>
                </w:p>
              </w:tc>
              <w:tc>
                <w:tcPr>
                  <w:tcW w:w="560" w:type="pct"/>
                  <w:noWrap w:val="0"/>
                  <w:vAlign w:val="center"/>
                </w:tcPr>
                <w:p>
                  <w:pPr>
                    <w:pStyle w:val="92"/>
                    <w:rPr>
                      <w:rFonts w:hint="eastAsia"/>
                      <w:color w:val="auto"/>
                      <w:sz w:val="21"/>
                      <w:szCs w:val="21"/>
                      <w:u w:val="none"/>
                    </w:rPr>
                  </w:pPr>
                  <w:r>
                    <w:rPr>
                      <w:rFonts w:hint="eastAsia"/>
                      <w:color w:val="auto"/>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0" w:type="pct"/>
                  <w:noWrap w:val="0"/>
                  <w:vAlign w:val="center"/>
                </w:tcPr>
                <w:p>
                  <w:pPr>
                    <w:pStyle w:val="92"/>
                    <w:rPr>
                      <w:rFonts w:hint="eastAsia" w:eastAsia="宋体"/>
                      <w:color w:val="auto"/>
                      <w:sz w:val="21"/>
                      <w:szCs w:val="21"/>
                      <w:u w:val="none"/>
                      <w:lang w:eastAsia="zh-CN"/>
                    </w:rPr>
                  </w:pPr>
                  <w:r>
                    <w:rPr>
                      <w:rFonts w:hint="eastAsia"/>
                      <w:color w:val="auto"/>
                      <w:sz w:val="21"/>
                      <w:szCs w:val="21"/>
                      <w:u w:val="none"/>
                      <w:lang w:val="en-US" w:eastAsia="zh-CN"/>
                    </w:rPr>
                    <w:t>6</w:t>
                  </w:r>
                </w:p>
              </w:tc>
              <w:tc>
                <w:tcPr>
                  <w:tcW w:w="873"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lang w:val="en-US" w:eastAsia="zh-CN"/>
                    </w:rPr>
                    <w:t>废油桶</w:t>
                  </w:r>
                </w:p>
              </w:tc>
              <w:tc>
                <w:tcPr>
                  <w:tcW w:w="575"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lang w:val="en-US" w:eastAsia="zh-CN"/>
                    </w:rPr>
                    <w:t>0.05</w:t>
                  </w:r>
                </w:p>
              </w:tc>
              <w:tc>
                <w:tcPr>
                  <w:tcW w:w="537" w:type="pct"/>
                  <w:vMerge w:val="continue"/>
                  <w:noWrap w:val="0"/>
                  <w:vAlign w:val="center"/>
                </w:tcPr>
                <w:p>
                  <w:pPr>
                    <w:pStyle w:val="92"/>
                    <w:rPr>
                      <w:rFonts w:hint="eastAsia" w:eastAsia="宋体"/>
                      <w:color w:val="auto"/>
                      <w:sz w:val="21"/>
                      <w:szCs w:val="21"/>
                      <w:u w:val="none"/>
                      <w:lang w:val="en-US" w:eastAsia="zh-CN"/>
                    </w:rPr>
                  </w:pPr>
                </w:p>
              </w:tc>
              <w:tc>
                <w:tcPr>
                  <w:tcW w:w="865" w:type="pct"/>
                  <w:noWrap w:val="0"/>
                  <w:vAlign w:val="center"/>
                </w:tcPr>
                <w:p>
                  <w:pPr>
                    <w:pStyle w:val="92"/>
                    <w:ind w:firstLine="0" w:firstLineChars="0"/>
                    <w:rPr>
                      <w:rFonts w:hint="default" w:ascii="Times New Roman" w:hAnsi="Times New Roman" w:eastAsia="宋体" w:cs="Times New Roman"/>
                      <w:color w:val="auto"/>
                      <w:spacing w:val="2"/>
                      <w:kern w:val="2"/>
                      <w:sz w:val="21"/>
                      <w:szCs w:val="21"/>
                      <w:u w:val="none"/>
                      <w:lang w:val="en-US" w:eastAsia="zh-CN" w:bidi="ar-SA"/>
                    </w:rPr>
                  </w:pPr>
                  <w:r>
                    <w:rPr>
                      <w:rFonts w:hint="eastAsia"/>
                      <w:color w:val="auto"/>
                      <w:sz w:val="21"/>
                      <w:szCs w:val="21"/>
                      <w:u w:val="none"/>
                    </w:rPr>
                    <w:t>900-</w:t>
                  </w:r>
                  <w:r>
                    <w:rPr>
                      <w:rFonts w:hint="eastAsia"/>
                      <w:color w:val="auto"/>
                      <w:sz w:val="21"/>
                      <w:szCs w:val="21"/>
                      <w:u w:val="none"/>
                      <w:lang w:val="en-US" w:eastAsia="zh-CN"/>
                    </w:rPr>
                    <w:t>249-08</w:t>
                  </w:r>
                </w:p>
              </w:tc>
              <w:tc>
                <w:tcPr>
                  <w:tcW w:w="1297" w:type="pct"/>
                  <w:vMerge w:val="continue"/>
                  <w:noWrap w:val="0"/>
                  <w:vAlign w:val="center"/>
                </w:tcPr>
                <w:p>
                  <w:pPr>
                    <w:pStyle w:val="92"/>
                    <w:rPr>
                      <w:rFonts w:hint="eastAsia"/>
                      <w:color w:val="auto"/>
                      <w:sz w:val="21"/>
                      <w:szCs w:val="21"/>
                      <w:u w:val="none"/>
                    </w:rPr>
                  </w:pPr>
                </w:p>
              </w:tc>
              <w:tc>
                <w:tcPr>
                  <w:tcW w:w="560" w:type="pct"/>
                  <w:noWrap w:val="0"/>
                  <w:vAlign w:val="center"/>
                </w:tcPr>
                <w:p>
                  <w:pPr>
                    <w:pStyle w:val="92"/>
                    <w:rPr>
                      <w:rFonts w:hint="eastAsia"/>
                      <w:color w:val="auto"/>
                      <w:sz w:val="21"/>
                      <w:szCs w:val="21"/>
                      <w:u w:val="none"/>
                    </w:rPr>
                  </w:pPr>
                  <w:r>
                    <w:rPr>
                      <w:rFonts w:hint="eastAsia"/>
                      <w:color w:val="auto"/>
                      <w:sz w:val="21"/>
                      <w:szCs w:val="21"/>
                      <w:u w:val="none"/>
                    </w:rPr>
                    <w:t>0</w:t>
                  </w:r>
                </w:p>
              </w:tc>
            </w:tr>
          </w:tbl>
          <w:p>
            <w:pPr>
              <w:rPr>
                <w:rFonts w:hint="eastAsia"/>
                <w:color w:val="auto"/>
                <w:highlight w:val="none"/>
              </w:rPr>
            </w:pPr>
          </w:p>
          <w:p>
            <w:pPr>
              <w:pStyle w:val="55"/>
              <w:rPr>
                <w:color w:val="auto"/>
                <w:highlight w:val="none"/>
              </w:rPr>
            </w:pPr>
            <w:r>
              <w:rPr>
                <w:color w:val="auto"/>
                <w:highlight w:val="none"/>
              </w:rPr>
              <w:t>4.</w:t>
            </w:r>
            <w:r>
              <w:rPr>
                <w:rFonts w:hint="eastAsia"/>
                <w:color w:val="auto"/>
                <w:highlight w:val="none"/>
              </w:rPr>
              <w:t>2</w:t>
            </w:r>
            <w:r>
              <w:rPr>
                <w:color w:val="auto"/>
                <w:highlight w:val="none"/>
              </w:rPr>
              <w:t>固体废物处置措施</w:t>
            </w:r>
          </w:p>
          <w:p>
            <w:pPr>
              <w:adjustRightInd w:val="0"/>
              <w:snapToGrid w:val="0"/>
              <w:spacing w:line="360" w:lineRule="auto"/>
              <w:ind w:firstLine="480" w:firstLineChars="200"/>
              <w:rPr>
                <w:rFonts w:hint="default"/>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一般工业固废</w:t>
            </w:r>
          </w:p>
          <w:p>
            <w:pP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color w:val="auto"/>
                <w:sz w:val="24"/>
                <w:highlight w:val="none"/>
                <w:lang w:val="en-US" w:eastAsia="zh-CN"/>
              </w:rPr>
              <w:t>本项目产生的</w:t>
            </w:r>
            <w:r>
              <w:rPr>
                <w:rFonts w:hint="eastAsia" w:ascii="Times New Roman" w:hAnsi="Times New Roman" w:cs="Times New Roman"/>
                <w:b w:val="0"/>
                <w:bCs w:val="0"/>
                <w:color w:val="auto"/>
                <w:sz w:val="24"/>
                <w:highlight w:val="none"/>
                <w:lang w:eastAsia="zh-CN"/>
              </w:rPr>
              <w:t>钢材边角料</w:t>
            </w:r>
            <w:r>
              <w:rPr>
                <w:rFonts w:hint="eastAsia" w:ascii="Times New Roman" w:hAnsi="Times New Roman" w:eastAsia="宋体" w:cs="Times New Roman"/>
                <w:b w:val="0"/>
                <w:bCs w:val="0"/>
                <w:color w:val="auto"/>
                <w:sz w:val="24"/>
                <w:highlight w:val="none"/>
                <w:lang w:eastAsia="zh-CN"/>
              </w:rPr>
              <w:t>、除尘</w:t>
            </w:r>
            <w:r>
              <w:rPr>
                <w:rFonts w:hint="default" w:ascii="Times New Roman" w:hAnsi="Times New Roman" w:eastAsia="宋体" w:cs="Times New Roman"/>
                <w:b w:val="0"/>
                <w:bCs w:val="0"/>
                <w:color w:val="auto"/>
                <w:sz w:val="24"/>
                <w:highlight w:val="none"/>
                <w:lang w:eastAsia="zh-CN"/>
              </w:rPr>
              <w:t>灰</w:t>
            </w:r>
            <w:r>
              <w:rPr>
                <w:rFonts w:hint="eastAsia" w:ascii="Times New Roman" w:hAnsi="Times New Roman" w:eastAsia="宋体" w:cs="Times New Roman"/>
                <w:b w:val="0"/>
                <w:bCs w:val="0"/>
                <w:color w:val="auto"/>
                <w:sz w:val="24"/>
                <w:highlight w:val="none"/>
                <w:lang w:eastAsia="zh-CN"/>
              </w:rPr>
              <w:t>、</w:t>
            </w:r>
            <w:r>
              <w:rPr>
                <w:rFonts w:hint="eastAsia" w:ascii="Times New Roman" w:hAnsi="Times New Roman" w:eastAsia="宋体" w:cs="Times New Roman"/>
                <w:b w:val="0"/>
                <w:bCs w:val="0"/>
                <w:color w:val="auto"/>
                <w:sz w:val="24"/>
                <w:highlight w:val="none"/>
                <w:lang w:val="en-US" w:eastAsia="zh-CN"/>
              </w:rPr>
              <w:t>废布袋</w:t>
            </w:r>
            <w:r>
              <w:rPr>
                <w:rFonts w:hint="eastAsia" w:ascii="Times New Roman" w:hAnsi="Times New Roman" w:eastAsia="宋体" w:cs="Times New Roman"/>
                <w:b w:val="0"/>
                <w:bCs w:val="0"/>
                <w:color w:val="auto"/>
                <w:sz w:val="24"/>
                <w:highlight w:val="none"/>
                <w:lang w:eastAsia="zh-CN"/>
              </w:rPr>
              <w:t>属于一般固废，由本项目企业收集后暂</w:t>
            </w:r>
            <w:r>
              <w:rPr>
                <w:rFonts w:hint="eastAsia" w:ascii="Times New Roman" w:hAnsi="Times New Roman" w:eastAsia="宋体" w:cs="Times New Roman"/>
                <w:b w:val="0"/>
                <w:bCs w:val="0"/>
                <w:color w:val="auto"/>
                <w:sz w:val="24"/>
                <w:highlight w:val="none"/>
                <w:lang w:val="en-US" w:eastAsia="zh-CN"/>
              </w:rPr>
              <w:t>存于一般固废暂存区，生活垃圾收集后由环卫部门清运处理。。</w:t>
            </w:r>
          </w:p>
          <w:p>
            <w:pPr>
              <w:adjustRightInd w:val="0"/>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贮存场所的建设需满足一般工业固体废物贮存和填埋污染控制标准（GB18599-2020）的要求。为加强监督管理，贮存、处置场应按 GB15562.2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pPr>
              <w:spacing w:line="360" w:lineRule="auto"/>
              <w:ind w:firstLine="480"/>
              <w:rPr>
                <w:rFonts w:hint="eastAsia"/>
                <w:color w:val="auto"/>
                <w:sz w:val="24"/>
                <w:szCs w:val="24"/>
                <w:u w:val="none"/>
              </w:rPr>
            </w:pPr>
            <w:r>
              <w:rPr>
                <w:rFonts w:hint="eastAsia"/>
                <w:color w:val="000000" w:themeColor="text1"/>
                <w:sz w:val="24"/>
                <w:szCs w:val="24"/>
                <w:u w:val="none"/>
                <w14:textFill>
                  <w14:solidFill>
                    <w14:schemeClr w14:val="tx1"/>
                  </w14:solidFill>
                </w14:textFill>
              </w:rPr>
              <w:t>（2）危险固废</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auto"/>
                <w:sz w:val="24"/>
                <w:szCs w:val="24"/>
                <w:u w:val="none"/>
              </w:rPr>
              <w:t>本项目产生的危险固废主要是</w:t>
            </w:r>
            <w:r>
              <w:rPr>
                <w:rFonts w:hint="eastAsia"/>
                <w:color w:val="auto"/>
                <w:sz w:val="24"/>
                <w:szCs w:val="24"/>
                <w:u w:val="none"/>
                <w:lang w:val="en-US" w:eastAsia="zh-CN"/>
              </w:rPr>
              <w:t>废润滑油、废油桶</w:t>
            </w:r>
            <w:r>
              <w:rPr>
                <w:rFonts w:hint="eastAsia"/>
                <w:color w:val="auto"/>
                <w:sz w:val="24"/>
                <w:szCs w:val="24"/>
                <w:u w:val="none"/>
              </w:rPr>
              <w:t>，本项目企业</w:t>
            </w:r>
            <w:r>
              <w:rPr>
                <w:rFonts w:hint="eastAsia"/>
                <w:color w:val="000000" w:themeColor="text1"/>
                <w:sz w:val="24"/>
                <w:szCs w:val="24"/>
                <w:u w:val="none"/>
                <w14:textFill>
                  <w14:solidFill>
                    <w14:schemeClr w14:val="tx1"/>
                  </w14:solidFill>
                </w14:textFill>
              </w:rPr>
              <w:t>应按照《中华人民共和国固体废物污染环境防治法》及《危险废物贮存污染控制标准》(GB18597-2001) (2013 年修订有关规定)、《建设项目危险废物环境影响评价指南》等相关要求，在项目厂房内设置危废仓，并在危废仓醒目的地方设置危险废物警告标识。本项目企业产生的危废应定期委托有资质具备相应处理能力的公司进行处置。</w:t>
            </w:r>
          </w:p>
          <w:p>
            <w:pPr>
              <w:tabs>
                <w:tab w:val="left" w:pos="1440"/>
                <w:tab w:val="left" w:pos="1800"/>
              </w:tabs>
              <w:adjustRightInd w:val="0"/>
              <w:spacing w:line="360" w:lineRule="auto"/>
              <w:ind w:firstLine="482"/>
              <w:jc w:val="left"/>
              <w:rPr>
                <w:rFonts w:hint="eastAsia"/>
                <w:b/>
                <w:bCs/>
                <w:color w:val="000000" w:themeColor="text1"/>
                <w:sz w:val="24"/>
                <w:szCs w:val="24"/>
                <w:u w:val="none"/>
                <w14:textFill>
                  <w14:solidFill>
                    <w14:schemeClr w14:val="tx1"/>
                  </w14:solidFill>
                </w14:textFill>
              </w:rPr>
            </w:pPr>
            <w:r>
              <w:rPr>
                <w:rFonts w:hint="eastAsia"/>
                <w:b/>
                <w:bCs/>
                <w:color w:val="000000" w:themeColor="text1"/>
                <w:sz w:val="24"/>
                <w:szCs w:val="24"/>
                <w:u w:val="none"/>
                <w14:textFill>
                  <w14:solidFill>
                    <w14:schemeClr w14:val="tx1"/>
                  </w14:solidFill>
                </w14:textFill>
              </w:rPr>
              <w:t>本项目危废贮存场所应按以下要求设置：</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1）产生危废的车间，必须使用专用储存设施，并将危险废物装入专用容器中，无法装入常用容器的危险废物可用防漏胶袋等盛装，盛装危险废物的容器和胶带必须贴符合《危险废物贮存污染控制标准》（GB18597-2001）附录A所示的标签等，防止造成二次污染。危险废物暂存时需有塑料内衬密封，并设有专用暂存区，不得混存，且须做好防淋防渗措施，以避免固废中的挥发物质对环境造成污染。</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2）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3）危险废物的收集和转运过程中，应采取相应的安全防护和污染防治措施，包括防爆、 防火、防中毒、防感染、防泄露、防飞扬、防雨或其它防止污染环境的措施。</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4）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收集池。储存间内清理出来的泄漏物也属于危险废物，必须按照危险废物处理原则处理。</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5）地面与墙角要用坚固、防渗、防腐的材料建造；危险废物存放间场地防渗处理后，渗透系统要小于1×10</w:t>
            </w:r>
            <w:r>
              <w:rPr>
                <w:rFonts w:hint="eastAsia"/>
                <w:color w:val="000000" w:themeColor="text1"/>
                <w:sz w:val="24"/>
                <w:szCs w:val="24"/>
                <w:u w:val="none"/>
                <w:vertAlign w:val="superscript"/>
                <w14:textFill>
                  <w14:solidFill>
                    <w14:schemeClr w14:val="tx1"/>
                  </w14:solidFill>
                </w14:textFill>
              </w:rPr>
              <w:t>-10</w:t>
            </w:r>
            <w:r>
              <w:rPr>
                <w:rFonts w:hint="eastAsia"/>
                <w:color w:val="000000" w:themeColor="text1"/>
                <w:sz w:val="24"/>
                <w:szCs w:val="24"/>
                <w:u w:val="none"/>
                <w14:textFill>
                  <w14:solidFill>
                    <w14:schemeClr w14:val="tx1"/>
                  </w14:solidFill>
                </w14:textFill>
              </w:rPr>
              <w:t>cm/s。</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6）公司应设置专门的危险固废处置机构，作为厂内环境管理、监测的重要组成部分，主要负责危险固废的收集、贮存及处置。</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7）按月统计公司各车间的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spacing w:line="360" w:lineRule="auto"/>
              <w:ind w:firstLine="482"/>
              <w:jc w:val="left"/>
              <w:rPr>
                <w:b/>
                <w:bCs/>
                <w:color w:val="000000" w:themeColor="text1"/>
                <w:sz w:val="24"/>
                <w:szCs w:val="24"/>
                <w:u w:val="none"/>
                <w14:textFill>
                  <w14:solidFill>
                    <w14:schemeClr w14:val="tx1"/>
                  </w14:solidFill>
                </w14:textFill>
              </w:rPr>
            </w:pPr>
            <w:r>
              <w:rPr>
                <w:b/>
                <w:bCs/>
                <w:color w:val="000000" w:themeColor="text1"/>
                <w:sz w:val="24"/>
                <w:szCs w:val="24"/>
                <w:u w:val="none"/>
                <w14:textFill>
                  <w14:solidFill>
                    <w14:schemeClr w14:val="tx1"/>
                  </w14:solidFill>
                </w14:textFill>
              </w:rPr>
              <w:t>贮存安全管理规定：</w:t>
            </w:r>
          </w:p>
          <w:p>
            <w:pPr>
              <w:spacing w:line="360" w:lineRule="auto"/>
              <w:ind w:firstLine="480"/>
              <w:rPr>
                <w:color w:val="000000" w:themeColor="text1"/>
                <w:sz w:val="24"/>
                <w:szCs w:val="24"/>
                <w:u w:val="none"/>
                <w14:textFill>
                  <w14:solidFill>
                    <w14:schemeClr w14:val="tx1"/>
                  </w14:solidFill>
                </w14:textFill>
              </w:rPr>
            </w:pPr>
            <w:r>
              <w:rPr>
                <w:color w:val="000000" w:themeColor="text1"/>
                <w:sz w:val="24"/>
                <w:szCs w:val="24"/>
                <w:u w:val="none"/>
                <w14:textFill>
                  <w14:solidFill>
                    <w14:schemeClr w14:val="tx1"/>
                  </w14:solidFill>
                </w14:textFill>
              </w:rPr>
              <w:t>根据《危险废物贮存污染控制标准》（GB18597-2001），本项目产生的废润滑油和</w:t>
            </w:r>
            <w:r>
              <w:rPr>
                <w:rFonts w:hint="eastAsia"/>
                <w:color w:val="000000" w:themeColor="text1"/>
                <w:sz w:val="24"/>
                <w:szCs w:val="24"/>
                <w:u w:val="none"/>
                <w:lang w:val="en-US" w:eastAsia="zh-CN"/>
                <w14:textFill>
                  <w14:solidFill>
                    <w14:schemeClr w14:val="tx1"/>
                  </w14:solidFill>
                </w14:textFill>
              </w:rPr>
              <w:t>废油桶</w:t>
            </w:r>
            <w:r>
              <w:rPr>
                <w:color w:val="000000" w:themeColor="text1"/>
                <w:sz w:val="24"/>
                <w:szCs w:val="24"/>
                <w:u w:val="none"/>
                <w14:textFill>
                  <w14:solidFill>
                    <w14:schemeClr w14:val="tx1"/>
                  </w14:solidFill>
                </w14:textFill>
              </w:rPr>
              <w:t>应存放于阴凉、通风、干燥的场所，储存于专用收集容器，防止阳光直射，保持容器密封。</w:t>
            </w:r>
          </w:p>
          <w:p>
            <w:pPr>
              <w:spacing w:line="360" w:lineRule="auto"/>
              <w:ind w:firstLine="482"/>
              <w:rPr>
                <w:b/>
                <w:bCs/>
                <w:color w:val="000000" w:themeColor="text1"/>
                <w:sz w:val="24"/>
                <w:szCs w:val="24"/>
                <w:u w:val="none"/>
                <w14:textFill>
                  <w14:solidFill>
                    <w14:schemeClr w14:val="tx1"/>
                  </w14:solidFill>
                </w14:textFill>
              </w:rPr>
            </w:pPr>
            <w:r>
              <w:rPr>
                <w:b/>
                <w:bCs/>
                <w:color w:val="000000" w:themeColor="text1"/>
                <w:sz w:val="24"/>
                <w:szCs w:val="24"/>
                <w:u w:val="none"/>
                <w14:textFill>
                  <w14:solidFill>
                    <w14:schemeClr w14:val="tx1"/>
                  </w14:solidFill>
                </w14:textFill>
              </w:rPr>
              <w:t>运输注意事项：</w:t>
            </w:r>
          </w:p>
          <w:p>
            <w:pPr>
              <w:spacing w:line="360" w:lineRule="auto"/>
              <w:ind w:firstLine="480"/>
              <w:rPr>
                <w:color w:val="000000" w:themeColor="text1"/>
                <w:sz w:val="24"/>
                <w:szCs w:val="24"/>
                <w:u w:val="none"/>
                <w14:textFill>
                  <w14:solidFill>
                    <w14:schemeClr w14:val="tx1"/>
                  </w14:solidFill>
                </w14:textFill>
              </w:rPr>
            </w:pPr>
            <w:r>
              <w:rPr>
                <w:color w:val="000000" w:themeColor="text1"/>
                <w:sz w:val="24"/>
                <w:szCs w:val="24"/>
                <w:u w:val="none"/>
                <w14:textFill>
                  <w14:solidFill>
                    <w14:schemeClr w14:val="tx1"/>
                  </w14:solidFill>
                </w14:textFill>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3</w:t>
            </w: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14:textFill>
                  <w14:solidFill>
                    <w14:schemeClr w14:val="tx1"/>
                  </w14:solidFill>
                </w14:textFill>
              </w:rPr>
              <w:t>生活垃圾</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本项目生活垃圾由建设单位收集后，暂存于生活垃圾桶，每天交环卫部门统一处理。</w:t>
            </w:r>
          </w:p>
          <w:p>
            <w:pPr>
              <w:spacing w:line="360" w:lineRule="auto"/>
              <w:ind w:firstLine="480"/>
              <w:jc w:val="left"/>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综上所述，本项目固废均得到合理处置，不会造成二次污染，对项目周边的环境影响很小。</w:t>
            </w:r>
          </w:p>
          <w:p>
            <w:pPr>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w:t>
            </w:r>
            <w:r>
              <w:rPr>
                <w:rFonts w:hint="eastAsia"/>
                <w:b/>
                <w:bCs/>
                <w:color w:val="000000" w:themeColor="text1"/>
                <w:sz w:val="24"/>
                <w:szCs w:val="24"/>
                <w:lang w:val="en-US" w:eastAsia="zh-CN"/>
                <w14:textFill>
                  <w14:solidFill>
                    <w14:schemeClr w14:val="tx1"/>
                  </w14:solidFill>
                </w14:textFill>
              </w:rPr>
              <w:t>土壤、</w:t>
            </w:r>
            <w:r>
              <w:rPr>
                <w:b/>
                <w:bCs/>
                <w:color w:val="000000" w:themeColor="text1"/>
                <w:sz w:val="24"/>
                <w:szCs w:val="24"/>
                <w14:textFill>
                  <w14:solidFill>
                    <w14:schemeClr w14:val="tx1"/>
                  </w14:solidFill>
                </w14:textFill>
              </w:rPr>
              <w:t>地下水环境影响及保护措施</w:t>
            </w:r>
          </w:p>
          <w:p>
            <w:pPr>
              <w:adjustRightInd w:val="0"/>
              <w:snapToGrid w:val="0"/>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1、土壤、地下水污染源</w:t>
            </w:r>
          </w:p>
          <w:p>
            <w:pPr>
              <w:adjustRightInd w:val="0"/>
              <w:snapToGrid w:val="0"/>
              <w:spacing w:line="360" w:lineRule="auto"/>
              <w:ind w:firstLine="480" w:firstLineChars="200"/>
              <w:rPr>
                <w:color w:val="auto"/>
                <w:sz w:val="24"/>
                <w:highlight w:val="none"/>
              </w:rPr>
            </w:pPr>
            <w:r>
              <w:rPr>
                <w:color w:val="auto"/>
                <w:sz w:val="24"/>
                <w:szCs w:val="24"/>
                <w:highlight w:val="none"/>
              </w:rPr>
              <w:t>根据对项目生产过程及存储方</w:t>
            </w:r>
            <w:r>
              <w:rPr>
                <w:color w:val="auto"/>
                <w:sz w:val="24"/>
                <w:highlight w:val="none"/>
              </w:rPr>
              <w:t>式等进行分析，本项目对土壤</w:t>
            </w:r>
            <w:r>
              <w:rPr>
                <w:rFonts w:hint="eastAsia"/>
                <w:color w:val="auto"/>
                <w:sz w:val="24"/>
                <w:highlight w:val="none"/>
              </w:rPr>
              <w:t>、地下水</w:t>
            </w:r>
            <w:r>
              <w:rPr>
                <w:color w:val="auto"/>
                <w:sz w:val="24"/>
                <w:highlight w:val="none"/>
              </w:rPr>
              <w:t>环境影响的污染源</w:t>
            </w:r>
            <w:r>
              <w:rPr>
                <w:rFonts w:hint="eastAsia"/>
                <w:color w:val="auto"/>
                <w:sz w:val="24"/>
                <w:highlight w:val="none"/>
              </w:rPr>
              <w:t>如下。</w:t>
            </w:r>
          </w:p>
          <w:p>
            <w:pPr>
              <w:adjustRightInd w:val="0"/>
              <w:snapToGrid w:val="0"/>
              <w:spacing w:line="360" w:lineRule="auto"/>
              <w:ind w:firstLine="480" w:firstLineChars="200"/>
              <w:rPr>
                <w:color w:val="auto"/>
                <w:sz w:val="24"/>
                <w:highlight w:val="none"/>
              </w:rPr>
            </w:pPr>
            <w:r>
              <w:rPr>
                <w:color w:val="auto"/>
                <w:sz w:val="24"/>
                <w:highlight w:val="none"/>
              </w:rPr>
              <w:t>对土壤环境影响的污染源</w:t>
            </w:r>
            <w:r>
              <w:rPr>
                <w:rFonts w:hint="eastAsia"/>
                <w:color w:val="auto"/>
                <w:sz w:val="24"/>
                <w:highlight w:val="none"/>
              </w:rPr>
              <w:t>：</w:t>
            </w:r>
            <w:r>
              <w:rPr>
                <w:rFonts w:hint="eastAsia"/>
                <w:color w:val="auto"/>
                <w:sz w:val="24"/>
                <w:highlight w:val="none"/>
                <w:lang w:val="en-US" w:eastAsia="zh-CN"/>
              </w:rPr>
              <w:t>危险废物暂存间</w:t>
            </w:r>
            <w:r>
              <w:rPr>
                <w:rFonts w:hint="eastAsia"/>
                <w:color w:val="auto"/>
                <w:sz w:val="24"/>
                <w:highlight w:val="none"/>
              </w:rPr>
              <w:t>事故状态下泄露废液的垂直入渗，</w:t>
            </w:r>
            <w:r>
              <w:rPr>
                <w:rFonts w:hint="eastAsia"/>
                <w:color w:val="auto"/>
                <w:sz w:val="24"/>
                <w:highlight w:val="none"/>
                <w:lang w:val="en-US" w:eastAsia="zh-CN"/>
              </w:rPr>
              <w:t>各污染源</w:t>
            </w:r>
            <w:r>
              <w:rPr>
                <w:rFonts w:hint="eastAsia"/>
                <w:color w:val="auto"/>
                <w:sz w:val="24"/>
                <w:highlight w:val="none"/>
              </w:rPr>
              <w:t>挥发性有机物的大气沉降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对地下水环境影响的污染源</w:t>
            </w:r>
            <w:r>
              <w:rPr>
                <w:rFonts w:hint="eastAsia"/>
                <w:color w:val="auto"/>
                <w:sz w:val="24"/>
                <w:highlight w:val="none"/>
              </w:rPr>
              <w:t>：</w:t>
            </w:r>
            <w:r>
              <w:rPr>
                <w:rFonts w:hint="eastAsia"/>
                <w:color w:val="auto"/>
                <w:sz w:val="24"/>
                <w:highlight w:val="none"/>
                <w:lang w:eastAsia="zh-CN"/>
              </w:rPr>
              <w:t>危险废物暂存间</w:t>
            </w:r>
            <w:r>
              <w:rPr>
                <w:rFonts w:hint="eastAsia"/>
                <w:color w:val="auto"/>
                <w:sz w:val="24"/>
                <w:highlight w:val="none"/>
              </w:rPr>
              <w:t>事故状态下的废液泄露</w:t>
            </w:r>
            <w:r>
              <w:rPr>
                <w:color w:val="auto"/>
                <w:sz w:val="24"/>
                <w:highlight w:val="none"/>
              </w:rPr>
              <w:t>。</w:t>
            </w:r>
          </w:p>
          <w:p>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土壤、地下水污染途径</w:t>
            </w:r>
          </w:p>
          <w:p>
            <w:pPr>
              <w:adjustRightInd w:val="0"/>
              <w:snapToGrid w:val="0"/>
              <w:spacing w:line="360" w:lineRule="auto"/>
              <w:ind w:firstLine="480" w:firstLineChars="200"/>
              <w:rPr>
                <w:color w:val="auto"/>
                <w:sz w:val="24"/>
                <w:highlight w:val="none"/>
              </w:rPr>
            </w:pPr>
            <w:r>
              <w:rPr>
                <w:color w:val="auto"/>
                <w:sz w:val="24"/>
                <w:highlight w:val="none"/>
              </w:rPr>
              <w:t>本项目对地下水及土壤产生污染的途径主要是渗透污染</w:t>
            </w:r>
            <w:r>
              <w:rPr>
                <w:rFonts w:hint="eastAsia"/>
                <w:color w:val="auto"/>
                <w:sz w:val="24"/>
                <w:highlight w:val="none"/>
              </w:rPr>
              <w:t>、大气沉降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渗透污染</w:t>
            </w:r>
            <w:r>
              <w:rPr>
                <w:rFonts w:hint="eastAsia"/>
                <w:color w:val="auto"/>
                <w:sz w:val="24"/>
                <w:highlight w:val="none"/>
              </w:rPr>
              <w:t>、大气沉降</w:t>
            </w:r>
            <w:r>
              <w:rPr>
                <w:color w:val="auto"/>
                <w:sz w:val="24"/>
                <w:highlight w:val="none"/>
              </w:rPr>
              <w:t>是导致地下水</w:t>
            </w:r>
            <w:r>
              <w:rPr>
                <w:rFonts w:hint="eastAsia"/>
                <w:color w:val="auto"/>
                <w:sz w:val="24"/>
                <w:highlight w:val="none"/>
              </w:rPr>
              <w:t>及土壤</w:t>
            </w:r>
            <w:r>
              <w:rPr>
                <w:color w:val="auto"/>
                <w:sz w:val="24"/>
                <w:highlight w:val="none"/>
              </w:rPr>
              <w:t>污染的普遍和主要方式，主要产生可能性来自：项目产生的</w:t>
            </w:r>
            <w:r>
              <w:rPr>
                <w:rFonts w:hint="eastAsia"/>
                <w:color w:val="auto"/>
                <w:sz w:val="24"/>
                <w:highlight w:val="none"/>
              </w:rPr>
              <w:t>废液在</w:t>
            </w:r>
            <w:r>
              <w:rPr>
                <w:color w:val="auto"/>
                <w:sz w:val="24"/>
                <w:highlight w:val="none"/>
              </w:rPr>
              <w:t>事故情况下直接渗入土壤，进而污染土壤及</w:t>
            </w:r>
            <w:r>
              <w:rPr>
                <w:rFonts w:hint="eastAsia"/>
                <w:color w:val="auto"/>
                <w:sz w:val="24"/>
                <w:highlight w:val="none"/>
              </w:rPr>
              <w:t>地下水</w:t>
            </w:r>
            <w:r>
              <w:rPr>
                <w:color w:val="auto"/>
                <w:sz w:val="24"/>
                <w:highlight w:val="none"/>
              </w:rPr>
              <w:t>。</w:t>
            </w:r>
          </w:p>
          <w:p>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土壤、地下水影响分析</w:t>
            </w:r>
          </w:p>
          <w:p>
            <w:pPr>
              <w:adjustRightInd w:val="0"/>
              <w:snapToGrid w:val="0"/>
              <w:spacing w:line="360" w:lineRule="auto"/>
              <w:ind w:firstLine="480" w:firstLineChars="200"/>
              <w:rPr>
                <w:bCs/>
                <w:color w:val="auto"/>
                <w:sz w:val="24"/>
                <w:highlight w:val="none"/>
              </w:rPr>
            </w:pPr>
            <w:r>
              <w:rPr>
                <w:bCs/>
                <w:color w:val="auto"/>
                <w:sz w:val="24"/>
                <w:highlight w:val="none"/>
              </w:rPr>
              <w:t>（1）正常情况下</w:t>
            </w:r>
            <w:r>
              <w:rPr>
                <w:rFonts w:hint="eastAsia"/>
                <w:bCs/>
                <w:color w:val="auto"/>
                <w:sz w:val="24"/>
                <w:highlight w:val="none"/>
              </w:rPr>
              <w:t>土壤、</w:t>
            </w:r>
            <w:r>
              <w:rPr>
                <w:bCs/>
                <w:color w:val="auto"/>
                <w:sz w:val="24"/>
                <w:highlight w:val="none"/>
              </w:rPr>
              <w:t>地下水环境影响分析</w:t>
            </w:r>
          </w:p>
          <w:p>
            <w:pPr>
              <w:adjustRightInd w:val="0"/>
              <w:snapToGrid w:val="0"/>
              <w:spacing w:line="360" w:lineRule="auto"/>
              <w:ind w:firstLine="480" w:firstLineChars="200"/>
              <w:rPr>
                <w:color w:val="auto"/>
                <w:sz w:val="24"/>
                <w:highlight w:val="none"/>
              </w:rPr>
            </w:pPr>
            <w:r>
              <w:rPr>
                <w:bCs/>
                <w:color w:val="auto"/>
                <w:sz w:val="24"/>
                <w:highlight w:val="none"/>
              </w:rPr>
              <w:t>本项目</w:t>
            </w:r>
            <w:r>
              <w:rPr>
                <w:color w:val="auto"/>
                <w:sz w:val="24"/>
                <w:highlight w:val="none"/>
              </w:rPr>
              <w:t>对</w:t>
            </w:r>
            <w:r>
              <w:rPr>
                <w:rFonts w:hint="eastAsia"/>
                <w:color w:val="auto"/>
                <w:sz w:val="24"/>
                <w:highlight w:val="none"/>
                <w:lang w:eastAsia="zh-CN"/>
              </w:rPr>
              <w:t>危险废物暂存间</w:t>
            </w:r>
            <w:r>
              <w:rPr>
                <w:color w:val="auto"/>
                <w:sz w:val="24"/>
                <w:highlight w:val="none"/>
              </w:rPr>
              <w:t>进行严格的</w:t>
            </w:r>
            <w:r>
              <w:rPr>
                <w:rFonts w:hint="eastAsia"/>
                <w:color w:val="auto"/>
                <w:sz w:val="24"/>
                <w:highlight w:val="none"/>
              </w:rPr>
              <w:t>防腐</w:t>
            </w:r>
            <w:r>
              <w:rPr>
                <w:color w:val="auto"/>
                <w:sz w:val="24"/>
                <w:highlight w:val="none"/>
              </w:rPr>
              <w:t>防渗处理后，</w:t>
            </w:r>
            <w:r>
              <w:rPr>
                <w:bCs/>
                <w:color w:val="auto"/>
                <w:sz w:val="24"/>
                <w:highlight w:val="none"/>
              </w:rPr>
              <w:t>通过</w:t>
            </w:r>
            <w:r>
              <w:rPr>
                <w:color w:val="auto"/>
                <w:sz w:val="24"/>
                <w:highlight w:val="none"/>
              </w:rPr>
              <w:t>采取</w:t>
            </w:r>
            <w:r>
              <w:rPr>
                <w:rFonts w:hint="eastAsia"/>
                <w:color w:val="auto"/>
                <w:sz w:val="24"/>
                <w:highlight w:val="none"/>
              </w:rPr>
              <w:t>以上</w:t>
            </w:r>
            <w:r>
              <w:rPr>
                <w:color w:val="auto"/>
                <w:sz w:val="24"/>
                <w:highlight w:val="none"/>
              </w:rPr>
              <w:t>环保措施后，废水下渗量很小，在正常情况下对土壤</w:t>
            </w:r>
            <w:r>
              <w:rPr>
                <w:rFonts w:hint="eastAsia"/>
                <w:color w:val="auto"/>
                <w:sz w:val="24"/>
                <w:highlight w:val="none"/>
              </w:rPr>
              <w:t>和</w:t>
            </w:r>
            <w:r>
              <w:rPr>
                <w:color w:val="auto"/>
                <w:sz w:val="24"/>
                <w:highlight w:val="none"/>
              </w:rPr>
              <w:t>地下水</w:t>
            </w:r>
            <w:r>
              <w:rPr>
                <w:rFonts w:hint="eastAsia"/>
                <w:color w:val="auto"/>
                <w:sz w:val="24"/>
                <w:highlight w:val="none"/>
              </w:rPr>
              <w:t>的影响很小</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（2）非正常情况下地下水环境影响分析</w:t>
            </w:r>
          </w:p>
          <w:p>
            <w:pPr>
              <w:adjustRightInd w:val="0"/>
              <w:snapToGrid w:val="0"/>
              <w:spacing w:line="360" w:lineRule="auto"/>
              <w:ind w:firstLine="480" w:firstLineChars="200"/>
              <w:rPr>
                <w:color w:val="auto"/>
                <w:sz w:val="24"/>
                <w:highlight w:val="none"/>
              </w:rPr>
            </w:pPr>
            <w:r>
              <w:rPr>
                <w:rFonts w:hint="eastAsia"/>
                <w:color w:val="auto"/>
                <w:sz w:val="24"/>
                <w:highlight w:val="none"/>
              </w:rPr>
              <w:t>如果</w:t>
            </w:r>
            <w:r>
              <w:rPr>
                <w:rFonts w:hint="eastAsia"/>
                <w:color w:val="auto"/>
                <w:sz w:val="24"/>
                <w:highlight w:val="none"/>
                <w:lang w:eastAsia="zh-CN"/>
              </w:rPr>
              <w:t>危险废物暂存间</w:t>
            </w:r>
            <w:r>
              <w:rPr>
                <w:rFonts w:hint="eastAsia"/>
                <w:color w:val="auto"/>
                <w:sz w:val="24"/>
                <w:highlight w:val="none"/>
              </w:rPr>
              <w:t>防渗层发生破损，泄露的废液将</w:t>
            </w:r>
            <w:r>
              <w:rPr>
                <w:color w:val="auto"/>
                <w:sz w:val="24"/>
                <w:highlight w:val="none"/>
              </w:rPr>
              <w:t>入渗进入地下</w:t>
            </w:r>
            <w:r>
              <w:rPr>
                <w:rFonts w:hint="eastAsia"/>
                <w:color w:val="auto"/>
                <w:sz w:val="24"/>
                <w:highlight w:val="none"/>
              </w:rPr>
              <w:t>，</w:t>
            </w:r>
            <w:r>
              <w:rPr>
                <w:color w:val="auto"/>
                <w:sz w:val="24"/>
                <w:highlight w:val="none"/>
              </w:rPr>
              <w:t>污染土壤及</w:t>
            </w:r>
            <w:r>
              <w:rPr>
                <w:rFonts w:hint="eastAsia"/>
                <w:color w:val="auto"/>
                <w:sz w:val="24"/>
                <w:highlight w:val="none"/>
              </w:rPr>
              <w:t>地下水</w:t>
            </w:r>
            <w:r>
              <w:rPr>
                <w:color w:val="auto"/>
                <w:sz w:val="24"/>
                <w:highlight w:val="none"/>
              </w:rPr>
              <w:t>。非正常状况下，将不可避免的会对项目所在区域周围，特别是</w:t>
            </w:r>
            <w:r>
              <w:rPr>
                <w:rFonts w:hint="eastAsia"/>
                <w:color w:val="auto"/>
                <w:sz w:val="24"/>
                <w:highlight w:val="none"/>
              </w:rPr>
              <w:t>地下水</w:t>
            </w:r>
            <w:r>
              <w:rPr>
                <w:color w:val="auto"/>
                <w:sz w:val="24"/>
                <w:highlight w:val="none"/>
              </w:rPr>
              <w:t>下游部分区域的土壤及</w:t>
            </w:r>
            <w:r>
              <w:rPr>
                <w:rFonts w:hint="eastAsia"/>
                <w:color w:val="auto"/>
                <w:sz w:val="24"/>
                <w:highlight w:val="none"/>
              </w:rPr>
              <w:t>地下水</w:t>
            </w:r>
            <w:r>
              <w:rPr>
                <w:color w:val="auto"/>
                <w:sz w:val="24"/>
                <w:highlight w:val="none"/>
              </w:rPr>
              <w:t>产生一定程度的污染。因此，建设单位应积极采取有效的防渗措施，定期监控</w:t>
            </w:r>
            <w:r>
              <w:rPr>
                <w:rFonts w:hint="eastAsia"/>
                <w:color w:val="auto"/>
                <w:sz w:val="24"/>
                <w:highlight w:val="none"/>
              </w:rPr>
              <w:t>地下水水质</w:t>
            </w:r>
            <w:r>
              <w:rPr>
                <w:color w:val="auto"/>
                <w:sz w:val="24"/>
                <w:highlight w:val="none"/>
              </w:rPr>
              <w:t>，一旦发现废液渗漏后，</w:t>
            </w:r>
            <w:r>
              <w:rPr>
                <w:rFonts w:hint="eastAsia"/>
                <w:color w:val="auto"/>
                <w:sz w:val="24"/>
                <w:highlight w:val="none"/>
              </w:rPr>
              <w:t>马上</w:t>
            </w:r>
            <w:r>
              <w:rPr>
                <w:color w:val="auto"/>
                <w:sz w:val="24"/>
                <w:highlight w:val="none"/>
              </w:rPr>
              <w:t>采取有效的应急措施，避免泄漏持续发生。</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（3）在</w:t>
            </w:r>
            <w:r>
              <w:rPr>
                <w:rFonts w:hint="eastAsia"/>
                <w:color w:val="auto"/>
                <w:sz w:val="24"/>
                <w:highlight w:val="none"/>
                <w:lang w:val="en-US" w:eastAsia="zh-CN"/>
              </w:rPr>
              <w:t>营运期会</w:t>
            </w:r>
            <w:r>
              <w:rPr>
                <w:rFonts w:hint="eastAsia"/>
                <w:color w:val="auto"/>
                <w:sz w:val="24"/>
                <w:highlight w:val="none"/>
              </w:rPr>
              <w:t>产生挥发性有机物，排放的大气污染物沉降地面会导致</w:t>
            </w:r>
            <w:r>
              <w:rPr>
                <w:color w:val="auto"/>
                <w:sz w:val="24"/>
                <w:highlight w:val="none"/>
              </w:rPr>
              <w:t>一定程度的</w:t>
            </w:r>
            <w:r>
              <w:rPr>
                <w:rFonts w:hint="eastAsia"/>
                <w:color w:val="auto"/>
                <w:sz w:val="24"/>
                <w:highlight w:val="none"/>
              </w:rPr>
              <w:t>土壤污染。周边土壤大部分已硬化，大大减少了对土壤的直接污染。</w:t>
            </w:r>
            <w:r>
              <w:rPr>
                <w:color w:val="auto"/>
                <w:sz w:val="24"/>
                <w:highlight w:val="none"/>
              </w:rPr>
              <w:t>因此，建设单位应积极采取有效的防渗措施，定期监控</w:t>
            </w:r>
            <w:r>
              <w:rPr>
                <w:rFonts w:hint="eastAsia"/>
                <w:color w:val="auto"/>
                <w:sz w:val="24"/>
                <w:highlight w:val="none"/>
              </w:rPr>
              <w:t>周边土壤</w:t>
            </w:r>
            <w:r>
              <w:rPr>
                <w:color w:val="auto"/>
                <w:sz w:val="24"/>
                <w:highlight w:val="none"/>
              </w:rPr>
              <w:t>，一旦发现</w:t>
            </w:r>
            <w:r>
              <w:rPr>
                <w:rFonts w:hint="eastAsia"/>
                <w:color w:val="auto"/>
                <w:sz w:val="24"/>
                <w:highlight w:val="none"/>
              </w:rPr>
              <w:t>周边土壤被污染</w:t>
            </w:r>
            <w:r>
              <w:rPr>
                <w:color w:val="auto"/>
                <w:sz w:val="24"/>
                <w:highlight w:val="none"/>
              </w:rPr>
              <w:t>后，</w:t>
            </w:r>
            <w:r>
              <w:rPr>
                <w:rFonts w:hint="eastAsia"/>
                <w:color w:val="auto"/>
                <w:sz w:val="24"/>
                <w:highlight w:val="none"/>
              </w:rPr>
              <w:t>马上</w:t>
            </w:r>
            <w:r>
              <w:rPr>
                <w:color w:val="auto"/>
                <w:sz w:val="24"/>
                <w:highlight w:val="none"/>
              </w:rPr>
              <w:t>采取有效的应急措施，避免</w:t>
            </w:r>
            <w:r>
              <w:rPr>
                <w:rFonts w:hint="eastAsia"/>
                <w:color w:val="auto"/>
                <w:sz w:val="24"/>
                <w:highlight w:val="none"/>
              </w:rPr>
              <w:t>加重土壤污染</w:t>
            </w:r>
            <w:r>
              <w:rPr>
                <w:color w:val="auto"/>
                <w:sz w:val="24"/>
                <w:highlight w:val="none"/>
              </w:rPr>
              <w:t>。</w:t>
            </w:r>
          </w:p>
          <w:p>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防范措施</w:t>
            </w:r>
          </w:p>
          <w:p>
            <w:pPr>
              <w:adjustRightInd w:val="0"/>
              <w:snapToGrid w:val="0"/>
              <w:spacing w:line="360" w:lineRule="auto"/>
              <w:ind w:firstLine="480" w:firstLineChars="200"/>
              <w:rPr>
                <w:color w:val="auto"/>
                <w:sz w:val="24"/>
                <w:highlight w:val="none"/>
              </w:rPr>
            </w:pPr>
            <w:r>
              <w:rPr>
                <w:color w:val="auto"/>
                <w:sz w:val="24"/>
                <w:highlight w:val="none"/>
              </w:rPr>
              <w:t>针对上述情况，企业采取以下措施，以减轻对地土壤</w:t>
            </w:r>
            <w:r>
              <w:rPr>
                <w:rFonts w:hint="eastAsia"/>
                <w:color w:val="auto"/>
                <w:sz w:val="24"/>
                <w:highlight w:val="none"/>
              </w:rPr>
              <w:t>和</w:t>
            </w:r>
            <w:r>
              <w:rPr>
                <w:color w:val="auto"/>
                <w:sz w:val="24"/>
                <w:highlight w:val="none"/>
              </w:rPr>
              <w:t>地下水的污染。</w:t>
            </w:r>
          </w:p>
          <w:p>
            <w:pPr>
              <w:adjustRightInd w:val="0"/>
              <w:snapToGrid w:val="0"/>
              <w:spacing w:line="360" w:lineRule="auto"/>
              <w:ind w:firstLine="480" w:firstLineChars="200"/>
              <w:rPr>
                <w:color w:val="auto"/>
                <w:sz w:val="24"/>
                <w:highlight w:val="none"/>
              </w:rPr>
            </w:pPr>
            <w:r>
              <w:rPr>
                <w:color w:val="auto"/>
                <w:sz w:val="24"/>
                <w:highlight w:val="none"/>
              </w:rPr>
              <w:t>（1）源头控制措施</w:t>
            </w:r>
          </w:p>
          <w:p>
            <w:pPr>
              <w:adjustRightInd w:val="0"/>
              <w:snapToGrid w:val="0"/>
              <w:spacing w:line="360" w:lineRule="auto"/>
              <w:ind w:firstLine="480" w:firstLineChars="200"/>
              <w:rPr>
                <w:color w:val="auto"/>
                <w:sz w:val="24"/>
                <w:highlight w:val="none"/>
              </w:rPr>
            </w:pPr>
            <w:r>
              <w:rPr>
                <w:color w:val="auto"/>
                <w:sz w:val="24"/>
                <w:highlight w:val="none"/>
              </w:rPr>
              <w:t>项目各类废气均可达标排放，废水经处理</w:t>
            </w:r>
            <w:r>
              <w:rPr>
                <w:rFonts w:hint="eastAsia"/>
                <w:color w:val="auto"/>
                <w:sz w:val="24"/>
                <w:highlight w:val="none"/>
                <w:lang w:eastAsia="zh-CN"/>
              </w:rPr>
              <w:t>、</w:t>
            </w:r>
            <w:r>
              <w:rPr>
                <w:color w:val="auto"/>
                <w:sz w:val="24"/>
                <w:highlight w:val="none"/>
              </w:rPr>
              <w:t>达标后纳管排放，各类固态废物均能得以妥善</w:t>
            </w:r>
            <w:r>
              <w:rPr>
                <w:rFonts w:hint="eastAsia"/>
                <w:color w:val="auto"/>
                <w:sz w:val="24"/>
                <w:highlight w:val="none"/>
              </w:rPr>
              <w:t>处理</w:t>
            </w:r>
            <w:r>
              <w:rPr>
                <w:color w:val="auto"/>
                <w:sz w:val="24"/>
                <w:highlight w:val="none"/>
              </w:rPr>
              <w:t>处置，有效减少了污染物的排放量。</w:t>
            </w:r>
          </w:p>
          <w:p>
            <w:pPr>
              <w:adjustRightInd w:val="0"/>
              <w:snapToGrid w:val="0"/>
              <w:spacing w:line="360" w:lineRule="auto"/>
              <w:ind w:firstLine="480" w:firstLineChars="200"/>
              <w:rPr>
                <w:color w:val="auto"/>
                <w:sz w:val="24"/>
                <w:highlight w:val="none"/>
              </w:rPr>
            </w:pPr>
            <w:r>
              <w:rPr>
                <w:color w:val="auto"/>
                <w:sz w:val="24"/>
                <w:highlight w:val="none"/>
              </w:rPr>
              <w:t>（2）分区</w:t>
            </w:r>
            <w:r>
              <w:rPr>
                <w:rFonts w:hint="eastAsia"/>
                <w:color w:val="auto"/>
                <w:sz w:val="24"/>
                <w:highlight w:val="none"/>
              </w:rPr>
              <w:t>防渗</w:t>
            </w:r>
            <w:r>
              <w:rPr>
                <w:color w:val="auto"/>
                <w:sz w:val="24"/>
                <w:highlight w:val="none"/>
              </w:rPr>
              <w:t>措施</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本项目厂房的防渗措施要求见下表。</w:t>
            </w:r>
          </w:p>
          <w:p>
            <w:pPr>
              <w:pStyle w:val="66"/>
              <w:bidi w:val="0"/>
              <w:jc w:val="center"/>
              <w:rPr>
                <w:b/>
                <w:bCs/>
                <w:i w:val="0"/>
                <w:iCs w:val="0"/>
                <w:color w:val="auto"/>
                <w:sz w:val="21"/>
                <w:szCs w:val="21"/>
                <w:highlight w:val="none"/>
              </w:rPr>
            </w:pPr>
            <w:r>
              <w:rPr>
                <w:rFonts w:hint="eastAsia"/>
                <w:b/>
                <w:bCs/>
                <w:i w:val="0"/>
                <w:iCs w:val="0"/>
                <w:color w:val="auto"/>
                <w:sz w:val="21"/>
                <w:szCs w:val="21"/>
                <w:highlight w:val="none"/>
                <w:lang w:val="en-US" w:eastAsia="zh-CN"/>
              </w:rPr>
              <w:t xml:space="preserve">表4-10  </w:t>
            </w:r>
            <w:r>
              <w:rPr>
                <w:rFonts w:hint="eastAsia"/>
                <w:b/>
                <w:bCs/>
                <w:i w:val="0"/>
                <w:iCs w:val="0"/>
                <w:color w:val="auto"/>
                <w:sz w:val="21"/>
                <w:szCs w:val="21"/>
                <w:highlight w:val="none"/>
              </w:rPr>
              <w:t>项目地下水污染防渗情况一览表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2463"/>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防渗等级</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区域</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具体防渗改造要求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重点防渗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危险废物暂存间</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危险废物暂存间地面、裙角行防渗、防腐处理，接触地面水泥硬化，涂布环氧地坪漆，等效黏土防渗层Mb≥6.0m，防渗系数小于10</w:t>
                  </w:r>
                  <w:r>
                    <w:rPr>
                      <w:rFonts w:hint="default"/>
                      <w:color w:val="auto"/>
                      <w:sz w:val="21"/>
                      <w:szCs w:val="21"/>
                      <w:highlight w:val="none"/>
                      <w:vertAlign w:val="superscript"/>
                      <w:lang w:val="en-US" w:eastAsia="zh-CN"/>
                    </w:rPr>
                    <w:t>-7</w:t>
                  </w:r>
                  <w:r>
                    <w:rPr>
                      <w:rFonts w:hint="default"/>
                      <w:color w:val="auto"/>
                      <w:sz w:val="21"/>
                      <w:szCs w:val="21"/>
                      <w:highlight w:val="none"/>
                      <w:vertAlign w:val="baseline"/>
                      <w:lang w:val="en-US" w:eastAsia="zh-CN"/>
                    </w:rPr>
                    <w:t>cm/s</w:t>
                  </w:r>
                  <w:r>
                    <w:rPr>
                      <w:rFonts w:hint="eastAsia"/>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一般固废暂存间</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一般固废暂存间进行地面水泥硬化，涂布环氧地坪漆，使防渗层等效黏土防渗层Mb≥1.5m，渗透系数小于1×10</w:t>
                  </w:r>
                  <w:r>
                    <w:rPr>
                      <w:rFonts w:hint="eastAsia"/>
                      <w:color w:val="auto"/>
                      <w:sz w:val="21"/>
                      <w:szCs w:val="21"/>
                      <w:highlight w:val="none"/>
                      <w:vertAlign w:val="superscript"/>
                      <w:lang w:val="en-US" w:eastAsia="zh-CN"/>
                    </w:rPr>
                    <w:t>-7</w:t>
                  </w:r>
                  <w:r>
                    <w:rPr>
                      <w:rFonts w:hint="eastAsia"/>
                      <w:color w:val="auto"/>
                      <w:sz w:val="21"/>
                      <w:szCs w:val="21"/>
                      <w:highlight w:val="none"/>
                      <w:vertAlign w:val="baseline"/>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简单防渗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办公室及除其他以上区域</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地面进行水泥简单硬化/</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本</w:t>
            </w:r>
            <w:r>
              <w:rPr>
                <w:color w:val="auto"/>
                <w:sz w:val="24"/>
                <w:highlight w:val="none"/>
              </w:rPr>
              <w:t>项目</w:t>
            </w:r>
            <w:r>
              <w:rPr>
                <w:rFonts w:hint="eastAsia"/>
                <w:color w:val="auto"/>
                <w:sz w:val="24"/>
                <w:highlight w:val="none"/>
              </w:rPr>
              <w:t>自产危废贮存于</w:t>
            </w:r>
            <w:r>
              <w:rPr>
                <w:rFonts w:hint="eastAsia"/>
                <w:color w:val="auto"/>
                <w:sz w:val="24"/>
                <w:highlight w:val="none"/>
                <w:lang w:eastAsia="zh-CN"/>
              </w:rPr>
              <w:t>危险废物暂存间</w:t>
            </w:r>
            <w:r>
              <w:rPr>
                <w:rFonts w:hint="eastAsia"/>
                <w:color w:val="auto"/>
                <w:sz w:val="24"/>
                <w:highlight w:val="none"/>
              </w:rPr>
              <w:t>，自产一般工业固体废物贮存于</w:t>
            </w:r>
            <w:r>
              <w:rPr>
                <w:rFonts w:hint="eastAsia"/>
                <w:color w:val="auto"/>
                <w:sz w:val="24"/>
                <w:highlight w:val="none"/>
                <w:lang w:eastAsia="zh-CN"/>
              </w:rPr>
              <w:t>一般固体废物暂存间</w:t>
            </w:r>
            <w:r>
              <w:rPr>
                <w:color w:val="auto"/>
                <w:sz w:val="24"/>
                <w:highlight w:val="none"/>
              </w:rPr>
              <w:t>，厂区地面进行硬化处理</w:t>
            </w:r>
            <w:r>
              <w:rPr>
                <w:rFonts w:hint="eastAsia"/>
                <w:color w:val="auto"/>
                <w:sz w:val="24"/>
                <w:highlight w:val="none"/>
              </w:rPr>
              <w:t>并采取环氧地坪漆防渗措施。本次</w:t>
            </w:r>
            <w:r>
              <w:rPr>
                <w:color w:val="auto"/>
                <w:sz w:val="24"/>
                <w:highlight w:val="none"/>
              </w:rPr>
              <w:t>环评要求按照下表防渗标准分区设置防渗区，防止污染物的跑、冒、滴、漏，将污染物泄漏的环境风险事故</w:t>
            </w:r>
            <w:r>
              <w:rPr>
                <w:rFonts w:hint="eastAsia"/>
                <w:color w:val="auto"/>
                <w:sz w:val="24"/>
                <w:highlight w:val="none"/>
              </w:rPr>
              <w:t>对环境的影响</w:t>
            </w:r>
            <w:r>
              <w:rPr>
                <w:color w:val="auto"/>
                <w:sz w:val="24"/>
                <w:highlight w:val="none"/>
              </w:rPr>
              <w:t>降到最低。</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结合</w:t>
            </w:r>
            <w:r>
              <w:rPr>
                <w:rFonts w:hint="eastAsia" w:ascii="宋体" w:hAnsi="宋体" w:cs="宋体"/>
                <w:color w:val="auto"/>
                <w:sz w:val="24"/>
                <w:szCs w:val="24"/>
                <w:highlight w:val="none"/>
                <w:lang w:eastAsia="zh-CN"/>
              </w:rPr>
              <w:t>本项目现有的防渗措施及本环评具体防渗改造要求，本项目的防渗措施如下：</w:t>
            </w:r>
          </w:p>
          <w:p>
            <w:pPr>
              <w:adjustRightInd w:val="0"/>
              <w:snapToGrid w:val="0"/>
              <w:spacing w:line="360" w:lineRule="auto"/>
              <w:ind w:firstLine="480" w:firstLineChars="200"/>
              <w:rPr>
                <w:rFonts w:hint="eastAsia" w:eastAsia="宋体"/>
                <w:color w:val="auto"/>
                <w:sz w:val="24"/>
                <w:szCs w:val="24"/>
                <w:highlight w:val="none"/>
                <w:lang w:eastAsia="zh-CN"/>
              </w:rPr>
            </w:pPr>
            <w:r>
              <w:rPr>
                <w:rFonts w:hint="eastAsia" w:ascii="宋体" w:hAnsi="宋体" w:cs="宋体"/>
                <w:color w:val="auto"/>
                <w:sz w:val="24"/>
                <w:szCs w:val="24"/>
                <w:highlight w:val="none"/>
              </w:rPr>
              <w:t>①</w:t>
            </w:r>
            <w:r>
              <w:rPr>
                <w:rFonts w:hint="eastAsia"/>
                <w:color w:val="auto"/>
                <w:sz w:val="24"/>
                <w:szCs w:val="24"/>
                <w:highlight w:val="none"/>
              </w:rPr>
              <w:t>重点防渗区：</w:t>
            </w:r>
            <w:r>
              <w:rPr>
                <w:rFonts w:hint="eastAsia"/>
                <w:color w:val="auto"/>
                <w:sz w:val="24"/>
                <w:szCs w:val="24"/>
                <w:highlight w:val="none"/>
                <w:lang w:eastAsia="zh-CN"/>
              </w:rPr>
              <w:t>危险废物暂存间</w:t>
            </w:r>
          </w:p>
          <w:p>
            <w:pPr>
              <w:adjustRightInd w:val="0"/>
              <w:snapToGrid w:val="0"/>
              <w:spacing w:line="360" w:lineRule="auto"/>
              <w:ind w:firstLine="480" w:firstLineChars="200"/>
              <w:rPr>
                <w:color w:val="auto"/>
                <w:sz w:val="24"/>
                <w:szCs w:val="24"/>
                <w:highlight w:val="none"/>
              </w:rPr>
            </w:pPr>
            <w:r>
              <w:rPr>
                <w:color w:val="auto"/>
                <w:sz w:val="24"/>
                <w:szCs w:val="24"/>
                <w:highlight w:val="none"/>
              </w:rPr>
              <w:t>对</w:t>
            </w:r>
            <w:r>
              <w:rPr>
                <w:rFonts w:hint="eastAsia"/>
                <w:color w:val="auto"/>
                <w:sz w:val="24"/>
                <w:szCs w:val="24"/>
                <w:highlight w:val="none"/>
                <w:lang w:eastAsia="zh-CN"/>
              </w:rPr>
              <w:t>危险废物暂存间</w:t>
            </w:r>
            <w:r>
              <w:rPr>
                <w:rFonts w:hint="eastAsia"/>
                <w:color w:val="auto"/>
                <w:sz w:val="24"/>
                <w:szCs w:val="24"/>
                <w:highlight w:val="none"/>
              </w:rPr>
              <w:t>采取重点</w:t>
            </w:r>
            <w:r>
              <w:rPr>
                <w:color w:val="auto"/>
                <w:sz w:val="24"/>
                <w:szCs w:val="24"/>
                <w:highlight w:val="none"/>
              </w:rPr>
              <w:t>防渗、防腐</w:t>
            </w:r>
            <w:r>
              <w:rPr>
                <w:rFonts w:hint="eastAsia"/>
                <w:color w:val="auto"/>
                <w:sz w:val="24"/>
                <w:szCs w:val="24"/>
                <w:highlight w:val="none"/>
              </w:rPr>
              <w:t>措施</w:t>
            </w:r>
            <w:r>
              <w:rPr>
                <w:color w:val="auto"/>
                <w:sz w:val="24"/>
                <w:szCs w:val="24"/>
                <w:highlight w:val="none"/>
              </w:rPr>
              <w:t>，接触地面水泥硬化，</w:t>
            </w:r>
            <w:r>
              <w:rPr>
                <w:rFonts w:hint="eastAsia"/>
                <w:color w:val="auto"/>
                <w:sz w:val="24"/>
                <w:szCs w:val="24"/>
                <w:highlight w:val="none"/>
              </w:rPr>
              <w:t>涂布环氧地坪漆，等效黏土防渗层Mb≥6.0m，</w:t>
            </w:r>
            <w:r>
              <w:rPr>
                <w:color w:val="auto"/>
                <w:sz w:val="24"/>
                <w:szCs w:val="24"/>
                <w:highlight w:val="none"/>
              </w:rPr>
              <w:t>防渗系数小于10</w:t>
            </w:r>
            <w:r>
              <w:rPr>
                <w:color w:val="auto"/>
                <w:sz w:val="24"/>
                <w:szCs w:val="24"/>
                <w:highlight w:val="none"/>
                <w:vertAlign w:val="superscript"/>
              </w:rPr>
              <w:t>-7</w:t>
            </w:r>
            <w:r>
              <w:rPr>
                <w:color w:val="auto"/>
                <w:sz w:val="24"/>
                <w:szCs w:val="24"/>
                <w:highlight w:val="none"/>
              </w:rPr>
              <w:t>cm/s；</w:t>
            </w:r>
            <w:r>
              <w:rPr>
                <w:rFonts w:hint="eastAsia"/>
                <w:color w:val="auto"/>
                <w:sz w:val="24"/>
                <w:szCs w:val="24"/>
                <w:highlight w:val="none"/>
                <w:lang w:eastAsia="zh-CN"/>
              </w:rPr>
              <w:t>危险废物暂存间</w:t>
            </w:r>
            <w:r>
              <w:rPr>
                <w:color w:val="auto"/>
                <w:sz w:val="24"/>
                <w:szCs w:val="24"/>
                <w:highlight w:val="none"/>
              </w:rPr>
              <w:t>地面</w:t>
            </w:r>
            <w:r>
              <w:rPr>
                <w:rFonts w:hint="eastAsia"/>
                <w:color w:val="auto"/>
                <w:sz w:val="24"/>
                <w:szCs w:val="24"/>
                <w:highlight w:val="none"/>
              </w:rPr>
              <w:t>、裙角</w:t>
            </w:r>
            <w:r>
              <w:rPr>
                <w:color w:val="auto"/>
                <w:sz w:val="24"/>
                <w:szCs w:val="24"/>
                <w:highlight w:val="none"/>
              </w:rPr>
              <w:t>行防渗、防腐处理，接触地面水泥硬化，</w:t>
            </w:r>
            <w:r>
              <w:rPr>
                <w:rFonts w:hint="eastAsia"/>
                <w:color w:val="auto"/>
                <w:sz w:val="24"/>
                <w:szCs w:val="24"/>
                <w:highlight w:val="none"/>
              </w:rPr>
              <w:t>涂布环氧地坪漆，等效黏土防渗层Mb≥</w:t>
            </w:r>
            <w:r>
              <w:rPr>
                <w:color w:val="auto"/>
                <w:sz w:val="24"/>
                <w:szCs w:val="24"/>
                <w:highlight w:val="none"/>
              </w:rPr>
              <w:t>6.0</w:t>
            </w:r>
            <w:r>
              <w:rPr>
                <w:rFonts w:hint="eastAsia"/>
                <w:color w:val="auto"/>
                <w:sz w:val="24"/>
                <w:szCs w:val="24"/>
                <w:highlight w:val="none"/>
              </w:rPr>
              <w:t>m，</w:t>
            </w:r>
            <w:r>
              <w:rPr>
                <w:color w:val="auto"/>
                <w:sz w:val="24"/>
                <w:szCs w:val="24"/>
                <w:highlight w:val="none"/>
              </w:rPr>
              <w:t>防渗系数小于10</w:t>
            </w:r>
            <w:r>
              <w:rPr>
                <w:color w:val="auto"/>
                <w:sz w:val="24"/>
                <w:szCs w:val="24"/>
                <w:highlight w:val="none"/>
                <w:vertAlign w:val="superscript"/>
              </w:rPr>
              <w:t>-7</w:t>
            </w:r>
            <w:r>
              <w:rPr>
                <w:color w:val="auto"/>
                <w:sz w:val="24"/>
                <w:szCs w:val="24"/>
                <w:highlight w:val="none"/>
              </w:rPr>
              <w:t>cm/s</w:t>
            </w:r>
            <w:r>
              <w:rPr>
                <w:rFonts w:hint="eastAsia"/>
                <w:color w:val="auto"/>
                <w:sz w:val="24"/>
                <w:szCs w:val="24"/>
                <w:highlight w:val="none"/>
              </w:rPr>
              <w:t>，并执行《危险废物贮存污染控制标准》（GB18597-2001）及其修改单中的有关规定</w:t>
            </w:r>
            <w:r>
              <w:rPr>
                <w:color w:val="auto"/>
                <w:sz w:val="24"/>
                <w:szCs w:val="24"/>
                <w:highlight w:val="none"/>
              </w:rPr>
              <w:t>。</w:t>
            </w:r>
          </w:p>
          <w:p>
            <w:pPr>
              <w:adjustRightInd w:val="0"/>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②</w:t>
            </w:r>
            <w:r>
              <w:rPr>
                <w:rFonts w:hint="eastAsia"/>
                <w:color w:val="auto"/>
                <w:sz w:val="24"/>
                <w:szCs w:val="24"/>
                <w:highlight w:val="none"/>
              </w:rPr>
              <w:t>一般防渗区：</w:t>
            </w:r>
            <w:r>
              <w:rPr>
                <w:rFonts w:hint="eastAsia"/>
                <w:color w:val="auto"/>
                <w:sz w:val="24"/>
                <w:szCs w:val="24"/>
                <w:highlight w:val="none"/>
                <w:lang w:val="en-US" w:eastAsia="zh-CN"/>
              </w:rPr>
              <w:t>一般固废暂存间。</w:t>
            </w:r>
          </w:p>
          <w:p>
            <w:pPr>
              <w:adjustRightInd w:val="0"/>
              <w:snapToGrid w:val="0"/>
              <w:spacing w:line="360" w:lineRule="auto"/>
              <w:ind w:firstLine="480" w:firstLineChars="200"/>
              <w:rPr>
                <w:color w:val="auto"/>
                <w:sz w:val="24"/>
                <w:szCs w:val="24"/>
                <w:highlight w:val="none"/>
              </w:rPr>
            </w:pPr>
            <w:r>
              <w:rPr>
                <w:color w:val="auto"/>
                <w:sz w:val="24"/>
                <w:szCs w:val="24"/>
                <w:highlight w:val="none"/>
              </w:rPr>
              <w:t>对</w:t>
            </w:r>
            <w:r>
              <w:rPr>
                <w:rFonts w:hint="eastAsia"/>
                <w:color w:val="auto"/>
                <w:sz w:val="24"/>
                <w:szCs w:val="24"/>
                <w:highlight w:val="none"/>
              </w:rPr>
              <w:t>一般固废暂存间</w:t>
            </w:r>
            <w:r>
              <w:rPr>
                <w:color w:val="auto"/>
                <w:sz w:val="24"/>
                <w:szCs w:val="24"/>
                <w:highlight w:val="none"/>
              </w:rPr>
              <w:t>进行地面水泥硬化，</w:t>
            </w:r>
            <w:r>
              <w:rPr>
                <w:rFonts w:hint="eastAsia"/>
                <w:color w:val="auto"/>
                <w:sz w:val="24"/>
                <w:szCs w:val="24"/>
                <w:highlight w:val="none"/>
              </w:rPr>
              <w:t>涂布环氧地坪漆，</w:t>
            </w:r>
            <w:r>
              <w:rPr>
                <w:color w:val="auto"/>
                <w:sz w:val="24"/>
                <w:szCs w:val="24"/>
                <w:highlight w:val="none"/>
              </w:rPr>
              <w:t>使防渗层</w:t>
            </w:r>
            <w:r>
              <w:rPr>
                <w:rFonts w:hint="eastAsia"/>
                <w:color w:val="auto"/>
                <w:sz w:val="24"/>
                <w:szCs w:val="24"/>
                <w:highlight w:val="none"/>
              </w:rPr>
              <w:t>等效黏土防渗层Mb≥1.5m，</w:t>
            </w:r>
            <w:r>
              <w:rPr>
                <w:color w:val="auto"/>
                <w:sz w:val="24"/>
                <w:szCs w:val="24"/>
                <w:highlight w:val="none"/>
              </w:rPr>
              <w:t>渗透系数小于1×10</w:t>
            </w:r>
            <w:r>
              <w:rPr>
                <w:color w:val="auto"/>
                <w:sz w:val="24"/>
                <w:szCs w:val="24"/>
                <w:highlight w:val="none"/>
                <w:vertAlign w:val="superscript"/>
              </w:rPr>
              <w:t>-7</w:t>
            </w:r>
            <w:r>
              <w:rPr>
                <w:color w:val="auto"/>
                <w:sz w:val="24"/>
                <w:szCs w:val="24"/>
                <w:highlight w:val="none"/>
              </w:rPr>
              <w:t>cm/s。</w:t>
            </w:r>
          </w:p>
          <w:p>
            <w:pPr>
              <w:adjustRightInd w:val="0"/>
              <w:snapToGrid w:val="0"/>
              <w:spacing w:line="360" w:lineRule="auto"/>
              <w:ind w:firstLine="480" w:firstLineChars="200"/>
              <w:rPr>
                <w:color w:val="auto"/>
                <w:sz w:val="24"/>
                <w:szCs w:val="24"/>
                <w:highlight w:val="none"/>
              </w:rPr>
            </w:pPr>
            <w:r>
              <w:rPr>
                <w:rFonts w:hint="eastAsia" w:ascii="宋体" w:hAnsi="宋体" w:cs="宋体"/>
                <w:color w:val="auto"/>
                <w:sz w:val="24"/>
                <w:szCs w:val="24"/>
                <w:highlight w:val="none"/>
              </w:rPr>
              <w:t>③</w:t>
            </w:r>
            <w:r>
              <w:rPr>
                <w:rFonts w:hint="eastAsia"/>
                <w:color w:val="auto"/>
                <w:sz w:val="24"/>
                <w:szCs w:val="24"/>
                <w:highlight w:val="none"/>
              </w:rPr>
              <w:t>简单防渗区：办公室</w:t>
            </w:r>
            <w:r>
              <w:rPr>
                <w:color w:val="auto"/>
                <w:sz w:val="24"/>
                <w:szCs w:val="24"/>
                <w:highlight w:val="none"/>
              </w:rPr>
              <w:t>及除其他以上区域</w:t>
            </w:r>
            <w:r>
              <w:rPr>
                <w:rFonts w:hint="eastAsia"/>
                <w:color w:val="auto"/>
                <w:sz w:val="24"/>
                <w:szCs w:val="24"/>
                <w:highlight w:val="none"/>
              </w:rPr>
              <w:t>。</w:t>
            </w:r>
          </w:p>
          <w:p>
            <w:pPr>
              <w:adjustRightInd w:val="0"/>
              <w:snapToGrid w:val="0"/>
              <w:spacing w:line="360" w:lineRule="auto"/>
              <w:ind w:firstLine="480" w:firstLineChars="200"/>
              <w:rPr>
                <w:color w:val="auto"/>
                <w:sz w:val="24"/>
                <w:szCs w:val="24"/>
                <w:highlight w:val="none"/>
              </w:rPr>
            </w:pPr>
            <w:r>
              <w:rPr>
                <w:color w:val="auto"/>
                <w:sz w:val="24"/>
                <w:szCs w:val="24"/>
                <w:highlight w:val="none"/>
              </w:rPr>
              <w:t>对</w:t>
            </w:r>
            <w:r>
              <w:rPr>
                <w:rFonts w:hint="eastAsia"/>
                <w:color w:val="auto"/>
                <w:sz w:val="24"/>
                <w:szCs w:val="24"/>
                <w:highlight w:val="none"/>
              </w:rPr>
              <w:t>办公室</w:t>
            </w:r>
            <w:r>
              <w:rPr>
                <w:color w:val="auto"/>
                <w:sz w:val="24"/>
                <w:szCs w:val="24"/>
                <w:highlight w:val="none"/>
              </w:rPr>
              <w:t>及除其他以上区域地面进行简单硬化。</w:t>
            </w:r>
          </w:p>
          <w:p>
            <w:pPr>
              <w:adjustRightInd w:val="0"/>
              <w:snapToGrid w:val="0"/>
              <w:spacing w:line="360" w:lineRule="auto"/>
              <w:ind w:firstLine="480" w:firstLineChars="200"/>
              <w:rPr>
                <w:color w:val="auto"/>
                <w:sz w:val="24"/>
                <w:szCs w:val="24"/>
                <w:highlight w:val="none"/>
              </w:rPr>
            </w:pPr>
            <w:r>
              <w:rPr>
                <w:color w:val="auto"/>
                <w:sz w:val="24"/>
                <w:szCs w:val="24"/>
                <w:highlight w:val="none"/>
              </w:rPr>
              <w:t>采取以上</w:t>
            </w:r>
            <w:r>
              <w:rPr>
                <w:rFonts w:hint="eastAsia"/>
                <w:color w:val="auto"/>
                <w:sz w:val="24"/>
                <w:szCs w:val="24"/>
                <w:highlight w:val="none"/>
              </w:rPr>
              <w:t>防治</w:t>
            </w:r>
            <w:r>
              <w:rPr>
                <w:color w:val="auto"/>
                <w:sz w:val="24"/>
                <w:szCs w:val="24"/>
                <w:highlight w:val="none"/>
              </w:rPr>
              <w:t>措施后，本项目对土壤</w:t>
            </w:r>
            <w:r>
              <w:rPr>
                <w:rFonts w:hint="eastAsia"/>
                <w:color w:val="auto"/>
                <w:sz w:val="24"/>
                <w:szCs w:val="24"/>
                <w:highlight w:val="none"/>
              </w:rPr>
              <w:t>和</w:t>
            </w:r>
            <w:r>
              <w:rPr>
                <w:color w:val="auto"/>
                <w:sz w:val="24"/>
                <w:szCs w:val="24"/>
                <w:highlight w:val="none"/>
              </w:rPr>
              <w:t>地下水</w:t>
            </w:r>
            <w:r>
              <w:rPr>
                <w:rFonts w:hint="eastAsia"/>
                <w:color w:val="auto"/>
                <w:sz w:val="24"/>
                <w:szCs w:val="24"/>
                <w:highlight w:val="none"/>
              </w:rPr>
              <w:t>的</w:t>
            </w:r>
            <w:r>
              <w:rPr>
                <w:color w:val="auto"/>
                <w:sz w:val="24"/>
                <w:szCs w:val="24"/>
                <w:highlight w:val="none"/>
              </w:rPr>
              <w:t>影响</w:t>
            </w:r>
            <w:r>
              <w:rPr>
                <w:rFonts w:hint="eastAsia"/>
                <w:color w:val="auto"/>
                <w:sz w:val="24"/>
                <w:szCs w:val="24"/>
                <w:highlight w:val="none"/>
              </w:rPr>
              <w:t>在可以接受范围内；一旦发生污染事故，可及时采取有效应对措施</w:t>
            </w:r>
            <w:r>
              <w:rPr>
                <w:color w:val="auto"/>
                <w:sz w:val="24"/>
                <w:szCs w:val="24"/>
                <w:highlight w:val="none"/>
              </w:rPr>
              <w:t>。</w:t>
            </w:r>
          </w:p>
          <w:p>
            <w:pPr>
              <w:spacing w:line="360" w:lineRule="auto"/>
              <w:ind w:firstLine="482"/>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（六）生态影响和保护措施</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本</w:t>
            </w:r>
            <w:r>
              <w:rPr>
                <w:color w:val="auto"/>
                <w:sz w:val="24"/>
                <w:szCs w:val="24"/>
                <w:highlight w:val="none"/>
              </w:rPr>
              <w:t>项目地址</w:t>
            </w:r>
            <w:r>
              <w:rPr>
                <w:rFonts w:hint="eastAsia"/>
                <w:color w:val="auto"/>
                <w:sz w:val="24"/>
                <w:szCs w:val="24"/>
                <w:highlight w:val="none"/>
              </w:rPr>
              <w:t>位于工业园区</w:t>
            </w:r>
            <w:r>
              <w:rPr>
                <w:color w:val="auto"/>
                <w:sz w:val="24"/>
                <w:szCs w:val="24"/>
                <w:highlight w:val="none"/>
              </w:rPr>
              <w:t>，</w:t>
            </w:r>
            <w:r>
              <w:rPr>
                <w:rFonts w:hint="eastAsia"/>
                <w:color w:val="auto"/>
                <w:sz w:val="24"/>
                <w:szCs w:val="24"/>
                <w:highlight w:val="none"/>
              </w:rPr>
              <w:t>地面已硬化，</w:t>
            </w:r>
            <w:r>
              <w:rPr>
                <w:color w:val="auto"/>
                <w:sz w:val="24"/>
                <w:szCs w:val="24"/>
                <w:highlight w:val="none"/>
              </w:rPr>
              <w:t>用地范围内无生态环境保护目标。</w:t>
            </w:r>
          </w:p>
          <w:p>
            <w:pPr>
              <w:spacing w:line="360" w:lineRule="auto"/>
              <w:ind w:firstLine="482"/>
              <w:rPr>
                <w:rFonts w:hint="default" w:eastAsia="宋体"/>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（七）环境风险分析</w:t>
            </w:r>
          </w:p>
          <w:p>
            <w:pPr>
              <w:spacing w:line="360" w:lineRule="auto"/>
              <w:ind w:firstLine="480"/>
              <w:rPr>
                <w:rFonts w:hint="eastAsia"/>
                <w:color w:val="000000" w:themeColor="text1"/>
                <w:sz w:val="24"/>
                <w:szCs w:val="24"/>
                <w:u w:val="none"/>
                <w:lang w:eastAsia="zh-CN"/>
                <w14:textFill>
                  <w14:solidFill>
                    <w14:schemeClr w14:val="tx1"/>
                  </w14:solidFill>
                </w14:textFill>
              </w:rPr>
            </w:pPr>
            <w:r>
              <w:rPr>
                <w:rFonts w:hint="eastAsia"/>
                <w:color w:val="000000" w:themeColor="text1"/>
                <w:sz w:val="24"/>
                <w:szCs w:val="24"/>
                <w:u w:val="none"/>
                <w14:textFill>
                  <w14:solidFill>
                    <w14:schemeClr w14:val="tx1"/>
                  </w14:solidFill>
                </w14:textFill>
              </w:rPr>
              <w:t>1、</w:t>
            </w:r>
            <w:r>
              <w:rPr>
                <w:rFonts w:hint="eastAsia"/>
                <w:color w:val="000000" w:themeColor="text1"/>
                <w:sz w:val="24"/>
                <w:szCs w:val="24"/>
                <w:u w:val="none"/>
                <w:lang w:eastAsia="zh-CN"/>
                <w14:textFill>
                  <w14:solidFill>
                    <w14:schemeClr w14:val="tx1"/>
                  </w14:solidFill>
                </w14:textFill>
              </w:rPr>
              <w:t>风险物质调查</w:t>
            </w:r>
          </w:p>
          <w:p>
            <w:pPr>
              <w:spacing w:line="360" w:lineRule="auto"/>
              <w:ind w:firstLine="480"/>
              <w:rPr>
                <w:rFonts w:hint="eastAsia"/>
                <w:color w:val="000000" w:themeColor="text1"/>
                <w:sz w:val="24"/>
                <w:szCs w:val="24"/>
                <w:u w:val="none"/>
                <w:lang w:eastAsia="zh-CN"/>
                <w14:textFill>
                  <w14:solidFill>
                    <w14:schemeClr w14:val="tx1"/>
                  </w14:solidFill>
                </w14:textFill>
              </w:rPr>
            </w:pPr>
            <w:r>
              <w:rPr>
                <w:rFonts w:hint="eastAsia"/>
                <w:color w:val="000000" w:themeColor="text1"/>
                <w:sz w:val="24"/>
                <w:szCs w:val="24"/>
                <w:u w:val="none"/>
                <w14:textFill>
                  <w14:solidFill>
                    <w14:schemeClr w14:val="tx1"/>
                  </w14:solidFill>
                </w14:textFill>
              </w:rPr>
              <w:t>参照《建设项目环境风险评价技术导则》（HJ169-2018）附录 B 及《危险化学品重大危险源辨识》（GB18218-2018）内容，本项目建成后全厂风险物质主要为</w:t>
            </w:r>
            <w:r>
              <w:rPr>
                <w:rFonts w:hint="eastAsia"/>
                <w:color w:val="000000" w:themeColor="text1"/>
                <w:sz w:val="24"/>
                <w:szCs w:val="24"/>
                <w:u w:val="none"/>
                <w:lang w:val="en-US" w:eastAsia="zh-CN"/>
                <w14:textFill>
                  <w14:solidFill>
                    <w14:schemeClr w14:val="tx1"/>
                  </w14:solidFill>
                </w14:textFill>
              </w:rPr>
              <w:t>废润滑油</w:t>
            </w:r>
            <w:r>
              <w:rPr>
                <w:rFonts w:hint="eastAsia"/>
                <w:color w:val="000000" w:themeColor="text1"/>
                <w:sz w:val="24"/>
                <w:szCs w:val="24"/>
                <w:u w:val="none"/>
                <w:lang w:eastAsia="zh-CN"/>
                <w14:textFill>
                  <w14:solidFill>
                    <w14:schemeClr w14:val="tx1"/>
                  </w14:solidFill>
                </w14:textFill>
              </w:rPr>
              <w:t>。</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根据《建设项目环境风险评价导则》（HJ169-2018）附录C，只涉及一种危险物质时，计算该物质的总量已其临界量比值，即为Q，当存在多种危险物质时，则按下式计算物质总量与其临界量比值（Q）。</w:t>
            </w:r>
          </w:p>
          <w:p>
            <w:pPr>
              <w:pStyle w:val="2"/>
              <w:spacing w:line="360" w:lineRule="auto"/>
              <w:ind w:firstLine="480"/>
              <w:jc w:val="center"/>
              <w:rPr>
                <w:color w:val="000000" w:themeColor="text1"/>
                <w:sz w:val="24"/>
                <w:szCs w:val="24"/>
                <w:u w:val="none"/>
                <w14:textFill>
                  <w14:solidFill>
                    <w14:schemeClr w14:val="tx1"/>
                  </w14:solidFill>
                </w14:textFill>
              </w:rPr>
            </w:pPr>
            <w:r>
              <w:rPr>
                <w:color w:val="000000" w:themeColor="text1"/>
                <w:sz w:val="24"/>
                <w:szCs w:val="24"/>
                <w:u w:val="none"/>
                <w14:textFill>
                  <w14:solidFill>
                    <w14:schemeClr w14:val="tx1"/>
                  </w14:solidFill>
                </w14:textFill>
              </w:rPr>
              <w:drawing>
                <wp:inline distT="0" distB="0" distL="114300" distR="114300">
                  <wp:extent cx="1730375" cy="629920"/>
                  <wp:effectExtent l="0" t="0" r="3175" b="17780"/>
                  <wp:docPr id="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1"/>
                          <pic:cNvPicPr>
                            <a:picLocks noChangeAspect="1"/>
                          </pic:cNvPicPr>
                        </pic:nvPicPr>
                        <pic:blipFill>
                          <a:blip r:embed="rId15"/>
                          <a:stretch>
                            <a:fillRect/>
                          </a:stretch>
                        </pic:blipFill>
                        <pic:spPr>
                          <a:xfrm>
                            <a:off x="0" y="0"/>
                            <a:ext cx="1730375" cy="629920"/>
                          </a:xfrm>
                          <a:prstGeom prst="rect">
                            <a:avLst/>
                          </a:prstGeom>
                          <a:noFill/>
                          <a:ln>
                            <a:noFill/>
                          </a:ln>
                        </pic:spPr>
                      </pic:pic>
                    </a:graphicData>
                  </a:graphic>
                </wp:inline>
              </w:drawing>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式中：q</w:t>
            </w:r>
            <w:r>
              <w:rPr>
                <w:rFonts w:hint="eastAsia"/>
                <w:color w:val="000000" w:themeColor="text1"/>
                <w:sz w:val="24"/>
                <w:szCs w:val="24"/>
                <w:u w:val="none"/>
                <w:vertAlign w:val="subscript"/>
                <w14:textFill>
                  <w14:solidFill>
                    <w14:schemeClr w14:val="tx1"/>
                  </w14:solidFill>
                </w14:textFill>
              </w:rPr>
              <w:t>1</w:t>
            </w:r>
            <w:r>
              <w:rPr>
                <w:rFonts w:hint="eastAsia"/>
                <w:color w:val="000000" w:themeColor="text1"/>
                <w:sz w:val="24"/>
                <w:szCs w:val="24"/>
                <w:u w:val="none"/>
                <w14:textFill>
                  <w14:solidFill>
                    <w14:schemeClr w14:val="tx1"/>
                  </w14:solidFill>
                </w14:textFill>
              </w:rPr>
              <w:t>、q</w:t>
            </w:r>
            <w:r>
              <w:rPr>
                <w:rFonts w:hint="eastAsia"/>
                <w:color w:val="000000" w:themeColor="text1"/>
                <w:sz w:val="24"/>
                <w:szCs w:val="24"/>
                <w:u w:val="none"/>
                <w:vertAlign w:val="subscript"/>
                <w14:textFill>
                  <w14:solidFill>
                    <w14:schemeClr w14:val="tx1"/>
                  </w14:solidFill>
                </w14:textFill>
              </w:rPr>
              <w:t>2</w:t>
            </w:r>
            <w:r>
              <w:rPr>
                <w:rFonts w:hint="eastAsia"/>
                <w:color w:val="000000" w:themeColor="text1"/>
                <w:sz w:val="24"/>
                <w:szCs w:val="24"/>
                <w:u w:val="none"/>
                <w14:textFill>
                  <w14:solidFill>
                    <w14:schemeClr w14:val="tx1"/>
                  </w14:solidFill>
                </w14:textFill>
              </w:rPr>
              <w:t>、···qn——每种环境风险物质的最大存在总量，t；</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Q</w:t>
            </w:r>
            <w:r>
              <w:rPr>
                <w:rFonts w:hint="eastAsia"/>
                <w:color w:val="000000" w:themeColor="text1"/>
                <w:sz w:val="24"/>
                <w:szCs w:val="24"/>
                <w:u w:val="none"/>
                <w:vertAlign w:val="subscript"/>
                <w14:textFill>
                  <w14:solidFill>
                    <w14:schemeClr w14:val="tx1"/>
                  </w14:solidFill>
                </w14:textFill>
              </w:rPr>
              <w:t>1</w:t>
            </w:r>
            <w:r>
              <w:rPr>
                <w:rFonts w:hint="eastAsia"/>
                <w:color w:val="000000" w:themeColor="text1"/>
                <w:sz w:val="24"/>
                <w:szCs w:val="24"/>
                <w:u w:val="none"/>
                <w14:textFill>
                  <w14:solidFill>
                    <w14:schemeClr w14:val="tx1"/>
                  </w14:solidFill>
                </w14:textFill>
              </w:rPr>
              <w:t>、Q</w:t>
            </w:r>
            <w:r>
              <w:rPr>
                <w:rFonts w:hint="eastAsia"/>
                <w:color w:val="000000" w:themeColor="text1"/>
                <w:sz w:val="24"/>
                <w:szCs w:val="24"/>
                <w:u w:val="none"/>
                <w:vertAlign w:val="subscript"/>
                <w14:textFill>
                  <w14:solidFill>
                    <w14:schemeClr w14:val="tx1"/>
                  </w14:solidFill>
                </w14:textFill>
              </w:rPr>
              <w:t>2</w:t>
            </w:r>
            <w:r>
              <w:rPr>
                <w:rFonts w:hint="eastAsia"/>
                <w:color w:val="000000" w:themeColor="text1"/>
                <w:sz w:val="24"/>
                <w:szCs w:val="24"/>
                <w:u w:val="none"/>
                <w14:textFill>
                  <w14:solidFill>
                    <w14:schemeClr w14:val="tx1"/>
                  </w14:solidFill>
                </w14:textFill>
              </w:rPr>
              <w:t>、···Qn——每种环境风险物质相对应的临界量，t。</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项目涉及的危险物质储存情况见表</w:t>
            </w:r>
            <w:r>
              <w:rPr>
                <w:rFonts w:hint="eastAsia"/>
                <w:color w:val="000000" w:themeColor="text1"/>
                <w:sz w:val="24"/>
                <w:szCs w:val="24"/>
                <w:u w:val="none"/>
                <w:lang w:val="en-US" w:eastAsia="zh-CN"/>
                <w14:textFill>
                  <w14:solidFill>
                    <w14:schemeClr w14:val="tx1"/>
                  </w14:solidFill>
                </w14:textFill>
              </w:rPr>
              <w:t>4-11</w:t>
            </w:r>
            <w:r>
              <w:rPr>
                <w:rFonts w:hint="eastAsia"/>
                <w:color w:val="000000" w:themeColor="text1"/>
                <w:sz w:val="24"/>
                <w:szCs w:val="24"/>
                <w:u w:val="none"/>
                <w14:textFill>
                  <w14:solidFill>
                    <w14:schemeClr w14:val="tx1"/>
                  </w14:solidFill>
                </w14:textFill>
              </w:rPr>
              <w:t>。</w:t>
            </w:r>
          </w:p>
          <w:p>
            <w:pPr>
              <w:ind w:firstLine="480"/>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 4-</w:t>
            </w:r>
            <w:r>
              <w:rPr>
                <w:rFonts w:hint="eastAsia"/>
                <w:b/>
                <w:bCs/>
                <w:color w:val="000000" w:themeColor="text1"/>
                <w:sz w:val="21"/>
                <w:szCs w:val="21"/>
                <w:u w:val="none"/>
                <w:lang w:val="en-US" w:eastAsia="zh-CN"/>
                <w14:textFill>
                  <w14:solidFill>
                    <w14:schemeClr w14:val="tx1"/>
                  </w14:solidFill>
                </w14:textFill>
              </w:rPr>
              <w:t>11</w:t>
            </w:r>
            <w:r>
              <w:rPr>
                <w:rFonts w:hint="eastAsia"/>
                <w:b/>
                <w:bCs/>
                <w:color w:val="000000" w:themeColor="text1"/>
                <w:sz w:val="21"/>
                <w:szCs w:val="21"/>
                <w:u w:val="none"/>
                <w14:textFill>
                  <w14:solidFill>
                    <w14:schemeClr w14:val="tx1"/>
                  </w14:solidFill>
                </w14:textFill>
              </w:rPr>
              <w:t xml:space="preserve"> Q 值计算结果一览表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405"/>
              <w:gridCol w:w="141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序号</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物质名称</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CAS号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最大存在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总量（吨）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临界量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（吨）</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物质数量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与临界量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比值（Q）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1</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u w:val="none"/>
                      <w:vertAlign w:val="baseline"/>
                      <w:lang w:val="en-US" w:eastAsia="zh-CN" w:bidi="ar-SA"/>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废润滑油</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0.05</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2500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06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合计</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0.00002</w:t>
                  </w:r>
                </w:p>
              </w:tc>
            </w:tr>
          </w:tbl>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lang w:eastAsia="zh-CN"/>
                <w14:textFill>
                  <w14:solidFill>
                    <w14:schemeClr w14:val="tx1"/>
                  </w14:solidFill>
                </w14:textFill>
              </w:rPr>
              <w:t>据上表分析可知，本项目重点关注的风险物质</w:t>
            </w:r>
            <w:r>
              <w:rPr>
                <w:rFonts w:hint="eastAsia"/>
                <w:color w:val="000000" w:themeColor="text1"/>
                <w:sz w:val="24"/>
                <w:szCs w:val="24"/>
                <w:u w:val="none"/>
                <w:lang w:val="en-US" w:eastAsia="zh-CN"/>
                <w14:textFill>
                  <w14:solidFill>
                    <w14:schemeClr w14:val="tx1"/>
                  </w14:solidFill>
                </w14:textFill>
              </w:rPr>
              <w:t>Q值为0.00002＜1，危险物质存储量未超过临界量，故环境风险风险潜势为Ⅰ</w:t>
            </w:r>
            <w:r>
              <w:rPr>
                <w:color w:val="000000" w:themeColor="text1"/>
                <w:sz w:val="24"/>
                <w:szCs w:val="24"/>
                <w:u w:val="none"/>
                <w14:textFill>
                  <w14:solidFill>
                    <w14:schemeClr w14:val="tx1"/>
                  </w14:solidFill>
                </w14:textFill>
              </w:rPr>
              <w:t>。</w:t>
            </w:r>
          </w:p>
          <w:p>
            <w:pPr>
              <w:pStyle w:val="22"/>
              <w:spacing w:line="360" w:lineRule="auto"/>
              <w:ind w:left="0" w:leftChars="0" w:firstLine="480" w:firstLineChars="200"/>
              <w:rPr>
                <w:rFonts w:hint="eastAsia" w:ascii="Times New Roman" w:hAnsi="Times New Roman" w:eastAsia="宋体"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u w:val="none"/>
                <w:lang w:val="en-US" w:eastAsia="zh-CN" w:bidi="ar-SA"/>
                <w14:textFill>
                  <w14:solidFill>
                    <w14:schemeClr w14:val="tx1"/>
                  </w14:solidFill>
                </w14:textFill>
              </w:rPr>
              <w:t>根据《建设项目环境风险评价技术导则》（HJ169-2018）表 1，本项目只开展简单分析即可。</w:t>
            </w:r>
          </w:p>
          <w:p>
            <w:pPr>
              <w:pStyle w:val="93"/>
              <w:keepNext w:val="0"/>
              <w:keepLines w:val="0"/>
              <w:pageBreakBefore w:val="0"/>
              <w:kinsoku/>
              <w:wordWrap/>
              <w:overflowPunct/>
              <w:topLinePunct w:val="0"/>
              <w:autoSpaceDE/>
              <w:autoSpaceDN/>
              <w:bidi w:val="0"/>
              <w:adjustRightInd/>
              <w:snapToGrid/>
              <w:ind w:right="0" w:firstLine="482"/>
              <w:jc w:val="center"/>
              <w:textAlignment w:val="auto"/>
              <w:rPr>
                <w:b/>
                <w:bCs/>
              </w:rPr>
            </w:pPr>
            <w:r>
              <w:rPr>
                <w:rFonts w:hint="eastAsia" w:ascii="Calibri" w:hAnsi="Calibri" w:cs="Calibri"/>
                <w:b/>
                <w:bCs/>
                <w:sz w:val="21"/>
                <w:szCs w:val="21"/>
              </w:rPr>
              <w:t>表</w:t>
            </w:r>
            <w:r>
              <w:rPr>
                <w:rFonts w:cs="Calibri"/>
                <w:b/>
                <w:bCs/>
                <w:sz w:val="21"/>
                <w:szCs w:val="21"/>
              </w:rPr>
              <w:t>4-</w:t>
            </w:r>
            <w:r>
              <w:rPr>
                <w:rFonts w:hint="eastAsia" w:cs="Calibri"/>
                <w:b/>
                <w:bCs/>
                <w:sz w:val="21"/>
                <w:szCs w:val="21"/>
              </w:rPr>
              <w:t>1</w:t>
            </w:r>
            <w:r>
              <w:rPr>
                <w:rFonts w:hint="eastAsia" w:cs="Calibri"/>
                <w:b/>
                <w:bCs/>
                <w:sz w:val="21"/>
                <w:szCs w:val="21"/>
                <w:lang w:val="en-US" w:eastAsia="zh-CN"/>
              </w:rPr>
              <w:t>2</w:t>
            </w:r>
            <w:r>
              <w:rPr>
                <w:rFonts w:hint="eastAsia" w:ascii="Calibri" w:hAnsi="Calibri" w:cs="Calibri"/>
                <w:b/>
                <w:bCs/>
                <w:sz w:val="21"/>
                <w:szCs w:val="21"/>
              </w:rPr>
              <w:t>建设项目环境风险简单分析内容表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pct"/>
                  <w:tcBorders>
                    <w:tl2br w:val="nil"/>
                    <w:tr2bl w:val="nil"/>
                  </w:tcBorders>
                  <w:noWrap w:val="0"/>
                  <w:vAlign w:val="center"/>
                </w:tcPr>
                <w:p>
                  <w:pPr>
                    <w:pStyle w:val="21"/>
                    <w:spacing w:after="0"/>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建设项目名称</w:t>
                  </w:r>
                </w:p>
              </w:tc>
              <w:tc>
                <w:tcPr>
                  <w:tcW w:w="4066" w:type="pct"/>
                  <w:tcBorders>
                    <w:tl2br w:val="nil"/>
                    <w:tr2bl w:val="nil"/>
                  </w:tcBorders>
                  <w:noWrap w:val="0"/>
                  <w:vAlign w:val="center"/>
                </w:tcPr>
                <w:p>
                  <w:pPr>
                    <w:pStyle w:val="21"/>
                    <w:spacing w:after="0"/>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新能源照明设备生产项目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1"/>
                    <w:spacing w:after="0"/>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建设地点</w:t>
                  </w:r>
                </w:p>
              </w:tc>
              <w:tc>
                <w:tcPr>
                  <w:tcW w:w="4066" w:type="pct"/>
                  <w:tcBorders>
                    <w:tl2br w:val="nil"/>
                    <w:tr2bl w:val="nil"/>
                  </w:tcBorders>
                  <w:noWrap w:val="0"/>
                  <w:vAlign w:val="center"/>
                </w:tcPr>
                <w:p>
                  <w:pPr>
                    <w:pStyle w:val="21"/>
                    <w:spacing w:after="0"/>
                    <w:ind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永州经济开发区张家铺2号厂房3栋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1"/>
                    <w:spacing w:after="0"/>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地理坐标</w:t>
                  </w:r>
                </w:p>
              </w:tc>
              <w:tc>
                <w:tcPr>
                  <w:tcW w:w="4066" w:type="pct"/>
                  <w:tcBorders>
                    <w:tl2br w:val="nil"/>
                    <w:tr2bl w:val="nil"/>
                  </w:tcBorders>
                  <w:noWrap w:val="0"/>
                  <w:vAlign w:val="center"/>
                </w:tcPr>
                <w:p>
                  <w:pPr>
                    <w:pStyle w:val="46"/>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E</w:t>
                  </w:r>
                  <w:r>
                    <w:rPr>
                      <w:rFonts w:hint="default" w:ascii="Times New Roman" w:hAnsi="Times New Roman" w:eastAsia="宋体" w:cs="Times New Roman"/>
                      <w:color w:val="000000"/>
                      <w:kern w:val="2"/>
                      <w:sz w:val="21"/>
                      <w:szCs w:val="21"/>
                      <w:lang w:val="en-US" w:eastAsia="zh-CN" w:bidi="ar-SA"/>
                    </w:rPr>
                    <w:t>111°36'18.9"</w:t>
                  </w:r>
                  <w:r>
                    <w:rPr>
                      <w:rFonts w:hint="eastAsia" w:ascii="Times New Roman" w:hAnsi="Times New Roman" w:eastAsia="宋体" w:cs="Times New Roman"/>
                      <w:color w:val="000000"/>
                      <w:kern w:val="2"/>
                      <w:sz w:val="21"/>
                      <w:szCs w:val="21"/>
                      <w:lang w:val="en-US" w:eastAsia="zh-CN" w:bidi="ar-SA"/>
                    </w:rPr>
                    <w:t>，N</w:t>
                  </w:r>
                  <w:r>
                    <w:rPr>
                      <w:rFonts w:hint="default" w:ascii="Times New Roman" w:hAnsi="Times New Roman" w:eastAsia="宋体" w:cs="Times New Roman"/>
                      <w:color w:val="000000"/>
                      <w:kern w:val="2"/>
                      <w:sz w:val="21"/>
                      <w:szCs w:val="21"/>
                      <w:lang w:val="en-US" w:eastAsia="zh-CN" w:bidi="ar-SA"/>
                    </w:rPr>
                    <w:t>26°24'04.4"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33" w:type="pct"/>
                  <w:tcBorders>
                    <w:tl2br w:val="nil"/>
                    <w:tr2bl w:val="nil"/>
                  </w:tcBorders>
                  <w:noWrap w:val="0"/>
                  <w:vAlign w:val="center"/>
                </w:tcPr>
                <w:p>
                  <w:pPr>
                    <w:pStyle w:val="21"/>
                    <w:spacing w:after="0"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sz w:val="21"/>
                      <w:szCs w:val="21"/>
                      <w:lang w:val="en-US" w:eastAsia="zh-CN"/>
                    </w:rPr>
                    <w:t>危险单元</w:t>
                  </w:r>
                </w:p>
              </w:tc>
              <w:tc>
                <w:tcPr>
                  <w:tcW w:w="4066" w:type="pct"/>
                  <w:tcBorders>
                    <w:tl2br w:val="nil"/>
                    <w:tr2bl w:val="nil"/>
                  </w:tcBorders>
                  <w:noWrap w:val="0"/>
                  <w:vAlign w:val="center"/>
                </w:tcPr>
                <w:p>
                  <w:pPr>
                    <w:pStyle w:val="21"/>
                    <w:spacing w:after="0"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sz w:val="21"/>
                      <w:szCs w:val="21"/>
                    </w:rPr>
                    <w:t>本项目</w:t>
                  </w:r>
                  <w:r>
                    <w:rPr>
                      <w:rFonts w:hint="default" w:ascii="Times New Roman" w:hAnsi="Times New Roman" w:cs="Times New Roman"/>
                      <w:color w:val="000000"/>
                      <w:sz w:val="21"/>
                      <w:szCs w:val="21"/>
                      <w:lang w:val="en-US" w:eastAsia="zh-CN"/>
                    </w:rPr>
                    <w:t>危险单元：危废暂存间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1"/>
                    <w:spacing w:after="0"/>
                    <w:ind w:left="420" w:hanging="420" w:hangingChars="200"/>
                    <w:jc w:val="center"/>
                    <w:rPr>
                      <w:rFonts w:hint="default" w:ascii="Times New Roman" w:hAnsi="Times New Roman" w:cs="Times New Roman"/>
                      <w:kern w:val="0"/>
                      <w:sz w:val="21"/>
                      <w:szCs w:val="21"/>
                    </w:rPr>
                  </w:pPr>
                  <w:r>
                    <w:rPr>
                      <w:rFonts w:hint="default" w:ascii="Times New Roman" w:hAnsi="Times New Roman" w:cs="Times New Roman"/>
                      <w:sz w:val="21"/>
                      <w:szCs w:val="21"/>
                    </w:rPr>
                    <w:t>风险防范措施要求</w:t>
                  </w:r>
                </w:p>
              </w:tc>
              <w:tc>
                <w:tcPr>
                  <w:tcW w:w="4066" w:type="pct"/>
                  <w:tcBorders>
                    <w:tl2br w:val="nil"/>
                    <w:tr2bl w:val="nil"/>
                  </w:tcBorders>
                  <w:noWrap w:val="0"/>
                  <w:vAlign w:val="center"/>
                </w:tcPr>
                <w:p>
                  <w:pPr>
                    <w:pStyle w:val="21"/>
                    <w:spacing w:after="0"/>
                    <w:ind w:firstLine="0" w:firstLineChars="0"/>
                    <w:jc w:val="left"/>
                    <w:rPr>
                      <w:rFonts w:hint="default" w:ascii="Times New Roman" w:hAnsi="Times New Roman" w:cs="Times New Roman"/>
                      <w:b/>
                      <w:bCs/>
                      <w:kern w:val="0"/>
                      <w:sz w:val="21"/>
                      <w:szCs w:val="21"/>
                    </w:rPr>
                  </w:pPr>
                  <w:r>
                    <w:rPr>
                      <w:rFonts w:hint="default" w:ascii="Times New Roman" w:hAnsi="Times New Roman" w:cs="Times New Roman"/>
                      <w:b/>
                      <w:bCs/>
                      <w:sz w:val="21"/>
                      <w:szCs w:val="21"/>
                    </w:rPr>
                    <w:t>风险防范措施：</w:t>
                  </w:r>
                </w:p>
                <w:p>
                  <w:pPr>
                    <w:numPr>
                      <w:ilvl w:val="0"/>
                      <w:numId w:val="11"/>
                    </w:numPr>
                    <w:ind w:right="8" w:rightChars="4"/>
                    <w:jc w:val="left"/>
                    <w:rPr>
                      <w:rFonts w:hint="default" w:ascii="Times New Roman" w:hAnsi="Times New Roman" w:cs="Times New Roman"/>
                      <w:sz w:val="21"/>
                      <w:szCs w:val="21"/>
                    </w:rPr>
                  </w:pPr>
                  <w:r>
                    <w:rPr>
                      <w:rFonts w:hint="default" w:ascii="Times New Roman" w:hAnsi="Times New Roman" w:cs="Times New Roman"/>
                      <w:sz w:val="21"/>
                      <w:szCs w:val="21"/>
                    </w:rPr>
                    <w:t>定期对操作人员进行安全生产与安全知识培训，并制定严格的安全操作规程</w:t>
                  </w:r>
                  <w:r>
                    <w:rPr>
                      <w:rFonts w:hint="default" w:ascii="Times New Roman" w:hAnsi="Times New Roman" w:cs="Times New Roman"/>
                      <w:sz w:val="21"/>
                      <w:szCs w:val="21"/>
                      <w:lang w:eastAsia="zh-CN"/>
                    </w:rPr>
                    <w:t>。</w:t>
                  </w:r>
                </w:p>
                <w:p>
                  <w:pPr>
                    <w:ind w:right="8" w:rightChars="4"/>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危废暂存间</w:t>
                  </w:r>
                  <w:r>
                    <w:rPr>
                      <w:rFonts w:hint="default" w:ascii="Times New Roman" w:hAnsi="Times New Roman" w:cs="Times New Roman"/>
                      <w:sz w:val="21"/>
                      <w:szCs w:val="21"/>
                    </w:rPr>
                    <w:t>禁止明火进入，禁止使用易产生火花的设备和工具</w:t>
                  </w:r>
                  <w:r>
                    <w:rPr>
                      <w:rFonts w:hint="default" w:ascii="Times New Roman" w:hAnsi="Times New Roman" w:cs="Times New Roman"/>
                      <w:sz w:val="21"/>
                      <w:szCs w:val="21"/>
                      <w:lang w:eastAsia="zh-CN"/>
                    </w:rPr>
                    <w:t>。</w:t>
                  </w:r>
                </w:p>
                <w:p>
                  <w:pPr>
                    <w:ind w:right="8" w:rightChars="4"/>
                    <w:jc w:val="left"/>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危废暂存间及应急物资间</w:t>
                  </w:r>
                  <w:r>
                    <w:rPr>
                      <w:rFonts w:hint="default" w:ascii="Times New Roman" w:hAnsi="Times New Roman" w:cs="Times New Roman"/>
                      <w:sz w:val="21"/>
                      <w:szCs w:val="21"/>
                    </w:rPr>
                    <w:t>应按消防要求配备足够型号相符的灭火器，职工人员应熟悉其放置地点，用法，而且要经常检查，消防通道保持畅通。</w:t>
                  </w:r>
                </w:p>
                <w:p>
                  <w:pPr>
                    <w:ind w:right="8" w:rightChars="4"/>
                    <w:jc w:val="left"/>
                    <w:rPr>
                      <w:rFonts w:hint="default" w:ascii="Times New Roman" w:hAnsi="Times New Roman" w:cs="Times New Roman"/>
                      <w:sz w:val="21"/>
                      <w:szCs w:val="21"/>
                    </w:rPr>
                  </w:pPr>
                  <w:r>
                    <w:rPr>
                      <w:rFonts w:hint="default" w:ascii="Times New Roman" w:hAnsi="Times New Roman" w:cs="Times New Roman"/>
                      <w:sz w:val="21"/>
                      <w:szCs w:val="21"/>
                    </w:rPr>
                    <w:t>（4）火灾发生时，先把总电源关掉，按响警铃以警示车间内其他人员，同时联络消防队，利用灭火器尽量灭火，如果无效，应该马上离开现场到安全地点集合，在离开时要确保所有人都已经离开车间。</w:t>
                  </w:r>
                </w:p>
                <w:p>
                  <w:pPr>
                    <w:ind w:right="8" w:rightChars="4"/>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（5）项目产生的危险废物按照《危险废物贮存污染控制标准》（GB18597-2001）及2013年修改单要求设置危废暂存间暂存。</w:t>
                  </w:r>
                </w:p>
                <w:p>
                  <w:pPr>
                    <w:ind w:right="8" w:rightChars="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应急要求：</w:t>
                  </w:r>
                </w:p>
                <w:p>
                  <w:pPr>
                    <w:ind w:right="8" w:rightChars="4"/>
                    <w:jc w:val="left"/>
                    <w:rPr>
                      <w:rFonts w:hint="default" w:ascii="Times New Roman" w:hAnsi="Times New Roman" w:cs="Times New Roman"/>
                      <w:sz w:val="21"/>
                      <w:szCs w:val="21"/>
                    </w:rPr>
                  </w:pPr>
                  <w:r>
                    <w:rPr>
                      <w:rFonts w:hint="default" w:ascii="Times New Roman" w:hAnsi="Times New Roman" w:eastAsia="宋体" w:cs="Times New Roman"/>
                      <w:sz w:val="21"/>
                      <w:szCs w:val="21"/>
                    </w:rPr>
                    <w:t>项目所产生的危险废物要严格管理，集中收集，分类处理，危险废物严格按照要求暂存，交给由有资质单位处置。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2"/>
                  <w:tcBorders>
                    <w:tl2br w:val="nil"/>
                    <w:tr2bl w:val="nil"/>
                  </w:tcBorders>
                  <w:noWrap w:val="0"/>
                  <w:vAlign w:val="center"/>
                </w:tcPr>
                <w:p>
                  <w:pPr>
                    <w:pStyle w:val="21"/>
                    <w:spacing w:after="0"/>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sz w:val="21"/>
                      <w:szCs w:val="21"/>
                    </w:rPr>
                    <w:t>填表说明:</w:t>
                  </w:r>
                  <w:r>
                    <w:rPr>
                      <w:rFonts w:hint="default" w:ascii="Times New Roman" w:hAnsi="Times New Roman" w:cs="Times New Roman"/>
                      <w:sz w:val="21"/>
                      <w:szCs w:val="21"/>
                    </w:rPr>
                    <w:t>无</w:t>
                  </w:r>
                </w:p>
              </w:tc>
            </w:tr>
          </w:tbl>
          <w:p>
            <w:pPr>
              <w:spacing w:line="360" w:lineRule="auto"/>
              <w:ind w:firstLine="482"/>
              <w:rPr>
                <w:rFonts w:hint="eastAsia"/>
                <w:b/>
                <w:bCs/>
                <w:color w:val="000000" w:themeColor="text1"/>
                <w:sz w:val="24"/>
                <w:szCs w:val="24"/>
                <w:u w:val="none"/>
                <w14:textFill>
                  <w14:solidFill>
                    <w14:schemeClr w14:val="tx1"/>
                  </w14:solidFill>
                </w14:textFill>
              </w:rPr>
            </w:pPr>
            <w:r>
              <w:rPr>
                <w:rFonts w:hint="eastAsia"/>
                <w:b/>
                <w:bCs/>
                <w:color w:val="000000" w:themeColor="text1"/>
                <w:sz w:val="24"/>
                <w:szCs w:val="24"/>
                <w:u w:val="none"/>
                <w14:textFill>
                  <w14:solidFill>
                    <w14:schemeClr w14:val="tx1"/>
                  </w14:solidFill>
                </w14:textFill>
              </w:rPr>
              <w:t>（八）环境管理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本项目环境管</w:t>
            </w:r>
            <w:r>
              <w:rPr>
                <w:rFonts w:hint="eastAsia" w:ascii="Times New Roman" w:hAnsi="Times New Roman" w:eastAsia="宋体" w:cs="Times New Roman"/>
                <w:color w:val="000000" w:themeColor="text1"/>
                <w:sz w:val="24"/>
                <w:szCs w:val="24"/>
                <w:u w:val="none"/>
                <w14:textFill>
                  <w14:solidFill>
                    <w14:schemeClr w14:val="tx1"/>
                  </w14:solidFill>
                </w14:textFill>
              </w:rPr>
              <w:t>理应由</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永州菲利特照明电器有限公司</w:t>
            </w:r>
            <w:r>
              <w:rPr>
                <w:rFonts w:hint="eastAsia" w:ascii="Times New Roman" w:hAnsi="Times New Roman" w:eastAsia="宋体" w:cs="Times New Roman"/>
                <w:color w:val="000000" w:themeColor="text1"/>
                <w:sz w:val="24"/>
                <w:szCs w:val="24"/>
                <w:u w:val="none"/>
                <w14:textFill>
                  <w14:solidFill>
                    <w14:schemeClr w14:val="tx1"/>
                  </w14:solidFill>
                </w14:textFill>
              </w:rPr>
              <w:t>负责，</w:t>
            </w:r>
            <w:r>
              <w:rPr>
                <w:rFonts w:hint="eastAsia"/>
                <w:color w:val="000000" w:themeColor="text1"/>
                <w:sz w:val="24"/>
                <w:szCs w:val="24"/>
                <w:u w:val="none"/>
                <w14:textFill>
                  <w14:solidFill>
                    <w14:schemeClr w14:val="tx1"/>
                  </w14:solidFill>
                </w14:textFill>
              </w:rPr>
              <w:t>下设环保科，由专职环保人员具体实施环境管理工作。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环境管理的具体内容如下：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（1）组织编制企业环境管理条例及日常监测计划。实施有效的质量控制，</w:t>
            </w:r>
            <w:r>
              <w:rPr>
                <w:color w:val="000000" w:themeColor="text1"/>
                <w:sz w:val="24"/>
                <w:szCs w:val="24"/>
                <w:u w:val="none"/>
                <w14:textFill>
                  <w14:solidFill>
                    <w14:schemeClr w14:val="tx1"/>
                  </w14:solidFill>
                </w14:textFill>
              </w:rPr>
              <w:t>贯彻落实国家和地方的环境保护法律、法规、政策和标准，直接接受环保主管部门的监督、领导，配合环境保护主管部门作好环保工作</w:t>
            </w:r>
            <w:r>
              <w:rPr>
                <w:rFonts w:hint="eastAsia"/>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（2）加强运行期生产管理，严格实行岗位责任制。定期进行环保设备检查、维修和保养工作，确保环保设施长期、稳定、达标运转，杜绝事故性排放的发生。</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（3）建设规范化排污口</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依据国家标准《环境保护图形标志—排放口（源）》和国家环保局《排污口规范化整治技术要求（试行）》的技术要求，所有排污口，必须按照“便于采样、便于计量监测、便于日常现场监督检查”的原则和规范化要求，设置与之相适应的环境保护图形标志牌，绘制企业排污口分布图。排污口的规范化要求如下：</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①废水排放口</w:t>
            </w:r>
            <w:r>
              <w:rPr>
                <w:rFonts w:hint="eastAsia"/>
                <w:color w:val="000000" w:themeColor="text1"/>
                <w:sz w:val="24"/>
                <w:szCs w:val="24"/>
                <w:u w:val="none"/>
                <w14:textFill>
                  <w14:solidFill>
                    <w14:schemeClr w14:val="tx1"/>
                  </w14:solidFill>
                </w14:textFill>
              </w:rPr>
              <w:tab/>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废水排污口原则上只设一个，排污口位置根据实际地形位置和污染物的种类情况确定；本项目污水排放口属于一般污水排放口。</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②废气排放口</w:t>
            </w:r>
          </w:p>
          <w:p>
            <w:pPr>
              <w:spacing w:line="360" w:lineRule="auto"/>
              <w:ind w:firstLine="480"/>
              <w:rPr>
                <w:rFonts w:hint="eastAsia"/>
                <w:color w:val="auto"/>
                <w:sz w:val="24"/>
                <w:szCs w:val="24"/>
                <w:u w:val="none"/>
                <w:lang w:val="en-US" w:eastAsia="zh-CN"/>
              </w:rPr>
            </w:pPr>
            <w:r>
              <w:rPr>
                <w:rFonts w:hint="eastAsia"/>
                <w:color w:val="000000" w:themeColor="text1"/>
                <w:sz w:val="24"/>
                <w:szCs w:val="24"/>
                <w:u w:val="none"/>
                <w14:textFill>
                  <w14:solidFill>
                    <w14:schemeClr w14:val="tx1"/>
                  </w14:solidFill>
                </w14:textFill>
              </w:rPr>
              <w:t>本项目设</w:t>
            </w:r>
            <w:r>
              <w:rPr>
                <w:rFonts w:hint="eastAsia"/>
                <w:color w:val="000000" w:themeColor="text1"/>
                <w:sz w:val="24"/>
                <w:szCs w:val="24"/>
                <w:u w:val="none"/>
                <w:lang w:val="en-US" w:eastAsia="zh-CN"/>
                <w14:textFill>
                  <w14:solidFill>
                    <w14:schemeClr w14:val="tx1"/>
                  </w14:solidFill>
                </w14:textFill>
              </w:rPr>
              <w:t>3</w:t>
            </w:r>
            <w:r>
              <w:rPr>
                <w:rFonts w:hint="eastAsia"/>
                <w:color w:val="000000" w:themeColor="text1"/>
                <w:sz w:val="24"/>
                <w:szCs w:val="24"/>
                <w:u w:val="none"/>
                <w14:textFill>
                  <w14:solidFill>
                    <w14:schemeClr w14:val="tx1"/>
                  </w14:solidFill>
                </w14:textFill>
              </w:rPr>
              <w:t>个废气排放口：</w:t>
            </w:r>
            <w:r>
              <w:rPr>
                <w:rFonts w:hint="eastAsia"/>
                <w:color w:val="000000" w:themeColor="text1"/>
                <w:sz w:val="24"/>
                <w:szCs w:val="24"/>
                <w:u w:val="none"/>
                <w:lang w:val="en-US" w:eastAsia="zh-CN"/>
                <w14:textFill>
                  <w14:solidFill>
                    <w14:schemeClr w14:val="tx1"/>
                  </w14:solidFill>
                </w14:textFill>
              </w:rPr>
              <w:t>生产废气DA001，高度15m，内径0.5m，天然气燃烧废气DA002，高度15m，内径0.5m，食堂油烟</w:t>
            </w:r>
            <w:r>
              <w:rPr>
                <w:rFonts w:hint="eastAsia"/>
                <w:color w:val="000000" w:themeColor="text1"/>
                <w:sz w:val="24"/>
                <w:szCs w:val="24"/>
                <w:u w:val="none"/>
                <w14:textFill>
                  <w14:solidFill>
                    <w14:schemeClr w14:val="tx1"/>
                  </w14:solidFill>
                </w14:textFill>
              </w:rPr>
              <w:t>废</w:t>
            </w:r>
            <w:r>
              <w:rPr>
                <w:rFonts w:hint="eastAsia"/>
                <w:color w:val="auto"/>
                <w:sz w:val="24"/>
                <w:szCs w:val="24"/>
                <w:u w:val="none"/>
              </w:rPr>
              <w:t>气排气筒</w:t>
            </w:r>
            <w:r>
              <w:rPr>
                <w:rFonts w:hint="eastAsia"/>
                <w:color w:val="auto"/>
                <w:sz w:val="24"/>
                <w:szCs w:val="24"/>
                <w:u w:val="none"/>
                <w:lang w:val="en-US" w:eastAsia="zh-CN"/>
              </w:rPr>
              <w:t>DA003</w:t>
            </w:r>
            <w:r>
              <w:rPr>
                <w:rFonts w:hint="eastAsia"/>
                <w:color w:val="auto"/>
                <w:sz w:val="24"/>
                <w:szCs w:val="24"/>
                <w:u w:val="none"/>
              </w:rPr>
              <w:t>，高</w:t>
            </w:r>
            <w:r>
              <w:rPr>
                <w:rFonts w:hint="eastAsia"/>
                <w:color w:val="auto"/>
                <w:sz w:val="24"/>
                <w:szCs w:val="24"/>
                <w:u w:val="none"/>
                <w:lang w:val="en-US" w:eastAsia="zh-CN"/>
              </w:rPr>
              <w:t>15</w:t>
            </w:r>
            <w:r>
              <w:rPr>
                <w:rFonts w:hint="eastAsia"/>
                <w:color w:val="auto"/>
                <w:sz w:val="24"/>
                <w:szCs w:val="24"/>
                <w:u w:val="none"/>
              </w:rPr>
              <w:t>m</w:t>
            </w:r>
            <w:r>
              <w:rPr>
                <w:rFonts w:hint="eastAsia"/>
                <w:color w:val="auto"/>
                <w:sz w:val="24"/>
                <w:szCs w:val="24"/>
                <w:u w:val="none"/>
                <w:lang w:eastAsia="zh-CN"/>
              </w:rPr>
              <w:t>、</w:t>
            </w:r>
            <w:r>
              <w:rPr>
                <w:rFonts w:hint="eastAsia"/>
                <w:color w:val="auto"/>
                <w:sz w:val="24"/>
                <w:szCs w:val="24"/>
                <w:u w:val="none"/>
                <w:lang w:val="en-US" w:eastAsia="zh-CN"/>
              </w:rPr>
              <w:t>内径0.42m</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③固定噪声排放源</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按规定对固定噪声源进行治理，并在边界噪声敏感点且对外界影响最大处设置标志牌。</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④固体废弃物贮存（处置）场</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固体废物如一般固废、生活垃圾等应统一收集堆放，危险废物应设置专用的堆放场地。</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⑤设置标志牌要求</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保护标志牌由国家环保局统一定点制作，并由县区环境监察部门根据企业排污情况统一订购。排放一般污染物排放口（源），设置提示性标志牌，排放有毒有害等污染物的排污口设置警告性标志牌。提示性标志牌和警告性标志牌样图如下表：</w:t>
            </w:r>
          </w:p>
          <w:p>
            <w:pPr>
              <w:spacing w:line="240" w:lineRule="auto"/>
              <w:ind w:firstLine="422"/>
              <w:jc w:val="center"/>
              <w:rPr>
                <w:rFonts w:hAnsi="宋体"/>
                <w:b/>
                <w:color w:val="000000" w:themeColor="text1"/>
                <w:sz w:val="21"/>
                <w:szCs w:val="21"/>
                <w:u w:val="none"/>
                <w14:textFill>
                  <w14:solidFill>
                    <w14:schemeClr w14:val="tx1"/>
                  </w14:solidFill>
                </w14:textFill>
              </w:rPr>
            </w:pPr>
            <w:r>
              <w:rPr>
                <w:rFonts w:hint="eastAsia" w:hAnsi="宋体"/>
                <w:b/>
                <w:color w:val="000000" w:themeColor="text1"/>
                <w:sz w:val="21"/>
                <w:szCs w:val="21"/>
                <w:u w:val="none"/>
                <w14:textFill>
                  <w14:solidFill>
                    <w14:schemeClr w14:val="tx1"/>
                  </w14:solidFill>
                </w14:textFill>
              </w:rPr>
              <w:t>表4-1</w:t>
            </w:r>
            <w:r>
              <w:rPr>
                <w:rFonts w:hint="eastAsia" w:hAnsi="宋体"/>
                <w:b/>
                <w:color w:val="000000" w:themeColor="text1"/>
                <w:sz w:val="21"/>
                <w:szCs w:val="21"/>
                <w:u w:val="none"/>
                <w:lang w:val="en-US" w:eastAsia="zh-CN"/>
                <w14:textFill>
                  <w14:solidFill>
                    <w14:schemeClr w14:val="tx1"/>
                  </w14:solidFill>
                </w14:textFill>
              </w:rPr>
              <w:t>3</w:t>
            </w:r>
            <w:r>
              <w:rPr>
                <w:rFonts w:hint="eastAsia" w:hAnsi="宋体"/>
                <w:b/>
                <w:color w:val="000000" w:themeColor="text1"/>
                <w:sz w:val="21"/>
                <w:szCs w:val="21"/>
                <w:u w:val="none"/>
                <w14:textFill>
                  <w14:solidFill>
                    <w14:schemeClr w14:val="tx1"/>
                  </w14:solidFill>
                </w14:textFill>
              </w:rPr>
              <w:t xml:space="preserve">  提示性标志牌和警告性标志牌说明表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325"/>
              <w:gridCol w:w="1334"/>
              <w:gridCol w:w="1345"/>
              <w:gridCol w:w="143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排放口</w:t>
                  </w:r>
                </w:p>
              </w:tc>
              <w:tc>
                <w:tcPr>
                  <w:tcW w:w="820"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废水排放口</w:t>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废气排放口</w:t>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噪声源</w:t>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固体废物堆场</w:t>
                  </w:r>
                </w:p>
              </w:tc>
              <w:tc>
                <w:tcPr>
                  <w:tcW w:w="139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提示图形符号</w:t>
                  </w:r>
                </w:p>
              </w:tc>
              <w:tc>
                <w:tcPr>
                  <w:tcW w:w="820"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31215"/>
                        <wp:effectExtent l="0" t="0" r="13970" b="6985"/>
                        <wp:docPr id="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7"/>
                                <pic:cNvPicPr>
                                  <a:picLocks noChangeAspect="1"/>
                                </pic:cNvPicPr>
                              </pic:nvPicPr>
                              <pic:blipFill>
                                <a:blip r:embed="rId16"/>
                                <a:stretch>
                                  <a:fillRect/>
                                </a:stretch>
                              </pic:blipFill>
                              <pic:spPr>
                                <a:xfrm>
                                  <a:off x="0" y="0"/>
                                  <a:ext cx="843280" cy="831215"/>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31215" cy="831215"/>
                        <wp:effectExtent l="0" t="0" r="6985" b="6985"/>
                        <wp:docPr id="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8"/>
                                <pic:cNvPicPr>
                                  <a:picLocks noChangeAspect="1"/>
                                </pic:cNvPicPr>
                              </pic:nvPicPr>
                              <pic:blipFill>
                                <a:blip r:embed="rId17"/>
                                <a:stretch>
                                  <a:fillRect/>
                                </a:stretch>
                              </pic:blipFill>
                              <pic:spPr>
                                <a:xfrm>
                                  <a:off x="0" y="0"/>
                                  <a:ext cx="831215" cy="831215"/>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19150"/>
                        <wp:effectExtent l="0" t="0" r="13970" b="0"/>
                        <wp:docPr id="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9"/>
                                <pic:cNvPicPr>
                                  <a:picLocks noChangeAspect="1"/>
                                </pic:cNvPicPr>
                              </pic:nvPicPr>
                              <pic:blipFill>
                                <a:blip r:embed="rId18"/>
                                <a:stretch>
                                  <a:fillRect/>
                                </a:stretch>
                              </pic:blipFill>
                              <pic:spPr>
                                <a:xfrm>
                                  <a:off x="0" y="0"/>
                                  <a:ext cx="843280" cy="81915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31215"/>
                        <wp:effectExtent l="0" t="0" r="13970" b="6985"/>
                        <wp:docPr id="6"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0"/>
                                <pic:cNvPicPr>
                                  <a:picLocks noChangeAspect="1"/>
                                </pic:cNvPicPr>
                              </pic:nvPicPr>
                              <pic:blipFill>
                                <a:blip r:embed="rId19"/>
                                <a:stretch>
                                  <a:fillRect/>
                                </a:stretch>
                              </pic:blipFill>
                              <pic:spPr>
                                <a:xfrm>
                                  <a:off x="0" y="0"/>
                                  <a:ext cx="843280" cy="831215"/>
                                </a:xfrm>
                                <a:prstGeom prst="rect">
                                  <a:avLst/>
                                </a:prstGeom>
                                <a:noFill/>
                                <a:ln>
                                  <a:noFill/>
                                </a:ln>
                              </pic:spPr>
                            </pic:pic>
                          </a:graphicData>
                        </a:graphic>
                      </wp:inline>
                    </w:drawing>
                  </w:r>
                </w:p>
              </w:tc>
              <w:tc>
                <w:tcPr>
                  <w:tcW w:w="1395" w:type="pct"/>
                  <w:vMerge w:val="restar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color w:val="000000" w:themeColor="text1"/>
                      <w:u w:val="none"/>
                      <w14:textFill>
                        <w14:solidFill>
                          <w14:schemeClr w14:val="tx1"/>
                        </w14:solidFill>
                      </w14:textFill>
                    </w:rPr>
                    <w:drawing>
                      <wp:inline distT="0" distB="0" distL="114300" distR="114300">
                        <wp:extent cx="1457960" cy="843280"/>
                        <wp:effectExtent l="0" t="0" r="889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1457960" cy="8432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警告图形标志</w:t>
                  </w:r>
                </w:p>
              </w:tc>
              <w:tc>
                <w:tcPr>
                  <w:tcW w:w="820" w:type="pct"/>
                  <w:noWrap w:val="0"/>
                  <w:vAlign w:val="center"/>
                </w:tcPr>
                <w:p>
                  <w:pPr>
                    <w:spacing w:line="240" w:lineRule="auto"/>
                    <w:ind w:firstLine="0" w:firstLineChars="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66775" cy="772160"/>
                        <wp:effectExtent l="0" t="0" r="9525" b="8890"/>
                        <wp:docPr id="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1"/>
                                <pic:cNvPicPr>
                                  <a:picLocks noChangeAspect="1"/>
                                </pic:cNvPicPr>
                              </pic:nvPicPr>
                              <pic:blipFill>
                                <a:blip r:embed="rId21"/>
                                <a:stretch>
                                  <a:fillRect/>
                                </a:stretch>
                              </pic:blipFill>
                              <pic:spPr>
                                <a:xfrm>
                                  <a:off x="0" y="0"/>
                                  <a:ext cx="866775" cy="772160"/>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31215" cy="735330"/>
                        <wp:effectExtent l="0" t="0" r="6985" b="7620"/>
                        <wp:docPr id="9"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2"/>
                                <pic:cNvPicPr>
                                  <a:picLocks noChangeAspect="1"/>
                                </pic:cNvPicPr>
                              </pic:nvPicPr>
                              <pic:blipFill>
                                <a:blip r:embed="rId22"/>
                                <a:stretch>
                                  <a:fillRect/>
                                </a:stretch>
                              </pic:blipFill>
                              <pic:spPr>
                                <a:xfrm>
                                  <a:off x="0" y="0"/>
                                  <a:ext cx="831215" cy="735330"/>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07720" cy="748030"/>
                        <wp:effectExtent l="0" t="0" r="11430" b="13970"/>
                        <wp:docPr id="1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3"/>
                                <pic:cNvPicPr>
                                  <a:picLocks noChangeAspect="1"/>
                                </pic:cNvPicPr>
                              </pic:nvPicPr>
                              <pic:blipFill>
                                <a:blip r:embed="rId23"/>
                                <a:stretch>
                                  <a:fillRect/>
                                </a:stretch>
                              </pic:blipFill>
                              <pic:spPr>
                                <a:xfrm>
                                  <a:off x="0" y="0"/>
                                  <a:ext cx="807720" cy="74803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795020" cy="748030"/>
                        <wp:effectExtent l="0" t="0" r="5080" b="13970"/>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pic:cNvPicPr>
                              </pic:nvPicPr>
                              <pic:blipFill>
                                <a:blip r:embed="rId24"/>
                                <a:stretch>
                                  <a:fillRect/>
                                </a:stretch>
                              </pic:blipFill>
                              <pic:spPr>
                                <a:xfrm>
                                  <a:off x="0" y="0"/>
                                  <a:ext cx="795020" cy="748030"/>
                                </a:xfrm>
                                <a:prstGeom prst="rect">
                                  <a:avLst/>
                                </a:prstGeom>
                                <a:noFill/>
                                <a:ln>
                                  <a:noFill/>
                                </a:ln>
                              </pic:spPr>
                            </pic:pic>
                          </a:graphicData>
                        </a:graphic>
                      </wp:inline>
                    </w:drawing>
                  </w:r>
                </w:p>
              </w:tc>
              <w:tc>
                <w:tcPr>
                  <w:tcW w:w="1395" w:type="pct"/>
                  <w:vMerge w:val="continue"/>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r>
          </w:tbl>
          <w:p>
            <w:pPr>
              <w:pStyle w:val="94"/>
              <w:rPr>
                <w:color w:val="000000" w:themeColor="text1"/>
                <w:kern w:val="0"/>
                <w:szCs w:val="20"/>
                <w:u w:val="none"/>
                <w14:textFill>
                  <w14:solidFill>
                    <w14:schemeClr w14:val="tx1"/>
                  </w14:solidFill>
                </w14:textFill>
              </w:rPr>
            </w:pPr>
            <w:r>
              <w:rPr>
                <w:rFonts w:hint="eastAsia"/>
                <w:color w:val="000000" w:themeColor="text1"/>
                <w:kern w:val="0"/>
                <w:szCs w:val="20"/>
                <w:u w:val="none"/>
                <w14:textFill>
                  <w14:solidFill>
                    <w14:schemeClr w14:val="tx1"/>
                  </w14:solidFill>
                </w14:textFill>
              </w:rPr>
              <w:t>表4-1</w:t>
            </w:r>
            <w:r>
              <w:rPr>
                <w:rFonts w:hint="eastAsia"/>
                <w:color w:val="000000" w:themeColor="text1"/>
                <w:kern w:val="0"/>
                <w:szCs w:val="20"/>
                <w:u w:val="none"/>
                <w:lang w:val="en-US" w:eastAsia="zh-CN"/>
                <w14:textFill>
                  <w14:solidFill>
                    <w14:schemeClr w14:val="tx1"/>
                  </w14:solidFill>
                </w14:textFill>
              </w:rPr>
              <w:t>4</w:t>
            </w:r>
            <w:r>
              <w:rPr>
                <w:rFonts w:hint="eastAsia"/>
                <w:color w:val="000000" w:themeColor="text1"/>
                <w:kern w:val="0"/>
                <w:szCs w:val="20"/>
                <w:u w:val="none"/>
                <w14:textFill>
                  <w14:solidFill>
                    <w14:schemeClr w14:val="tx1"/>
                  </w14:solidFill>
                </w14:textFill>
              </w:rPr>
              <w:t xml:space="preserve">  标志形状及颜色</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9"/>
              <w:gridCol w:w="2130"/>
              <w:gridCol w:w="213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标志类型</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形状</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背景颜色</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图形颜色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警告</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三角形边框</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黄色</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提示标志</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正方形边框</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绿化</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白色</w:t>
                  </w:r>
                </w:p>
              </w:tc>
            </w:tr>
          </w:tbl>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标志牌设置位置在排污口（采样点）附近且醒目处，高度为标志牌上缘离地面2米。排污口附近1米范围内有建筑物的，设平面式标志牌，无建筑物的设立式标志牌。</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⑥ 排污口建档要求</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要求使用生态环境部统一印刷的《中华人民共和国规范化排污口标志登记证》，并按要求填写有关内容；根据排污口管理档案内容要求，项目建成后，应将主要污染物种类、数量、浓度、排放去向、达标情况及设施运行情况纪录于档案。</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（4）负责项目环境保护竣工验收工作。</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按照《建设项目竣工环境保护验收暂行办法》（国环规环评[2017]4号）要求组织本项目竣工环境保护验收工作，验收合格方可投入生产；本工程应建立以企业总经理领导，专职环保职能科室负责企业的环境档案管理，制定各项环保计划并监督实施，对厂区排污实行全程控制的监管，确保环保计划的实施和各项污染物的达标排放。</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（5）建立环境管理台账</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环境管理台账，指排污单位根据排污许可证的规定，对自行监测、落实各项环境管理要求等行为的具体记录。</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排污单位应建立环境管理台账记录制度，设置专职人员进行台账的记录、整理、维护和管理，并对环境管理台账的真实性、完整性和规范性负责。</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环境管理台账的编制要求按照《排污单位环境管理台账及排污许可证执行报告技术规范 总则(试行)》（HJ944-2018）执行，该技术规范规定了排污单位环境管理台账记录形式、记录内容、记录频次和记录保存的一般要求。</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环境管理台账记录形式分为电子台账和纸质台账两种形式，保存时间原则上不低于</w:t>
            </w:r>
            <w:r>
              <w:rPr>
                <w:rFonts w:hint="eastAsia"/>
                <w:color w:val="000000" w:themeColor="text1"/>
                <w:sz w:val="24"/>
                <w:szCs w:val="24"/>
                <w:u w:val="none"/>
                <w:lang w:val="en-US" w:eastAsia="zh-CN"/>
                <w14:textFill>
                  <w14:solidFill>
                    <w14:schemeClr w14:val="tx1"/>
                  </w14:solidFill>
                </w14:textFill>
              </w:rPr>
              <w:t>5</w:t>
            </w:r>
            <w:r>
              <w:rPr>
                <w:rFonts w:hint="eastAsia"/>
                <w:color w:val="000000" w:themeColor="text1"/>
                <w:sz w:val="24"/>
                <w:szCs w:val="24"/>
                <w:u w:val="none"/>
                <w14:textFill>
                  <w14:solidFill>
                    <w14:schemeClr w14:val="tx1"/>
                  </w14:solidFill>
                </w14:textFill>
              </w:rPr>
              <w:t>年。</w:t>
            </w:r>
          </w:p>
          <w:p>
            <w:pPr>
              <w:spacing w:line="360" w:lineRule="auto"/>
              <w:ind w:firstLine="480"/>
              <w:rPr>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环境管理台账记录内容包括基本信息、生产设施运行管理信息、污染防治设施运行管理信息、监测记录信息及其他环境管理信息等。生产设施、污染防治设施、排放口编码应与排污许可证副本中载明的编码一致。记录频次和记录内容要满足排污许可证的各项环境管理要求。</w:t>
            </w:r>
          </w:p>
          <w:p>
            <w:pPr>
              <w:spacing w:line="360" w:lineRule="auto"/>
              <w:ind w:firstLine="482"/>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eastAsia="zh-CN"/>
                <w14:textFill>
                  <w14:solidFill>
                    <w14:schemeClr w14:val="tx1"/>
                  </w14:solidFill>
                </w14:textFill>
              </w:rPr>
              <w:t>十</w:t>
            </w:r>
            <w:r>
              <w:rPr>
                <w:rFonts w:hint="eastAsia"/>
                <w:b/>
                <w:bCs/>
                <w:color w:val="000000" w:themeColor="text1"/>
                <w:sz w:val="24"/>
                <w:szCs w:val="24"/>
                <w14:textFill>
                  <w14:solidFill>
                    <w14:schemeClr w14:val="tx1"/>
                  </w14:solidFill>
                </w14:textFill>
              </w:rPr>
              <w:t>）环保投资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项目总投资</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000万元，其中用于本项目污染防治的投资约</w:t>
            </w:r>
            <w:r>
              <w:rPr>
                <w:rFonts w:hint="eastAsia"/>
                <w:color w:val="000000" w:themeColor="text1"/>
                <w:sz w:val="24"/>
                <w:szCs w:val="24"/>
                <w:lang w:val="en-US" w:eastAsia="zh-CN"/>
                <w14:textFill>
                  <w14:solidFill>
                    <w14:schemeClr w14:val="tx1"/>
                  </w14:solidFill>
                </w14:textFill>
              </w:rPr>
              <w:t>90.5</w:t>
            </w:r>
            <w:r>
              <w:rPr>
                <w:rFonts w:hint="eastAsia"/>
                <w:color w:val="000000" w:themeColor="text1"/>
                <w:sz w:val="24"/>
                <w:szCs w:val="24"/>
                <w14:textFill>
                  <w14:solidFill>
                    <w14:schemeClr w14:val="tx1"/>
                  </w14:solidFill>
                </w14:textFill>
              </w:rPr>
              <w:t>万，占总投资的</w:t>
            </w:r>
            <w:r>
              <w:rPr>
                <w:rFonts w:hint="eastAsia"/>
                <w:color w:val="000000" w:themeColor="text1"/>
                <w:sz w:val="24"/>
                <w:szCs w:val="24"/>
                <w:lang w:val="en-US" w:eastAsia="zh-CN"/>
                <w14:textFill>
                  <w14:solidFill>
                    <w14:schemeClr w14:val="tx1"/>
                  </w14:solidFill>
                </w14:textFill>
              </w:rPr>
              <w:t>1.51</w:t>
            </w:r>
            <w:r>
              <w:rPr>
                <w:rFonts w:hint="eastAsia"/>
                <w:color w:val="000000" w:themeColor="text1"/>
                <w:sz w:val="24"/>
                <w:szCs w:val="24"/>
                <w14:textFill>
                  <w14:solidFill>
                    <w14:schemeClr w14:val="tx1"/>
                  </w14:solidFill>
                </w14:textFill>
              </w:rPr>
              <w:t>%，具体分析如下：</w:t>
            </w:r>
          </w:p>
          <w:p>
            <w:pPr>
              <w:spacing w:line="240" w:lineRule="auto"/>
              <w:ind w:firstLine="422"/>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4-1</w:t>
            </w:r>
            <w:r>
              <w:rPr>
                <w:rFonts w:hint="eastAsia"/>
                <w:b/>
                <w:bCs/>
                <w:color w:val="000000" w:themeColor="text1"/>
                <w:sz w:val="21"/>
                <w:szCs w:val="21"/>
                <w:lang w:val="en-US" w:eastAsia="zh-CN"/>
                <w14:textFill>
                  <w14:solidFill>
                    <w14:schemeClr w14:val="tx1"/>
                  </w14:solidFill>
                </w14:textFill>
              </w:rPr>
              <w:t>5</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项目环保投资一览表</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单位：万元</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1"/>
              <w:gridCol w:w="1174"/>
              <w:gridCol w:w="1486"/>
              <w:gridCol w:w="1958"/>
              <w:gridCol w:w="2181"/>
              <w:gridCol w:w="7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4"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治理项目</w:t>
                  </w:r>
                </w:p>
              </w:tc>
              <w:tc>
                <w:tcPr>
                  <w:tcW w:w="727"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污染</w:t>
                  </w:r>
                  <w:r>
                    <w:rPr>
                      <w:rFonts w:hint="eastAsia"/>
                      <w:color w:val="000000" w:themeColor="text1"/>
                      <w:sz w:val="21"/>
                      <w:szCs w:val="21"/>
                      <w:lang w:val="en-US" w:eastAsia="zh-CN"/>
                      <w14:textFill>
                        <w14:solidFill>
                          <w14:schemeClr w14:val="tx1"/>
                        </w14:solidFill>
                      </w14:textFill>
                    </w:rPr>
                    <w:t>源</w:t>
                  </w:r>
                </w:p>
              </w:tc>
              <w:tc>
                <w:tcPr>
                  <w:tcW w:w="920"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w:t>
                  </w:r>
                </w:p>
              </w:tc>
              <w:tc>
                <w:tcPr>
                  <w:tcW w:w="1212"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环保设施</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处理效果、执行标准或拟达要求</w:t>
                  </w:r>
                </w:p>
              </w:tc>
              <w:tc>
                <w:tcPr>
                  <w:tcW w:w="485"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304"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727" w:type="pct"/>
                  <w:tcBorders>
                    <w:bottom w:val="single" w:color="auto" w:sz="4" w:space="0"/>
                  </w:tcBorders>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剪板、喷塑</w:t>
                  </w:r>
                </w:p>
              </w:tc>
              <w:tc>
                <w:tcPr>
                  <w:tcW w:w="920" w:type="pct"/>
                  <w:tcBorders>
                    <w:bottom w:val="single" w:color="auto" w:sz="4" w:space="0"/>
                  </w:tcBorders>
                  <w:noWrap w:val="0"/>
                  <w:vAlign w:val="center"/>
                </w:tcPr>
                <w:p>
                  <w:pPr>
                    <w:widowControl/>
                    <w:spacing w:line="276"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212"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auto"/>
                      <w:lang w:val="en-US" w:eastAsia="zh-CN"/>
                    </w:rPr>
                    <w:t>集气罩+袋式除尘器+</w:t>
                  </w:r>
                  <w:r>
                    <w:rPr>
                      <w:rFonts w:hint="eastAsia"/>
                      <w:color w:val="auto"/>
                      <w:sz w:val="21"/>
                      <w:szCs w:val="21"/>
                      <w:highlight w:val="none"/>
                      <w:lang w:val="en-US" w:eastAsia="zh-CN"/>
                    </w:rPr>
                    <w:t>15m高排气筒排放</w:t>
                  </w:r>
                </w:p>
              </w:tc>
              <w:tc>
                <w:tcPr>
                  <w:tcW w:w="1350"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《大气污染物综合排放标准》（GB16297-1996）</w:t>
                  </w:r>
                </w:p>
              </w:tc>
              <w:tc>
                <w:tcPr>
                  <w:tcW w:w="485" w:type="pct"/>
                  <w:vMerge w:val="restar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30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727" w:type="pct"/>
                  <w:tcBorders>
                    <w:bottom w:val="single" w:color="auto" w:sz="4" w:space="0"/>
                  </w:tcBorders>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固化</w:t>
                  </w:r>
                </w:p>
              </w:tc>
              <w:tc>
                <w:tcPr>
                  <w:tcW w:w="920" w:type="pct"/>
                  <w:tcBorders>
                    <w:bottom w:val="single" w:color="auto" w:sz="4" w:space="0"/>
                  </w:tcBorders>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212"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管道收集</w:t>
                  </w:r>
                  <w:r>
                    <w:rPr>
                      <w:rFonts w:hint="eastAsia"/>
                      <w:color w:val="auto"/>
                      <w:sz w:val="21"/>
                      <w:szCs w:val="21"/>
                      <w:highlight w:val="none"/>
                      <w:lang w:val="en-US" w:eastAsia="zh-CN"/>
                    </w:rPr>
                    <w:t>+15m高排气筒排放</w:t>
                  </w:r>
                </w:p>
              </w:tc>
              <w:tc>
                <w:tcPr>
                  <w:tcW w:w="1350" w:type="pct"/>
                  <w:vMerge w:val="continue"/>
                  <w:noWrap w:val="0"/>
                  <w:vAlign w:val="center"/>
                </w:tcPr>
                <w:p>
                  <w:pPr>
                    <w:widowControl/>
                    <w:spacing w:line="276" w:lineRule="auto"/>
                    <w:ind w:firstLine="0" w:firstLineChars="0"/>
                    <w:jc w:val="center"/>
                    <w:rPr>
                      <w:rFonts w:hint="eastAsia"/>
                      <w:color w:val="000000" w:themeColor="text1"/>
                      <w:sz w:val="24"/>
                      <w:szCs w:val="24"/>
                      <w:vertAlign w:val="baseline"/>
                      <w:lang w:val="en-US" w:eastAsia="zh-CN"/>
                      <w14:textFill>
                        <w14:solidFill>
                          <w14:schemeClr w14:val="tx1"/>
                        </w14:solidFill>
                      </w14:textFill>
                    </w:rPr>
                  </w:pPr>
                </w:p>
              </w:tc>
              <w:tc>
                <w:tcPr>
                  <w:tcW w:w="485"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trPr>
              <w:tc>
                <w:tcPr>
                  <w:tcW w:w="30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727" w:type="pct"/>
                  <w:tcBorders>
                    <w:top w:val="single" w:color="auto" w:sz="4" w:space="0"/>
                    <w:bottom w:val="single" w:color="auto" w:sz="4" w:space="0"/>
                  </w:tcBorders>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焊接</w:t>
                  </w:r>
                </w:p>
              </w:tc>
              <w:tc>
                <w:tcPr>
                  <w:tcW w:w="920" w:type="pct"/>
                  <w:tcBorders>
                    <w:top w:val="single" w:color="auto" w:sz="4" w:space="0"/>
                    <w:bottom w:val="single" w:color="auto" w:sz="4" w:space="0"/>
                  </w:tcBorders>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颗粒物</w:t>
                  </w:r>
                </w:p>
              </w:tc>
              <w:tc>
                <w:tcPr>
                  <w:tcW w:w="1212" w:type="pct"/>
                  <w:tcBorders>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auto"/>
                      <w:lang w:val="en-US" w:eastAsia="zh-CN"/>
                    </w:rPr>
                    <w:t>移动式烟尘净化器</w:t>
                  </w:r>
                </w:p>
              </w:tc>
              <w:tc>
                <w:tcPr>
                  <w:tcW w:w="1350" w:type="pct"/>
                  <w:vMerge w:val="continue"/>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p>
              </w:tc>
              <w:tc>
                <w:tcPr>
                  <w:tcW w:w="485" w:type="pct"/>
                  <w:vMerge w:val="continue"/>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30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727" w:type="pct"/>
                  <w:vMerge w:val="restart"/>
                  <w:tcBorders>
                    <w:top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天然气</w:t>
                  </w:r>
                </w:p>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燃烧</w:t>
                  </w:r>
                </w:p>
              </w:tc>
              <w:tc>
                <w:tcPr>
                  <w:tcW w:w="920" w:type="pct"/>
                  <w:tcBorders>
                    <w:top w:val="single" w:color="auto" w:sz="4" w:space="0"/>
                  </w:tcBorders>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颗粒物</w:t>
                  </w:r>
                </w:p>
              </w:tc>
              <w:tc>
                <w:tcPr>
                  <w:tcW w:w="1212" w:type="pct"/>
                  <w:vMerge w:val="restar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auto"/>
                      <w:sz w:val="21"/>
                      <w:szCs w:val="21"/>
                      <w:highlight w:val="none"/>
                      <w:lang w:eastAsia="zh-CN"/>
                    </w:rPr>
                    <w:t>管道收集</w:t>
                  </w:r>
                  <w:r>
                    <w:rPr>
                      <w:rFonts w:hint="eastAsia"/>
                      <w:color w:val="auto"/>
                      <w:sz w:val="21"/>
                      <w:szCs w:val="21"/>
                      <w:highlight w:val="none"/>
                      <w:lang w:val="en-US" w:eastAsia="zh-CN"/>
                    </w:rPr>
                    <w:t>+15m高排气筒排放</w:t>
                  </w:r>
                </w:p>
              </w:tc>
              <w:tc>
                <w:tcPr>
                  <w:tcW w:w="1350" w:type="pct"/>
                  <w:vMerge w:val="continue"/>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p>
              </w:tc>
              <w:tc>
                <w:tcPr>
                  <w:tcW w:w="485" w:type="pct"/>
                  <w:vMerge w:val="restar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304" w:type="pct"/>
                  <w:vMerge w:val="continue"/>
                  <w:noWrap w:val="0"/>
                  <w:vAlign w:val="center"/>
                </w:tcPr>
                <w:p>
                  <w:pPr>
                    <w:widowControl/>
                    <w:spacing w:line="276" w:lineRule="auto"/>
                    <w:ind w:firstLine="0" w:firstLineChars="0"/>
                    <w:jc w:val="center"/>
                  </w:pPr>
                </w:p>
              </w:tc>
              <w:tc>
                <w:tcPr>
                  <w:tcW w:w="727" w:type="pct"/>
                  <w:vMerge w:val="continue"/>
                  <w:tcBorders>
                    <w:bottom w:val="single" w:color="auto" w:sz="4" w:space="0"/>
                  </w:tcBorders>
                  <w:noWrap w:val="0"/>
                  <w:vAlign w:val="center"/>
                </w:tcPr>
                <w:p>
                  <w:pPr>
                    <w:widowControl/>
                    <w:spacing w:line="276" w:lineRule="auto"/>
                    <w:ind w:firstLine="0" w:firstLineChars="0"/>
                    <w:jc w:val="center"/>
                  </w:pPr>
                </w:p>
              </w:tc>
              <w:tc>
                <w:tcPr>
                  <w:tcW w:w="920" w:type="pct"/>
                  <w:tcBorders>
                    <w:bottom w:val="single" w:color="auto" w:sz="4" w:space="0"/>
                  </w:tcBorders>
                  <w:noWrap w:val="0"/>
                  <w:vAlign w:val="center"/>
                </w:tcPr>
                <w:p>
                  <w:pPr>
                    <w:widowControl/>
                    <w:spacing w:line="276" w:lineRule="auto"/>
                    <w:ind w:firstLine="0" w:firstLineChars="0"/>
                    <w:jc w:val="center"/>
                  </w:pPr>
                  <w:r>
                    <w:rPr>
                      <w:rFonts w:hint="eastAsia" w:eastAsia="宋体"/>
                      <w:color w:val="000000" w:themeColor="text1"/>
                      <w:sz w:val="21"/>
                      <w:szCs w:val="21"/>
                      <w:lang w:val="en-US" w:eastAsia="zh-CN"/>
                      <w14:textFill>
                        <w14:solidFill>
                          <w14:schemeClr w14:val="tx1"/>
                        </w14:solidFill>
                      </w14:textFill>
                    </w:rPr>
                    <w:t>氮氧化物、二氧化硫、烟气黑度</w:t>
                  </w:r>
                </w:p>
              </w:tc>
              <w:tc>
                <w:tcPr>
                  <w:tcW w:w="1212" w:type="pct"/>
                  <w:vMerge w:val="continue"/>
                  <w:tcBorders>
                    <w:bottom w:val="single" w:color="auto" w:sz="4" w:space="0"/>
                  </w:tcBorders>
                  <w:noWrap w:val="0"/>
                  <w:vAlign w:val="center"/>
                </w:tcPr>
                <w:p>
                  <w:pPr>
                    <w:widowControl/>
                    <w:spacing w:line="276" w:lineRule="auto"/>
                    <w:ind w:firstLine="0" w:firstLineChars="0"/>
                    <w:jc w:val="center"/>
                  </w:pPr>
                </w:p>
              </w:tc>
              <w:tc>
                <w:tcPr>
                  <w:tcW w:w="1350"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bCs/>
                      <w:color w:val="auto"/>
                      <w:sz w:val="24"/>
                      <w:szCs w:val="24"/>
                      <w:highlight w:val="none"/>
                      <w:shd w:val="clear" w:color="auto" w:fill="auto"/>
                    </w:rPr>
                    <w:t>《工业炉窑大气污染物排放标准》（GB9078-1996）</w:t>
                  </w:r>
                </w:p>
              </w:tc>
              <w:tc>
                <w:tcPr>
                  <w:tcW w:w="485" w:type="pct"/>
                  <w:vMerge w:val="continue"/>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30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1647" w:type="pct"/>
                  <w:gridSpan w:val="2"/>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厂内无组织有机废气</w:t>
                  </w:r>
                </w:p>
              </w:tc>
              <w:tc>
                <w:tcPr>
                  <w:tcW w:w="1212" w:type="pct"/>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车间排风扇</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485"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4"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727"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920"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14:textFill>
                        <w14:solidFill>
                          <w14:schemeClr w14:val="tx1"/>
                        </w14:solidFill>
                      </w14:textFill>
                    </w:rPr>
                    <w:t>CODcr、BOD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w:t>
                  </w:r>
                  <w:r>
                    <w:rPr>
                      <w:rFonts w:hint="eastAsia"/>
                      <w:color w:val="000000" w:themeColor="text1"/>
                      <w:lang w:val="en-US" w:eastAsia="zh-CN"/>
                      <w14:textFill>
                        <w14:solidFill>
                          <w14:schemeClr w14:val="tx1"/>
                        </w14:solidFill>
                      </w14:textFill>
                    </w:rPr>
                    <w:t>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w:t>
                  </w:r>
                  <w:r>
                    <w:rPr>
                      <w:rFonts w:hint="default" w:eastAsia="宋体"/>
                      <w:color w:val="000000" w:themeColor="text1"/>
                      <w:lang w:val="en-US" w:eastAsia="zh-CN"/>
                      <w14:textFill>
                        <w14:solidFill>
                          <w14:schemeClr w14:val="tx1"/>
                        </w14:solidFill>
                      </w14:textFill>
                    </w:rPr>
                    <w:t>总磷、总氮</w:t>
                  </w:r>
                  <w:r>
                    <w:rPr>
                      <w:rFonts w:hint="eastAsia" w:eastAsia="宋体"/>
                      <w:color w:val="000000" w:themeColor="text1"/>
                      <w:lang w:val="en-US" w:eastAsia="zh-CN"/>
                      <w14:textFill>
                        <w14:solidFill>
                          <w14:schemeClr w14:val="tx1"/>
                        </w14:solidFill>
                      </w14:textFill>
                    </w:rPr>
                    <w:t>、石油类</w:t>
                  </w:r>
                </w:p>
              </w:tc>
              <w:tc>
                <w:tcPr>
                  <w:tcW w:w="1212"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化粪池</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w:t>
                  </w:r>
                </w:p>
              </w:tc>
              <w:tc>
                <w:tcPr>
                  <w:tcW w:w="485"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4"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固体</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废物</w:t>
                  </w:r>
                </w:p>
              </w:tc>
              <w:tc>
                <w:tcPr>
                  <w:tcW w:w="727"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职工生活</w:t>
                  </w:r>
                </w:p>
              </w:tc>
              <w:tc>
                <w:tcPr>
                  <w:tcW w:w="920"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1212"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环卫部门统一清运</w:t>
                  </w:r>
                </w:p>
              </w:tc>
              <w:tc>
                <w:tcPr>
                  <w:tcW w:w="1350"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485"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4"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727" w:type="pct"/>
                  <w:vMerge w:val="restart"/>
                  <w:noWrap w:val="0"/>
                  <w:vAlign w:val="center"/>
                </w:tcPr>
                <w:p>
                  <w:pPr>
                    <w:widowControl/>
                    <w:spacing w:line="276" w:lineRule="auto"/>
                    <w:ind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w:t>
                  </w:r>
                </w:p>
                <w:p>
                  <w:pPr>
                    <w:widowControl/>
                    <w:spacing w:line="276" w:lineRule="auto"/>
                    <w:ind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加工</w:t>
                  </w:r>
                </w:p>
              </w:tc>
              <w:tc>
                <w:tcPr>
                  <w:tcW w:w="920" w:type="pct"/>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一般废物</w:t>
                  </w:r>
                </w:p>
              </w:tc>
              <w:tc>
                <w:tcPr>
                  <w:tcW w:w="1212"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一般工业固体废物贮存场所</w:t>
                  </w:r>
                  <w:r>
                    <w:rPr>
                      <w:rFonts w:hint="eastAsia"/>
                      <w:color w:val="000000" w:themeColor="text1"/>
                      <w:sz w:val="21"/>
                      <w:szCs w:val="21"/>
                      <w:lang w:val="en-US" w:eastAsia="zh-CN"/>
                      <w14:textFill>
                        <w14:solidFill>
                          <w14:schemeClr w14:val="tx1"/>
                        </w14:solidFill>
                      </w14:textFill>
                    </w:rPr>
                    <w:t>30m</w:t>
                  </w:r>
                  <w:r>
                    <w:rPr>
                      <w:rFonts w:hint="eastAsia"/>
                      <w:color w:val="000000" w:themeColor="text1"/>
                      <w:sz w:val="21"/>
                      <w:szCs w:val="21"/>
                      <w:vertAlign w:val="superscript"/>
                      <w:lang w:val="en-US" w:eastAsia="zh-CN"/>
                      <w14:textFill>
                        <w14:solidFill>
                          <w14:schemeClr w14:val="tx1"/>
                        </w14:solidFill>
                      </w14:textFill>
                    </w:rPr>
                    <w:t>2</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收集外售</w:t>
                  </w:r>
                </w:p>
              </w:tc>
              <w:tc>
                <w:tcPr>
                  <w:tcW w:w="485"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4" w:type="pct"/>
                  <w:vMerge w:val="continue"/>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727" w:type="pct"/>
                  <w:vMerge w:val="continue"/>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920" w:type="pct"/>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危险废物</w:t>
                  </w:r>
                </w:p>
              </w:tc>
              <w:tc>
                <w:tcPr>
                  <w:tcW w:w="1212"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危废暂存间</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0m</w:t>
                  </w:r>
                  <w:r>
                    <w:rPr>
                      <w:rFonts w:hint="eastAsia"/>
                      <w:color w:val="000000" w:themeColor="text1"/>
                      <w:sz w:val="21"/>
                      <w:szCs w:val="21"/>
                      <w:vertAlign w:val="superscript"/>
                      <w14:textFill>
                        <w14:solidFill>
                          <w14:schemeClr w14:val="tx1"/>
                        </w14:solidFill>
                      </w14:textFill>
                    </w:rPr>
                    <w:t>2</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委托有资质单位处置</w:t>
                  </w:r>
                </w:p>
              </w:tc>
              <w:tc>
                <w:tcPr>
                  <w:tcW w:w="485"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304"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727"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设备噪声</w:t>
                  </w:r>
                </w:p>
              </w:tc>
              <w:tc>
                <w:tcPr>
                  <w:tcW w:w="920" w:type="pct"/>
                  <w:tcBorders>
                    <w:right w:val="single" w:color="000000"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1212" w:type="pct"/>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选用厂房隔音、距离衰减等措施</w:t>
                  </w:r>
                </w:p>
              </w:tc>
              <w:tc>
                <w:tcPr>
                  <w:tcW w:w="1350"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《工厂企业厂界环境噪声排放标准》（GB12348-2008）</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 xml:space="preserve"> 类标准限值</w:t>
                  </w:r>
                </w:p>
              </w:tc>
              <w:tc>
                <w:tcPr>
                  <w:tcW w:w="485"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1951" w:type="pct"/>
                  <w:gridSpan w:val="3"/>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土壤及地下水污染防治措施</w:t>
                  </w:r>
                </w:p>
              </w:tc>
              <w:tc>
                <w:tcPr>
                  <w:tcW w:w="2563" w:type="pct"/>
                  <w:gridSpan w:val="2"/>
                  <w:noWrap w:val="0"/>
                  <w:vAlign w:val="center"/>
                </w:tcPr>
                <w:p>
                  <w:pPr>
                    <w:widowControl/>
                    <w:spacing w:line="276" w:lineRule="auto"/>
                    <w:ind w:firstLine="0" w:firstLine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危险废物暂存间重点防渗</w:t>
                  </w:r>
                </w:p>
              </w:tc>
              <w:tc>
                <w:tcPr>
                  <w:tcW w:w="485"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4514" w:type="pct"/>
                  <w:gridSpan w:val="5"/>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485"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90.5</w:t>
                  </w:r>
                </w:p>
              </w:tc>
            </w:tr>
          </w:tbl>
          <w:p>
            <w:pPr>
              <w:spacing w:line="360" w:lineRule="auto"/>
              <w:ind w:firstLine="48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区采取的环保设施能满足有关污染治理方面的需要，投资合理，环保措施可以保证污染物达标排放的要求。项目在污染治理和控制方面有较大的投入，通过设施建设和日常运行管理，可保证各类污染物的达标排放，对预防和杜绝可能产生的潜在事故污染影响也能发挥明显的作用。项目环保投入比较合理，污染物经过各项设施处理后对周围环境影响比较小。</w:t>
            </w:r>
          </w:p>
          <w:p>
            <w:pPr>
              <w:spacing w:line="360" w:lineRule="auto"/>
              <w:ind w:firstLine="48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竣工验收内容详见</w:t>
            </w:r>
            <w:r>
              <w:rPr>
                <w:rFonts w:hint="eastAsia" w:ascii="Times New Roman" w:hAnsi="Times New Roman" w:eastAsia="宋体" w:cs="Times New Roman"/>
                <w:color w:val="000000" w:themeColor="text1"/>
                <w:sz w:val="24"/>
                <w:szCs w:val="24"/>
                <w14:textFill>
                  <w14:solidFill>
                    <w14:schemeClr w14:val="tx1"/>
                  </w14:solidFill>
                </w14:textFill>
              </w:rPr>
              <w:t>环境保护措施监督检查清单</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2"/>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（十）排污许可衔接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固定污染源排污许可分类管理名录（2019年版）》第四条，现有排污单位应当在生态环境部规定的实施时限内申请取得排污许可证或者填报排污登记表。新建排污单位应当在启动生产设施或者发生实际排污之前申请取得排污许可证或者填报排污登记表。本项目属于新建项目，应当在启动生产设施或者发生实际排污之前申请取得排污许可证。根据《国民经济行业分类》（GB/T 4754-2017），本项目属于“</w:t>
            </w:r>
            <w:r>
              <w:rPr>
                <w:rFonts w:hint="eastAsia" w:ascii="Times New Roman" w:hAnsi="Times New Roman" w:eastAsia="宋体" w:cs="Times New Roman"/>
                <w:color w:val="auto"/>
                <w:sz w:val="24"/>
                <w:szCs w:val="24"/>
                <w:lang w:val="en-US" w:eastAsia="zh-CN"/>
              </w:rPr>
              <w:t>3872照明灯具制造</w:t>
            </w:r>
            <w:r>
              <w:rPr>
                <w:rFonts w:hint="eastAsia"/>
                <w:color w:val="auto"/>
                <w:sz w:val="24"/>
                <w:szCs w:val="24"/>
              </w:rPr>
              <w:t>”，根据《固定污染源排污许可分类管理名录（2019 版）》中的“三十三、电气机械和器材制造业 38，</w:t>
            </w:r>
            <w:r>
              <w:rPr>
                <w:rFonts w:hint="eastAsia"/>
                <w:color w:val="auto"/>
                <w:sz w:val="24"/>
                <w:szCs w:val="24"/>
                <w:lang w:val="en-US" w:eastAsia="zh-CN"/>
              </w:rPr>
              <w:t>照明器具制造387</w:t>
            </w:r>
            <w:r>
              <w:rPr>
                <w:rFonts w:hint="eastAsia"/>
                <w:color w:val="auto"/>
                <w:sz w:val="24"/>
                <w:szCs w:val="24"/>
              </w:rPr>
              <w:t>，本项目属于简化管</w:t>
            </w:r>
            <w:r>
              <w:rPr>
                <w:rFonts w:hint="eastAsia"/>
                <w:color w:val="000000" w:themeColor="text1"/>
                <w:sz w:val="24"/>
                <w:szCs w:val="24"/>
                <w14:textFill>
                  <w14:solidFill>
                    <w14:schemeClr w14:val="tx1"/>
                  </w14:solidFill>
                </w14:textFill>
              </w:rPr>
              <w:t>理的排污单位，需要申请排污许可证，并持证排污。另项目在取得环评批复后，并配套环评要求的环保设施，在具备投入正常生产的条件下应尽快完成本项目验收工作。</w:t>
            </w:r>
          </w:p>
          <w:p>
            <w:pPr>
              <w:pStyle w:val="19"/>
              <w:jc w:val="both"/>
              <w:outlineLvl w:val="0"/>
              <w:rPr>
                <w:rFonts w:hint="eastAsia" w:ascii="黑体" w:hAnsi="黑体" w:eastAsia="黑体"/>
                <w:snapToGrid w:val="0"/>
                <w:color w:val="auto"/>
                <w:sz w:val="30"/>
                <w:szCs w:val="30"/>
                <w:vertAlign w:val="baseline"/>
              </w:rPr>
            </w:pPr>
          </w:p>
          <w:p>
            <w:pPr>
              <w:pStyle w:val="19"/>
              <w:jc w:val="both"/>
              <w:outlineLvl w:val="0"/>
              <w:rPr>
                <w:rFonts w:hint="eastAsia" w:ascii="黑体" w:hAnsi="黑体" w:eastAsia="黑体"/>
                <w:snapToGrid w:val="0"/>
                <w:color w:val="auto"/>
                <w:sz w:val="30"/>
                <w:szCs w:val="30"/>
                <w:vertAlign w:val="baseline"/>
              </w:rPr>
            </w:pPr>
          </w:p>
          <w:p>
            <w:pPr>
              <w:pStyle w:val="19"/>
              <w:jc w:val="both"/>
              <w:outlineLvl w:val="0"/>
              <w:rPr>
                <w:rFonts w:hint="eastAsia" w:ascii="黑体" w:hAnsi="黑体" w:eastAsia="黑体"/>
                <w:snapToGrid w:val="0"/>
                <w:color w:val="auto"/>
                <w:sz w:val="30"/>
                <w:szCs w:val="30"/>
                <w:vertAlign w:val="baseline"/>
              </w:rPr>
            </w:pPr>
          </w:p>
          <w:p>
            <w:pPr>
              <w:pStyle w:val="19"/>
              <w:jc w:val="both"/>
              <w:outlineLvl w:val="0"/>
              <w:rPr>
                <w:rFonts w:hint="eastAsia" w:ascii="黑体" w:hAnsi="黑体" w:eastAsia="黑体"/>
                <w:snapToGrid w:val="0"/>
                <w:color w:val="auto"/>
                <w:sz w:val="30"/>
                <w:szCs w:val="30"/>
                <w:vertAlign w:val="baseline"/>
              </w:rPr>
            </w:pPr>
          </w:p>
          <w:p>
            <w:pPr>
              <w:pStyle w:val="19"/>
              <w:jc w:val="both"/>
              <w:outlineLvl w:val="0"/>
              <w:rPr>
                <w:rFonts w:hint="eastAsia" w:ascii="黑体" w:hAnsi="黑体" w:eastAsia="黑体"/>
                <w:snapToGrid w:val="0"/>
                <w:color w:val="auto"/>
                <w:sz w:val="30"/>
                <w:szCs w:val="30"/>
                <w:vertAlign w:val="baseline"/>
              </w:rPr>
            </w:pPr>
          </w:p>
          <w:p>
            <w:pPr>
              <w:pStyle w:val="19"/>
              <w:jc w:val="both"/>
              <w:outlineLvl w:val="0"/>
              <w:rPr>
                <w:rFonts w:hint="eastAsia" w:ascii="黑体" w:hAnsi="黑体" w:eastAsia="黑体"/>
                <w:snapToGrid w:val="0"/>
                <w:color w:val="auto"/>
                <w:sz w:val="30"/>
                <w:szCs w:val="30"/>
                <w:vertAlign w:val="baseline"/>
              </w:rPr>
            </w:pPr>
          </w:p>
        </w:tc>
      </w:tr>
    </w:tbl>
    <w:p>
      <w:pPr>
        <w:pStyle w:val="19"/>
        <w:jc w:val="center"/>
        <w:outlineLvl w:val="0"/>
        <w:rPr>
          <w:rFonts w:hint="eastAsia" w:ascii="黑体" w:hAnsi="黑体" w:eastAsia="黑体"/>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9" w:name="_Hlk54167917"/>
      <w:r>
        <w:rPr>
          <w:rFonts w:hint="eastAsia" w:ascii="黑体" w:hAnsi="黑体" w:eastAsia="黑体"/>
          <w:snapToGrid w:val="0"/>
          <w:color w:val="auto"/>
          <w:sz w:val="30"/>
          <w:szCs w:val="30"/>
        </w:rPr>
        <w:t>环境保护措施监督检查清单</w:t>
      </w:r>
      <w:bookmarkEnd w:id="8"/>
      <w:bookmarkEnd w:id="9"/>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105"/>
        <w:gridCol w:w="1764"/>
        <w:gridCol w:w="2736"/>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7"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要素</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mc:AlternateContent>
                <mc:Choice Requires="wpsCustomData">
                  <wpsCustomData:diagonalParaType/>
                </mc:Choice>
              </mc:AlternateContent>
              <w:rPr>
                <w:color w:val="000000" w:themeColor="text1"/>
                <w:sz w:val="21"/>
                <w:szCs w:val="21"/>
                <w:u w:val="none"/>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内容</w:t>
            </w: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排放口(编号、</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名称)/污染源</w:t>
            </w:r>
          </w:p>
        </w:tc>
        <w:tc>
          <w:tcPr>
            <w:tcW w:w="1764"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污染物项目</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环境保护措施</w:t>
            </w: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47"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大气</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环境</w:t>
            </w: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DA001</w:t>
            </w:r>
          </w:p>
        </w:tc>
        <w:tc>
          <w:tcPr>
            <w:tcW w:w="1764"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u w:val="none"/>
                <w:lang w:val="en-US" w:eastAsia="zh-CN" w:bidi="ar-SA"/>
              </w:rPr>
            </w:pPr>
            <w:r>
              <w:rPr>
                <w:rFonts w:hint="eastAsia"/>
                <w:sz w:val="21"/>
                <w:szCs w:val="21"/>
                <w:u w:val="none"/>
                <w:lang w:val="en-US" w:eastAsia="zh-CN"/>
              </w:rPr>
              <w:t>颗粒物、非甲烷总烃</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eastAsia"/>
                <w:color w:val="auto"/>
                <w:sz w:val="21"/>
                <w:szCs w:val="21"/>
                <w:lang w:val="en-US" w:eastAsia="zh-CN"/>
              </w:rPr>
              <w:t>集气罩+袋式除尘器+</w:t>
            </w:r>
            <w:r>
              <w:rPr>
                <w:rFonts w:hint="eastAsia"/>
                <w:color w:val="auto"/>
                <w:sz w:val="21"/>
                <w:szCs w:val="21"/>
                <w:highlight w:val="none"/>
                <w:lang w:val="en-US" w:eastAsia="zh-CN"/>
              </w:rPr>
              <w:t>15m高排气筒排放</w:t>
            </w:r>
          </w:p>
        </w:tc>
        <w:tc>
          <w:tcPr>
            <w:tcW w:w="2319"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sz w:val="21"/>
                <w:szCs w:val="21"/>
                <w:u w:val="none"/>
                <w:vertAlign w:val="baseli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47"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rFonts w:hint="eastAsia"/>
                <w:color w:val="000000" w:themeColor="text1"/>
                <w:sz w:val="21"/>
                <w:szCs w:val="21"/>
                <w:u w:val="none"/>
                <w14:textFill>
                  <w14:solidFill>
                    <w14:schemeClr w14:val="tx1"/>
                  </w14:solidFill>
                </w14:textFill>
              </w:rPr>
            </w:pPr>
          </w:p>
        </w:tc>
        <w:tc>
          <w:tcPr>
            <w:tcW w:w="1105"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DA002</w:t>
            </w:r>
          </w:p>
        </w:tc>
        <w:tc>
          <w:tcPr>
            <w:tcW w:w="176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olor w:val="auto"/>
                <w:sz w:val="21"/>
                <w:szCs w:val="21"/>
                <w:highlight w:val="none"/>
                <w:lang w:eastAsia="zh-CN"/>
              </w:rPr>
              <w:t>颗粒物</w:t>
            </w:r>
          </w:p>
        </w:tc>
        <w:tc>
          <w:tcPr>
            <w:tcW w:w="2736" w:type="dxa"/>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管道收集+15m高排气筒排放</w:t>
            </w:r>
          </w:p>
        </w:tc>
        <w:tc>
          <w:tcPr>
            <w:tcW w:w="2319"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7"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sz w:val="21"/>
                <w:szCs w:val="21"/>
              </w:rPr>
            </w:pPr>
          </w:p>
        </w:tc>
        <w:tc>
          <w:tcPr>
            <w:tcW w:w="1105"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sz w:val="21"/>
                <w:szCs w:val="21"/>
              </w:rPr>
            </w:pPr>
          </w:p>
        </w:tc>
        <w:tc>
          <w:tcPr>
            <w:tcW w:w="176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color w:val="auto"/>
                <w:sz w:val="21"/>
                <w:szCs w:val="21"/>
                <w:highlight w:val="none"/>
                <w:lang w:eastAsia="zh-CN"/>
              </w:rPr>
              <w:t>氮氧化物、二氧化硫、</w:t>
            </w:r>
            <w:r>
              <w:rPr>
                <w:rFonts w:hint="eastAsia" w:eastAsia="宋体"/>
                <w:color w:val="auto"/>
                <w:sz w:val="21"/>
                <w:szCs w:val="21"/>
                <w:highlight w:val="none"/>
                <w:lang w:val="en-US" w:eastAsia="zh-CN"/>
              </w:rPr>
              <w:t>烟气黑度</w:t>
            </w:r>
          </w:p>
        </w:tc>
        <w:tc>
          <w:tcPr>
            <w:tcW w:w="2736"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eastAsia="宋体"/>
                <w:sz w:val="21"/>
                <w:szCs w:val="21"/>
                <w:u w:val="none"/>
                <w:lang w:val="en-US" w:eastAsia="zh-CN"/>
              </w:rPr>
            </w:pPr>
            <w:r>
              <w:rPr>
                <w:rFonts w:hint="eastAsia"/>
                <w:bCs/>
                <w:color w:val="auto"/>
                <w:sz w:val="21"/>
                <w:szCs w:val="21"/>
                <w:highlight w:val="none"/>
                <w:shd w:val="clear" w:color="auto" w:fill="auto"/>
              </w:rPr>
              <w:t>《工业炉窑大气污染物排放标准》（GB9078-1996）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47"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rFonts w:hint="eastAsia" w:eastAsia="宋体"/>
                <w:sz w:val="21"/>
                <w:szCs w:val="21"/>
                <w:u w:val="none"/>
                <w:lang w:val="en-US" w:eastAsia="zh-CN"/>
              </w:rPr>
            </w:pP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eastAsia="宋体"/>
                <w:sz w:val="21"/>
                <w:szCs w:val="21"/>
                <w:u w:val="none"/>
                <w:lang w:val="en-US" w:eastAsia="zh-CN"/>
              </w:rPr>
            </w:pPr>
            <w:r>
              <w:rPr>
                <w:rFonts w:hint="eastAsia" w:eastAsia="宋体"/>
                <w:sz w:val="21"/>
                <w:szCs w:val="21"/>
                <w:u w:val="none"/>
                <w:lang w:val="en-US" w:eastAsia="zh-CN"/>
              </w:rPr>
              <w:t>DA003</w:t>
            </w:r>
          </w:p>
        </w:tc>
        <w:tc>
          <w:tcPr>
            <w:tcW w:w="176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油烟</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集气罩+油烟净化器+15m高排气筒排放</w:t>
            </w: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eastAsia="宋体"/>
                <w:sz w:val="21"/>
                <w:szCs w:val="21"/>
                <w:u w:val="none"/>
                <w:lang w:val="en-US" w:eastAsia="zh-CN"/>
              </w:rPr>
            </w:pPr>
            <w:r>
              <w:rPr>
                <w:rFonts w:hint="eastAsia"/>
                <w:color w:val="auto"/>
                <w:sz w:val="21"/>
                <w:szCs w:val="21"/>
                <w:highlight w:val="none"/>
                <w:lang w:eastAsia="zh-CN"/>
              </w:rPr>
              <w:t>《饮食业油烟排放标准（试行）》（GB18483- 2001）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47" w:type="dxa"/>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rFonts w:hint="eastAsia"/>
                <w:color w:val="000000" w:themeColor="text1"/>
                <w:sz w:val="21"/>
                <w:szCs w:val="21"/>
                <w:u w:val="none"/>
                <w14:textFill>
                  <w14:solidFill>
                    <w14:schemeClr w14:val="tx1"/>
                  </w14:solidFill>
                </w14:textFill>
              </w:rPr>
            </w:pP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生产</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厂房</w:t>
            </w:r>
          </w:p>
        </w:tc>
        <w:tc>
          <w:tcPr>
            <w:tcW w:w="1764"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颗粒物、非甲烷总烃</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车间通风</w:t>
            </w: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sz w:val="21"/>
                <w:szCs w:val="21"/>
                <w:u w:val="none"/>
                <w:vertAlign w:val="baseli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地表水</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环境</w:t>
            </w: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污水</w:t>
            </w:r>
          </w:p>
        </w:tc>
        <w:tc>
          <w:tcPr>
            <w:tcW w:w="1764"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eastAsia="宋体"/>
                <w:color w:val="000000" w:themeColor="text1"/>
                <w:sz w:val="21"/>
                <w:szCs w:val="21"/>
                <w:u w:val="none"/>
                <w:lang w:val="en-US" w:eastAsia="zh-CN"/>
                <w14:textFill>
                  <w14:solidFill>
                    <w14:schemeClr w14:val="tx1"/>
                  </w14:solidFill>
                </w14:textFill>
              </w:rPr>
            </w:pPr>
            <w:r>
              <w:rPr>
                <w:color w:val="000000" w:themeColor="text1"/>
                <w:sz w:val="21"/>
                <w:szCs w:val="21"/>
                <w:u w:val="none"/>
                <w14:textFill>
                  <w14:solidFill>
                    <w14:schemeClr w14:val="tx1"/>
                  </w14:solidFill>
                </w14:textFill>
              </w:rPr>
              <w:t>CODcr</w:t>
            </w:r>
            <w:r>
              <w:rPr>
                <w:rFonts w:hint="eastAsia"/>
                <w:color w:val="000000" w:themeColor="text1"/>
                <w:sz w:val="21"/>
                <w:szCs w:val="21"/>
                <w:u w:val="none"/>
                <w14:textFill>
                  <w14:solidFill>
                    <w14:schemeClr w14:val="tx1"/>
                  </w14:solidFill>
                </w14:textFill>
              </w:rPr>
              <w:t>、SS、BOD</w:t>
            </w:r>
            <w:r>
              <w:rPr>
                <w:rFonts w:hint="eastAsia"/>
                <w:color w:val="000000" w:themeColor="text1"/>
                <w:sz w:val="21"/>
                <w:szCs w:val="21"/>
                <w:u w:val="none"/>
                <w:vertAlign w:val="subscript"/>
                <w14:textFill>
                  <w14:solidFill>
                    <w14:schemeClr w14:val="tx1"/>
                  </w14:solidFill>
                </w14:textFill>
              </w:rPr>
              <w:t>5</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氨氮</w:t>
            </w:r>
            <w:r>
              <w:rPr>
                <w:rFonts w:hint="eastAsia"/>
                <w:color w:val="000000" w:themeColor="text1"/>
                <w:sz w:val="21"/>
                <w:szCs w:val="21"/>
                <w:u w:val="none"/>
                <w:lang w:eastAsia="zh-CN"/>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总氮、总磷、动植物油</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经化粪池预处理后排入市政污水管网最终进入下河线污水处理厂</w:t>
            </w: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ascii="Times New Roman" w:hAnsi="Times New Roman" w:eastAsia="宋体" w:cs="Times New Roman"/>
                <w:color w:val="000000" w:themeColor="text1"/>
                <w:sz w:val="21"/>
                <w:szCs w:val="21"/>
                <w:u w:val="none"/>
                <w14:textFill>
                  <w14:solidFill>
                    <w14:schemeClr w14:val="tx1"/>
                  </w14:solidFill>
                </w14:textFill>
              </w:rPr>
              <w:t>《污水综合排放标准》（GB8978-1996）</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中</w:t>
            </w:r>
            <w:r>
              <w:rPr>
                <w:rFonts w:hint="eastAsia" w:ascii="Times New Roman" w:hAnsi="Times New Roman" w:eastAsia="宋体" w:cs="Times New Roman"/>
                <w:color w:val="000000" w:themeColor="text1"/>
                <w:sz w:val="21"/>
                <w:szCs w:val="21"/>
                <w:u w:val="none"/>
                <w14:textFill>
                  <w14:solidFill>
                    <w14:schemeClr w14:val="tx1"/>
                  </w14:solidFill>
                </w14:textFill>
              </w:rPr>
              <w:t>排放标准，且需满足下河线污水处理厂设计</w:t>
            </w:r>
            <w:r>
              <w:rPr>
                <w:rFonts w:hint="eastAsia"/>
                <w:color w:val="000000" w:themeColor="text1"/>
                <w:sz w:val="21"/>
                <w:szCs w:val="21"/>
                <w:u w:val="none"/>
                <w14:textFill>
                  <w14:solidFill>
                    <w14:schemeClr w14:val="tx1"/>
                  </w14:solidFill>
                </w14:textFill>
              </w:rPr>
              <w:t>进水水质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声环境</w:t>
            </w:r>
          </w:p>
        </w:tc>
        <w:tc>
          <w:tcPr>
            <w:tcW w:w="1105"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设备</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噪声</w:t>
            </w:r>
          </w:p>
        </w:tc>
        <w:tc>
          <w:tcPr>
            <w:tcW w:w="1764"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w:t>
            </w:r>
          </w:p>
        </w:tc>
        <w:tc>
          <w:tcPr>
            <w:tcW w:w="2736"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选用低噪声设备，建筑隔声、减震垫</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p>
        </w:tc>
        <w:tc>
          <w:tcPr>
            <w:tcW w:w="2319"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电磁</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辐射</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固体</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废物</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w:t>
            </w:r>
            <w:r>
              <w:rPr>
                <w:rFonts w:hint="eastAsia" w:ascii="Times New Roman" w:hAnsi="Times New Roman" w:eastAsia="宋体" w:cs="Times New Roman"/>
                <w:color w:val="auto"/>
                <w:sz w:val="21"/>
                <w:szCs w:val="21"/>
                <w:u w:val="none"/>
              </w:rPr>
              <w:t>活垃圾由环卫部门统一收集处理；</w:t>
            </w:r>
            <w:r>
              <w:rPr>
                <w:rFonts w:hint="eastAsia" w:ascii="Times New Roman" w:hAnsi="Times New Roman" w:eastAsia="宋体" w:cs="Times New Roman"/>
                <w:color w:val="auto"/>
                <w:sz w:val="21"/>
                <w:szCs w:val="21"/>
                <w:u w:val="none"/>
                <w:lang w:val="en-US" w:eastAsia="zh-CN"/>
              </w:rPr>
              <w:t>钢材边角料、除尘灰</w:t>
            </w:r>
            <w:r>
              <w:rPr>
                <w:rFonts w:hint="eastAsia" w:ascii="Times New Roman" w:hAnsi="Times New Roman" w:eastAsia="宋体" w:cs="Times New Roman"/>
                <w:color w:val="auto"/>
                <w:sz w:val="21"/>
                <w:szCs w:val="21"/>
                <w:u w:val="none"/>
              </w:rPr>
              <w:t>等一般固废外售综合利用；废</w:t>
            </w:r>
            <w:r>
              <w:rPr>
                <w:rFonts w:hint="eastAsia" w:ascii="Times New Roman" w:hAnsi="Times New Roman" w:eastAsia="宋体" w:cs="Times New Roman"/>
                <w:color w:val="auto"/>
                <w:sz w:val="21"/>
                <w:szCs w:val="21"/>
                <w:u w:val="none"/>
                <w:lang w:val="en-US" w:eastAsia="zh-CN"/>
              </w:rPr>
              <w:t>废润滑油、废油</w:t>
            </w:r>
            <w:r>
              <w:rPr>
                <w:rFonts w:hint="eastAsia" w:ascii="Times New Roman" w:hAnsi="Times New Roman" w:eastAsia="宋体" w:cs="Times New Roman"/>
                <w:color w:val="auto"/>
                <w:sz w:val="21"/>
                <w:szCs w:val="21"/>
                <w:u w:val="none"/>
              </w:rPr>
              <w:t>桶等收集存放于厂内危废仓库，委托有资质单位单位处理。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土壤及地下水污染防治措施</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rFonts w:hint="eastAsia"/>
                <w:color w:val="auto"/>
                <w:sz w:val="21"/>
                <w:szCs w:val="21"/>
                <w:u w:val="none"/>
              </w:rPr>
              <w:t>分区防渗：一般防渗区采取粘土铺底，再在上层铺 10~15cm 的水泥进行硬化，渗透系数 K≤1.0×10-7cm/s；重点防渗区（危废暂存间）采取粘土铺底，再在上层铺设 10-15cm 的水泥进行硬化，并铺环氧树脂防渗，渗透系数 K≤1.0×10-10cm/s。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生态保护措施</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环境风险防范措施</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项目运行过程中存在泄</w:t>
            </w:r>
            <w:r>
              <w:rPr>
                <w:rFonts w:hint="eastAsia"/>
                <w:color w:val="000000" w:themeColor="text1"/>
                <w:sz w:val="21"/>
                <w:szCs w:val="21"/>
                <w:u w:val="none"/>
                <w14:textFill>
                  <w14:solidFill>
                    <w14:schemeClr w14:val="tx1"/>
                  </w14:solidFill>
                </w14:textFill>
              </w:rPr>
              <w:t>漏</w:t>
            </w:r>
            <w:r>
              <w:rPr>
                <w:color w:val="000000" w:themeColor="text1"/>
                <w:sz w:val="21"/>
                <w:szCs w:val="21"/>
                <w:u w:val="none"/>
                <w14:textFill>
                  <w14:solidFill>
                    <w14:schemeClr w14:val="tx1"/>
                  </w14:solidFill>
                </w14:textFill>
              </w:rPr>
              <w:t>风险，必须严格执行国家的技术规范和操作规程要求，落实各项安全规章制度，避免</w:t>
            </w:r>
            <w:r>
              <w:rPr>
                <w:rFonts w:hint="eastAsia"/>
                <w:color w:val="000000" w:themeColor="text1"/>
                <w:sz w:val="21"/>
                <w:szCs w:val="21"/>
                <w:u w:val="none"/>
                <w14:textFill>
                  <w14:solidFill>
                    <w14:schemeClr w14:val="tx1"/>
                  </w14:solidFill>
                </w14:textFill>
              </w:rPr>
              <w:t>泄漏</w:t>
            </w:r>
            <w:r>
              <w:rPr>
                <w:color w:val="000000" w:themeColor="text1"/>
                <w:sz w:val="21"/>
                <w:szCs w:val="21"/>
                <w:u w:val="none"/>
                <w14:textFill>
                  <w14:solidFill>
                    <w14:schemeClr w14:val="tx1"/>
                  </w14:solidFill>
                </w14:textFill>
              </w:rPr>
              <w:t>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147" w:type="dxa"/>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其他环境管理要求</w:t>
            </w:r>
          </w:p>
        </w:tc>
        <w:tc>
          <w:tcPr>
            <w:tcW w:w="7924" w:type="dxa"/>
            <w:gridSpan w:val="4"/>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1、项目建成投产排污前，应办理排污许可证</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2、项目建成试运行，及时进行环保竣工验收</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textAlignment w:val="auto"/>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3、项目建成后应及时完成环境风险应急预案编制并备案</w:t>
            </w:r>
            <w:r>
              <w:rPr>
                <w:rFonts w:hint="eastAsia"/>
                <w:color w:val="000000" w:themeColor="text1"/>
                <w:sz w:val="21"/>
                <w:szCs w:val="21"/>
                <w:u w:val="none"/>
                <w14:textFill>
                  <w14:solidFill>
                    <w14:schemeClr w14:val="tx1"/>
                  </w14:solidFill>
                </w14:textFill>
              </w:rPr>
              <w:t>。</w:t>
            </w:r>
          </w:p>
        </w:tc>
      </w:tr>
    </w:tbl>
    <w:p>
      <w:pPr>
        <w:pStyle w:val="19"/>
        <w:jc w:val="center"/>
        <w:outlineLvl w:val="0"/>
        <w:rPr>
          <w:rFonts w:ascii="黑体" w:hAnsi="黑体" w:eastAsia="黑体"/>
          <w:snapToGrid w:val="0"/>
          <w:color w:val="auto"/>
          <w:sz w:val="30"/>
          <w:szCs w:val="30"/>
        </w:rPr>
      </w:pPr>
      <w:r>
        <w:rPr>
          <w:snapToGrid w:val="0"/>
          <w:color w:val="auto"/>
        </w:rPr>
        <w:br w:type="page"/>
      </w:r>
      <w:bookmarkStart w:id="10" w:name="_Toc98256024"/>
      <w:r>
        <w:rPr>
          <w:rFonts w:hint="eastAsia" w:ascii="黑体" w:hAnsi="黑体" w:eastAsia="黑体"/>
          <w:snapToGrid w:val="0"/>
          <w:color w:val="auto"/>
          <w:sz w:val="30"/>
          <w:szCs w:val="30"/>
        </w:rPr>
        <w:t>六、结论</w:t>
      </w:r>
      <w:bookmarkEnd w:id="1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noWrap w:val="0"/>
            <w:vAlign w:val="top"/>
          </w:tcPr>
          <w:p>
            <w:pPr>
              <w:adjustRightInd w:val="0"/>
              <w:snapToGrid w:val="0"/>
              <w:spacing w:line="360" w:lineRule="auto"/>
              <w:ind w:firstLine="480" w:firstLineChars="200"/>
              <w:rPr>
                <w:color w:val="auto"/>
                <w:kern w:val="0"/>
                <w:sz w:val="24"/>
              </w:rPr>
            </w:pPr>
            <w:r>
              <w:rPr>
                <w:rFonts w:hint="eastAsia"/>
                <w:color w:val="auto"/>
                <w:kern w:val="0"/>
                <w:sz w:val="24"/>
                <w:lang w:val="en-US" w:eastAsia="zh-CN"/>
              </w:rPr>
              <w:t>项目</w:t>
            </w:r>
            <w:r>
              <w:rPr>
                <w:color w:val="auto"/>
                <w:kern w:val="0"/>
                <w:sz w:val="24"/>
              </w:rPr>
              <w:t>建设符合</w:t>
            </w:r>
            <w:r>
              <w:rPr>
                <w:rFonts w:hint="eastAsia"/>
                <w:color w:val="auto"/>
                <w:kern w:val="0"/>
                <w:sz w:val="24"/>
                <w:lang w:val="en-US" w:eastAsia="zh-CN"/>
              </w:rPr>
              <w:t>国家</w:t>
            </w:r>
            <w:r>
              <w:rPr>
                <w:color w:val="auto"/>
                <w:kern w:val="0"/>
                <w:sz w:val="24"/>
              </w:rPr>
              <w:t>产业政策，采取的污染防治措施技术经济可行，能保证各种污染物稳定达标排放，污染物的排放符合总量控制的要求，</w:t>
            </w:r>
            <w:r>
              <w:rPr>
                <w:rFonts w:hint="eastAsia"/>
                <w:color w:val="auto"/>
                <w:kern w:val="0"/>
                <w:sz w:val="24"/>
              </w:rPr>
              <w:t>本项目</w:t>
            </w:r>
            <w:r>
              <w:rPr>
                <w:color w:val="auto"/>
                <w:kern w:val="0"/>
                <w:sz w:val="24"/>
              </w:rPr>
              <w:t>正常排放的污染物对周围环境和环境保护目标的环境影响较小，环境风险可接受。在</w:t>
            </w:r>
            <w:r>
              <w:rPr>
                <w:rFonts w:ascii="宋体" w:hAnsi="宋体"/>
                <w:color w:val="auto"/>
                <w:kern w:val="0"/>
                <w:sz w:val="24"/>
              </w:rPr>
              <w:t>落实报告提出的各项环保措施和风险防范措施，保证各类污染物稳定达标排放并满足总量控制指标限值要求，严格执行环保“三同时”要求，控制好环境</w:t>
            </w:r>
            <w:r>
              <w:rPr>
                <w:color w:val="auto"/>
                <w:kern w:val="0"/>
                <w:sz w:val="24"/>
              </w:rPr>
              <w:t>风险的前提下，从环境保护角度分析，</w:t>
            </w:r>
            <w:r>
              <w:rPr>
                <w:rFonts w:hint="eastAsia"/>
                <w:color w:val="auto"/>
                <w:kern w:val="0"/>
                <w:sz w:val="24"/>
              </w:rPr>
              <w:t>本</w:t>
            </w:r>
            <w:r>
              <w:rPr>
                <w:color w:val="auto"/>
                <w:kern w:val="0"/>
                <w:sz w:val="24"/>
              </w:rPr>
              <w:t>项目建设是可行的。</w:t>
            </w:r>
          </w:p>
          <w:p>
            <w:pPr>
              <w:adjustRightInd w:val="0"/>
              <w:snapToGrid w:val="0"/>
              <w:spacing w:line="360" w:lineRule="auto"/>
              <w:ind w:firstLine="480" w:firstLineChars="200"/>
              <w:rPr>
                <w:rFonts w:hint="eastAsia" w:ascii="宋体" w:cs="宋体"/>
                <w:color w:val="auto"/>
                <w:sz w:val="24"/>
              </w:rPr>
            </w:pP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outlineLvl w:val="0"/>
        <w:rPr>
          <w:rFonts w:ascii="黑体" w:hAnsi="黑体" w:eastAsia="黑体"/>
          <w:snapToGrid w:val="0"/>
          <w:color w:val="auto"/>
          <w:sz w:val="32"/>
          <w:szCs w:val="32"/>
        </w:rPr>
      </w:pPr>
      <w:bookmarkStart w:id="11" w:name="_Toc98256025"/>
      <w:r>
        <w:rPr>
          <w:rFonts w:hint="eastAsia" w:ascii="黑体" w:hAnsi="黑体" w:eastAsia="黑体"/>
          <w:snapToGrid w:val="0"/>
          <w:color w:val="auto"/>
          <w:sz w:val="32"/>
          <w:szCs w:val="32"/>
        </w:rPr>
        <w:t>附表</w:t>
      </w:r>
      <w:bookmarkEnd w:id="11"/>
    </w:p>
    <w:p>
      <w:pPr>
        <w:pStyle w:val="19"/>
        <w:adjustRightInd w:val="0"/>
        <w:snapToGrid w:val="0"/>
        <w:spacing w:before="0" w:beforeAutospacing="0" w:after="0" w:afterAutospacing="0"/>
        <w:jc w:val="center"/>
        <w:outlineLvl w:val="0"/>
        <w:rPr>
          <w:rFonts w:hint="eastAsia" w:ascii="宋体" w:hAnsi="宋体" w:eastAsia="宋体" w:cs="宋体"/>
          <w:snapToGrid w:val="0"/>
          <w:color w:val="auto"/>
          <w:sz w:val="32"/>
          <w:szCs w:val="32"/>
        </w:rPr>
      </w:pPr>
      <w:bookmarkStart w:id="12" w:name="_Toc98256026"/>
      <w:r>
        <w:rPr>
          <w:rFonts w:hint="eastAsia" w:ascii="宋体" w:hAnsi="宋体" w:eastAsia="宋体" w:cs="宋体"/>
          <w:snapToGrid w:val="0"/>
          <w:color w:val="auto"/>
          <w:sz w:val="32"/>
          <w:szCs w:val="32"/>
        </w:rPr>
        <w:t>建设项目污染物排放量汇总表</w:t>
      </w:r>
      <w:bookmarkEnd w:id="12"/>
      <w:r>
        <w:rPr>
          <w:rFonts w:hint="eastAsia" w:ascii="宋体" w:hAnsi="宋体" w:eastAsia="宋体" w:cs="宋体"/>
          <w:snapToGrid w:val="0"/>
          <w:color w:val="auto"/>
          <w:sz w:val="32"/>
          <w:szCs w:val="32"/>
        </w:rPr>
        <w:t xml:space="preserve">  单位：t/a</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920"/>
        <w:gridCol w:w="1363"/>
        <w:gridCol w:w="1077"/>
        <w:gridCol w:w="1360"/>
        <w:gridCol w:w="1363"/>
        <w:gridCol w:w="1360"/>
        <w:gridCol w:w="136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3" w:type="pct"/>
            <w:noWrap w:val="0"/>
            <w:tcMar>
              <w:left w:w="28" w:type="dxa"/>
              <w:right w:w="28"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5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分</w:t>
            </w:r>
          </w:p>
          <w:p>
            <w:pPr>
              <w:pStyle w:val="5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396" w:firstLineChars="200"/>
              <w:jc w:val="left"/>
              <w:textAlignment w:val="auto"/>
              <mc:AlternateContent>
                <mc:Choice Requires="wpsCustomData">
                  <wpsCustomData:diagonalParaType/>
                </mc:Choice>
              </mc:AlternateContent>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类</w:t>
            </w:r>
          </w:p>
          <w:p>
            <w:pPr>
              <w:pStyle w:val="5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eastAsia" w:ascii="Times New Roman" w:eastAsia="黑体"/>
                <w:snapToGrid w:val="0"/>
                <w:color w:val="000000" w:themeColor="text1"/>
                <w:spacing w:val="-6"/>
                <w:kern w:val="21"/>
                <w:szCs w:val="21"/>
                <w:highlight w:val="none"/>
                <w:lang w:val="en-US" w:eastAsia="zh-CN"/>
                <w14:textFill>
                  <w14:solidFill>
                    <w14:schemeClr w14:val="tx1"/>
                  </w14:solidFill>
                </w14:textFill>
              </w:rPr>
            </w:pPr>
            <w:r>
              <w:rPr>
                <w:rFonts w:hint="eastAsia" w:ascii="Times New Roman" w:eastAsia="黑体"/>
                <w:snapToGrid w:val="0"/>
                <w:color w:val="000000" w:themeColor="text1"/>
                <w:spacing w:val="-6"/>
                <w:kern w:val="21"/>
                <w:szCs w:val="21"/>
                <w:highlight w:val="none"/>
                <w:lang w:val="en-US" w:eastAsia="zh-CN"/>
                <w14:textFill>
                  <w14:solidFill>
                    <w14:schemeClr w14:val="tx1"/>
                  </w14:solidFill>
                </w14:textFill>
              </w:rPr>
              <w:t xml:space="preserve">项 </w:t>
            </w:r>
          </w:p>
          <w:p>
            <w:pPr>
              <w:pStyle w:val="5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left"/>
              <w:textAlignment w:val="auto"/>
              <w:rPr>
                <w:rFonts w:hint="eastAsia" w:ascii="Times New Roman" w:eastAsia="黑体"/>
                <w:snapToGrid w:val="0"/>
                <w:color w:val="000000" w:themeColor="text1"/>
                <w:spacing w:val="-6"/>
                <w:kern w:val="21"/>
                <w:szCs w:val="21"/>
                <w:highlight w:val="none"/>
                <w:lang w:val="en-US" w:eastAsia="zh-CN"/>
                <w14:textFill>
                  <w14:solidFill>
                    <w14:schemeClr w14:val="tx1"/>
                  </w14:solidFill>
                </w14:textFill>
              </w:rPr>
            </w:pPr>
            <w:r>
              <w:rPr>
                <w:rFonts w:hint="eastAsia" w:ascii="Times New Roman" w:eastAsia="黑体"/>
                <w:snapToGrid w:val="0"/>
                <w:color w:val="000000" w:themeColor="text1"/>
                <w:spacing w:val="-6"/>
                <w:kern w:val="21"/>
                <w:szCs w:val="21"/>
                <w:highlight w:val="none"/>
                <w:lang w:val="en-US" w:eastAsia="zh-CN"/>
                <w14:textFill>
                  <w14:solidFill>
                    <w14:schemeClr w14:val="tx1"/>
                  </w14:solidFill>
                </w14:textFill>
              </w:rPr>
              <w:t>目</w:t>
            </w:r>
          </w:p>
        </w:tc>
        <w:tc>
          <w:tcPr>
            <w:tcW w:w="1082"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污染物名称</w:t>
            </w:r>
          </w:p>
        </w:tc>
        <w:tc>
          <w:tcPr>
            <w:tcW w:w="505"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现有工程</w:t>
            </w:r>
          </w:p>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排放量（固体废物产生量）</w:t>
            </w:r>
            <w:r>
              <w:rPr>
                <w:rFonts w:ascii="Times New Roman" w:eastAsia="黑体"/>
                <w:snapToGrid w:val="0"/>
                <w:color w:val="000000" w:themeColor="text1"/>
                <w:spacing w:val="-6"/>
                <w:kern w:val="21"/>
                <w:szCs w:val="21"/>
                <w:highlight w:val="none"/>
                <w14:textFill>
                  <w14:solidFill>
                    <w14:schemeClr w14:val="tx1"/>
                  </w14:solidFill>
                </w14:textFill>
              </w:rPr>
              <w:fldChar w:fldCharType="begin"/>
            </w:r>
            <w:r>
              <w:rPr>
                <w:rFonts w:ascii="Times New Roman" w:eastAsia="黑体"/>
                <w:snapToGrid w:val="0"/>
                <w:color w:val="000000" w:themeColor="text1"/>
                <w:spacing w:val="-6"/>
                <w:kern w:val="21"/>
                <w:szCs w:val="21"/>
                <w:highlight w:val="none"/>
                <w14:textFill>
                  <w14:solidFill>
                    <w14:schemeClr w14:val="tx1"/>
                  </w14:solidFill>
                </w14:textFill>
              </w:rPr>
              <w:instrText xml:space="preserve"> = 1 \* GB3 \* MERGEFORMAT </w:instrText>
            </w:r>
            <w:r>
              <w:rPr>
                <w:rFonts w:ascii="Times New Roman" w:eastAsia="黑体"/>
                <w:snapToGrid w:val="0"/>
                <w:color w:val="000000" w:themeColor="text1"/>
                <w:spacing w:val="-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①</w:t>
            </w:r>
            <w:r>
              <w:rPr>
                <w:rFonts w:ascii="Times New Roman" w:eastAsia="黑体"/>
                <w:snapToGrid w:val="0"/>
                <w:color w:val="000000" w:themeColor="text1"/>
                <w:spacing w:val="-6"/>
                <w:kern w:val="21"/>
                <w:szCs w:val="21"/>
                <w:highlight w:val="none"/>
                <w14:textFill>
                  <w14:solidFill>
                    <w14:schemeClr w14:val="tx1"/>
                  </w14:solidFill>
                </w14:textFill>
              </w:rPr>
              <w:fldChar w:fldCharType="end"/>
            </w:r>
          </w:p>
        </w:tc>
        <w:tc>
          <w:tcPr>
            <w:tcW w:w="399"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现有工程</w:t>
            </w:r>
          </w:p>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许可排放量</w:t>
            </w:r>
          </w:p>
          <w:p>
            <w:pPr>
              <w:pStyle w:val="57"/>
              <w:spacing w:beforeLines="0" w:afterLines="0"/>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fldChar w:fldCharType="begin"/>
            </w:r>
            <w:r>
              <w:rPr>
                <w:rFonts w:ascii="Times New Roman" w:eastAsia="黑体"/>
                <w:snapToGrid w:val="0"/>
                <w:color w:val="000000" w:themeColor="text1"/>
                <w:spacing w:val="-6"/>
                <w:kern w:val="21"/>
                <w:szCs w:val="21"/>
                <w:highlight w:val="none"/>
                <w14:textFill>
                  <w14:solidFill>
                    <w14:schemeClr w14:val="tx1"/>
                  </w14:solidFill>
                </w14:textFill>
              </w:rPr>
              <w:instrText xml:space="preserve"> = 2 \* GB3 \* MERGEFORMAT </w:instrText>
            </w:r>
            <w:r>
              <w:rPr>
                <w:rFonts w:ascii="Times New Roman" w:eastAsia="黑体"/>
                <w:snapToGrid w:val="0"/>
                <w:color w:val="000000" w:themeColor="text1"/>
                <w:spacing w:val="-6"/>
                <w:kern w:val="21"/>
                <w:szCs w:val="21"/>
                <w:highlight w:val="none"/>
                <w14:textFill>
                  <w14:solidFill>
                    <w14:schemeClr w14:val="tx1"/>
                  </w14:solidFill>
                </w14:textFill>
              </w:rPr>
              <w:fldChar w:fldCharType="separate"/>
            </w:r>
            <w:r>
              <w:rPr>
                <w:rFonts w:hint="eastAsia" w:hAnsi="宋体" w:cs="宋体"/>
                <w:snapToGrid w:val="0"/>
                <w:color w:val="000000" w:themeColor="text1"/>
                <w:spacing w:val="-6"/>
                <w:kern w:val="21"/>
                <w:szCs w:val="21"/>
                <w:highlight w:val="none"/>
                <w14:textFill>
                  <w14:solidFill>
                    <w14:schemeClr w14:val="tx1"/>
                  </w14:solidFill>
                </w14:textFill>
              </w:rPr>
              <w:t>②</w:t>
            </w:r>
            <w:r>
              <w:rPr>
                <w:rFonts w:ascii="Times New Roman" w:eastAsia="黑体"/>
                <w:snapToGrid w:val="0"/>
                <w:color w:val="000000" w:themeColor="text1"/>
                <w:spacing w:val="-6"/>
                <w:kern w:val="21"/>
                <w:szCs w:val="21"/>
                <w:highlight w:val="none"/>
                <w14:textFill>
                  <w14:solidFill>
                    <w14:schemeClr w14:val="tx1"/>
                  </w14:solidFill>
                </w14:textFill>
              </w:rPr>
              <w:fldChar w:fldCharType="end"/>
            </w:r>
          </w:p>
        </w:tc>
        <w:tc>
          <w:tcPr>
            <w:tcW w:w="504"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在建工程</w:t>
            </w:r>
          </w:p>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排放量（固体废物产生量）</w:t>
            </w:r>
            <w:r>
              <w:rPr>
                <w:rFonts w:ascii="Times New Roman" w:eastAsia="黑体"/>
                <w:snapToGrid w:val="0"/>
                <w:color w:val="000000" w:themeColor="text1"/>
                <w:spacing w:val="-6"/>
                <w:kern w:val="21"/>
                <w:szCs w:val="21"/>
                <w:highlight w:val="none"/>
                <w14:textFill>
                  <w14:solidFill>
                    <w14:schemeClr w14:val="tx1"/>
                  </w14:solidFill>
                </w14:textFill>
              </w:rPr>
              <w:fldChar w:fldCharType="begin"/>
            </w:r>
            <w:r>
              <w:rPr>
                <w:rFonts w:ascii="Times New Roman" w:eastAsia="黑体"/>
                <w:snapToGrid w:val="0"/>
                <w:color w:val="000000" w:themeColor="text1"/>
                <w:spacing w:val="-6"/>
                <w:kern w:val="21"/>
                <w:szCs w:val="21"/>
                <w:highlight w:val="none"/>
                <w14:textFill>
                  <w14:solidFill>
                    <w14:schemeClr w14:val="tx1"/>
                  </w14:solidFill>
                </w14:textFill>
              </w:rPr>
              <w:instrText xml:space="preserve"> = 3 \* GB3 \* MERGEFORMAT </w:instrText>
            </w:r>
            <w:r>
              <w:rPr>
                <w:rFonts w:ascii="Times New Roman" w:eastAsia="黑体"/>
                <w:snapToGrid w:val="0"/>
                <w:color w:val="000000" w:themeColor="text1"/>
                <w:spacing w:val="-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③</w:t>
            </w:r>
            <w:r>
              <w:rPr>
                <w:rFonts w:ascii="Times New Roman" w:eastAsia="黑体"/>
                <w:snapToGrid w:val="0"/>
                <w:color w:val="000000" w:themeColor="text1"/>
                <w:spacing w:val="-6"/>
                <w:kern w:val="21"/>
                <w:szCs w:val="21"/>
                <w:highlight w:val="none"/>
                <w14:textFill>
                  <w14:solidFill>
                    <w14:schemeClr w14:val="tx1"/>
                  </w14:solidFill>
                </w14:textFill>
              </w:rPr>
              <w:fldChar w:fldCharType="end"/>
            </w:r>
          </w:p>
        </w:tc>
        <w:tc>
          <w:tcPr>
            <w:tcW w:w="505"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本项目</w:t>
            </w:r>
          </w:p>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排放量（固体废物产生量）</w:t>
            </w:r>
            <w:r>
              <w:rPr>
                <w:rFonts w:ascii="Times New Roman" w:eastAsia="黑体"/>
                <w:snapToGrid w:val="0"/>
                <w:color w:val="000000" w:themeColor="text1"/>
                <w:spacing w:val="-6"/>
                <w:kern w:val="21"/>
                <w:szCs w:val="21"/>
                <w:highlight w:val="none"/>
                <w14:textFill>
                  <w14:solidFill>
                    <w14:schemeClr w14:val="tx1"/>
                  </w14:solidFill>
                </w14:textFill>
              </w:rPr>
              <w:fldChar w:fldCharType="begin"/>
            </w:r>
            <w:r>
              <w:rPr>
                <w:rFonts w:ascii="Times New Roman" w:eastAsia="黑体"/>
                <w:snapToGrid w:val="0"/>
                <w:color w:val="000000" w:themeColor="text1"/>
                <w:spacing w:val="-6"/>
                <w:kern w:val="21"/>
                <w:szCs w:val="21"/>
                <w:highlight w:val="none"/>
                <w14:textFill>
                  <w14:solidFill>
                    <w14:schemeClr w14:val="tx1"/>
                  </w14:solidFill>
                </w14:textFill>
              </w:rPr>
              <w:instrText xml:space="preserve"> = 4 \* GB3 \* MERGEFORMAT </w:instrText>
            </w:r>
            <w:r>
              <w:rPr>
                <w:rFonts w:ascii="Times New Roman" w:eastAsia="黑体"/>
                <w:snapToGrid w:val="0"/>
                <w:color w:val="000000" w:themeColor="text1"/>
                <w:spacing w:val="-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④</w:t>
            </w:r>
            <w:r>
              <w:rPr>
                <w:rFonts w:ascii="Times New Roman" w:eastAsia="黑体"/>
                <w:snapToGrid w:val="0"/>
                <w:color w:val="000000" w:themeColor="text1"/>
                <w:spacing w:val="-6"/>
                <w:kern w:val="21"/>
                <w:szCs w:val="21"/>
                <w:highlight w:val="none"/>
                <w14:textFill>
                  <w14:solidFill>
                    <w14:schemeClr w14:val="tx1"/>
                  </w14:solidFill>
                </w14:textFill>
              </w:rPr>
              <w:fldChar w:fldCharType="end"/>
            </w:r>
          </w:p>
        </w:tc>
        <w:tc>
          <w:tcPr>
            <w:tcW w:w="504"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16"/>
                <w:kern w:val="21"/>
                <w:szCs w:val="21"/>
                <w:highlight w:val="none"/>
                <w14:textFill>
                  <w14:solidFill>
                    <w14:schemeClr w14:val="tx1"/>
                  </w14:solidFill>
                </w14:textFill>
              </w:rPr>
            </w:pPr>
            <w:r>
              <w:rPr>
                <w:rFonts w:ascii="Times New Roman" w:eastAsia="黑体"/>
                <w:snapToGrid w:val="0"/>
                <w:color w:val="000000" w:themeColor="text1"/>
                <w:spacing w:val="-16"/>
                <w:kern w:val="21"/>
                <w:szCs w:val="21"/>
                <w:highlight w:val="none"/>
                <w14:textFill>
                  <w14:solidFill>
                    <w14:schemeClr w14:val="tx1"/>
                  </w14:solidFill>
                </w14:textFill>
              </w:rPr>
              <w:t>以新带老削减量</w:t>
            </w:r>
          </w:p>
          <w:p>
            <w:pPr>
              <w:pStyle w:val="57"/>
              <w:spacing w:beforeLines="0" w:afterLines="0" w:line="240" w:lineRule="auto"/>
              <w:rPr>
                <w:rFonts w:ascii="Times New Roman" w:eastAsia="黑体"/>
                <w:snapToGrid w:val="0"/>
                <w:color w:val="000000" w:themeColor="text1"/>
                <w:spacing w:val="-16"/>
                <w:kern w:val="21"/>
                <w:szCs w:val="21"/>
                <w:highlight w:val="none"/>
                <w14:textFill>
                  <w14:solidFill>
                    <w14:schemeClr w14:val="tx1"/>
                  </w14:solidFill>
                </w14:textFill>
              </w:rPr>
            </w:pPr>
            <w:r>
              <w:rPr>
                <w:rFonts w:ascii="Times New Roman" w:eastAsia="黑体"/>
                <w:snapToGrid w:val="0"/>
                <w:color w:val="000000" w:themeColor="text1"/>
                <w:spacing w:val="-16"/>
                <w:kern w:val="21"/>
                <w:szCs w:val="21"/>
                <w:highlight w:val="none"/>
                <w14:textFill>
                  <w14:solidFill>
                    <w14:schemeClr w14:val="tx1"/>
                  </w14:solidFill>
                </w14:textFill>
              </w:rPr>
              <w:t>（新建项目不填）</w:t>
            </w:r>
            <w:r>
              <w:rPr>
                <w:rFonts w:ascii="Times New Roman" w:eastAsia="黑体"/>
                <w:snapToGrid w:val="0"/>
                <w:color w:val="000000" w:themeColor="text1"/>
                <w:spacing w:val="-16"/>
                <w:kern w:val="21"/>
                <w:szCs w:val="21"/>
                <w:highlight w:val="none"/>
                <w14:textFill>
                  <w14:solidFill>
                    <w14:schemeClr w14:val="tx1"/>
                  </w14:solidFill>
                </w14:textFill>
              </w:rPr>
              <w:fldChar w:fldCharType="begin"/>
            </w:r>
            <w:r>
              <w:rPr>
                <w:rFonts w:ascii="Times New Roman" w:eastAsia="黑体"/>
                <w:snapToGrid w:val="0"/>
                <w:color w:val="000000" w:themeColor="text1"/>
                <w:spacing w:val="-16"/>
                <w:kern w:val="21"/>
                <w:szCs w:val="21"/>
                <w:highlight w:val="none"/>
                <w14:textFill>
                  <w14:solidFill>
                    <w14:schemeClr w14:val="tx1"/>
                  </w14:solidFill>
                </w14:textFill>
              </w:rPr>
              <w:instrText xml:space="preserve"> = 5 \* GB3 \* MERGEFORMAT </w:instrText>
            </w:r>
            <w:r>
              <w:rPr>
                <w:rFonts w:ascii="Times New Roman" w:eastAsia="黑体"/>
                <w:snapToGrid w:val="0"/>
                <w:color w:val="000000" w:themeColor="text1"/>
                <w:spacing w:val="-1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⑤</w:t>
            </w:r>
            <w:r>
              <w:rPr>
                <w:rFonts w:ascii="Times New Roman" w:eastAsia="黑体"/>
                <w:snapToGrid w:val="0"/>
                <w:color w:val="000000" w:themeColor="text1"/>
                <w:spacing w:val="-16"/>
                <w:kern w:val="21"/>
                <w:szCs w:val="21"/>
                <w:highlight w:val="none"/>
                <w14:textFill>
                  <w14:solidFill>
                    <w14:schemeClr w14:val="tx1"/>
                  </w14:solidFill>
                </w14:textFill>
              </w:rPr>
              <w:fldChar w:fldCharType="end"/>
            </w:r>
          </w:p>
        </w:tc>
        <w:tc>
          <w:tcPr>
            <w:tcW w:w="504"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16"/>
                <w:kern w:val="21"/>
                <w:szCs w:val="21"/>
                <w:highlight w:val="none"/>
                <w14:textFill>
                  <w14:solidFill>
                    <w14:schemeClr w14:val="tx1"/>
                  </w14:solidFill>
                </w14:textFill>
              </w:rPr>
            </w:pPr>
            <w:r>
              <w:rPr>
                <w:rFonts w:ascii="Times New Roman" w:eastAsia="黑体"/>
                <w:snapToGrid w:val="0"/>
                <w:color w:val="000000" w:themeColor="text1"/>
                <w:spacing w:val="-16"/>
                <w:kern w:val="21"/>
                <w:szCs w:val="21"/>
                <w:highlight w:val="none"/>
                <w14:textFill>
                  <w14:solidFill>
                    <w14:schemeClr w14:val="tx1"/>
                  </w14:solidFill>
                </w14:textFill>
              </w:rPr>
              <w:t>本项目建成后</w:t>
            </w:r>
          </w:p>
          <w:p>
            <w:pPr>
              <w:pStyle w:val="57"/>
              <w:spacing w:beforeLines="0" w:afterLines="0" w:line="240" w:lineRule="auto"/>
              <w:rPr>
                <w:rFonts w:ascii="Times New Roman" w:eastAsia="黑体"/>
                <w:snapToGrid w:val="0"/>
                <w:color w:val="000000" w:themeColor="text1"/>
                <w:spacing w:val="-16"/>
                <w:kern w:val="21"/>
                <w:szCs w:val="21"/>
                <w:highlight w:val="none"/>
                <w14:textFill>
                  <w14:solidFill>
                    <w14:schemeClr w14:val="tx1"/>
                  </w14:solidFill>
                </w14:textFill>
              </w:rPr>
            </w:pPr>
            <w:r>
              <w:rPr>
                <w:rFonts w:ascii="Times New Roman" w:eastAsia="黑体"/>
                <w:snapToGrid w:val="0"/>
                <w:color w:val="000000" w:themeColor="text1"/>
                <w:spacing w:val="-16"/>
                <w:kern w:val="21"/>
                <w:szCs w:val="21"/>
                <w:highlight w:val="none"/>
                <w14:textFill>
                  <w14:solidFill>
                    <w14:schemeClr w14:val="tx1"/>
                  </w14:solidFill>
                </w14:textFill>
              </w:rPr>
              <w:t>全厂排放量（固体废物产生量）</w:t>
            </w:r>
            <w:r>
              <w:rPr>
                <w:rFonts w:ascii="Times New Roman" w:eastAsia="黑体"/>
                <w:snapToGrid w:val="0"/>
                <w:color w:val="000000" w:themeColor="text1"/>
                <w:spacing w:val="-16"/>
                <w:kern w:val="21"/>
                <w:szCs w:val="21"/>
                <w:highlight w:val="none"/>
                <w14:textFill>
                  <w14:solidFill>
                    <w14:schemeClr w14:val="tx1"/>
                  </w14:solidFill>
                </w14:textFill>
              </w:rPr>
              <w:fldChar w:fldCharType="begin"/>
            </w:r>
            <w:r>
              <w:rPr>
                <w:rFonts w:ascii="Times New Roman" w:eastAsia="黑体"/>
                <w:snapToGrid w:val="0"/>
                <w:color w:val="000000" w:themeColor="text1"/>
                <w:spacing w:val="-16"/>
                <w:kern w:val="21"/>
                <w:szCs w:val="21"/>
                <w:highlight w:val="none"/>
                <w14:textFill>
                  <w14:solidFill>
                    <w14:schemeClr w14:val="tx1"/>
                  </w14:solidFill>
                </w14:textFill>
              </w:rPr>
              <w:instrText xml:space="preserve"> = 6 \* GB3 \* MERGEFORMAT </w:instrText>
            </w:r>
            <w:r>
              <w:rPr>
                <w:rFonts w:ascii="Times New Roman" w:eastAsia="黑体"/>
                <w:snapToGrid w:val="0"/>
                <w:color w:val="000000" w:themeColor="text1"/>
                <w:spacing w:val="-1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⑥</w:t>
            </w:r>
            <w:r>
              <w:rPr>
                <w:rFonts w:ascii="Times New Roman" w:eastAsia="黑体"/>
                <w:snapToGrid w:val="0"/>
                <w:color w:val="000000" w:themeColor="text1"/>
                <w:spacing w:val="-16"/>
                <w:kern w:val="21"/>
                <w:szCs w:val="21"/>
                <w:highlight w:val="none"/>
                <w14:textFill>
                  <w14:solidFill>
                    <w14:schemeClr w14:val="tx1"/>
                  </w14:solidFill>
                </w14:textFill>
              </w:rPr>
              <w:fldChar w:fldCharType="end"/>
            </w:r>
          </w:p>
        </w:tc>
        <w:tc>
          <w:tcPr>
            <w:tcW w:w="533" w:type="pct"/>
            <w:noWrap w:val="0"/>
            <w:tcMar>
              <w:left w:w="28" w:type="dxa"/>
              <w:right w:w="28" w:type="dxa"/>
            </w:tcMar>
            <w:vAlign w:val="center"/>
          </w:tcPr>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t>变化量</w:t>
            </w:r>
          </w:p>
          <w:p>
            <w:pPr>
              <w:pStyle w:val="57"/>
              <w:spacing w:beforeLines="0" w:afterLines="0" w:line="240" w:lineRule="auto"/>
              <w:rPr>
                <w:rFonts w:ascii="Times New Roman" w:eastAsia="黑体"/>
                <w:snapToGrid w:val="0"/>
                <w:color w:val="000000" w:themeColor="text1"/>
                <w:spacing w:val="-6"/>
                <w:kern w:val="21"/>
                <w:szCs w:val="21"/>
                <w:highlight w:val="none"/>
                <w14:textFill>
                  <w14:solidFill>
                    <w14:schemeClr w14:val="tx1"/>
                  </w14:solidFill>
                </w14:textFill>
              </w:rPr>
            </w:pPr>
            <w:r>
              <w:rPr>
                <w:rFonts w:ascii="Times New Roman" w:eastAsia="黑体"/>
                <w:snapToGrid w:val="0"/>
                <w:color w:val="000000" w:themeColor="text1"/>
                <w:spacing w:val="-6"/>
                <w:kern w:val="21"/>
                <w:szCs w:val="21"/>
                <w:highlight w:val="none"/>
                <w14:textFill>
                  <w14:solidFill>
                    <w14:schemeClr w14:val="tx1"/>
                  </w14:solidFill>
                </w14:textFill>
              </w:rPr>
              <w:fldChar w:fldCharType="begin"/>
            </w:r>
            <w:r>
              <w:rPr>
                <w:rFonts w:ascii="Times New Roman" w:eastAsia="黑体"/>
                <w:snapToGrid w:val="0"/>
                <w:color w:val="000000" w:themeColor="text1"/>
                <w:spacing w:val="-6"/>
                <w:kern w:val="21"/>
                <w:szCs w:val="21"/>
                <w:highlight w:val="none"/>
                <w14:textFill>
                  <w14:solidFill>
                    <w14:schemeClr w14:val="tx1"/>
                  </w14:solidFill>
                </w14:textFill>
              </w:rPr>
              <w:instrText xml:space="preserve"> = 7 \* GB3 \* MERGEFORMAT </w:instrText>
            </w:r>
            <w:r>
              <w:rPr>
                <w:rFonts w:ascii="Times New Roman" w:eastAsia="黑体"/>
                <w:snapToGrid w:val="0"/>
                <w:color w:val="000000" w:themeColor="text1"/>
                <w:spacing w:val="-6"/>
                <w:kern w:val="21"/>
                <w:szCs w:val="21"/>
                <w:highlight w:val="none"/>
                <w14:textFill>
                  <w14:solidFill>
                    <w14:schemeClr w14:val="tx1"/>
                  </w14:solidFill>
                </w14:textFill>
              </w:rPr>
              <w:fldChar w:fldCharType="separate"/>
            </w:r>
            <w:r>
              <w:rPr>
                <w:rFonts w:hint="eastAsia" w:hAnsi="宋体" w:cs="宋体"/>
                <w:color w:val="000000" w:themeColor="text1"/>
                <w:kern w:val="2"/>
                <w:szCs w:val="21"/>
                <w:highlight w:val="none"/>
                <w14:textFill>
                  <w14:solidFill>
                    <w14:schemeClr w14:val="tx1"/>
                  </w14:solidFill>
                </w14:textFill>
              </w:rPr>
              <w:t>⑦</w:t>
            </w:r>
            <w:r>
              <w:rPr>
                <w:rFonts w:ascii="Times New Roman" w:eastAsia="黑体"/>
                <w:snapToGrid w:val="0"/>
                <w:color w:val="000000" w:themeColor="text1"/>
                <w:spacing w:val="-6"/>
                <w:kern w:val="21"/>
                <w:szCs w:val="21"/>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restar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废气</w:t>
            </w:r>
          </w:p>
        </w:tc>
        <w:tc>
          <w:tcPr>
            <w:tcW w:w="1082" w:type="pct"/>
            <w:noWrap w:val="0"/>
            <w:vAlign w:val="center"/>
          </w:tcPr>
          <w:p>
            <w:pPr>
              <w:pStyle w:val="57"/>
              <w:spacing w:beforeLines="0" w:afterLines="0" w:line="240" w:lineRule="auto"/>
              <w:rPr>
                <w:rFonts w:hint="eastAsia" w:ascii="Times New Roman" w:eastAsia="宋体"/>
                <w:snapToGrid w:val="0"/>
                <w:color w:val="000000" w:themeColor="text1"/>
                <w:kern w:val="21"/>
                <w:szCs w:val="21"/>
                <w:highlight w:val="none"/>
                <w:lang w:eastAsia="zh-CN"/>
                <w14:textFill>
                  <w14:solidFill>
                    <w14:schemeClr w14:val="tx1"/>
                  </w14:solidFill>
                </w14:textFill>
              </w:rPr>
            </w:pPr>
            <w:r>
              <w:rPr>
                <w:rFonts w:hint="eastAsia" w:ascii="Times New Roman"/>
                <w:color w:val="000000" w:themeColor="text1"/>
                <w:szCs w:val="21"/>
                <w:highlight w:val="none"/>
                <w:lang w:eastAsia="zh-CN"/>
                <w14:textFill>
                  <w14:solidFill>
                    <w14:schemeClr w14:val="tx1"/>
                  </w14:solidFill>
                </w14:textFill>
              </w:rPr>
              <w:t>非甲烷总烃</w:t>
            </w:r>
          </w:p>
        </w:tc>
        <w:tc>
          <w:tcPr>
            <w:tcW w:w="505"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pStyle w:val="57"/>
              <w:spacing w:beforeLines="0" w:afterLines="0" w:line="240" w:lineRule="auto"/>
              <w:rPr>
                <w:rFonts w:hint="default" w:ascii="Times New Roman" w:eastAsia="宋体"/>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0.0068</w:t>
            </w:r>
          </w:p>
        </w:tc>
        <w:tc>
          <w:tcPr>
            <w:tcW w:w="504" w:type="pct"/>
            <w:noWrap w:val="0"/>
            <w:vAlign w:val="center"/>
          </w:tcPr>
          <w:p>
            <w:pPr>
              <w:pStyle w:val="57"/>
              <w:spacing w:beforeLines="0" w:afterLines="0" w:line="240" w:lineRule="auto"/>
              <w:rPr>
                <w:rFonts w:hint="eastAsia" w:ascii="Times New Roman" w:eastAsia="宋体"/>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w:t>
            </w:r>
          </w:p>
        </w:tc>
        <w:tc>
          <w:tcPr>
            <w:tcW w:w="504" w:type="pct"/>
            <w:noWrap w:val="0"/>
            <w:vAlign w:val="center"/>
          </w:tcPr>
          <w:p>
            <w:pPr>
              <w:pStyle w:val="57"/>
              <w:spacing w:beforeLines="0" w:afterLines="0" w:line="240" w:lineRule="auto"/>
              <w:ind w:left="420" w:leftChars="0" w:hanging="420" w:hangingChars="200"/>
              <w:rPr>
                <w:rFonts w:hint="default" w:ascii="Times New Roman" w:eastAsia="宋体"/>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0.0068</w:t>
            </w:r>
          </w:p>
        </w:tc>
        <w:tc>
          <w:tcPr>
            <w:tcW w:w="533" w:type="pct"/>
            <w:noWrap w:val="0"/>
            <w:vAlign w:val="center"/>
          </w:tcPr>
          <w:p>
            <w:pPr>
              <w:pStyle w:val="57"/>
              <w:spacing w:beforeLines="0" w:afterLines="0" w:line="240" w:lineRule="auto"/>
              <w:rPr>
                <w:rFonts w:hint="default" w:ascii="Times New Roman" w:eastAsia="宋体"/>
                <w:snapToGrid w:val="0"/>
                <w:color w:val="000000" w:themeColor="text1"/>
                <w:kern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hint="eastAsia" w:ascii="Times New Roman"/>
                <w:color w:val="000000" w:themeColor="text1"/>
                <w:szCs w:val="21"/>
                <w:highlight w:val="none"/>
                <w:lang w:eastAsia="zh-CN"/>
                <w14:textFill>
                  <w14:solidFill>
                    <w14:schemeClr w14:val="tx1"/>
                  </w14:solidFill>
                </w14:textFill>
              </w:rPr>
              <w:t>颗粒物</w:t>
            </w:r>
          </w:p>
        </w:tc>
        <w:tc>
          <w:tcPr>
            <w:tcW w:w="505"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w:t>
            </w:r>
          </w:p>
        </w:tc>
        <w:tc>
          <w:tcPr>
            <w:tcW w:w="399"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w:t>
            </w:r>
          </w:p>
        </w:tc>
        <w:tc>
          <w:tcPr>
            <w:tcW w:w="504"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w:t>
            </w:r>
          </w:p>
        </w:tc>
        <w:tc>
          <w:tcPr>
            <w:tcW w:w="505"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1.991</w:t>
            </w:r>
          </w:p>
        </w:tc>
        <w:tc>
          <w:tcPr>
            <w:tcW w:w="504"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w:t>
            </w:r>
          </w:p>
        </w:tc>
        <w:tc>
          <w:tcPr>
            <w:tcW w:w="504" w:type="pct"/>
            <w:noWrap w:val="0"/>
            <w:vAlign w:val="center"/>
          </w:tcPr>
          <w:p>
            <w:pPr>
              <w:pStyle w:val="57"/>
              <w:spacing w:beforeLines="0" w:afterLines="0" w:line="240" w:lineRule="auto"/>
              <w:ind w:left="420" w:leftChars="0" w:hanging="420" w:hangingChars="200"/>
              <w:rPr>
                <w:rFonts w:hint="default" w:ascii="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snapToGrid w:val="0"/>
                <w:color w:val="000000" w:themeColor="text1"/>
                <w:kern w:val="21"/>
                <w:szCs w:val="21"/>
                <w:highlight w:val="none"/>
                <w:lang w:val="en-US" w:eastAsia="zh-CN"/>
                <w14:textFill>
                  <w14:solidFill>
                    <w14:schemeClr w14:val="tx1"/>
                  </w14:solidFill>
                </w14:textFill>
              </w:rPr>
              <w:t>1.991</w:t>
            </w:r>
          </w:p>
        </w:tc>
        <w:tc>
          <w:tcPr>
            <w:tcW w:w="533" w:type="pct"/>
            <w:noWrap w:val="0"/>
            <w:vAlign w:val="center"/>
          </w:tcPr>
          <w:p>
            <w:pPr>
              <w:pStyle w:val="57"/>
              <w:spacing w:beforeLines="0" w:afterLines="0" w:line="240" w:lineRule="auto"/>
              <w:rPr>
                <w:rFonts w:hint="default" w:ascii="Times New Roman"/>
                <w:snapToGrid w:val="0"/>
                <w:color w:val="000000" w:themeColor="text1"/>
                <w:kern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3" w:type="pct"/>
            <w:vMerge w:val="continue"/>
            <w:noWrap w:val="0"/>
            <w:vAlign w:val="center"/>
          </w:tcPr>
          <w:p>
            <w:pPr>
              <w:pStyle w:val="57"/>
              <w:spacing w:beforeLines="0" w:afterLines="0" w:line="240" w:lineRule="auto"/>
              <w:rPr>
                <w:color w:val="000000" w:themeColor="text1"/>
                <w:highlight w:val="none"/>
                <w14:textFill>
                  <w14:solidFill>
                    <w14:schemeClr w14:val="tx1"/>
                  </w14:solidFill>
                </w14:textFill>
              </w:rPr>
            </w:pPr>
          </w:p>
        </w:tc>
        <w:tc>
          <w:tcPr>
            <w:tcW w:w="1082"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hint="eastAsia" w:ascii="Times New Roman"/>
                <w:color w:val="000000" w:themeColor="text1"/>
                <w:szCs w:val="21"/>
                <w:highlight w:val="none"/>
                <w:lang w:eastAsia="zh-CN"/>
                <w14:textFill>
                  <w14:solidFill>
                    <w14:schemeClr w14:val="tx1"/>
                  </w14:solidFill>
                </w14:textFill>
              </w:rPr>
              <w:t>氮氧化物</w:t>
            </w:r>
          </w:p>
        </w:tc>
        <w:tc>
          <w:tcPr>
            <w:tcW w:w="505"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adjustRightInd w:val="0"/>
              <w:snapToGrid w:val="0"/>
              <w:ind w:left="-63" w:leftChars="-30" w:right="-63" w:rightChars="-30"/>
              <w:jc w:val="center"/>
              <w:rPr>
                <w:rFonts w:hint="default"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0.015</w:t>
            </w:r>
          </w:p>
        </w:tc>
        <w:tc>
          <w:tcPr>
            <w:tcW w:w="504" w:type="pct"/>
            <w:noWrap w:val="0"/>
            <w:vAlign w:val="center"/>
          </w:tcPr>
          <w:p>
            <w:pPr>
              <w:spacing w:beforeLines="0" w:afterLines="0" w:line="240" w:lineRule="auto"/>
              <w:jc w:val="center"/>
              <w:rPr>
                <w:rFonts w:hint="eastAsia" w:ascii="Times New Roman"/>
                <w:color w:val="000000" w:themeColor="text1"/>
                <w:sz w:val="2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0.015</w:t>
            </w:r>
          </w:p>
        </w:tc>
        <w:tc>
          <w:tcPr>
            <w:tcW w:w="533"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3" w:type="pct"/>
            <w:vMerge w:val="continue"/>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p>
        </w:tc>
        <w:tc>
          <w:tcPr>
            <w:tcW w:w="1082"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hint="eastAsia" w:ascii="Times New Roman"/>
                <w:color w:val="000000" w:themeColor="text1"/>
                <w:szCs w:val="21"/>
                <w:highlight w:val="none"/>
                <w:lang w:eastAsia="zh-CN"/>
                <w14:textFill>
                  <w14:solidFill>
                    <w14:schemeClr w14:val="tx1"/>
                  </w14:solidFill>
                </w14:textFill>
              </w:rPr>
              <w:t>二氧化硫</w:t>
            </w:r>
          </w:p>
        </w:tc>
        <w:tc>
          <w:tcPr>
            <w:tcW w:w="505"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adjustRightInd w:val="0"/>
              <w:snapToGrid w:val="0"/>
              <w:ind w:left="-63" w:leftChars="-30" w:right="-63" w:rightChars="-30"/>
              <w:jc w:val="center"/>
              <w:rPr>
                <w:rFonts w:hint="default"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0.141</w:t>
            </w:r>
          </w:p>
        </w:tc>
        <w:tc>
          <w:tcPr>
            <w:tcW w:w="504" w:type="pct"/>
            <w:noWrap w:val="0"/>
            <w:vAlign w:val="center"/>
          </w:tcPr>
          <w:p>
            <w:pPr>
              <w:spacing w:beforeLines="0" w:afterLines="0" w:line="240" w:lineRule="auto"/>
              <w:jc w:val="center"/>
              <w:rPr>
                <w:rFonts w:hint="eastAsia" w:ascii="Times New Roman"/>
                <w:color w:val="000000" w:themeColor="text1"/>
                <w:sz w:val="21"/>
                <w:szCs w:val="21"/>
                <w:highlight w:val="none"/>
                <w:lang w:eastAsia="zh-CN"/>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0.141</w:t>
            </w:r>
          </w:p>
        </w:tc>
        <w:tc>
          <w:tcPr>
            <w:tcW w:w="533"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3" w:type="pct"/>
            <w:vMerge w:val="continue"/>
            <w:noWrap w:val="0"/>
            <w:vAlign w:val="center"/>
          </w:tcPr>
          <w:p>
            <w:pPr>
              <w:pStyle w:val="57"/>
              <w:spacing w:beforeLines="0" w:afterLines="0" w:line="240" w:lineRule="auto"/>
              <w:rPr>
                <w:rFonts w:hint="eastAsia" w:ascii="Times New Roman"/>
                <w:color w:val="000000" w:themeColor="text1"/>
                <w:szCs w:val="21"/>
                <w:highlight w:val="none"/>
                <w:lang w:eastAsia="zh-CN"/>
                <w14:textFill>
                  <w14:solidFill>
                    <w14:schemeClr w14:val="tx1"/>
                  </w14:solidFill>
                </w14:textFill>
              </w:rPr>
            </w:pPr>
          </w:p>
        </w:tc>
        <w:tc>
          <w:tcPr>
            <w:tcW w:w="1082" w:type="pct"/>
            <w:noWrap w:val="0"/>
            <w:vAlign w:val="center"/>
          </w:tcPr>
          <w:p>
            <w:pPr>
              <w:pStyle w:val="57"/>
              <w:spacing w:beforeLines="0" w:afterLines="0" w:line="240" w:lineRule="auto"/>
              <w:rPr>
                <w:rFonts w:hint="default" w:ascii="Times New Roman"/>
                <w:color w:val="000000" w:themeColor="text1"/>
                <w:szCs w:val="21"/>
                <w:highlight w:val="none"/>
                <w:lang w:val="en-US" w:eastAsia="zh-CN"/>
                <w14:textFill>
                  <w14:solidFill>
                    <w14:schemeClr w14:val="tx1"/>
                  </w14:solidFill>
                </w14:textFill>
              </w:rPr>
            </w:pPr>
            <w:r>
              <w:rPr>
                <w:rFonts w:hint="eastAsia" w:ascii="Times New Roman"/>
                <w:color w:val="000000" w:themeColor="text1"/>
                <w:szCs w:val="21"/>
                <w:highlight w:val="none"/>
                <w:lang w:val="en-US" w:eastAsia="zh-CN"/>
                <w14:textFill>
                  <w14:solidFill>
                    <w14:schemeClr w14:val="tx1"/>
                  </w14:solidFill>
                </w14:textFill>
              </w:rPr>
              <w:t>油烟</w:t>
            </w:r>
          </w:p>
        </w:tc>
        <w:tc>
          <w:tcPr>
            <w:tcW w:w="505"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399"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504"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505" w:type="pct"/>
            <w:noWrap w:val="0"/>
            <w:vAlign w:val="center"/>
          </w:tcPr>
          <w:p>
            <w:pPr>
              <w:adjustRightInd w:val="0"/>
              <w:snapToGrid w:val="0"/>
              <w:ind w:left="-63" w:leftChars="-30" w:right="-63" w:rightChars="-30"/>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0.003</w:t>
            </w:r>
          </w:p>
        </w:tc>
        <w:tc>
          <w:tcPr>
            <w:tcW w:w="504" w:type="pct"/>
            <w:noWrap w:val="0"/>
            <w:vAlign w:val="center"/>
          </w:tcPr>
          <w:p>
            <w:pPr>
              <w:spacing w:beforeLines="0" w:afterLines="0" w:line="240" w:lineRule="auto"/>
              <w:jc w:val="center"/>
              <w:rPr>
                <w:rFonts w:ascii="Times New Roman"/>
                <w:snapToGrid w:val="0"/>
                <w:color w:val="000000" w:themeColor="text1"/>
                <w:kern w:val="21"/>
                <w:szCs w:val="21"/>
                <w:highlight w:val="none"/>
                <w14:textFill>
                  <w14:solidFill>
                    <w14:schemeClr w14:val="tx1"/>
                  </w14:solidFill>
                </w14:textFill>
              </w:rPr>
            </w:pPr>
          </w:p>
        </w:tc>
        <w:tc>
          <w:tcPr>
            <w:tcW w:w="504"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0.003</w:t>
            </w:r>
          </w:p>
        </w:tc>
        <w:tc>
          <w:tcPr>
            <w:tcW w:w="533" w:type="pct"/>
            <w:noWrap w:val="0"/>
            <w:vAlign w:val="center"/>
          </w:tcPr>
          <w:p>
            <w:pPr>
              <w:adjustRightInd w:val="0"/>
              <w:snapToGrid w:val="0"/>
              <w:ind w:left="-63" w:leftChars="-30" w:right="-63" w:rightChars="-30"/>
              <w:jc w:val="center"/>
              <w:rPr>
                <w:rFonts w:hint="eastAsia"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restar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废水</w:t>
            </w: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COD</w:t>
            </w:r>
            <w:r>
              <w:rPr>
                <w:rFonts w:ascii="Times New Roman"/>
                <w:color w:val="000000" w:themeColor="text1"/>
                <w:szCs w:val="21"/>
                <w:highlight w:val="none"/>
                <w:vertAlign w:val="subscript"/>
                <w14:textFill>
                  <w14:solidFill>
                    <w14:schemeClr w14:val="tx1"/>
                  </w14:solidFill>
                </w14:textFill>
              </w:rPr>
              <w:t>Cr</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0.017</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p>
        </w:tc>
        <w:tc>
          <w:tcPr>
            <w:tcW w:w="504"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0.017</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BOD</w:t>
            </w:r>
            <w:r>
              <w:rPr>
                <w:rFonts w:ascii="Times New Roman"/>
                <w:color w:val="000000" w:themeColor="text1"/>
                <w:szCs w:val="21"/>
                <w:highlight w:val="none"/>
                <w:vertAlign w:val="subscript"/>
                <w14:textFill>
                  <w14:solidFill>
                    <w14:schemeClr w14:val="tx1"/>
                  </w14:solidFill>
                </w14:textFill>
              </w:rPr>
              <w:t>5</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0.018</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p>
        </w:tc>
        <w:tc>
          <w:tcPr>
            <w:tcW w:w="504"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0.018</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SS</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0.028</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p>
        </w:tc>
        <w:tc>
          <w:tcPr>
            <w:tcW w:w="504"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0.028</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NH</w:t>
            </w:r>
            <w:r>
              <w:rPr>
                <w:rFonts w:ascii="Times New Roman"/>
                <w:color w:val="000000" w:themeColor="text1"/>
                <w:szCs w:val="21"/>
                <w:highlight w:val="none"/>
                <w:vertAlign w:val="subscript"/>
                <w14:textFill>
                  <w14:solidFill>
                    <w14:schemeClr w14:val="tx1"/>
                  </w14:solidFill>
                </w14:textFill>
              </w:rPr>
              <w:t>3</w:t>
            </w:r>
            <w:r>
              <w:rPr>
                <w:rFonts w:ascii="Times New Roman"/>
                <w:color w:val="000000" w:themeColor="text1"/>
                <w:szCs w:val="21"/>
                <w:highlight w:val="none"/>
                <w14:textFill>
                  <w14:solidFill>
                    <w14:schemeClr w14:val="tx1"/>
                  </w14:solidFill>
                </w14:textFill>
              </w:rPr>
              <w:t>-N</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0.002</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p>
        </w:tc>
        <w:tc>
          <w:tcPr>
            <w:tcW w:w="504"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0.002</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TP</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0.00</w:t>
            </w:r>
            <w:r>
              <w:rPr>
                <w:rFonts w:hint="eastAsia"/>
                <w:color w:val="000000" w:themeColor="text1"/>
                <w:sz w:val="21"/>
                <w:szCs w:val="21"/>
                <w:highlight w:val="none"/>
                <w:lang w:val="en-US" w:eastAsia="zh-CN"/>
                <w14:textFill>
                  <w14:solidFill>
                    <w14:schemeClr w14:val="tx1"/>
                  </w14:solidFill>
                </w14:textFill>
              </w:rPr>
              <w:t>1</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1360" w:type="dxa"/>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0.00</w:t>
            </w:r>
            <w:r>
              <w:rPr>
                <w:rFonts w:hint="eastAsia"/>
                <w:color w:val="000000" w:themeColor="text1"/>
                <w:sz w:val="21"/>
                <w:szCs w:val="21"/>
                <w:highlight w:val="none"/>
                <w:lang w:val="en-US" w:eastAsia="zh-CN"/>
                <w14:textFill>
                  <w14:solidFill>
                    <w14:schemeClr w14:val="tx1"/>
                  </w14:solidFill>
                </w14:textFill>
              </w:rPr>
              <w:t>1</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hint="default" w:ascii="Times New Roman" w:eastAsia="宋体"/>
                <w:color w:val="000000" w:themeColor="text1"/>
                <w:szCs w:val="21"/>
                <w:highlight w:val="none"/>
                <w:lang w:val="en-US" w:eastAsia="zh-CN"/>
                <w14:textFill>
                  <w14:solidFill>
                    <w14:schemeClr w14:val="tx1"/>
                  </w14:solidFill>
                </w14:textFill>
              </w:rPr>
            </w:pPr>
            <w:r>
              <w:rPr>
                <w:rFonts w:hint="eastAsia" w:ascii="Times New Roman"/>
                <w:color w:val="000000" w:themeColor="text1"/>
                <w:szCs w:val="21"/>
                <w:highlight w:val="none"/>
                <w:lang w:val="en-US" w:eastAsia="zh-CN"/>
                <w14:textFill>
                  <w14:solidFill>
                    <w14:schemeClr w14:val="tx1"/>
                  </w14:solidFill>
                </w14:textFill>
              </w:rPr>
              <w:t>TN</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w:t>
            </w:r>
            <w:r>
              <w:rPr>
                <w:rFonts w:hint="eastAsia"/>
                <w:color w:val="000000" w:themeColor="text1"/>
                <w:sz w:val="21"/>
                <w:szCs w:val="21"/>
                <w:highlight w:val="none"/>
                <w:lang w:val="en-US" w:eastAsia="zh-CN"/>
                <w14:textFill>
                  <w14:solidFill>
                    <w14:schemeClr w14:val="tx1"/>
                  </w14:solidFill>
                </w14:textFill>
              </w:rPr>
              <w:t>1</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1360" w:type="dxa"/>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w:t>
            </w:r>
            <w:r>
              <w:rPr>
                <w:rFonts w:hint="eastAsia"/>
                <w:color w:val="000000" w:themeColor="text1"/>
                <w:sz w:val="21"/>
                <w:szCs w:val="21"/>
                <w:highlight w:val="none"/>
                <w:lang w:val="en-US" w:eastAsia="zh-CN"/>
                <w14:textFill>
                  <w14:solidFill>
                    <w14:schemeClr w14:val="tx1"/>
                  </w14:solidFill>
                </w14:textFill>
              </w:rPr>
              <w:t>1</w:t>
            </w:r>
          </w:p>
        </w:tc>
        <w:tc>
          <w:tcPr>
            <w:tcW w:w="533" w:type="pct"/>
            <w:noWrap w:val="0"/>
            <w:vAlign w:val="center"/>
          </w:tcPr>
          <w:p>
            <w:pPr>
              <w:adjustRightInd w:val="0"/>
              <w:snapToGrid w:val="0"/>
              <w:spacing w:line="240" w:lineRule="atLeast"/>
              <w:ind w:left="-105" w:leftChars="-50" w:right="-105" w:rightChars="-50"/>
              <w:jc w:val="center"/>
              <w:rPr>
                <w:rFonts w:hint="default" w:ascii="Times New Roman" w:eastAsia="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57"/>
              <w:spacing w:beforeLines="0" w:afterLines="0" w:line="240" w:lineRule="auto"/>
              <w:rPr>
                <w:rFonts w:hint="default" w:ascii="Times New Roman"/>
                <w:color w:val="000000" w:themeColor="text1"/>
                <w:szCs w:val="21"/>
                <w:highlight w:val="none"/>
                <w:lang w:val="en-US" w:eastAsia="zh-CN"/>
                <w14:textFill>
                  <w14:solidFill>
                    <w14:schemeClr w14:val="tx1"/>
                  </w14:solidFill>
                </w14:textFill>
              </w:rPr>
            </w:pPr>
            <w:r>
              <w:rPr>
                <w:rFonts w:hint="eastAsia" w:ascii="Times New Roman"/>
                <w:color w:val="000000" w:themeColor="text1"/>
                <w:szCs w:val="21"/>
                <w:highlight w:val="none"/>
                <w:lang w:val="en-US" w:eastAsia="zh-CN"/>
                <w14:textFill>
                  <w14:solidFill>
                    <w14:schemeClr w14:val="tx1"/>
                  </w14:solidFill>
                </w14:textFill>
              </w:rPr>
              <w:t>动植物油</w:t>
            </w:r>
          </w:p>
        </w:tc>
        <w:tc>
          <w:tcPr>
            <w:tcW w:w="1363" w:type="dxa"/>
            <w:noWrap w:val="0"/>
            <w:vAlign w:val="center"/>
          </w:tcPr>
          <w:p>
            <w:pPr>
              <w:pStyle w:val="57"/>
              <w:spacing w:beforeLines="0" w:afterLines="0" w:line="240" w:lineRule="auto"/>
              <w:ind w:left="420" w:leftChars="0" w:hanging="420" w:hangingChars="20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1077" w:type="dxa"/>
            <w:noWrap w:val="0"/>
            <w:vAlign w:val="center"/>
          </w:tcPr>
          <w:p>
            <w:pPr>
              <w:pStyle w:val="57"/>
              <w:spacing w:beforeLines="0" w:afterLines="0" w:line="240" w:lineRule="auto"/>
              <w:ind w:left="420" w:leftChars="0" w:hanging="420" w:hangingChars="20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1360" w:type="dxa"/>
            <w:noWrap w:val="0"/>
            <w:vAlign w:val="center"/>
          </w:tcPr>
          <w:p>
            <w:pPr>
              <w:pStyle w:val="57"/>
              <w:spacing w:beforeLines="0" w:afterLines="0" w:line="240" w:lineRule="auto"/>
              <w:ind w:left="420" w:leftChars="0" w:hanging="420" w:hangingChars="20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adjustRightInd w:val="0"/>
              <w:snapToGrid w:val="0"/>
              <w:spacing w:line="240" w:lineRule="atLeast"/>
              <w:ind w:left="-105" w:leftChars="-50" w:right="-105" w:rightChars="-5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0.005</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1360" w:type="dxa"/>
            <w:noWrap w:val="0"/>
            <w:vAlign w:val="center"/>
          </w:tcPr>
          <w:p>
            <w:pPr>
              <w:adjustRightInd w:val="0"/>
              <w:snapToGrid w:val="0"/>
              <w:spacing w:line="240" w:lineRule="atLeast"/>
              <w:ind w:left="-105" w:leftChars="-50" w:right="-105" w:rightChars="-5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0.005</w:t>
            </w:r>
          </w:p>
        </w:tc>
        <w:tc>
          <w:tcPr>
            <w:tcW w:w="533" w:type="pct"/>
            <w:noWrap w:val="0"/>
            <w:vAlign w:val="center"/>
          </w:tcPr>
          <w:p>
            <w:pPr>
              <w:adjustRightInd w:val="0"/>
              <w:snapToGrid w:val="0"/>
              <w:spacing w:line="240" w:lineRule="atLeast"/>
              <w:ind w:left="-105" w:leftChars="-50" w:right="-105" w:rightChars="-50"/>
              <w:jc w:val="center"/>
              <w:rPr>
                <w:rFonts w:hint="eastAsia" w:eastAsia="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restar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一般工业</w:t>
            </w:r>
          </w:p>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固体废物</w:t>
            </w:r>
          </w:p>
        </w:tc>
        <w:tc>
          <w:tcPr>
            <w:tcW w:w="1082"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钢材边角料</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5"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0.86</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w:t>
            </w:r>
          </w:p>
        </w:tc>
        <w:tc>
          <w:tcPr>
            <w:tcW w:w="504"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0.86</w:t>
            </w:r>
          </w:p>
        </w:tc>
        <w:tc>
          <w:tcPr>
            <w:tcW w:w="533"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8"/>
              <w:spacing w:line="240" w:lineRule="auto"/>
              <w:ind w:firstLine="0" w:firstLineChars="0"/>
              <w:jc w:val="center"/>
              <w:rPr>
                <w:rFonts w:hint="default" w:ascii="Times New Roman"/>
                <w:color w:val="000000" w:themeColor="text1"/>
                <w:sz w:val="21"/>
                <w:szCs w:val="21"/>
                <w:highlight w:val="none"/>
                <w:lang w:val="en-US"/>
                <w14:textFill>
                  <w14:solidFill>
                    <w14:schemeClr w14:val="tx1"/>
                  </w14:solidFill>
                </w14:textFill>
              </w:rPr>
            </w:pPr>
            <w:r>
              <w:rPr>
                <w:rFonts w:hint="eastAsia" w:hAnsi="Times New Roman"/>
                <w:bCs/>
                <w:color w:val="000000" w:themeColor="text1"/>
                <w:sz w:val="21"/>
                <w:szCs w:val="21"/>
                <w:highlight w:val="none"/>
                <w:lang w:val="en-US" w:eastAsia="zh-CN"/>
                <w14:textFill>
                  <w14:solidFill>
                    <w14:schemeClr w14:val="tx1"/>
                  </w14:solidFill>
                </w14:textFill>
              </w:rPr>
              <w:t>除尘灰</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11.59</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11.59</w:t>
            </w:r>
          </w:p>
        </w:tc>
        <w:tc>
          <w:tcPr>
            <w:tcW w:w="533"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Merge w:val="restart"/>
            <w:noWrap w:val="0"/>
            <w:vAlign w:val="center"/>
          </w:tcPr>
          <w:p>
            <w:pPr>
              <w:pStyle w:val="57"/>
              <w:spacing w:before="24" w:after="24"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危险废物</w:t>
            </w:r>
          </w:p>
        </w:tc>
        <w:tc>
          <w:tcPr>
            <w:tcW w:w="1082" w:type="pct"/>
            <w:noWrap w:val="0"/>
            <w:vAlign w:val="center"/>
          </w:tcPr>
          <w:p>
            <w:pPr>
              <w:pStyle w:val="8"/>
              <w:spacing w:line="240" w:lineRule="auto"/>
              <w:ind w:firstLine="0" w:firstLineChars="0"/>
              <w:jc w:val="center"/>
              <w:rPr>
                <w:rFonts w:hint="eastAsia" w:ascii="Times New Roman"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hAnsi="Times New Roman"/>
                <w:bCs/>
                <w:color w:val="000000" w:themeColor="text1"/>
                <w:kern w:val="0"/>
                <w:sz w:val="21"/>
                <w:szCs w:val="21"/>
                <w:highlight w:val="none"/>
                <w14:textFill>
                  <w14:solidFill>
                    <w14:schemeClr w14:val="tx1"/>
                  </w14:solidFill>
                </w14:textFill>
              </w:rPr>
              <w:t>废</w:t>
            </w:r>
            <w:r>
              <w:rPr>
                <w:rFonts w:hint="eastAsia" w:hAnsi="Times New Roman"/>
                <w:bCs/>
                <w:color w:val="000000" w:themeColor="text1"/>
                <w:kern w:val="0"/>
                <w:sz w:val="21"/>
                <w:szCs w:val="21"/>
                <w:highlight w:val="none"/>
                <w:lang w:val="en-US" w:eastAsia="zh-CN"/>
                <w14:textFill>
                  <w14:solidFill>
                    <w14:schemeClr w14:val="tx1"/>
                  </w14:solidFill>
                </w14:textFill>
              </w:rPr>
              <w:t>润滑</w:t>
            </w:r>
            <w:r>
              <w:rPr>
                <w:rFonts w:hint="eastAsia" w:hAnsi="Times New Roman"/>
                <w:bCs/>
                <w:color w:val="000000" w:themeColor="text1"/>
                <w:kern w:val="0"/>
                <w:sz w:val="21"/>
                <w:szCs w:val="21"/>
                <w:highlight w:val="none"/>
                <w14:textFill>
                  <w14:solidFill>
                    <w14:schemeClr w14:val="tx1"/>
                  </w14:solidFill>
                </w14:textFill>
              </w:rPr>
              <w:t>油</w:t>
            </w:r>
          </w:p>
        </w:tc>
        <w:tc>
          <w:tcPr>
            <w:tcW w:w="505" w:type="pct"/>
            <w:noWrap w:val="0"/>
            <w:vAlign w:val="center"/>
          </w:tcPr>
          <w:p>
            <w:pPr>
              <w:pStyle w:val="57"/>
              <w:spacing w:beforeLines="0" w:afterLines="0" w:line="240" w:lineRule="auto"/>
              <w:ind w:left="420" w:leftChars="0" w:hanging="420" w:hangingChars="200"/>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ind w:left="420" w:leftChars="0" w:hanging="420" w:hangingChars="200"/>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ascii="Times New Roman"/>
                <w:color w:val="000000" w:themeColor="text1"/>
                <w:sz w:val="21"/>
                <w:szCs w:val="21"/>
                <w:highlight w:val="none"/>
                <w:lang w:val="en-US" w:eastAsia="zh-CN"/>
                <w14:textFill>
                  <w14:solidFill>
                    <w14:schemeClr w14:val="tx1"/>
                  </w14:solidFill>
                </w14:textFill>
              </w:rPr>
              <w:t>0.</w:t>
            </w:r>
            <w:r>
              <w:rPr>
                <w:rFonts w:hint="eastAsia"/>
                <w:color w:val="000000" w:themeColor="text1"/>
                <w:sz w:val="21"/>
                <w:szCs w:val="21"/>
                <w:highlight w:val="none"/>
                <w:lang w:val="en-US" w:eastAsia="zh-CN"/>
                <w14:textFill>
                  <w14:solidFill>
                    <w14:schemeClr w14:val="tx1"/>
                  </w14:solidFill>
                </w14:textFill>
              </w:rPr>
              <w:t>05</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r>
              <w:rPr>
                <w:rFonts w:hint="eastAsia" w:ascii="Times New Roman"/>
                <w:color w:val="000000" w:themeColor="text1"/>
                <w:sz w:val="21"/>
                <w:szCs w:val="21"/>
                <w:highlight w:val="none"/>
                <w:lang w:val="en-US" w:eastAsia="zh-CN"/>
                <w14:textFill>
                  <w14:solidFill>
                    <w14:schemeClr w14:val="tx1"/>
                  </w14:solidFill>
                </w14:textFill>
              </w:rPr>
              <w:t>0.</w:t>
            </w:r>
            <w:r>
              <w:rPr>
                <w:rFonts w:hint="eastAsia"/>
                <w:color w:val="000000" w:themeColor="text1"/>
                <w:sz w:val="21"/>
                <w:szCs w:val="21"/>
                <w:highlight w:val="none"/>
                <w:lang w:val="en-US" w:eastAsia="zh-CN"/>
                <w14:textFill>
                  <w14:solidFill>
                    <w14:schemeClr w14:val="tx1"/>
                  </w14:solidFill>
                </w14:textFill>
              </w:rPr>
              <w:t>05</w:t>
            </w:r>
          </w:p>
        </w:tc>
        <w:tc>
          <w:tcPr>
            <w:tcW w:w="533"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p>
        </w:tc>
        <w:tc>
          <w:tcPr>
            <w:tcW w:w="1082" w:type="pct"/>
            <w:noWrap w:val="0"/>
            <w:vAlign w:val="center"/>
          </w:tcPr>
          <w:p>
            <w:pPr>
              <w:pStyle w:val="8"/>
              <w:spacing w:line="240" w:lineRule="auto"/>
              <w:ind w:firstLine="0" w:firstLineChars="0"/>
              <w:jc w:val="center"/>
              <w:rPr>
                <w:rFonts w:ascii="Times New Roman"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hAnsi="Times New Roman"/>
                <w:bCs/>
                <w:color w:val="000000" w:themeColor="text1"/>
                <w:kern w:val="0"/>
                <w:sz w:val="21"/>
                <w:szCs w:val="21"/>
                <w:highlight w:val="none"/>
                <w14:textFill>
                  <w14:solidFill>
                    <w14:schemeClr w14:val="tx1"/>
                  </w14:solidFill>
                </w14:textFill>
              </w:rPr>
              <w:t>废</w:t>
            </w:r>
            <w:r>
              <w:rPr>
                <w:rFonts w:hint="eastAsia" w:hAnsi="Times New Roman"/>
                <w:bCs/>
                <w:color w:val="000000" w:themeColor="text1"/>
                <w:kern w:val="0"/>
                <w:sz w:val="21"/>
                <w:szCs w:val="21"/>
                <w:highlight w:val="none"/>
                <w:lang w:val="en-US" w:eastAsia="zh-CN"/>
                <w14:textFill>
                  <w14:solidFill>
                    <w14:schemeClr w14:val="tx1"/>
                  </w14:solidFill>
                </w14:textFill>
              </w:rPr>
              <w:t>润滑</w:t>
            </w:r>
            <w:r>
              <w:rPr>
                <w:rFonts w:hint="eastAsia" w:hAnsi="Times New Roman"/>
                <w:bCs/>
                <w:color w:val="000000" w:themeColor="text1"/>
                <w:kern w:val="0"/>
                <w:sz w:val="21"/>
                <w:szCs w:val="21"/>
                <w:highlight w:val="none"/>
                <w14:textFill>
                  <w14:solidFill>
                    <w14:schemeClr w14:val="tx1"/>
                  </w14:solidFill>
                </w14:textFill>
              </w:rPr>
              <w:t>油桶</w:t>
            </w:r>
          </w:p>
        </w:tc>
        <w:tc>
          <w:tcPr>
            <w:tcW w:w="505" w:type="pct"/>
            <w:noWrap w:val="0"/>
            <w:vAlign w:val="center"/>
          </w:tcPr>
          <w:p>
            <w:pPr>
              <w:pStyle w:val="57"/>
              <w:spacing w:beforeLines="0" w:afterLines="0" w:line="240" w:lineRule="auto"/>
              <w:ind w:left="420" w:leftChars="0" w:hanging="420" w:hangingChars="200"/>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ind w:left="420" w:leftChars="0" w:hanging="420" w:hangingChars="200"/>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0.05</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0.05</w:t>
            </w:r>
          </w:p>
        </w:tc>
        <w:tc>
          <w:tcPr>
            <w:tcW w:w="533"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center"/>
          </w:tcPr>
          <w:p>
            <w:pPr>
              <w:pStyle w:val="57"/>
              <w:spacing w:beforeLines="0" w:afterLines="0" w:line="240" w:lineRule="auto"/>
              <w:rPr>
                <w:rFonts w:ascii="Times New Roman"/>
                <w:snapToGrid w:val="0"/>
                <w:color w:val="000000" w:themeColor="text1"/>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生活垃圾</w:t>
            </w:r>
          </w:p>
        </w:tc>
        <w:tc>
          <w:tcPr>
            <w:tcW w:w="1082"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生活垃圾</w:t>
            </w:r>
          </w:p>
        </w:tc>
        <w:tc>
          <w:tcPr>
            <w:tcW w:w="505"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399"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5" w:type="pct"/>
            <w:noWrap w:val="0"/>
            <w:vAlign w:val="center"/>
          </w:tcPr>
          <w:p>
            <w:pPr>
              <w:pStyle w:val="8"/>
              <w:spacing w:line="240" w:lineRule="auto"/>
              <w:ind w:firstLine="0" w:firstLineChars="0"/>
              <w:jc w:val="center"/>
              <w:rPr>
                <w:rFonts w:hint="default" w:ascii="Times New Roman" w:eastAsia="宋体"/>
                <w:color w:val="000000" w:themeColor="text1"/>
                <w:sz w:val="21"/>
                <w:szCs w:val="21"/>
                <w:highlight w:val="none"/>
                <w:lang w:val="en-US" w:eastAsia="zh-CN"/>
                <w14:textFill>
                  <w14:solidFill>
                    <w14:schemeClr w14:val="tx1"/>
                  </w14:solidFill>
                </w14:textFill>
              </w:rPr>
            </w:pPr>
            <w:r>
              <w:rPr>
                <w:rFonts w:hint="eastAsia" w:ascii="Times New Roman"/>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lang w:val="en-US" w:eastAsia="zh-CN"/>
                <w14:textFill>
                  <w14:solidFill>
                    <w14:schemeClr w14:val="tx1"/>
                  </w14:solidFill>
                </w14:textFill>
              </w:rPr>
              <w:t>05</w:t>
            </w:r>
          </w:p>
        </w:tc>
        <w:tc>
          <w:tcPr>
            <w:tcW w:w="504" w:type="pct"/>
            <w:noWrap w:val="0"/>
            <w:vAlign w:val="center"/>
          </w:tcPr>
          <w:p>
            <w:pPr>
              <w:pStyle w:val="57"/>
              <w:spacing w:beforeLines="0" w:afterLines="0" w:line="240" w:lineRule="auto"/>
              <w:rPr>
                <w:rFonts w:ascii="Times New Roman"/>
                <w:color w:val="000000" w:themeColor="text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w:t>
            </w:r>
          </w:p>
        </w:tc>
        <w:tc>
          <w:tcPr>
            <w:tcW w:w="504"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r>
              <w:rPr>
                <w:rFonts w:hint="eastAsia" w:ascii="Times New Roman"/>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lang w:val="en-US" w:eastAsia="zh-CN"/>
                <w14:textFill>
                  <w14:solidFill>
                    <w14:schemeClr w14:val="tx1"/>
                  </w14:solidFill>
                </w14:textFill>
              </w:rPr>
              <w:t>05</w:t>
            </w:r>
          </w:p>
        </w:tc>
        <w:tc>
          <w:tcPr>
            <w:tcW w:w="533" w:type="pct"/>
            <w:noWrap w:val="0"/>
            <w:vAlign w:val="center"/>
          </w:tcPr>
          <w:p>
            <w:pPr>
              <w:pStyle w:val="8"/>
              <w:spacing w:line="240" w:lineRule="auto"/>
              <w:ind w:firstLine="0" w:firstLineChars="0"/>
              <w:jc w:val="center"/>
              <w:rPr>
                <w:rFonts w:hint="default" w:ascii="Times New Roman" w:hAnsi="Calibri" w:eastAsia="宋体"/>
                <w:color w:val="000000" w:themeColor="text1"/>
                <w:kern w:val="2"/>
                <w:sz w:val="21"/>
                <w:szCs w:val="21"/>
                <w:highlight w:val="none"/>
                <w:lang w:val="en-US" w:eastAsia="zh-CN" w:bidi="ar-SA"/>
                <w14:textFill>
                  <w14:solidFill>
                    <w14:schemeClr w14:val="tx1"/>
                  </w14:solidFill>
                </w14:textFill>
              </w:rPr>
            </w:pPr>
          </w:p>
        </w:tc>
      </w:tr>
    </w:tbl>
    <w:p>
      <w:pPr>
        <w:pStyle w:val="57"/>
        <w:spacing w:before="120" w:beforeLines="50" w:afterLines="0" w:line="240" w:lineRule="auto"/>
        <w:jc w:val="left"/>
        <w:rPr>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648" w:beforeLines="270" w:beforeAutospacing="0" w:after="648" w:afterLines="270" w:afterAutospacing="0"/>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编制单位和编制人员情况表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27"/>
        <w:gridCol w:w="1859"/>
        <w:gridCol w:w="2180"/>
        <w:gridCol w:w="1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项目编号</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建设项目名称</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新能源照明设备生产项目</w:t>
            </w:r>
            <w:r>
              <w:rPr>
                <w:rFonts w:hint="default" w:ascii="Times New Roman" w:hAnsi="Times New Roman" w:eastAsia="宋体" w:cs="Times New Roman"/>
                <w:color w:val="000000"/>
                <w:kern w:val="2"/>
                <w:sz w:val="21"/>
                <w:szCs w:val="21"/>
                <w:lang w:val="en-US" w:eastAsia="zh-CN" w:bidi="ar-S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建设项目类别</w:t>
            </w:r>
          </w:p>
        </w:tc>
        <w:tc>
          <w:tcPr>
            <w:tcW w:w="5400" w:type="dxa"/>
            <w:gridSpan w:val="3"/>
            <w:noWrap w:val="0"/>
            <w:vAlign w:val="center"/>
          </w:tcPr>
          <w:p>
            <w:pPr>
              <w:pStyle w:val="2"/>
              <w:keepNext w:val="0"/>
              <w:keepLines w:val="0"/>
              <w:pageBreakBefore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三十</w:t>
            </w:r>
            <w:r>
              <w:rPr>
                <w:rFonts w:hint="eastAsia" w:ascii="Times New Roman" w:hAnsi="Times New Roman" w:eastAsia="宋体" w:cs="Times New Roman"/>
                <w:color w:val="000000"/>
                <w:kern w:val="2"/>
                <w:sz w:val="21"/>
                <w:szCs w:val="21"/>
                <w:lang w:val="en-US" w:eastAsia="zh-CN" w:bidi="ar-SA"/>
              </w:rPr>
              <w:t>五</w:t>
            </w:r>
            <w:r>
              <w:rPr>
                <w:rFonts w:hint="default" w:ascii="Times New Roman" w:hAnsi="Times New Roman" w:eastAsia="宋体" w:cs="Times New Roman"/>
                <w:color w:val="000000"/>
                <w:kern w:val="2"/>
                <w:sz w:val="21"/>
                <w:szCs w:val="21"/>
                <w:lang w:val="en-US" w:eastAsia="zh-CN" w:bidi="ar-SA"/>
              </w:rPr>
              <w:t>、电气机械和器材制造业38，照明器具制造 387；其他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环境影响评价文件类型</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19"/>
              <w:widowControl w:val="0"/>
              <w:adjustRightInd w:val="0"/>
              <w:snapToGrid w:val="0"/>
              <w:spacing w:before="0" w:beforeAutospacing="0" w:after="0" w:afterAutospacing="0"/>
              <w:jc w:val="both"/>
              <w:rPr>
                <w:rFonts w:hint="default" w:ascii="Times New Roman" w:hAnsi="Times New Roman" w:eastAsia="黑体" w:cs="Times New Roman"/>
                <w:color w:val="000000"/>
                <w:kern w:val="2"/>
                <w:sz w:val="21"/>
                <w:szCs w:val="21"/>
              </w:rPr>
            </w:pPr>
            <w:r>
              <w:rPr>
                <w:rFonts w:hint="default" w:ascii="Times New Roman" w:hAnsi="Times New Roman" w:eastAsia="黑体" w:cs="Times New Roman"/>
                <w:color w:val="000000"/>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单位名称（盖章）</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永州菲利特照明电器有限公司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统一社会信用代码</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91431100MAC7FLHM2W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法定代表人（签章）</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宋名槐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主要负责人（签字）</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宋名槐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直接负责的主管人员（签字）</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宋名槐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19"/>
              <w:widowControl w:val="0"/>
              <w:adjustRightInd w:val="0"/>
              <w:snapToGrid w:val="0"/>
              <w:spacing w:before="0" w:beforeAutospacing="0" w:after="0" w:afterAutospacing="0"/>
              <w:jc w:val="both"/>
              <w:rPr>
                <w:rFonts w:hint="default" w:ascii="Times New Roman" w:hAnsi="Times New Roman" w:eastAsia="黑体" w:cs="Times New Roman"/>
                <w:b/>
                <w:color w:val="000000"/>
                <w:kern w:val="2"/>
                <w:sz w:val="21"/>
                <w:szCs w:val="21"/>
              </w:rPr>
            </w:pPr>
            <w:r>
              <w:rPr>
                <w:rFonts w:hint="default" w:ascii="Times New Roman" w:hAnsi="Times New Roman" w:eastAsia="黑体" w:cs="Times New Roman"/>
                <w:color w:val="000000"/>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单位名称（盖章）</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长沙博均环保科技有限公司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统一社会信用代码</w:t>
            </w:r>
          </w:p>
        </w:tc>
        <w:tc>
          <w:tcPr>
            <w:tcW w:w="5400"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91430111MABPQJ652R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19"/>
              <w:widowControl w:val="0"/>
              <w:adjustRightInd w:val="0"/>
              <w:snapToGrid w:val="0"/>
              <w:spacing w:before="0" w:beforeAutospacing="0" w:after="0" w:afterAutospacing="0"/>
              <w:rPr>
                <w:rFonts w:hint="default" w:ascii="Times New Roman" w:hAnsi="Times New Roman" w:eastAsia="黑体" w:cs="Times New Roman"/>
                <w:color w:val="000000"/>
                <w:kern w:val="2"/>
                <w:sz w:val="21"/>
                <w:szCs w:val="21"/>
              </w:rPr>
            </w:pPr>
            <w:r>
              <w:rPr>
                <w:rFonts w:hint="default" w:ascii="Times New Roman" w:hAnsi="Times New Roman" w:eastAsia="黑体" w:cs="Times New Roman"/>
                <w:color w:val="000000"/>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19"/>
              <w:widowControl w:val="0"/>
              <w:adjustRightInd w:val="0"/>
              <w:snapToGrid w:val="0"/>
              <w:spacing w:before="0" w:beforeAutospacing="0" w:after="0" w:afterAutospacing="0"/>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1.编制主持人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姓名</w:t>
            </w:r>
          </w:p>
        </w:tc>
        <w:tc>
          <w:tcPr>
            <w:tcW w:w="418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职业资格证书管理号</w:t>
            </w:r>
          </w:p>
        </w:tc>
        <w:tc>
          <w:tcPr>
            <w:tcW w:w="2180"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信用编号</w:t>
            </w:r>
          </w:p>
        </w:tc>
        <w:tc>
          <w:tcPr>
            <w:tcW w:w="1361"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罗鑫</w:t>
            </w:r>
          </w:p>
        </w:tc>
        <w:tc>
          <w:tcPr>
            <w:tcW w:w="418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08353543506350063</w:t>
            </w:r>
          </w:p>
        </w:tc>
        <w:tc>
          <w:tcPr>
            <w:tcW w:w="2180"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BH034972</w:t>
            </w:r>
          </w:p>
        </w:tc>
        <w:tc>
          <w:tcPr>
            <w:tcW w:w="1361"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19"/>
              <w:widowControl w:val="0"/>
              <w:adjustRightInd w:val="0"/>
              <w:snapToGrid w:val="0"/>
              <w:spacing w:before="0" w:beforeAutospacing="0" w:after="0" w:afterAutospacing="0"/>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姓名</w:t>
            </w:r>
          </w:p>
        </w:tc>
        <w:tc>
          <w:tcPr>
            <w:tcW w:w="418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主要编写内容</w:t>
            </w:r>
          </w:p>
        </w:tc>
        <w:tc>
          <w:tcPr>
            <w:tcW w:w="2180"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信用编号</w:t>
            </w:r>
          </w:p>
        </w:tc>
        <w:tc>
          <w:tcPr>
            <w:tcW w:w="1361"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rPr>
              <w:t>罗鑫</w:t>
            </w:r>
          </w:p>
        </w:tc>
        <w:tc>
          <w:tcPr>
            <w:tcW w:w="4186" w:type="dxa"/>
            <w:gridSpan w:val="2"/>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建设项目基本情况、建设项目工程分析、区域环境质量现状、环境保护目标及评价标准、主要环境影响和保护措施、环境保护措施监督检查清单、结论</w:t>
            </w:r>
          </w:p>
        </w:tc>
        <w:tc>
          <w:tcPr>
            <w:tcW w:w="2180"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rPr>
              <w:t>BH034972</w:t>
            </w:r>
          </w:p>
        </w:tc>
        <w:tc>
          <w:tcPr>
            <w:tcW w:w="1361" w:type="dxa"/>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4186" w:type="dxa"/>
            <w:gridSpan w:val="2"/>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2180"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1361"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3"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4186" w:type="dxa"/>
            <w:gridSpan w:val="2"/>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2180"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c>
          <w:tcPr>
            <w:tcW w:w="1361" w:type="dxa"/>
            <w:noWrap w:val="0"/>
            <w:vAlign w:val="center"/>
          </w:tcPr>
          <w:p>
            <w:pPr>
              <w:pStyle w:val="19"/>
              <w:widowControl w:val="0"/>
              <w:adjustRightInd w:val="0"/>
              <w:snapToGrid w:val="0"/>
              <w:spacing w:before="0" w:beforeAutospacing="0" w:after="0" w:afterAutospacing="0"/>
              <w:jc w:val="center"/>
              <w:rPr>
                <w:rFonts w:cs="宋体"/>
                <w:color w:val="000000"/>
                <w:kern w:val="2"/>
                <w:sz w:val="21"/>
                <w:szCs w:val="21"/>
              </w:rPr>
            </w:pPr>
          </w:p>
        </w:tc>
      </w:tr>
    </w:tbl>
    <w:p>
      <w:pPr>
        <w:adjustRightInd w:val="0"/>
        <w:snapToGrid w:val="0"/>
        <w:spacing w:before="192" w:beforeLines="80"/>
      </w:pPr>
      <w:r>
        <w:rPr>
          <w:rFonts w:hint="eastAsia" w:ascii="宋体" w:hAnsi="宋体" w:cs="宋体"/>
          <w:szCs w:val="21"/>
        </w:rPr>
        <w:t>注：该表由环境影响评价信用平台自动生成</w:t>
      </w:r>
    </w:p>
    <w:p/>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F9714"/>
    <w:multiLevelType w:val="singleLevel"/>
    <w:tmpl w:val="8BFF9714"/>
    <w:lvl w:ilvl="0" w:tentative="0">
      <w:start w:val="1"/>
      <w:numFmt w:val="decimal"/>
      <w:pStyle w:val="63"/>
      <w:suff w:val="nothing"/>
      <w:lvlText w:val="表1-%1　"/>
      <w:lvlJc w:val="left"/>
      <w:pPr>
        <w:ind w:left="0" w:firstLine="403"/>
      </w:pPr>
      <w:rPr>
        <w:rFonts w:hint="default"/>
      </w:rPr>
    </w:lvl>
  </w:abstractNum>
  <w:abstractNum w:abstractNumId="1">
    <w:nsid w:val="959B39F7"/>
    <w:multiLevelType w:val="singleLevel"/>
    <w:tmpl w:val="959B39F7"/>
    <w:lvl w:ilvl="0" w:tentative="0">
      <w:start w:val="1"/>
      <w:numFmt w:val="decimal"/>
      <w:suff w:val="nothing"/>
      <w:lvlText w:val="%1）"/>
      <w:lvlJc w:val="left"/>
    </w:lvl>
  </w:abstractNum>
  <w:abstractNum w:abstractNumId="2">
    <w:nsid w:val="B9BC9547"/>
    <w:multiLevelType w:val="singleLevel"/>
    <w:tmpl w:val="B9BC9547"/>
    <w:lvl w:ilvl="0" w:tentative="0">
      <w:start w:val="2"/>
      <w:numFmt w:val="decimal"/>
      <w:suff w:val="nothing"/>
      <w:lvlText w:val="%1、"/>
      <w:lvlJc w:val="left"/>
    </w:lvl>
  </w:abstractNum>
  <w:abstractNum w:abstractNumId="3">
    <w:nsid w:val="C75121A2"/>
    <w:multiLevelType w:val="singleLevel"/>
    <w:tmpl w:val="C75121A2"/>
    <w:lvl w:ilvl="0" w:tentative="0">
      <w:start w:val="1"/>
      <w:numFmt w:val="decimal"/>
      <w:pStyle w:val="67"/>
      <w:suff w:val="space"/>
      <w:lvlText w:val="表1-%1"/>
      <w:lvlJc w:val="left"/>
      <w:pPr>
        <w:tabs>
          <w:tab w:val="left" w:pos="0"/>
        </w:tabs>
        <w:ind w:left="425" w:hanging="425"/>
      </w:pPr>
      <w:rPr>
        <w:rFonts w:hint="default" w:ascii="Times New Roman" w:hAnsi="Times New Roman" w:eastAsia="宋体" w:cs="宋体"/>
      </w:rPr>
    </w:lvl>
  </w:abstractNum>
  <w:abstractNum w:abstractNumId="4">
    <w:nsid w:val="E31E0A52"/>
    <w:multiLevelType w:val="singleLevel"/>
    <w:tmpl w:val="E31E0A52"/>
    <w:lvl w:ilvl="0" w:tentative="0">
      <w:start w:val="1"/>
      <w:numFmt w:val="decimal"/>
      <w:suff w:val="nothing"/>
      <w:lvlText w:val="（%1）"/>
      <w:lvlJc w:val="left"/>
    </w:lvl>
  </w:abstractNum>
  <w:abstractNum w:abstractNumId="5">
    <w:nsid w:val="12CA5D21"/>
    <w:multiLevelType w:val="singleLevel"/>
    <w:tmpl w:val="12CA5D21"/>
    <w:lvl w:ilvl="0" w:tentative="0">
      <w:start w:val="1"/>
      <w:numFmt w:val="decimal"/>
      <w:pStyle w:val="81"/>
      <w:suff w:val="nothing"/>
      <w:lvlText w:val="表4-%1"/>
      <w:lvlJc w:val="left"/>
      <w:pPr>
        <w:tabs>
          <w:tab w:val="left" w:pos="0"/>
        </w:tabs>
        <w:ind w:left="5460" w:firstLine="0"/>
      </w:pPr>
      <w:rPr>
        <w:rFonts w:hint="default" w:ascii="Times New Roman" w:hAnsi="Times New Roman" w:eastAsia="宋体" w:cs="Times New Roman"/>
        <w:b/>
        <w:bCs/>
        <w:sz w:val="24"/>
        <w:szCs w:val="24"/>
      </w:rPr>
    </w:lvl>
  </w:abstractNum>
  <w:abstractNum w:abstractNumId="6">
    <w:nsid w:val="15500E31"/>
    <w:multiLevelType w:val="singleLevel"/>
    <w:tmpl w:val="15500E31"/>
    <w:lvl w:ilvl="0" w:tentative="0">
      <w:start w:val="1"/>
      <w:numFmt w:val="decimal"/>
      <w:pStyle w:val="66"/>
      <w:suff w:val="nothing"/>
      <w:lvlText w:val="表4-%1　"/>
      <w:lvlJc w:val="left"/>
      <w:pPr>
        <w:ind w:left="0" w:firstLine="397"/>
      </w:pPr>
      <w:rPr>
        <w:rFonts w:hint="default"/>
      </w:rPr>
    </w:lvl>
  </w:abstractNum>
  <w:abstractNum w:abstractNumId="7">
    <w:nsid w:val="15F9F958"/>
    <w:multiLevelType w:val="singleLevel"/>
    <w:tmpl w:val="15F9F958"/>
    <w:lvl w:ilvl="0" w:tentative="0">
      <w:start w:val="1"/>
      <w:numFmt w:val="decimal"/>
      <w:pStyle w:val="85"/>
      <w:suff w:val="nothing"/>
      <w:lvlText w:val="表2-%1"/>
      <w:lvlJc w:val="left"/>
      <w:pPr>
        <w:ind w:left="0" w:firstLine="403"/>
      </w:pPr>
      <w:rPr>
        <w:rFonts w:hint="default"/>
      </w:rPr>
    </w:lvl>
  </w:abstractNum>
  <w:abstractNum w:abstractNumId="8">
    <w:nsid w:val="51045196"/>
    <w:multiLevelType w:val="singleLevel"/>
    <w:tmpl w:val="51045196"/>
    <w:lvl w:ilvl="0" w:tentative="0">
      <w:start w:val="1"/>
      <w:numFmt w:val="decimal"/>
      <w:pStyle w:val="83"/>
      <w:lvlText w:val="表%1 "/>
      <w:lvlJc w:val="left"/>
      <w:pPr>
        <w:tabs>
          <w:tab w:val="left" w:pos="420"/>
        </w:tabs>
        <w:ind w:left="425" w:hanging="425"/>
      </w:pPr>
      <w:rPr>
        <w:rFonts w:hint="default" w:ascii="宋体" w:hAnsi="宋体" w:eastAsia="宋体" w:cs="宋体"/>
      </w:rPr>
    </w:lvl>
  </w:abstractNum>
  <w:abstractNum w:abstractNumId="9">
    <w:nsid w:val="570C8942"/>
    <w:multiLevelType w:val="singleLevel"/>
    <w:tmpl w:val="570C8942"/>
    <w:lvl w:ilvl="0" w:tentative="0">
      <w:start w:val="1"/>
      <w:numFmt w:val="decimal"/>
      <w:pStyle w:val="80"/>
      <w:suff w:val="nothing"/>
      <w:lvlText w:val="表3-%1　"/>
      <w:lvlJc w:val="left"/>
      <w:pPr>
        <w:ind w:left="0" w:firstLine="403"/>
      </w:pPr>
      <w:rPr>
        <w:rFonts w:hint="default"/>
      </w:rPr>
    </w:lvl>
  </w:abstractNum>
  <w:abstractNum w:abstractNumId="10">
    <w:nsid w:val="633C0334"/>
    <w:multiLevelType w:val="singleLevel"/>
    <w:tmpl w:val="633C0334"/>
    <w:lvl w:ilvl="0" w:tentative="0">
      <w:start w:val="1"/>
      <w:numFmt w:val="decimal"/>
      <w:pStyle w:val="68"/>
      <w:suff w:val="nothing"/>
      <w:lvlText w:val="表2-%1　"/>
      <w:lvlJc w:val="left"/>
      <w:pPr>
        <w:tabs>
          <w:tab w:val="left" w:pos="0"/>
        </w:tabs>
        <w:ind w:left="0" w:firstLine="400"/>
      </w:pPr>
      <w:rPr>
        <w:rFonts w:hint="default" w:ascii="Times New Roman" w:hAnsi="Times New Roman" w:eastAsia="宋体" w:cs="宋体"/>
        <w:b/>
        <w:sz w:val="24"/>
        <w:szCs w:val="24"/>
      </w:rPr>
    </w:lvl>
  </w:abstractNum>
  <w:num w:numId="1">
    <w:abstractNumId w:val="0"/>
  </w:num>
  <w:num w:numId="2">
    <w:abstractNumId w:val="6"/>
  </w:num>
  <w:num w:numId="3">
    <w:abstractNumId w:val="3"/>
  </w:num>
  <w:num w:numId="4">
    <w:abstractNumId w:val="10"/>
  </w:num>
  <w:num w:numId="5">
    <w:abstractNumId w:val="9"/>
  </w:num>
  <w:num w:numId="6">
    <w:abstractNumId w:val="5"/>
  </w:num>
  <w:num w:numId="7">
    <w:abstractNumId w:val="8"/>
  </w:num>
  <w:num w:numId="8">
    <w:abstractNumId w:val="7"/>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2QwY2M2NGI4NDRmZjlmZTE1YTk5ZmQzMjc0NjIifQ=="/>
  </w:docVars>
  <w:rsids>
    <w:rsidRoot w:val="00A14947"/>
    <w:rsid w:val="000039D6"/>
    <w:rsid w:val="000047C6"/>
    <w:rsid w:val="00004B25"/>
    <w:rsid w:val="000052FD"/>
    <w:rsid w:val="000060B3"/>
    <w:rsid w:val="0000658C"/>
    <w:rsid w:val="00007575"/>
    <w:rsid w:val="00007DF4"/>
    <w:rsid w:val="00011FE1"/>
    <w:rsid w:val="00011FE5"/>
    <w:rsid w:val="00012E6D"/>
    <w:rsid w:val="0001465C"/>
    <w:rsid w:val="000150F0"/>
    <w:rsid w:val="00017DE7"/>
    <w:rsid w:val="00020161"/>
    <w:rsid w:val="000230FA"/>
    <w:rsid w:val="00023445"/>
    <w:rsid w:val="00025E64"/>
    <w:rsid w:val="0002694A"/>
    <w:rsid w:val="00026DD0"/>
    <w:rsid w:val="00030CA1"/>
    <w:rsid w:val="00031FAC"/>
    <w:rsid w:val="000327E3"/>
    <w:rsid w:val="00033C3B"/>
    <w:rsid w:val="000344CD"/>
    <w:rsid w:val="00034756"/>
    <w:rsid w:val="00035176"/>
    <w:rsid w:val="00041B57"/>
    <w:rsid w:val="0004364B"/>
    <w:rsid w:val="00045535"/>
    <w:rsid w:val="0004772F"/>
    <w:rsid w:val="000479B1"/>
    <w:rsid w:val="00050743"/>
    <w:rsid w:val="000511D3"/>
    <w:rsid w:val="00051495"/>
    <w:rsid w:val="0005179F"/>
    <w:rsid w:val="00052902"/>
    <w:rsid w:val="00053067"/>
    <w:rsid w:val="00055031"/>
    <w:rsid w:val="000605E6"/>
    <w:rsid w:val="00061313"/>
    <w:rsid w:val="00061B1F"/>
    <w:rsid w:val="00061CF4"/>
    <w:rsid w:val="00064B37"/>
    <w:rsid w:val="00070119"/>
    <w:rsid w:val="00070686"/>
    <w:rsid w:val="00070D01"/>
    <w:rsid w:val="00071775"/>
    <w:rsid w:val="0007282B"/>
    <w:rsid w:val="00072C94"/>
    <w:rsid w:val="000733C4"/>
    <w:rsid w:val="0007380C"/>
    <w:rsid w:val="00074783"/>
    <w:rsid w:val="0008031E"/>
    <w:rsid w:val="0008070B"/>
    <w:rsid w:val="00080EDD"/>
    <w:rsid w:val="000810AC"/>
    <w:rsid w:val="00081A02"/>
    <w:rsid w:val="00082009"/>
    <w:rsid w:val="00082231"/>
    <w:rsid w:val="000835E5"/>
    <w:rsid w:val="000867E2"/>
    <w:rsid w:val="000878D2"/>
    <w:rsid w:val="000879ED"/>
    <w:rsid w:val="00091710"/>
    <w:rsid w:val="0009241A"/>
    <w:rsid w:val="000925A6"/>
    <w:rsid w:val="00092D38"/>
    <w:rsid w:val="00093369"/>
    <w:rsid w:val="0009377B"/>
    <w:rsid w:val="00093D25"/>
    <w:rsid w:val="00097C3C"/>
    <w:rsid w:val="000A0078"/>
    <w:rsid w:val="000A20C9"/>
    <w:rsid w:val="000A3874"/>
    <w:rsid w:val="000A4B06"/>
    <w:rsid w:val="000A6383"/>
    <w:rsid w:val="000A6B6D"/>
    <w:rsid w:val="000A7B70"/>
    <w:rsid w:val="000B00E5"/>
    <w:rsid w:val="000B058F"/>
    <w:rsid w:val="000B1F11"/>
    <w:rsid w:val="000B2FC2"/>
    <w:rsid w:val="000B378D"/>
    <w:rsid w:val="000B3E8C"/>
    <w:rsid w:val="000B43F7"/>
    <w:rsid w:val="000B4467"/>
    <w:rsid w:val="000B481F"/>
    <w:rsid w:val="000B4DB9"/>
    <w:rsid w:val="000B6D4E"/>
    <w:rsid w:val="000C09AC"/>
    <w:rsid w:val="000C31C1"/>
    <w:rsid w:val="000C4747"/>
    <w:rsid w:val="000C4782"/>
    <w:rsid w:val="000C767F"/>
    <w:rsid w:val="000D0308"/>
    <w:rsid w:val="000D1B5E"/>
    <w:rsid w:val="000D290F"/>
    <w:rsid w:val="000D3D50"/>
    <w:rsid w:val="000D4A38"/>
    <w:rsid w:val="000D5658"/>
    <w:rsid w:val="000D5961"/>
    <w:rsid w:val="000D5A44"/>
    <w:rsid w:val="000D63C2"/>
    <w:rsid w:val="000D7D29"/>
    <w:rsid w:val="000E0175"/>
    <w:rsid w:val="000E0BB1"/>
    <w:rsid w:val="000E0F59"/>
    <w:rsid w:val="000E134E"/>
    <w:rsid w:val="000E3ED2"/>
    <w:rsid w:val="000E570F"/>
    <w:rsid w:val="000E7519"/>
    <w:rsid w:val="000F040B"/>
    <w:rsid w:val="000F0702"/>
    <w:rsid w:val="000F2635"/>
    <w:rsid w:val="000F29A4"/>
    <w:rsid w:val="000F2AC9"/>
    <w:rsid w:val="000F31A1"/>
    <w:rsid w:val="000F3302"/>
    <w:rsid w:val="000F379F"/>
    <w:rsid w:val="000F3A46"/>
    <w:rsid w:val="000F4155"/>
    <w:rsid w:val="000F6301"/>
    <w:rsid w:val="000F7729"/>
    <w:rsid w:val="001012C9"/>
    <w:rsid w:val="00102617"/>
    <w:rsid w:val="00103138"/>
    <w:rsid w:val="00104176"/>
    <w:rsid w:val="00105248"/>
    <w:rsid w:val="00106D24"/>
    <w:rsid w:val="001074A2"/>
    <w:rsid w:val="00107D3D"/>
    <w:rsid w:val="0011189A"/>
    <w:rsid w:val="00112726"/>
    <w:rsid w:val="00115DF6"/>
    <w:rsid w:val="0011628E"/>
    <w:rsid w:val="00117FCA"/>
    <w:rsid w:val="001236C7"/>
    <w:rsid w:val="001249C8"/>
    <w:rsid w:val="001268BD"/>
    <w:rsid w:val="00126CC1"/>
    <w:rsid w:val="00127275"/>
    <w:rsid w:val="00130404"/>
    <w:rsid w:val="001312A9"/>
    <w:rsid w:val="0013193C"/>
    <w:rsid w:val="00131F42"/>
    <w:rsid w:val="00132290"/>
    <w:rsid w:val="00133C17"/>
    <w:rsid w:val="00134049"/>
    <w:rsid w:val="001342D2"/>
    <w:rsid w:val="0013553D"/>
    <w:rsid w:val="001357F1"/>
    <w:rsid w:val="001404A2"/>
    <w:rsid w:val="001404D4"/>
    <w:rsid w:val="00140FA8"/>
    <w:rsid w:val="00142FEB"/>
    <w:rsid w:val="00143A2D"/>
    <w:rsid w:val="00145A41"/>
    <w:rsid w:val="00146689"/>
    <w:rsid w:val="001468B3"/>
    <w:rsid w:val="00146F88"/>
    <w:rsid w:val="00150840"/>
    <w:rsid w:val="00151675"/>
    <w:rsid w:val="00153ABD"/>
    <w:rsid w:val="001541DF"/>
    <w:rsid w:val="00154806"/>
    <w:rsid w:val="0015540C"/>
    <w:rsid w:val="00157435"/>
    <w:rsid w:val="00157526"/>
    <w:rsid w:val="001578DC"/>
    <w:rsid w:val="00157E3D"/>
    <w:rsid w:val="00161266"/>
    <w:rsid w:val="001612E0"/>
    <w:rsid w:val="00162892"/>
    <w:rsid w:val="00163648"/>
    <w:rsid w:val="001640BC"/>
    <w:rsid w:val="001647FA"/>
    <w:rsid w:val="00165FB3"/>
    <w:rsid w:val="00167DCB"/>
    <w:rsid w:val="0017023A"/>
    <w:rsid w:val="00170418"/>
    <w:rsid w:val="001710CA"/>
    <w:rsid w:val="00173185"/>
    <w:rsid w:val="001743FF"/>
    <w:rsid w:val="00174B61"/>
    <w:rsid w:val="0017504D"/>
    <w:rsid w:val="00175052"/>
    <w:rsid w:val="00175645"/>
    <w:rsid w:val="00175D60"/>
    <w:rsid w:val="0017671A"/>
    <w:rsid w:val="00177422"/>
    <w:rsid w:val="001778F4"/>
    <w:rsid w:val="0018458F"/>
    <w:rsid w:val="00184590"/>
    <w:rsid w:val="00185070"/>
    <w:rsid w:val="00185607"/>
    <w:rsid w:val="00186204"/>
    <w:rsid w:val="001870D1"/>
    <w:rsid w:val="00187249"/>
    <w:rsid w:val="0018777B"/>
    <w:rsid w:val="0018781E"/>
    <w:rsid w:val="00190565"/>
    <w:rsid w:val="00190A94"/>
    <w:rsid w:val="00190E9D"/>
    <w:rsid w:val="001914F0"/>
    <w:rsid w:val="0019262D"/>
    <w:rsid w:val="00193302"/>
    <w:rsid w:val="00193959"/>
    <w:rsid w:val="00193BFB"/>
    <w:rsid w:val="0019510D"/>
    <w:rsid w:val="0019558C"/>
    <w:rsid w:val="00195B93"/>
    <w:rsid w:val="001967D9"/>
    <w:rsid w:val="0019793A"/>
    <w:rsid w:val="001A1617"/>
    <w:rsid w:val="001A1B35"/>
    <w:rsid w:val="001A1C5C"/>
    <w:rsid w:val="001A27F5"/>
    <w:rsid w:val="001A3C0A"/>
    <w:rsid w:val="001A3D90"/>
    <w:rsid w:val="001A48A2"/>
    <w:rsid w:val="001A4BA4"/>
    <w:rsid w:val="001A4BFB"/>
    <w:rsid w:val="001A58A1"/>
    <w:rsid w:val="001A5C3E"/>
    <w:rsid w:val="001A6298"/>
    <w:rsid w:val="001A664B"/>
    <w:rsid w:val="001A6B35"/>
    <w:rsid w:val="001A6F61"/>
    <w:rsid w:val="001A7A57"/>
    <w:rsid w:val="001B0923"/>
    <w:rsid w:val="001B1500"/>
    <w:rsid w:val="001B434E"/>
    <w:rsid w:val="001B4B9C"/>
    <w:rsid w:val="001B5143"/>
    <w:rsid w:val="001B6477"/>
    <w:rsid w:val="001B7001"/>
    <w:rsid w:val="001B72B8"/>
    <w:rsid w:val="001B72E1"/>
    <w:rsid w:val="001B7F4A"/>
    <w:rsid w:val="001C0884"/>
    <w:rsid w:val="001C2680"/>
    <w:rsid w:val="001C4254"/>
    <w:rsid w:val="001C69B3"/>
    <w:rsid w:val="001D0484"/>
    <w:rsid w:val="001D137F"/>
    <w:rsid w:val="001D2EDE"/>
    <w:rsid w:val="001D3783"/>
    <w:rsid w:val="001D381B"/>
    <w:rsid w:val="001D5595"/>
    <w:rsid w:val="001D69BD"/>
    <w:rsid w:val="001D7874"/>
    <w:rsid w:val="001D7F22"/>
    <w:rsid w:val="001E0539"/>
    <w:rsid w:val="001E16B3"/>
    <w:rsid w:val="001E4ADF"/>
    <w:rsid w:val="001E4D8B"/>
    <w:rsid w:val="001E6DE3"/>
    <w:rsid w:val="001F0F17"/>
    <w:rsid w:val="001F0FE9"/>
    <w:rsid w:val="001F1017"/>
    <w:rsid w:val="001F1252"/>
    <w:rsid w:val="001F24AB"/>
    <w:rsid w:val="001F2EAA"/>
    <w:rsid w:val="001F3320"/>
    <w:rsid w:val="001F3347"/>
    <w:rsid w:val="001F374E"/>
    <w:rsid w:val="001F4CF0"/>
    <w:rsid w:val="001F5CD5"/>
    <w:rsid w:val="001F69E4"/>
    <w:rsid w:val="001F7FE0"/>
    <w:rsid w:val="00201F4D"/>
    <w:rsid w:val="00202A2D"/>
    <w:rsid w:val="00204D62"/>
    <w:rsid w:val="002075AB"/>
    <w:rsid w:val="0020793A"/>
    <w:rsid w:val="002103E8"/>
    <w:rsid w:val="002108AE"/>
    <w:rsid w:val="002109D8"/>
    <w:rsid w:val="00210A2E"/>
    <w:rsid w:val="002110E7"/>
    <w:rsid w:val="002125B4"/>
    <w:rsid w:val="00213987"/>
    <w:rsid w:val="00213A70"/>
    <w:rsid w:val="00215076"/>
    <w:rsid w:val="002155B8"/>
    <w:rsid w:val="00215A5A"/>
    <w:rsid w:val="002171BE"/>
    <w:rsid w:val="00217BB4"/>
    <w:rsid w:val="00217F13"/>
    <w:rsid w:val="00221895"/>
    <w:rsid w:val="0022343E"/>
    <w:rsid w:val="00224839"/>
    <w:rsid w:val="002249B2"/>
    <w:rsid w:val="00226574"/>
    <w:rsid w:val="002278EC"/>
    <w:rsid w:val="00227E32"/>
    <w:rsid w:val="00230573"/>
    <w:rsid w:val="00231CD2"/>
    <w:rsid w:val="0023280E"/>
    <w:rsid w:val="00234015"/>
    <w:rsid w:val="002369D3"/>
    <w:rsid w:val="00237696"/>
    <w:rsid w:val="002377D1"/>
    <w:rsid w:val="00242618"/>
    <w:rsid w:val="00242D1A"/>
    <w:rsid w:val="0024550B"/>
    <w:rsid w:val="002504D7"/>
    <w:rsid w:val="002506BC"/>
    <w:rsid w:val="00251800"/>
    <w:rsid w:val="00252A0E"/>
    <w:rsid w:val="00254345"/>
    <w:rsid w:val="00254508"/>
    <w:rsid w:val="00257321"/>
    <w:rsid w:val="002601E0"/>
    <w:rsid w:val="00264557"/>
    <w:rsid w:val="00264813"/>
    <w:rsid w:val="0026687D"/>
    <w:rsid w:val="00273A70"/>
    <w:rsid w:val="002747E3"/>
    <w:rsid w:val="00275D3F"/>
    <w:rsid w:val="0028031B"/>
    <w:rsid w:val="002805AB"/>
    <w:rsid w:val="00280E45"/>
    <w:rsid w:val="00281296"/>
    <w:rsid w:val="00281707"/>
    <w:rsid w:val="0028170A"/>
    <w:rsid w:val="002825A6"/>
    <w:rsid w:val="00283AD8"/>
    <w:rsid w:val="00284204"/>
    <w:rsid w:val="00291773"/>
    <w:rsid w:val="00295E74"/>
    <w:rsid w:val="00296A03"/>
    <w:rsid w:val="002976E8"/>
    <w:rsid w:val="00297E27"/>
    <w:rsid w:val="002A06BB"/>
    <w:rsid w:val="002A168C"/>
    <w:rsid w:val="002A35EF"/>
    <w:rsid w:val="002A3DC7"/>
    <w:rsid w:val="002A5338"/>
    <w:rsid w:val="002A5CD0"/>
    <w:rsid w:val="002A5D2B"/>
    <w:rsid w:val="002A6C31"/>
    <w:rsid w:val="002B00B4"/>
    <w:rsid w:val="002B1A0B"/>
    <w:rsid w:val="002B40AF"/>
    <w:rsid w:val="002B49E2"/>
    <w:rsid w:val="002B5217"/>
    <w:rsid w:val="002B7038"/>
    <w:rsid w:val="002B7B00"/>
    <w:rsid w:val="002B7C44"/>
    <w:rsid w:val="002B7D87"/>
    <w:rsid w:val="002C013F"/>
    <w:rsid w:val="002C0FB1"/>
    <w:rsid w:val="002C29A4"/>
    <w:rsid w:val="002C2B17"/>
    <w:rsid w:val="002C2ED7"/>
    <w:rsid w:val="002C35AA"/>
    <w:rsid w:val="002C3AB4"/>
    <w:rsid w:val="002C6618"/>
    <w:rsid w:val="002C68D8"/>
    <w:rsid w:val="002D0516"/>
    <w:rsid w:val="002D3526"/>
    <w:rsid w:val="002D3DD0"/>
    <w:rsid w:val="002D3F6D"/>
    <w:rsid w:val="002D4C98"/>
    <w:rsid w:val="002D4FE3"/>
    <w:rsid w:val="002D7CB4"/>
    <w:rsid w:val="002E0351"/>
    <w:rsid w:val="002E1452"/>
    <w:rsid w:val="002E1897"/>
    <w:rsid w:val="002E1C28"/>
    <w:rsid w:val="002E1F3A"/>
    <w:rsid w:val="002E298A"/>
    <w:rsid w:val="002E2C7D"/>
    <w:rsid w:val="002E711C"/>
    <w:rsid w:val="002F03DB"/>
    <w:rsid w:val="002F368F"/>
    <w:rsid w:val="002F36A2"/>
    <w:rsid w:val="002F4552"/>
    <w:rsid w:val="002F46E8"/>
    <w:rsid w:val="002F5532"/>
    <w:rsid w:val="002F5C47"/>
    <w:rsid w:val="0030067A"/>
    <w:rsid w:val="00300F25"/>
    <w:rsid w:val="00301441"/>
    <w:rsid w:val="00301978"/>
    <w:rsid w:val="00301D72"/>
    <w:rsid w:val="00302B7F"/>
    <w:rsid w:val="0030332C"/>
    <w:rsid w:val="00303409"/>
    <w:rsid w:val="003051C2"/>
    <w:rsid w:val="00306107"/>
    <w:rsid w:val="00306539"/>
    <w:rsid w:val="00310CF7"/>
    <w:rsid w:val="00312296"/>
    <w:rsid w:val="00314814"/>
    <w:rsid w:val="00314F0E"/>
    <w:rsid w:val="00315A70"/>
    <w:rsid w:val="00317241"/>
    <w:rsid w:val="00317D88"/>
    <w:rsid w:val="00320048"/>
    <w:rsid w:val="003202B0"/>
    <w:rsid w:val="00321485"/>
    <w:rsid w:val="00321D8E"/>
    <w:rsid w:val="0032286B"/>
    <w:rsid w:val="00322A08"/>
    <w:rsid w:val="00324541"/>
    <w:rsid w:val="00325928"/>
    <w:rsid w:val="00332863"/>
    <w:rsid w:val="00332DA1"/>
    <w:rsid w:val="0033480D"/>
    <w:rsid w:val="0033684D"/>
    <w:rsid w:val="00337178"/>
    <w:rsid w:val="00337B42"/>
    <w:rsid w:val="0034058B"/>
    <w:rsid w:val="00341B42"/>
    <w:rsid w:val="0034348F"/>
    <w:rsid w:val="00344B8B"/>
    <w:rsid w:val="00344CA8"/>
    <w:rsid w:val="00345DA6"/>
    <w:rsid w:val="003507F3"/>
    <w:rsid w:val="003509EF"/>
    <w:rsid w:val="00351535"/>
    <w:rsid w:val="00353C91"/>
    <w:rsid w:val="003546B1"/>
    <w:rsid w:val="003547B8"/>
    <w:rsid w:val="00355C7E"/>
    <w:rsid w:val="00356653"/>
    <w:rsid w:val="0035743F"/>
    <w:rsid w:val="00357BE2"/>
    <w:rsid w:val="00360C49"/>
    <w:rsid w:val="003610FF"/>
    <w:rsid w:val="0036170C"/>
    <w:rsid w:val="0036390A"/>
    <w:rsid w:val="003646FF"/>
    <w:rsid w:val="00364AA1"/>
    <w:rsid w:val="003658FD"/>
    <w:rsid w:val="00366E0F"/>
    <w:rsid w:val="00371547"/>
    <w:rsid w:val="00371E10"/>
    <w:rsid w:val="00373E29"/>
    <w:rsid w:val="00377C9C"/>
    <w:rsid w:val="00381545"/>
    <w:rsid w:val="00381A72"/>
    <w:rsid w:val="00381B5E"/>
    <w:rsid w:val="00381EE0"/>
    <w:rsid w:val="0038277A"/>
    <w:rsid w:val="00383808"/>
    <w:rsid w:val="0038382D"/>
    <w:rsid w:val="00384676"/>
    <w:rsid w:val="00384F98"/>
    <w:rsid w:val="00386B10"/>
    <w:rsid w:val="00387A78"/>
    <w:rsid w:val="00390857"/>
    <w:rsid w:val="00390A42"/>
    <w:rsid w:val="003930A9"/>
    <w:rsid w:val="003936FC"/>
    <w:rsid w:val="0039683E"/>
    <w:rsid w:val="00396E31"/>
    <w:rsid w:val="00397D24"/>
    <w:rsid w:val="003A016C"/>
    <w:rsid w:val="003A1662"/>
    <w:rsid w:val="003A1B50"/>
    <w:rsid w:val="003A35BC"/>
    <w:rsid w:val="003A36A6"/>
    <w:rsid w:val="003A3738"/>
    <w:rsid w:val="003A4BF3"/>
    <w:rsid w:val="003A656F"/>
    <w:rsid w:val="003A74D2"/>
    <w:rsid w:val="003A765A"/>
    <w:rsid w:val="003A7F7A"/>
    <w:rsid w:val="003B0A65"/>
    <w:rsid w:val="003B2878"/>
    <w:rsid w:val="003B3039"/>
    <w:rsid w:val="003B420D"/>
    <w:rsid w:val="003B4B10"/>
    <w:rsid w:val="003B530A"/>
    <w:rsid w:val="003B6F70"/>
    <w:rsid w:val="003C20F3"/>
    <w:rsid w:val="003C25EB"/>
    <w:rsid w:val="003C2905"/>
    <w:rsid w:val="003C2ADD"/>
    <w:rsid w:val="003C3A08"/>
    <w:rsid w:val="003C4317"/>
    <w:rsid w:val="003C52CC"/>
    <w:rsid w:val="003C6C16"/>
    <w:rsid w:val="003C75AC"/>
    <w:rsid w:val="003D0C51"/>
    <w:rsid w:val="003D1BCE"/>
    <w:rsid w:val="003D3BC4"/>
    <w:rsid w:val="003D4193"/>
    <w:rsid w:val="003D5922"/>
    <w:rsid w:val="003D6FA1"/>
    <w:rsid w:val="003D794D"/>
    <w:rsid w:val="003E122B"/>
    <w:rsid w:val="003E244C"/>
    <w:rsid w:val="003E3058"/>
    <w:rsid w:val="003E6271"/>
    <w:rsid w:val="003E6946"/>
    <w:rsid w:val="003E76A9"/>
    <w:rsid w:val="003F0809"/>
    <w:rsid w:val="003F103E"/>
    <w:rsid w:val="003F15A5"/>
    <w:rsid w:val="003F23CE"/>
    <w:rsid w:val="003F3721"/>
    <w:rsid w:val="003F41E7"/>
    <w:rsid w:val="003F6A8C"/>
    <w:rsid w:val="003F755C"/>
    <w:rsid w:val="00401289"/>
    <w:rsid w:val="00401886"/>
    <w:rsid w:val="0040204D"/>
    <w:rsid w:val="00404AA8"/>
    <w:rsid w:val="00404FE6"/>
    <w:rsid w:val="00405457"/>
    <w:rsid w:val="00406F01"/>
    <w:rsid w:val="00410755"/>
    <w:rsid w:val="00412699"/>
    <w:rsid w:val="00414417"/>
    <w:rsid w:val="00415108"/>
    <w:rsid w:val="00415DB3"/>
    <w:rsid w:val="00415DDB"/>
    <w:rsid w:val="00416D50"/>
    <w:rsid w:val="00416FD5"/>
    <w:rsid w:val="00417772"/>
    <w:rsid w:val="00420E6A"/>
    <w:rsid w:val="00421ABF"/>
    <w:rsid w:val="00421ED7"/>
    <w:rsid w:val="00423B8F"/>
    <w:rsid w:val="00425580"/>
    <w:rsid w:val="00425A9E"/>
    <w:rsid w:val="0042682C"/>
    <w:rsid w:val="00426D6B"/>
    <w:rsid w:val="00427BA3"/>
    <w:rsid w:val="00431E6C"/>
    <w:rsid w:val="00433B84"/>
    <w:rsid w:val="00433BD9"/>
    <w:rsid w:val="00433CE7"/>
    <w:rsid w:val="00434F30"/>
    <w:rsid w:val="00435136"/>
    <w:rsid w:val="0043533F"/>
    <w:rsid w:val="00435A73"/>
    <w:rsid w:val="00435EC5"/>
    <w:rsid w:val="0043606F"/>
    <w:rsid w:val="00440764"/>
    <w:rsid w:val="00441617"/>
    <w:rsid w:val="00441A69"/>
    <w:rsid w:val="00441CD0"/>
    <w:rsid w:val="00443C8B"/>
    <w:rsid w:val="004442D4"/>
    <w:rsid w:val="00447B09"/>
    <w:rsid w:val="0045014E"/>
    <w:rsid w:val="004510C6"/>
    <w:rsid w:val="00452453"/>
    <w:rsid w:val="00452600"/>
    <w:rsid w:val="00452738"/>
    <w:rsid w:val="004527F7"/>
    <w:rsid w:val="00454F96"/>
    <w:rsid w:val="00456091"/>
    <w:rsid w:val="00456466"/>
    <w:rsid w:val="00457BC5"/>
    <w:rsid w:val="004632C7"/>
    <w:rsid w:val="004652B2"/>
    <w:rsid w:val="00466321"/>
    <w:rsid w:val="004672CF"/>
    <w:rsid w:val="004704FA"/>
    <w:rsid w:val="00470526"/>
    <w:rsid w:val="00476A0C"/>
    <w:rsid w:val="00477E1C"/>
    <w:rsid w:val="00480BAB"/>
    <w:rsid w:val="004810F8"/>
    <w:rsid w:val="00481FDF"/>
    <w:rsid w:val="00484B9B"/>
    <w:rsid w:val="004855F6"/>
    <w:rsid w:val="0048661E"/>
    <w:rsid w:val="0048733C"/>
    <w:rsid w:val="00487E96"/>
    <w:rsid w:val="00487FFA"/>
    <w:rsid w:val="00491D7D"/>
    <w:rsid w:val="00494670"/>
    <w:rsid w:val="004A2F32"/>
    <w:rsid w:val="004A3823"/>
    <w:rsid w:val="004A5430"/>
    <w:rsid w:val="004B02FC"/>
    <w:rsid w:val="004B11E1"/>
    <w:rsid w:val="004B2BA1"/>
    <w:rsid w:val="004B3FD8"/>
    <w:rsid w:val="004B4625"/>
    <w:rsid w:val="004B6F34"/>
    <w:rsid w:val="004B7D43"/>
    <w:rsid w:val="004C074F"/>
    <w:rsid w:val="004C10AC"/>
    <w:rsid w:val="004C24F7"/>
    <w:rsid w:val="004C431F"/>
    <w:rsid w:val="004C6CAA"/>
    <w:rsid w:val="004D1565"/>
    <w:rsid w:val="004D1656"/>
    <w:rsid w:val="004D2BBE"/>
    <w:rsid w:val="004D38E8"/>
    <w:rsid w:val="004D390E"/>
    <w:rsid w:val="004D5544"/>
    <w:rsid w:val="004D7142"/>
    <w:rsid w:val="004E3CAD"/>
    <w:rsid w:val="004E405F"/>
    <w:rsid w:val="004E554F"/>
    <w:rsid w:val="004E6946"/>
    <w:rsid w:val="004E6DAD"/>
    <w:rsid w:val="004F0937"/>
    <w:rsid w:val="004F18EE"/>
    <w:rsid w:val="004F1AD8"/>
    <w:rsid w:val="004F262F"/>
    <w:rsid w:val="004F4079"/>
    <w:rsid w:val="004F5CFD"/>
    <w:rsid w:val="004F664C"/>
    <w:rsid w:val="004F6A35"/>
    <w:rsid w:val="004F6AD4"/>
    <w:rsid w:val="00502895"/>
    <w:rsid w:val="005039CB"/>
    <w:rsid w:val="00503BA2"/>
    <w:rsid w:val="00504E66"/>
    <w:rsid w:val="0050501F"/>
    <w:rsid w:val="0050550D"/>
    <w:rsid w:val="0050558F"/>
    <w:rsid w:val="005058FF"/>
    <w:rsid w:val="00506286"/>
    <w:rsid w:val="00506BAB"/>
    <w:rsid w:val="005105C2"/>
    <w:rsid w:val="00510813"/>
    <w:rsid w:val="005116EC"/>
    <w:rsid w:val="00511990"/>
    <w:rsid w:val="00511DE0"/>
    <w:rsid w:val="005133F6"/>
    <w:rsid w:val="00514870"/>
    <w:rsid w:val="00514B9B"/>
    <w:rsid w:val="00517C4D"/>
    <w:rsid w:val="00517F02"/>
    <w:rsid w:val="00520C32"/>
    <w:rsid w:val="00520C8A"/>
    <w:rsid w:val="00521CAE"/>
    <w:rsid w:val="00522655"/>
    <w:rsid w:val="00523779"/>
    <w:rsid w:val="00524303"/>
    <w:rsid w:val="005258A2"/>
    <w:rsid w:val="00526828"/>
    <w:rsid w:val="00526AB1"/>
    <w:rsid w:val="00530C58"/>
    <w:rsid w:val="0053168B"/>
    <w:rsid w:val="0053491A"/>
    <w:rsid w:val="005377AC"/>
    <w:rsid w:val="00537B7E"/>
    <w:rsid w:val="00537D0E"/>
    <w:rsid w:val="005401AE"/>
    <w:rsid w:val="00541602"/>
    <w:rsid w:val="005422B2"/>
    <w:rsid w:val="005426F0"/>
    <w:rsid w:val="00542754"/>
    <w:rsid w:val="005428D3"/>
    <w:rsid w:val="00542E07"/>
    <w:rsid w:val="0054360C"/>
    <w:rsid w:val="00544890"/>
    <w:rsid w:val="00545424"/>
    <w:rsid w:val="00545841"/>
    <w:rsid w:val="00545D06"/>
    <w:rsid w:val="00547414"/>
    <w:rsid w:val="005501CC"/>
    <w:rsid w:val="00550559"/>
    <w:rsid w:val="0055215D"/>
    <w:rsid w:val="00554A7B"/>
    <w:rsid w:val="005554AA"/>
    <w:rsid w:val="0055572C"/>
    <w:rsid w:val="00555BB5"/>
    <w:rsid w:val="0055729F"/>
    <w:rsid w:val="00557C82"/>
    <w:rsid w:val="0056090E"/>
    <w:rsid w:val="0056106A"/>
    <w:rsid w:val="00561F95"/>
    <w:rsid w:val="005658FA"/>
    <w:rsid w:val="00565EE6"/>
    <w:rsid w:val="00566778"/>
    <w:rsid w:val="00567630"/>
    <w:rsid w:val="00570B3F"/>
    <w:rsid w:val="005715BA"/>
    <w:rsid w:val="005720AE"/>
    <w:rsid w:val="00572E3D"/>
    <w:rsid w:val="00574B7A"/>
    <w:rsid w:val="0057640C"/>
    <w:rsid w:val="005779B5"/>
    <w:rsid w:val="00581328"/>
    <w:rsid w:val="0058176C"/>
    <w:rsid w:val="00582482"/>
    <w:rsid w:val="00582889"/>
    <w:rsid w:val="00582DF1"/>
    <w:rsid w:val="005830A1"/>
    <w:rsid w:val="00584716"/>
    <w:rsid w:val="00584E91"/>
    <w:rsid w:val="00586D26"/>
    <w:rsid w:val="0058783D"/>
    <w:rsid w:val="0059056B"/>
    <w:rsid w:val="00591014"/>
    <w:rsid w:val="00592624"/>
    <w:rsid w:val="00593180"/>
    <w:rsid w:val="005934FD"/>
    <w:rsid w:val="005942FB"/>
    <w:rsid w:val="005947DD"/>
    <w:rsid w:val="00594D77"/>
    <w:rsid w:val="005951B6"/>
    <w:rsid w:val="00596312"/>
    <w:rsid w:val="005969E4"/>
    <w:rsid w:val="00596C92"/>
    <w:rsid w:val="005A01BC"/>
    <w:rsid w:val="005A05C6"/>
    <w:rsid w:val="005A06B7"/>
    <w:rsid w:val="005A1759"/>
    <w:rsid w:val="005A2C70"/>
    <w:rsid w:val="005A41F1"/>
    <w:rsid w:val="005A4ED6"/>
    <w:rsid w:val="005A59D6"/>
    <w:rsid w:val="005A6073"/>
    <w:rsid w:val="005A60FF"/>
    <w:rsid w:val="005A68A7"/>
    <w:rsid w:val="005B22AC"/>
    <w:rsid w:val="005B33CD"/>
    <w:rsid w:val="005B43AA"/>
    <w:rsid w:val="005B501B"/>
    <w:rsid w:val="005B7DF9"/>
    <w:rsid w:val="005C0464"/>
    <w:rsid w:val="005C0B5A"/>
    <w:rsid w:val="005C105A"/>
    <w:rsid w:val="005C23B0"/>
    <w:rsid w:val="005C619E"/>
    <w:rsid w:val="005C74EB"/>
    <w:rsid w:val="005C7AF6"/>
    <w:rsid w:val="005D225F"/>
    <w:rsid w:val="005D239B"/>
    <w:rsid w:val="005D2938"/>
    <w:rsid w:val="005D29CC"/>
    <w:rsid w:val="005D36AB"/>
    <w:rsid w:val="005D3771"/>
    <w:rsid w:val="005D42D9"/>
    <w:rsid w:val="005D7A62"/>
    <w:rsid w:val="005D7DCD"/>
    <w:rsid w:val="005E09B3"/>
    <w:rsid w:val="005E37D9"/>
    <w:rsid w:val="005E3D2E"/>
    <w:rsid w:val="005E6C6B"/>
    <w:rsid w:val="005E7A78"/>
    <w:rsid w:val="005E7F3C"/>
    <w:rsid w:val="005F05C6"/>
    <w:rsid w:val="005F0EF5"/>
    <w:rsid w:val="005F10DC"/>
    <w:rsid w:val="005F119D"/>
    <w:rsid w:val="005F203B"/>
    <w:rsid w:val="005F26AD"/>
    <w:rsid w:val="005F4A20"/>
    <w:rsid w:val="005F7F29"/>
    <w:rsid w:val="006032F5"/>
    <w:rsid w:val="006044DF"/>
    <w:rsid w:val="00605C90"/>
    <w:rsid w:val="006067AC"/>
    <w:rsid w:val="006068A3"/>
    <w:rsid w:val="00607C6B"/>
    <w:rsid w:val="006101FB"/>
    <w:rsid w:val="0061177D"/>
    <w:rsid w:val="006117D3"/>
    <w:rsid w:val="0061283E"/>
    <w:rsid w:val="00613BD9"/>
    <w:rsid w:val="006150DC"/>
    <w:rsid w:val="0061546F"/>
    <w:rsid w:val="00615923"/>
    <w:rsid w:val="00617CA9"/>
    <w:rsid w:val="00617CC3"/>
    <w:rsid w:val="0062027C"/>
    <w:rsid w:val="0062252F"/>
    <w:rsid w:val="0062367A"/>
    <w:rsid w:val="00624E08"/>
    <w:rsid w:val="00625D15"/>
    <w:rsid w:val="00625FE2"/>
    <w:rsid w:val="006260E8"/>
    <w:rsid w:val="00626EF2"/>
    <w:rsid w:val="006330E6"/>
    <w:rsid w:val="00633C94"/>
    <w:rsid w:val="00634F6C"/>
    <w:rsid w:val="00635231"/>
    <w:rsid w:val="00635C16"/>
    <w:rsid w:val="0063633F"/>
    <w:rsid w:val="00636DDF"/>
    <w:rsid w:val="00636F64"/>
    <w:rsid w:val="00637780"/>
    <w:rsid w:val="006377A6"/>
    <w:rsid w:val="00637951"/>
    <w:rsid w:val="00637A3D"/>
    <w:rsid w:val="006411EF"/>
    <w:rsid w:val="00642459"/>
    <w:rsid w:val="00643F91"/>
    <w:rsid w:val="00651AB8"/>
    <w:rsid w:val="006560E9"/>
    <w:rsid w:val="00663340"/>
    <w:rsid w:val="006639A6"/>
    <w:rsid w:val="00666C87"/>
    <w:rsid w:val="00667703"/>
    <w:rsid w:val="00670B40"/>
    <w:rsid w:val="00670FCB"/>
    <w:rsid w:val="00672ADE"/>
    <w:rsid w:val="006748B8"/>
    <w:rsid w:val="00675153"/>
    <w:rsid w:val="00675364"/>
    <w:rsid w:val="00675407"/>
    <w:rsid w:val="00676216"/>
    <w:rsid w:val="00676AEB"/>
    <w:rsid w:val="006774B4"/>
    <w:rsid w:val="006775C3"/>
    <w:rsid w:val="00677ACA"/>
    <w:rsid w:val="00677F6A"/>
    <w:rsid w:val="0068190D"/>
    <w:rsid w:val="00681C4D"/>
    <w:rsid w:val="0068215A"/>
    <w:rsid w:val="00683241"/>
    <w:rsid w:val="006842FC"/>
    <w:rsid w:val="006843AB"/>
    <w:rsid w:val="006854D1"/>
    <w:rsid w:val="006867FC"/>
    <w:rsid w:val="006901FA"/>
    <w:rsid w:val="00690B05"/>
    <w:rsid w:val="006911D4"/>
    <w:rsid w:val="006911F9"/>
    <w:rsid w:val="0069290A"/>
    <w:rsid w:val="006931C2"/>
    <w:rsid w:val="00695D9A"/>
    <w:rsid w:val="0069775A"/>
    <w:rsid w:val="00697813"/>
    <w:rsid w:val="006A1E9A"/>
    <w:rsid w:val="006A263F"/>
    <w:rsid w:val="006A2AC4"/>
    <w:rsid w:val="006A30D3"/>
    <w:rsid w:val="006A3EE8"/>
    <w:rsid w:val="006A585B"/>
    <w:rsid w:val="006A5AB9"/>
    <w:rsid w:val="006A6555"/>
    <w:rsid w:val="006A725A"/>
    <w:rsid w:val="006A72BF"/>
    <w:rsid w:val="006A7827"/>
    <w:rsid w:val="006B03F2"/>
    <w:rsid w:val="006B0D8E"/>
    <w:rsid w:val="006B0FA7"/>
    <w:rsid w:val="006B101D"/>
    <w:rsid w:val="006B110F"/>
    <w:rsid w:val="006B13E2"/>
    <w:rsid w:val="006B37DC"/>
    <w:rsid w:val="006B3951"/>
    <w:rsid w:val="006B39A3"/>
    <w:rsid w:val="006B3CE8"/>
    <w:rsid w:val="006B4F68"/>
    <w:rsid w:val="006B7FF3"/>
    <w:rsid w:val="006C0592"/>
    <w:rsid w:val="006C0EEA"/>
    <w:rsid w:val="006C1390"/>
    <w:rsid w:val="006C272E"/>
    <w:rsid w:val="006C4F3B"/>
    <w:rsid w:val="006C5479"/>
    <w:rsid w:val="006C6792"/>
    <w:rsid w:val="006D13B5"/>
    <w:rsid w:val="006D4DA7"/>
    <w:rsid w:val="006D4E0D"/>
    <w:rsid w:val="006D5BDC"/>
    <w:rsid w:val="006D6A9E"/>
    <w:rsid w:val="006E10C5"/>
    <w:rsid w:val="006E12FF"/>
    <w:rsid w:val="006E1DA1"/>
    <w:rsid w:val="006E2F3A"/>
    <w:rsid w:val="006E2FB1"/>
    <w:rsid w:val="006E312A"/>
    <w:rsid w:val="006E4785"/>
    <w:rsid w:val="006E607E"/>
    <w:rsid w:val="006E6A11"/>
    <w:rsid w:val="006E7E35"/>
    <w:rsid w:val="006F0F78"/>
    <w:rsid w:val="006F1184"/>
    <w:rsid w:val="006F41CF"/>
    <w:rsid w:val="006F55BD"/>
    <w:rsid w:val="006F5BF7"/>
    <w:rsid w:val="006F707C"/>
    <w:rsid w:val="006F71A3"/>
    <w:rsid w:val="00701764"/>
    <w:rsid w:val="00702FF5"/>
    <w:rsid w:val="007051DA"/>
    <w:rsid w:val="007053BA"/>
    <w:rsid w:val="00706C5D"/>
    <w:rsid w:val="00707F5A"/>
    <w:rsid w:val="00710945"/>
    <w:rsid w:val="00714B3F"/>
    <w:rsid w:val="00714E73"/>
    <w:rsid w:val="0071592C"/>
    <w:rsid w:val="00720B02"/>
    <w:rsid w:val="00720B66"/>
    <w:rsid w:val="007216CC"/>
    <w:rsid w:val="00721A74"/>
    <w:rsid w:val="0072244D"/>
    <w:rsid w:val="00722599"/>
    <w:rsid w:val="007241C6"/>
    <w:rsid w:val="00724817"/>
    <w:rsid w:val="00726C09"/>
    <w:rsid w:val="00727DAC"/>
    <w:rsid w:val="00731E55"/>
    <w:rsid w:val="00732465"/>
    <w:rsid w:val="00732922"/>
    <w:rsid w:val="00735F82"/>
    <w:rsid w:val="0074253B"/>
    <w:rsid w:val="00745799"/>
    <w:rsid w:val="00745900"/>
    <w:rsid w:val="007501A7"/>
    <w:rsid w:val="00750554"/>
    <w:rsid w:val="0075162E"/>
    <w:rsid w:val="00751C46"/>
    <w:rsid w:val="00751E09"/>
    <w:rsid w:val="00752088"/>
    <w:rsid w:val="007521A0"/>
    <w:rsid w:val="007533E5"/>
    <w:rsid w:val="00753588"/>
    <w:rsid w:val="00754034"/>
    <w:rsid w:val="00754975"/>
    <w:rsid w:val="007550F1"/>
    <w:rsid w:val="00755584"/>
    <w:rsid w:val="00756556"/>
    <w:rsid w:val="00756C23"/>
    <w:rsid w:val="00761111"/>
    <w:rsid w:val="007618C4"/>
    <w:rsid w:val="00761B57"/>
    <w:rsid w:val="00767980"/>
    <w:rsid w:val="00770B19"/>
    <w:rsid w:val="00770F15"/>
    <w:rsid w:val="0077463F"/>
    <w:rsid w:val="007758EC"/>
    <w:rsid w:val="00775B35"/>
    <w:rsid w:val="00775CC3"/>
    <w:rsid w:val="0077646D"/>
    <w:rsid w:val="00776E8C"/>
    <w:rsid w:val="00782A14"/>
    <w:rsid w:val="00783383"/>
    <w:rsid w:val="007836EA"/>
    <w:rsid w:val="00783BC6"/>
    <w:rsid w:val="00784139"/>
    <w:rsid w:val="00784CDA"/>
    <w:rsid w:val="0078500E"/>
    <w:rsid w:val="00785B9E"/>
    <w:rsid w:val="007906C4"/>
    <w:rsid w:val="0079075C"/>
    <w:rsid w:val="0079232C"/>
    <w:rsid w:val="007940EA"/>
    <w:rsid w:val="0079493E"/>
    <w:rsid w:val="007967E8"/>
    <w:rsid w:val="00796BF8"/>
    <w:rsid w:val="00797621"/>
    <w:rsid w:val="007A0B9B"/>
    <w:rsid w:val="007A100D"/>
    <w:rsid w:val="007A1442"/>
    <w:rsid w:val="007A2170"/>
    <w:rsid w:val="007A22BF"/>
    <w:rsid w:val="007A3323"/>
    <w:rsid w:val="007A3999"/>
    <w:rsid w:val="007A562E"/>
    <w:rsid w:val="007A7ACD"/>
    <w:rsid w:val="007B3178"/>
    <w:rsid w:val="007B3A74"/>
    <w:rsid w:val="007B5A18"/>
    <w:rsid w:val="007B72B8"/>
    <w:rsid w:val="007B7A58"/>
    <w:rsid w:val="007B7DEE"/>
    <w:rsid w:val="007C125A"/>
    <w:rsid w:val="007C21B5"/>
    <w:rsid w:val="007C31F7"/>
    <w:rsid w:val="007C4D16"/>
    <w:rsid w:val="007C616C"/>
    <w:rsid w:val="007D14B7"/>
    <w:rsid w:val="007D2400"/>
    <w:rsid w:val="007D2A62"/>
    <w:rsid w:val="007D4E90"/>
    <w:rsid w:val="007D4F2A"/>
    <w:rsid w:val="007E0331"/>
    <w:rsid w:val="007E3BBA"/>
    <w:rsid w:val="007E4BD2"/>
    <w:rsid w:val="007E62EE"/>
    <w:rsid w:val="007F3345"/>
    <w:rsid w:val="007F3E3C"/>
    <w:rsid w:val="007F4922"/>
    <w:rsid w:val="0080081D"/>
    <w:rsid w:val="00801393"/>
    <w:rsid w:val="008018AC"/>
    <w:rsid w:val="00802EA5"/>
    <w:rsid w:val="00802F88"/>
    <w:rsid w:val="0080358A"/>
    <w:rsid w:val="00803EAA"/>
    <w:rsid w:val="00804983"/>
    <w:rsid w:val="00807357"/>
    <w:rsid w:val="008113B7"/>
    <w:rsid w:val="00812114"/>
    <w:rsid w:val="0081293E"/>
    <w:rsid w:val="008139DB"/>
    <w:rsid w:val="0081457E"/>
    <w:rsid w:val="00814877"/>
    <w:rsid w:val="00814EB8"/>
    <w:rsid w:val="00815465"/>
    <w:rsid w:val="00815F79"/>
    <w:rsid w:val="00817E9A"/>
    <w:rsid w:val="00820496"/>
    <w:rsid w:val="0082073A"/>
    <w:rsid w:val="0082261A"/>
    <w:rsid w:val="00823CCD"/>
    <w:rsid w:val="0082541A"/>
    <w:rsid w:val="00826293"/>
    <w:rsid w:val="00826C7A"/>
    <w:rsid w:val="0083013D"/>
    <w:rsid w:val="008306BD"/>
    <w:rsid w:val="008308A8"/>
    <w:rsid w:val="00830AD4"/>
    <w:rsid w:val="00831A80"/>
    <w:rsid w:val="00832980"/>
    <w:rsid w:val="00833743"/>
    <w:rsid w:val="008340A4"/>
    <w:rsid w:val="00834E3F"/>
    <w:rsid w:val="00842770"/>
    <w:rsid w:val="00843505"/>
    <w:rsid w:val="00843D3C"/>
    <w:rsid w:val="00845121"/>
    <w:rsid w:val="00846FFC"/>
    <w:rsid w:val="008531A9"/>
    <w:rsid w:val="00853AB1"/>
    <w:rsid w:val="00855E61"/>
    <w:rsid w:val="0085645C"/>
    <w:rsid w:val="0085650A"/>
    <w:rsid w:val="00864E97"/>
    <w:rsid w:val="008654A0"/>
    <w:rsid w:val="0086688B"/>
    <w:rsid w:val="00866DB1"/>
    <w:rsid w:val="00867222"/>
    <w:rsid w:val="00870722"/>
    <w:rsid w:val="0087135F"/>
    <w:rsid w:val="008714AB"/>
    <w:rsid w:val="00871D25"/>
    <w:rsid w:val="00872CBA"/>
    <w:rsid w:val="00872D94"/>
    <w:rsid w:val="00873B46"/>
    <w:rsid w:val="00875BA7"/>
    <w:rsid w:val="00880231"/>
    <w:rsid w:val="00880327"/>
    <w:rsid w:val="00880364"/>
    <w:rsid w:val="00880510"/>
    <w:rsid w:val="0088087F"/>
    <w:rsid w:val="00882274"/>
    <w:rsid w:val="00883AED"/>
    <w:rsid w:val="0088441E"/>
    <w:rsid w:val="00884EC3"/>
    <w:rsid w:val="0088555E"/>
    <w:rsid w:val="0088574A"/>
    <w:rsid w:val="00886888"/>
    <w:rsid w:val="00891592"/>
    <w:rsid w:val="00891AFC"/>
    <w:rsid w:val="00891E9E"/>
    <w:rsid w:val="00892979"/>
    <w:rsid w:val="008937F0"/>
    <w:rsid w:val="0089794A"/>
    <w:rsid w:val="008A0CFE"/>
    <w:rsid w:val="008A2F68"/>
    <w:rsid w:val="008A30B4"/>
    <w:rsid w:val="008A4B0F"/>
    <w:rsid w:val="008A56BF"/>
    <w:rsid w:val="008A7A39"/>
    <w:rsid w:val="008B1560"/>
    <w:rsid w:val="008B24A1"/>
    <w:rsid w:val="008B2AED"/>
    <w:rsid w:val="008B4FA6"/>
    <w:rsid w:val="008B5282"/>
    <w:rsid w:val="008B53D3"/>
    <w:rsid w:val="008B5C5C"/>
    <w:rsid w:val="008B650F"/>
    <w:rsid w:val="008B6DA9"/>
    <w:rsid w:val="008B7C17"/>
    <w:rsid w:val="008C00AE"/>
    <w:rsid w:val="008C1F95"/>
    <w:rsid w:val="008C21B9"/>
    <w:rsid w:val="008C2D01"/>
    <w:rsid w:val="008C2DD4"/>
    <w:rsid w:val="008C328E"/>
    <w:rsid w:val="008C40E6"/>
    <w:rsid w:val="008C7ABA"/>
    <w:rsid w:val="008D0774"/>
    <w:rsid w:val="008D0B52"/>
    <w:rsid w:val="008D0D6E"/>
    <w:rsid w:val="008D0F7A"/>
    <w:rsid w:val="008D2D73"/>
    <w:rsid w:val="008D314E"/>
    <w:rsid w:val="008D4329"/>
    <w:rsid w:val="008D55C8"/>
    <w:rsid w:val="008D68E4"/>
    <w:rsid w:val="008E03D3"/>
    <w:rsid w:val="008E0506"/>
    <w:rsid w:val="008E0828"/>
    <w:rsid w:val="008E0CFF"/>
    <w:rsid w:val="008E17EC"/>
    <w:rsid w:val="008E5D6B"/>
    <w:rsid w:val="008E76F0"/>
    <w:rsid w:val="008F15FE"/>
    <w:rsid w:val="008F1649"/>
    <w:rsid w:val="008F2644"/>
    <w:rsid w:val="008F2D29"/>
    <w:rsid w:val="008F5187"/>
    <w:rsid w:val="008F5532"/>
    <w:rsid w:val="008F60D8"/>
    <w:rsid w:val="008F6EE4"/>
    <w:rsid w:val="008F752C"/>
    <w:rsid w:val="008F766D"/>
    <w:rsid w:val="009016F0"/>
    <w:rsid w:val="00902727"/>
    <w:rsid w:val="009029D4"/>
    <w:rsid w:val="0090312B"/>
    <w:rsid w:val="00905520"/>
    <w:rsid w:val="00905B40"/>
    <w:rsid w:val="009119AB"/>
    <w:rsid w:val="00913496"/>
    <w:rsid w:val="0091368C"/>
    <w:rsid w:val="009151AC"/>
    <w:rsid w:val="00915C66"/>
    <w:rsid w:val="0091736D"/>
    <w:rsid w:val="0091797A"/>
    <w:rsid w:val="00917E07"/>
    <w:rsid w:val="009207FE"/>
    <w:rsid w:val="00920A80"/>
    <w:rsid w:val="00920E05"/>
    <w:rsid w:val="0092178D"/>
    <w:rsid w:val="009217A8"/>
    <w:rsid w:val="00921ABF"/>
    <w:rsid w:val="00921E0C"/>
    <w:rsid w:val="00922E8C"/>
    <w:rsid w:val="00923198"/>
    <w:rsid w:val="00923937"/>
    <w:rsid w:val="00926CCC"/>
    <w:rsid w:val="00926F85"/>
    <w:rsid w:val="0093037A"/>
    <w:rsid w:val="009303FA"/>
    <w:rsid w:val="00933574"/>
    <w:rsid w:val="00933A31"/>
    <w:rsid w:val="00933EB4"/>
    <w:rsid w:val="00940733"/>
    <w:rsid w:val="00940988"/>
    <w:rsid w:val="0094121F"/>
    <w:rsid w:val="0094154D"/>
    <w:rsid w:val="00945385"/>
    <w:rsid w:val="009453D4"/>
    <w:rsid w:val="00945EE3"/>
    <w:rsid w:val="00946349"/>
    <w:rsid w:val="00950089"/>
    <w:rsid w:val="00950D89"/>
    <w:rsid w:val="00951252"/>
    <w:rsid w:val="0095155F"/>
    <w:rsid w:val="00951F14"/>
    <w:rsid w:val="00953BA0"/>
    <w:rsid w:val="0095437E"/>
    <w:rsid w:val="00954429"/>
    <w:rsid w:val="00955159"/>
    <w:rsid w:val="009559D1"/>
    <w:rsid w:val="00955BF2"/>
    <w:rsid w:val="009563CE"/>
    <w:rsid w:val="00962009"/>
    <w:rsid w:val="009634EE"/>
    <w:rsid w:val="00964BEE"/>
    <w:rsid w:val="0096537F"/>
    <w:rsid w:val="00965759"/>
    <w:rsid w:val="00965880"/>
    <w:rsid w:val="00970F97"/>
    <w:rsid w:val="0097518E"/>
    <w:rsid w:val="009751E5"/>
    <w:rsid w:val="0097573F"/>
    <w:rsid w:val="00976328"/>
    <w:rsid w:val="0097641F"/>
    <w:rsid w:val="0097680D"/>
    <w:rsid w:val="00981C5E"/>
    <w:rsid w:val="00982438"/>
    <w:rsid w:val="009831F5"/>
    <w:rsid w:val="00983DDD"/>
    <w:rsid w:val="0098404C"/>
    <w:rsid w:val="00984E0B"/>
    <w:rsid w:val="00985283"/>
    <w:rsid w:val="00985418"/>
    <w:rsid w:val="00985DB0"/>
    <w:rsid w:val="00985DFF"/>
    <w:rsid w:val="009863D8"/>
    <w:rsid w:val="009931DC"/>
    <w:rsid w:val="0099339F"/>
    <w:rsid w:val="00994100"/>
    <w:rsid w:val="009957B7"/>
    <w:rsid w:val="00995932"/>
    <w:rsid w:val="00995992"/>
    <w:rsid w:val="00995A60"/>
    <w:rsid w:val="009961A6"/>
    <w:rsid w:val="009970D7"/>
    <w:rsid w:val="009973C4"/>
    <w:rsid w:val="009977A0"/>
    <w:rsid w:val="009978C7"/>
    <w:rsid w:val="00997A76"/>
    <w:rsid w:val="00997DB4"/>
    <w:rsid w:val="009A03E5"/>
    <w:rsid w:val="009A09B5"/>
    <w:rsid w:val="009A0F3B"/>
    <w:rsid w:val="009A12DF"/>
    <w:rsid w:val="009A19DA"/>
    <w:rsid w:val="009A1BB4"/>
    <w:rsid w:val="009A2628"/>
    <w:rsid w:val="009A3089"/>
    <w:rsid w:val="009A3200"/>
    <w:rsid w:val="009A34A2"/>
    <w:rsid w:val="009B0897"/>
    <w:rsid w:val="009B0C72"/>
    <w:rsid w:val="009B18C3"/>
    <w:rsid w:val="009B1E9C"/>
    <w:rsid w:val="009B20C0"/>
    <w:rsid w:val="009B5916"/>
    <w:rsid w:val="009B773C"/>
    <w:rsid w:val="009B7BD9"/>
    <w:rsid w:val="009C2340"/>
    <w:rsid w:val="009C2E8C"/>
    <w:rsid w:val="009C5CEC"/>
    <w:rsid w:val="009C680C"/>
    <w:rsid w:val="009C7228"/>
    <w:rsid w:val="009C7DD5"/>
    <w:rsid w:val="009D1C99"/>
    <w:rsid w:val="009D2EDB"/>
    <w:rsid w:val="009D35BC"/>
    <w:rsid w:val="009D4858"/>
    <w:rsid w:val="009D5F8E"/>
    <w:rsid w:val="009D69D2"/>
    <w:rsid w:val="009D7BA4"/>
    <w:rsid w:val="009E1AF8"/>
    <w:rsid w:val="009E227D"/>
    <w:rsid w:val="009E295A"/>
    <w:rsid w:val="009E5019"/>
    <w:rsid w:val="009E7ADB"/>
    <w:rsid w:val="009F49F6"/>
    <w:rsid w:val="009F4DB0"/>
    <w:rsid w:val="009F5A05"/>
    <w:rsid w:val="009F6245"/>
    <w:rsid w:val="009F7FF9"/>
    <w:rsid w:val="00A001F6"/>
    <w:rsid w:val="00A00808"/>
    <w:rsid w:val="00A03944"/>
    <w:rsid w:val="00A046CC"/>
    <w:rsid w:val="00A04D9C"/>
    <w:rsid w:val="00A04F1B"/>
    <w:rsid w:val="00A0501B"/>
    <w:rsid w:val="00A051C0"/>
    <w:rsid w:val="00A06AD0"/>
    <w:rsid w:val="00A12E6D"/>
    <w:rsid w:val="00A130AC"/>
    <w:rsid w:val="00A14947"/>
    <w:rsid w:val="00A1517C"/>
    <w:rsid w:val="00A15ADF"/>
    <w:rsid w:val="00A17803"/>
    <w:rsid w:val="00A17F79"/>
    <w:rsid w:val="00A22D54"/>
    <w:rsid w:val="00A24BA9"/>
    <w:rsid w:val="00A2679B"/>
    <w:rsid w:val="00A26C96"/>
    <w:rsid w:val="00A32A83"/>
    <w:rsid w:val="00A34287"/>
    <w:rsid w:val="00A366A7"/>
    <w:rsid w:val="00A368DB"/>
    <w:rsid w:val="00A3714D"/>
    <w:rsid w:val="00A40AD7"/>
    <w:rsid w:val="00A423AA"/>
    <w:rsid w:val="00A42855"/>
    <w:rsid w:val="00A454F3"/>
    <w:rsid w:val="00A45C96"/>
    <w:rsid w:val="00A46193"/>
    <w:rsid w:val="00A50224"/>
    <w:rsid w:val="00A50CE2"/>
    <w:rsid w:val="00A51D89"/>
    <w:rsid w:val="00A53EC6"/>
    <w:rsid w:val="00A55762"/>
    <w:rsid w:val="00A55C0F"/>
    <w:rsid w:val="00A55CDD"/>
    <w:rsid w:val="00A57D53"/>
    <w:rsid w:val="00A61431"/>
    <w:rsid w:val="00A616FC"/>
    <w:rsid w:val="00A617B4"/>
    <w:rsid w:val="00A62276"/>
    <w:rsid w:val="00A6318A"/>
    <w:rsid w:val="00A641DB"/>
    <w:rsid w:val="00A64BF3"/>
    <w:rsid w:val="00A674C6"/>
    <w:rsid w:val="00A70831"/>
    <w:rsid w:val="00A70936"/>
    <w:rsid w:val="00A7120F"/>
    <w:rsid w:val="00A72422"/>
    <w:rsid w:val="00A742E6"/>
    <w:rsid w:val="00A74531"/>
    <w:rsid w:val="00A74CDF"/>
    <w:rsid w:val="00A80A83"/>
    <w:rsid w:val="00A81604"/>
    <w:rsid w:val="00A82DBC"/>
    <w:rsid w:val="00A83BCE"/>
    <w:rsid w:val="00A853C8"/>
    <w:rsid w:val="00A85504"/>
    <w:rsid w:val="00A8713F"/>
    <w:rsid w:val="00A87A22"/>
    <w:rsid w:val="00A90BA1"/>
    <w:rsid w:val="00A93A61"/>
    <w:rsid w:val="00A93FC6"/>
    <w:rsid w:val="00A95E87"/>
    <w:rsid w:val="00A96C33"/>
    <w:rsid w:val="00A97A9A"/>
    <w:rsid w:val="00A97C11"/>
    <w:rsid w:val="00AA0671"/>
    <w:rsid w:val="00AA1D05"/>
    <w:rsid w:val="00AA1FE1"/>
    <w:rsid w:val="00AA2531"/>
    <w:rsid w:val="00AA27E4"/>
    <w:rsid w:val="00AA2BF1"/>
    <w:rsid w:val="00AA5BE5"/>
    <w:rsid w:val="00AB05F7"/>
    <w:rsid w:val="00AB1E09"/>
    <w:rsid w:val="00AB3C46"/>
    <w:rsid w:val="00AB446C"/>
    <w:rsid w:val="00AB5330"/>
    <w:rsid w:val="00AB5908"/>
    <w:rsid w:val="00AB5EEA"/>
    <w:rsid w:val="00AB7316"/>
    <w:rsid w:val="00AB7747"/>
    <w:rsid w:val="00AC045D"/>
    <w:rsid w:val="00AC14CE"/>
    <w:rsid w:val="00AC2A56"/>
    <w:rsid w:val="00AC47A0"/>
    <w:rsid w:val="00AC5D13"/>
    <w:rsid w:val="00AC6A5E"/>
    <w:rsid w:val="00AC71AE"/>
    <w:rsid w:val="00AC7446"/>
    <w:rsid w:val="00AD055E"/>
    <w:rsid w:val="00AD1698"/>
    <w:rsid w:val="00AD3E89"/>
    <w:rsid w:val="00AD47A3"/>
    <w:rsid w:val="00AD47A7"/>
    <w:rsid w:val="00AD4B72"/>
    <w:rsid w:val="00AD504D"/>
    <w:rsid w:val="00AD6793"/>
    <w:rsid w:val="00AD679C"/>
    <w:rsid w:val="00AD6B11"/>
    <w:rsid w:val="00AD6BB5"/>
    <w:rsid w:val="00AD7A17"/>
    <w:rsid w:val="00AE3F47"/>
    <w:rsid w:val="00AE4A54"/>
    <w:rsid w:val="00AE4D41"/>
    <w:rsid w:val="00AE6B7E"/>
    <w:rsid w:val="00AF0CBF"/>
    <w:rsid w:val="00AF257F"/>
    <w:rsid w:val="00AF2C25"/>
    <w:rsid w:val="00AF2D00"/>
    <w:rsid w:val="00AF2EAF"/>
    <w:rsid w:val="00AF33CF"/>
    <w:rsid w:val="00AF3A68"/>
    <w:rsid w:val="00AF3DE7"/>
    <w:rsid w:val="00AF3E42"/>
    <w:rsid w:val="00AF45B8"/>
    <w:rsid w:val="00AF4D50"/>
    <w:rsid w:val="00AF6179"/>
    <w:rsid w:val="00AF6914"/>
    <w:rsid w:val="00B00379"/>
    <w:rsid w:val="00B012B0"/>
    <w:rsid w:val="00B0197E"/>
    <w:rsid w:val="00B01E4C"/>
    <w:rsid w:val="00B02156"/>
    <w:rsid w:val="00B05309"/>
    <w:rsid w:val="00B07205"/>
    <w:rsid w:val="00B072F1"/>
    <w:rsid w:val="00B11CE4"/>
    <w:rsid w:val="00B1295A"/>
    <w:rsid w:val="00B12AA7"/>
    <w:rsid w:val="00B13AE8"/>
    <w:rsid w:val="00B14913"/>
    <w:rsid w:val="00B1716F"/>
    <w:rsid w:val="00B20A45"/>
    <w:rsid w:val="00B214D3"/>
    <w:rsid w:val="00B21D79"/>
    <w:rsid w:val="00B22C5C"/>
    <w:rsid w:val="00B23463"/>
    <w:rsid w:val="00B24F30"/>
    <w:rsid w:val="00B26753"/>
    <w:rsid w:val="00B2680D"/>
    <w:rsid w:val="00B27723"/>
    <w:rsid w:val="00B30BEF"/>
    <w:rsid w:val="00B31ABF"/>
    <w:rsid w:val="00B3303C"/>
    <w:rsid w:val="00B33BE3"/>
    <w:rsid w:val="00B3432D"/>
    <w:rsid w:val="00B36DC1"/>
    <w:rsid w:val="00B37197"/>
    <w:rsid w:val="00B3760F"/>
    <w:rsid w:val="00B37C56"/>
    <w:rsid w:val="00B401C5"/>
    <w:rsid w:val="00B404DA"/>
    <w:rsid w:val="00B4274B"/>
    <w:rsid w:val="00B4287E"/>
    <w:rsid w:val="00B436EE"/>
    <w:rsid w:val="00B440B4"/>
    <w:rsid w:val="00B44ACC"/>
    <w:rsid w:val="00B45D01"/>
    <w:rsid w:val="00B466AC"/>
    <w:rsid w:val="00B46B7C"/>
    <w:rsid w:val="00B477DE"/>
    <w:rsid w:val="00B47E55"/>
    <w:rsid w:val="00B50066"/>
    <w:rsid w:val="00B5049D"/>
    <w:rsid w:val="00B510E7"/>
    <w:rsid w:val="00B52EBF"/>
    <w:rsid w:val="00B53B5D"/>
    <w:rsid w:val="00B548BD"/>
    <w:rsid w:val="00B54C00"/>
    <w:rsid w:val="00B55821"/>
    <w:rsid w:val="00B6055E"/>
    <w:rsid w:val="00B6317D"/>
    <w:rsid w:val="00B64ACE"/>
    <w:rsid w:val="00B70EB1"/>
    <w:rsid w:val="00B70FF2"/>
    <w:rsid w:val="00B71790"/>
    <w:rsid w:val="00B719EF"/>
    <w:rsid w:val="00B71B2D"/>
    <w:rsid w:val="00B7203C"/>
    <w:rsid w:val="00B72E52"/>
    <w:rsid w:val="00B74191"/>
    <w:rsid w:val="00B74253"/>
    <w:rsid w:val="00B76381"/>
    <w:rsid w:val="00B7723F"/>
    <w:rsid w:val="00B80534"/>
    <w:rsid w:val="00B80651"/>
    <w:rsid w:val="00B820DB"/>
    <w:rsid w:val="00B839F4"/>
    <w:rsid w:val="00B8433C"/>
    <w:rsid w:val="00B8448C"/>
    <w:rsid w:val="00B85815"/>
    <w:rsid w:val="00B85D6C"/>
    <w:rsid w:val="00B87491"/>
    <w:rsid w:val="00B911AD"/>
    <w:rsid w:val="00B92C2E"/>
    <w:rsid w:val="00B93264"/>
    <w:rsid w:val="00B96900"/>
    <w:rsid w:val="00B97F46"/>
    <w:rsid w:val="00BA0B16"/>
    <w:rsid w:val="00BA299F"/>
    <w:rsid w:val="00BA29E9"/>
    <w:rsid w:val="00BA347B"/>
    <w:rsid w:val="00BA47B6"/>
    <w:rsid w:val="00BA4A85"/>
    <w:rsid w:val="00BA4BA1"/>
    <w:rsid w:val="00BA7142"/>
    <w:rsid w:val="00BB089C"/>
    <w:rsid w:val="00BB1CA1"/>
    <w:rsid w:val="00BB237C"/>
    <w:rsid w:val="00BB3570"/>
    <w:rsid w:val="00BB41A3"/>
    <w:rsid w:val="00BB44C2"/>
    <w:rsid w:val="00BB610C"/>
    <w:rsid w:val="00BB79D1"/>
    <w:rsid w:val="00BC1C5B"/>
    <w:rsid w:val="00BC31AA"/>
    <w:rsid w:val="00BC32DC"/>
    <w:rsid w:val="00BC35B6"/>
    <w:rsid w:val="00BC61F2"/>
    <w:rsid w:val="00BC6AD3"/>
    <w:rsid w:val="00BC6DE0"/>
    <w:rsid w:val="00BC6DE9"/>
    <w:rsid w:val="00BC7684"/>
    <w:rsid w:val="00BC784E"/>
    <w:rsid w:val="00BD1B51"/>
    <w:rsid w:val="00BD1C8A"/>
    <w:rsid w:val="00BD3D15"/>
    <w:rsid w:val="00BD3D21"/>
    <w:rsid w:val="00BD4596"/>
    <w:rsid w:val="00BD506D"/>
    <w:rsid w:val="00BD61EF"/>
    <w:rsid w:val="00BD6FA0"/>
    <w:rsid w:val="00BD7117"/>
    <w:rsid w:val="00BD7281"/>
    <w:rsid w:val="00BE0E2D"/>
    <w:rsid w:val="00BE0E44"/>
    <w:rsid w:val="00BE1405"/>
    <w:rsid w:val="00BE244F"/>
    <w:rsid w:val="00BE312D"/>
    <w:rsid w:val="00BE3A72"/>
    <w:rsid w:val="00BE3D4B"/>
    <w:rsid w:val="00BE45E1"/>
    <w:rsid w:val="00BE4778"/>
    <w:rsid w:val="00BE6CD5"/>
    <w:rsid w:val="00BF1060"/>
    <w:rsid w:val="00BF134E"/>
    <w:rsid w:val="00BF1C20"/>
    <w:rsid w:val="00BF1D5D"/>
    <w:rsid w:val="00BF46BA"/>
    <w:rsid w:val="00BF4EC5"/>
    <w:rsid w:val="00BF5EE9"/>
    <w:rsid w:val="00BF76E2"/>
    <w:rsid w:val="00BF7D85"/>
    <w:rsid w:val="00C00879"/>
    <w:rsid w:val="00C01087"/>
    <w:rsid w:val="00C028F9"/>
    <w:rsid w:val="00C0338B"/>
    <w:rsid w:val="00C04004"/>
    <w:rsid w:val="00C0450D"/>
    <w:rsid w:val="00C04554"/>
    <w:rsid w:val="00C0719F"/>
    <w:rsid w:val="00C07412"/>
    <w:rsid w:val="00C10578"/>
    <w:rsid w:val="00C112A6"/>
    <w:rsid w:val="00C1168B"/>
    <w:rsid w:val="00C11946"/>
    <w:rsid w:val="00C11CC2"/>
    <w:rsid w:val="00C1264D"/>
    <w:rsid w:val="00C127CF"/>
    <w:rsid w:val="00C135BC"/>
    <w:rsid w:val="00C15C95"/>
    <w:rsid w:val="00C1628D"/>
    <w:rsid w:val="00C16867"/>
    <w:rsid w:val="00C16ACA"/>
    <w:rsid w:val="00C1776A"/>
    <w:rsid w:val="00C20FBD"/>
    <w:rsid w:val="00C21917"/>
    <w:rsid w:val="00C21BF5"/>
    <w:rsid w:val="00C21EED"/>
    <w:rsid w:val="00C22846"/>
    <w:rsid w:val="00C2596A"/>
    <w:rsid w:val="00C26BFA"/>
    <w:rsid w:val="00C26C39"/>
    <w:rsid w:val="00C27537"/>
    <w:rsid w:val="00C3024F"/>
    <w:rsid w:val="00C307EC"/>
    <w:rsid w:val="00C311C2"/>
    <w:rsid w:val="00C31EFB"/>
    <w:rsid w:val="00C328FE"/>
    <w:rsid w:val="00C3314F"/>
    <w:rsid w:val="00C332E4"/>
    <w:rsid w:val="00C33507"/>
    <w:rsid w:val="00C3369B"/>
    <w:rsid w:val="00C348BE"/>
    <w:rsid w:val="00C34984"/>
    <w:rsid w:val="00C34D8A"/>
    <w:rsid w:val="00C35974"/>
    <w:rsid w:val="00C36D28"/>
    <w:rsid w:val="00C42206"/>
    <w:rsid w:val="00C4244D"/>
    <w:rsid w:val="00C4249D"/>
    <w:rsid w:val="00C4251F"/>
    <w:rsid w:val="00C42EA7"/>
    <w:rsid w:val="00C4409D"/>
    <w:rsid w:val="00C44E72"/>
    <w:rsid w:val="00C45A06"/>
    <w:rsid w:val="00C46351"/>
    <w:rsid w:val="00C47E5B"/>
    <w:rsid w:val="00C53AC6"/>
    <w:rsid w:val="00C53CDC"/>
    <w:rsid w:val="00C559CE"/>
    <w:rsid w:val="00C570E7"/>
    <w:rsid w:val="00C57FDC"/>
    <w:rsid w:val="00C6067A"/>
    <w:rsid w:val="00C61716"/>
    <w:rsid w:val="00C619C6"/>
    <w:rsid w:val="00C61E4B"/>
    <w:rsid w:val="00C64373"/>
    <w:rsid w:val="00C64BFF"/>
    <w:rsid w:val="00C64C31"/>
    <w:rsid w:val="00C64F86"/>
    <w:rsid w:val="00C66768"/>
    <w:rsid w:val="00C7029A"/>
    <w:rsid w:val="00C704E9"/>
    <w:rsid w:val="00C72098"/>
    <w:rsid w:val="00C73B67"/>
    <w:rsid w:val="00C7442B"/>
    <w:rsid w:val="00C74758"/>
    <w:rsid w:val="00C7476D"/>
    <w:rsid w:val="00C763C9"/>
    <w:rsid w:val="00C77651"/>
    <w:rsid w:val="00C77B2D"/>
    <w:rsid w:val="00C80057"/>
    <w:rsid w:val="00C82232"/>
    <w:rsid w:val="00C82913"/>
    <w:rsid w:val="00C84D69"/>
    <w:rsid w:val="00C85EE9"/>
    <w:rsid w:val="00C91855"/>
    <w:rsid w:val="00C91E34"/>
    <w:rsid w:val="00C924CB"/>
    <w:rsid w:val="00C925A8"/>
    <w:rsid w:val="00C972B1"/>
    <w:rsid w:val="00C9757E"/>
    <w:rsid w:val="00C976E6"/>
    <w:rsid w:val="00C97EA7"/>
    <w:rsid w:val="00CA018B"/>
    <w:rsid w:val="00CA2C02"/>
    <w:rsid w:val="00CA2CCE"/>
    <w:rsid w:val="00CA323E"/>
    <w:rsid w:val="00CA3567"/>
    <w:rsid w:val="00CA43FD"/>
    <w:rsid w:val="00CA50D2"/>
    <w:rsid w:val="00CA51D2"/>
    <w:rsid w:val="00CA5C0A"/>
    <w:rsid w:val="00CA672D"/>
    <w:rsid w:val="00CA7912"/>
    <w:rsid w:val="00CA7EF8"/>
    <w:rsid w:val="00CB177B"/>
    <w:rsid w:val="00CB2350"/>
    <w:rsid w:val="00CB5065"/>
    <w:rsid w:val="00CB78D3"/>
    <w:rsid w:val="00CB7ACE"/>
    <w:rsid w:val="00CB7C0D"/>
    <w:rsid w:val="00CB7C89"/>
    <w:rsid w:val="00CB7D0F"/>
    <w:rsid w:val="00CC07B1"/>
    <w:rsid w:val="00CC11AD"/>
    <w:rsid w:val="00CC1980"/>
    <w:rsid w:val="00CC1984"/>
    <w:rsid w:val="00CC231B"/>
    <w:rsid w:val="00CC489B"/>
    <w:rsid w:val="00CC4EBA"/>
    <w:rsid w:val="00CC51A7"/>
    <w:rsid w:val="00CC7291"/>
    <w:rsid w:val="00CD1503"/>
    <w:rsid w:val="00CD2BCD"/>
    <w:rsid w:val="00CD3772"/>
    <w:rsid w:val="00CD3A4C"/>
    <w:rsid w:val="00CD4017"/>
    <w:rsid w:val="00CD6C40"/>
    <w:rsid w:val="00CE10E9"/>
    <w:rsid w:val="00CE15F6"/>
    <w:rsid w:val="00CE1F05"/>
    <w:rsid w:val="00CE285A"/>
    <w:rsid w:val="00CE2910"/>
    <w:rsid w:val="00CE355D"/>
    <w:rsid w:val="00CE3CFF"/>
    <w:rsid w:val="00CE5393"/>
    <w:rsid w:val="00CE6AC7"/>
    <w:rsid w:val="00CE6F54"/>
    <w:rsid w:val="00CE7010"/>
    <w:rsid w:val="00CF0C5E"/>
    <w:rsid w:val="00CF36BE"/>
    <w:rsid w:val="00CF38E9"/>
    <w:rsid w:val="00CF6000"/>
    <w:rsid w:val="00CF6596"/>
    <w:rsid w:val="00D00035"/>
    <w:rsid w:val="00D003F3"/>
    <w:rsid w:val="00D00A29"/>
    <w:rsid w:val="00D01462"/>
    <w:rsid w:val="00D01585"/>
    <w:rsid w:val="00D01992"/>
    <w:rsid w:val="00D0364F"/>
    <w:rsid w:val="00D03B4A"/>
    <w:rsid w:val="00D0452F"/>
    <w:rsid w:val="00D04DD6"/>
    <w:rsid w:val="00D04E26"/>
    <w:rsid w:val="00D054E8"/>
    <w:rsid w:val="00D06834"/>
    <w:rsid w:val="00D14C9E"/>
    <w:rsid w:val="00D16096"/>
    <w:rsid w:val="00D1659B"/>
    <w:rsid w:val="00D175AE"/>
    <w:rsid w:val="00D20924"/>
    <w:rsid w:val="00D21257"/>
    <w:rsid w:val="00D2142A"/>
    <w:rsid w:val="00D21445"/>
    <w:rsid w:val="00D2151B"/>
    <w:rsid w:val="00D22C9A"/>
    <w:rsid w:val="00D25142"/>
    <w:rsid w:val="00D254BD"/>
    <w:rsid w:val="00D27483"/>
    <w:rsid w:val="00D30100"/>
    <w:rsid w:val="00D30349"/>
    <w:rsid w:val="00D308ED"/>
    <w:rsid w:val="00D30CAE"/>
    <w:rsid w:val="00D330AF"/>
    <w:rsid w:val="00D36D86"/>
    <w:rsid w:val="00D37127"/>
    <w:rsid w:val="00D376EE"/>
    <w:rsid w:val="00D400D9"/>
    <w:rsid w:val="00D428AA"/>
    <w:rsid w:val="00D42DCD"/>
    <w:rsid w:val="00D4318B"/>
    <w:rsid w:val="00D43510"/>
    <w:rsid w:val="00D44327"/>
    <w:rsid w:val="00D445C2"/>
    <w:rsid w:val="00D46618"/>
    <w:rsid w:val="00D46ACF"/>
    <w:rsid w:val="00D47E6F"/>
    <w:rsid w:val="00D47F42"/>
    <w:rsid w:val="00D50A34"/>
    <w:rsid w:val="00D517B2"/>
    <w:rsid w:val="00D526CA"/>
    <w:rsid w:val="00D53B7E"/>
    <w:rsid w:val="00D53EFA"/>
    <w:rsid w:val="00D604AC"/>
    <w:rsid w:val="00D627B2"/>
    <w:rsid w:val="00D633D0"/>
    <w:rsid w:val="00D650A8"/>
    <w:rsid w:val="00D66364"/>
    <w:rsid w:val="00D6645E"/>
    <w:rsid w:val="00D66BF3"/>
    <w:rsid w:val="00D67739"/>
    <w:rsid w:val="00D679D4"/>
    <w:rsid w:val="00D67F4C"/>
    <w:rsid w:val="00D70713"/>
    <w:rsid w:val="00D70974"/>
    <w:rsid w:val="00D72DAC"/>
    <w:rsid w:val="00D73ADC"/>
    <w:rsid w:val="00D73BF2"/>
    <w:rsid w:val="00D77264"/>
    <w:rsid w:val="00D77AF2"/>
    <w:rsid w:val="00D77C03"/>
    <w:rsid w:val="00D80E16"/>
    <w:rsid w:val="00D81965"/>
    <w:rsid w:val="00D8222B"/>
    <w:rsid w:val="00D83E4C"/>
    <w:rsid w:val="00D85C7E"/>
    <w:rsid w:val="00D90072"/>
    <w:rsid w:val="00D90F8A"/>
    <w:rsid w:val="00D92AE4"/>
    <w:rsid w:val="00D93A44"/>
    <w:rsid w:val="00D93A93"/>
    <w:rsid w:val="00D93EC8"/>
    <w:rsid w:val="00D94A7C"/>
    <w:rsid w:val="00D95896"/>
    <w:rsid w:val="00DA037F"/>
    <w:rsid w:val="00DA2B9A"/>
    <w:rsid w:val="00DA3C5F"/>
    <w:rsid w:val="00DB0A84"/>
    <w:rsid w:val="00DB0E9B"/>
    <w:rsid w:val="00DB15E6"/>
    <w:rsid w:val="00DB22A5"/>
    <w:rsid w:val="00DB2983"/>
    <w:rsid w:val="00DB3E68"/>
    <w:rsid w:val="00DB5F3B"/>
    <w:rsid w:val="00DB601C"/>
    <w:rsid w:val="00DB65E4"/>
    <w:rsid w:val="00DC00E2"/>
    <w:rsid w:val="00DC0484"/>
    <w:rsid w:val="00DC06D9"/>
    <w:rsid w:val="00DC1257"/>
    <w:rsid w:val="00DC1A8C"/>
    <w:rsid w:val="00DC1B3D"/>
    <w:rsid w:val="00DC1BF9"/>
    <w:rsid w:val="00DC26E3"/>
    <w:rsid w:val="00DC3DC0"/>
    <w:rsid w:val="00DC3F74"/>
    <w:rsid w:val="00DC42EC"/>
    <w:rsid w:val="00DC5B2B"/>
    <w:rsid w:val="00DC5D55"/>
    <w:rsid w:val="00DC6BF0"/>
    <w:rsid w:val="00DD318D"/>
    <w:rsid w:val="00DD3E37"/>
    <w:rsid w:val="00DD488B"/>
    <w:rsid w:val="00DD55C8"/>
    <w:rsid w:val="00DD583C"/>
    <w:rsid w:val="00DD73AF"/>
    <w:rsid w:val="00DE0D23"/>
    <w:rsid w:val="00DE1F24"/>
    <w:rsid w:val="00DE36EC"/>
    <w:rsid w:val="00DE58C8"/>
    <w:rsid w:val="00DE5C2C"/>
    <w:rsid w:val="00DE646D"/>
    <w:rsid w:val="00DE68CB"/>
    <w:rsid w:val="00DE6C25"/>
    <w:rsid w:val="00DF116C"/>
    <w:rsid w:val="00DF1E30"/>
    <w:rsid w:val="00DF1F8C"/>
    <w:rsid w:val="00DF2E12"/>
    <w:rsid w:val="00DF2EA3"/>
    <w:rsid w:val="00DF480A"/>
    <w:rsid w:val="00DF493B"/>
    <w:rsid w:val="00DF514A"/>
    <w:rsid w:val="00DF5494"/>
    <w:rsid w:val="00DF645F"/>
    <w:rsid w:val="00DF6690"/>
    <w:rsid w:val="00DF6804"/>
    <w:rsid w:val="00DF7D23"/>
    <w:rsid w:val="00E0324D"/>
    <w:rsid w:val="00E0358D"/>
    <w:rsid w:val="00E04323"/>
    <w:rsid w:val="00E05522"/>
    <w:rsid w:val="00E070A2"/>
    <w:rsid w:val="00E07324"/>
    <w:rsid w:val="00E110EE"/>
    <w:rsid w:val="00E12D79"/>
    <w:rsid w:val="00E13180"/>
    <w:rsid w:val="00E13A0D"/>
    <w:rsid w:val="00E143D0"/>
    <w:rsid w:val="00E15E29"/>
    <w:rsid w:val="00E166FC"/>
    <w:rsid w:val="00E16C5F"/>
    <w:rsid w:val="00E21113"/>
    <w:rsid w:val="00E23947"/>
    <w:rsid w:val="00E2487F"/>
    <w:rsid w:val="00E2656A"/>
    <w:rsid w:val="00E278F9"/>
    <w:rsid w:val="00E27C29"/>
    <w:rsid w:val="00E30361"/>
    <w:rsid w:val="00E30C05"/>
    <w:rsid w:val="00E31DC2"/>
    <w:rsid w:val="00E335E7"/>
    <w:rsid w:val="00E356B6"/>
    <w:rsid w:val="00E372AC"/>
    <w:rsid w:val="00E373EB"/>
    <w:rsid w:val="00E37C57"/>
    <w:rsid w:val="00E40D4B"/>
    <w:rsid w:val="00E412D0"/>
    <w:rsid w:val="00E41BBE"/>
    <w:rsid w:val="00E431E8"/>
    <w:rsid w:val="00E44840"/>
    <w:rsid w:val="00E459B3"/>
    <w:rsid w:val="00E4652B"/>
    <w:rsid w:val="00E46BDB"/>
    <w:rsid w:val="00E47D14"/>
    <w:rsid w:val="00E519B0"/>
    <w:rsid w:val="00E56322"/>
    <w:rsid w:val="00E60982"/>
    <w:rsid w:val="00E60EB9"/>
    <w:rsid w:val="00E6105A"/>
    <w:rsid w:val="00E62C62"/>
    <w:rsid w:val="00E65129"/>
    <w:rsid w:val="00E654C1"/>
    <w:rsid w:val="00E65D97"/>
    <w:rsid w:val="00E6722B"/>
    <w:rsid w:val="00E718D7"/>
    <w:rsid w:val="00E72A5A"/>
    <w:rsid w:val="00E73265"/>
    <w:rsid w:val="00E73354"/>
    <w:rsid w:val="00E733C4"/>
    <w:rsid w:val="00E73E46"/>
    <w:rsid w:val="00E758C8"/>
    <w:rsid w:val="00E75D44"/>
    <w:rsid w:val="00E75FCB"/>
    <w:rsid w:val="00E76ACF"/>
    <w:rsid w:val="00E771C0"/>
    <w:rsid w:val="00E778A2"/>
    <w:rsid w:val="00E81C7F"/>
    <w:rsid w:val="00E835A0"/>
    <w:rsid w:val="00E836E0"/>
    <w:rsid w:val="00E83C21"/>
    <w:rsid w:val="00E84A9B"/>
    <w:rsid w:val="00E85A6C"/>
    <w:rsid w:val="00E873C1"/>
    <w:rsid w:val="00E87FC4"/>
    <w:rsid w:val="00E9242D"/>
    <w:rsid w:val="00E93E99"/>
    <w:rsid w:val="00E94B6D"/>
    <w:rsid w:val="00E9510A"/>
    <w:rsid w:val="00E953BB"/>
    <w:rsid w:val="00E9713F"/>
    <w:rsid w:val="00EA266B"/>
    <w:rsid w:val="00EA305D"/>
    <w:rsid w:val="00EA47AD"/>
    <w:rsid w:val="00EA511D"/>
    <w:rsid w:val="00EA586B"/>
    <w:rsid w:val="00EA6635"/>
    <w:rsid w:val="00EA6B0C"/>
    <w:rsid w:val="00EB068B"/>
    <w:rsid w:val="00EB1AEB"/>
    <w:rsid w:val="00EB3126"/>
    <w:rsid w:val="00EB5255"/>
    <w:rsid w:val="00EB582F"/>
    <w:rsid w:val="00EB5C47"/>
    <w:rsid w:val="00EB669F"/>
    <w:rsid w:val="00EB6EA7"/>
    <w:rsid w:val="00EC09C2"/>
    <w:rsid w:val="00EC181D"/>
    <w:rsid w:val="00EC1A47"/>
    <w:rsid w:val="00EC25D0"/>
    <w:rsid w:val="00EC321E"/>
    <w:rsid w:val="00EC41E6"/>
    <w:rsid w:val="00ED0433"/>
    <w:rsid w:val="00ED0639"/>
    <w:rsid w:val="00ED1983"/>
    <w:rsid w:val="00ED2DC0"/>
    <w:rsid w:val="00ED52D2"/>
    <w:rsid w:val="00ED55C9"/>
    <w:rsid w:val="00ED5A4D"/>
    <w:rsid w:val="00ED5C18"/>
    <w:rsid w:val="00ED7119"/>
    <w:rsid w:val="00EE0D88"/>
    <w:rsid w:val="00EE17C8"/>
    <w:rsid w:val="00EE3F51"/>
    <w:rsid w:val="00EE52A6"/>
    <w:rsid w:val="00EE57F3"/>
    <w:rsid w:val="00EE60AF"/>
    <w:rsid w:val="00EE6A50"/>
    <w:rsid w:val="00EE725E"/>
    <w:rsid w:val="00EE72BE"/>
    <w:rsid w:val="00EE73B6"/>
    <w:rsid w:val="00EF033D"/>
    <w:rsid w:val="00EF16D4"/>
    <w:rsid w:val="00EF3011"/>
    <w:rsid w:val="00EF4755"/>
    <w:rsid w:val="00EF7135"/>
    <w:rsid w:val="00EF78CB"/>
    <w:rsid w:val="00F009E9"/>
    <w:rsid w:val="00F00BD2"/>
    <w:rsid w:val="00F027DB"/>
    <w:rsid w:val="00F03BF3"/>
    <w:rsid w:val="00F05793"/>
    <w:rsid w:val="00F06ADE"/>
    <w:rsid w:val="00F077CF"/>
    <w:rsid w:val="00F105DA"/>
    <w:rsid w:val="00F1257E"/>
    <w:rsid w:val="00F132BD"/>
    <w:rsid w:val="00F14A7A"/>
    <w:rsid w:val="00F15E5A"/>
    <w:rsid w:val="00F17BDF"/>
    <w:rsid w:val="00F20CF0"/>
    <w:rsid w:val="00F217A6"/>
    <w:rsid w:val="00F220EB"/>
    <w:rsid w:val="00F22985"/>
    <w:rsid w:val="00F22C88"/>
    <w:rsid w:val="00F23409"/>
    <w:rsid w:val="00F242B7"/>
    <w:rsid w:val="00F306B7"/>
    <w:rsid w:val="00F32B4A"/>
    <w:rsid w:val="00F32EB3"/>
    <w:rsid w:val="00F330E4"/>
    <w:rsid w:val="00F3383E"/>
    <w:rsid w:val="00F34926"/>
    <w:rsid w:val="00F36AB7"/>
    <w:rsid w:val="00F371E1"/>
    <w:rsid w:val="00F37265"/>
    <w:rsid w:val="00F40271"/>
    <w:rsid w:val="00F404C9"/>
    <w:rsid w:val="00F40796"/>
    <w:rsid w:val="00F4096C"/>
    <w:rsid w:val="00F41928"/>
    <w:rsid w:val="00F434BE"/>
    <w:rsid w:val="00F43E48"/>
    <w:rsid w:val="00F465A7"/>
    <w:rsid w:val="00F4765D"/>
    <w:rsid w:val="00F47A10"/>
    <w:rsid w:val="00F50B7C"/>
    <w:rsid w:val="00F50E39"/>
    <w:rsid w:val="00F51E2D"/>
    <w:rsid w:val="00F544B1"/>
    <w:rsid w:val="00F550E6"/>
    <w:rsid w:val="00F5573B"/>
    <w:rsid w:val="00F5614D"/>
    <w:rsid w:val="00F61E8D"/>
    <w:rsid w:val="00F620CB"/>
    <w:rsid w:val="00F64E50"/>
    <w:rsid w:val="00F64EA2"/>
    <w:rsid w:val="00F66C65"/>
    <w:rsid w:val="00F67CA3"/>
    <w:rsid w:val="00F72AD6"/>
    <w:rsid w:val="00F73F66"/>
    <w:rsid w:val="00F74345"/>
    <w:rsid w:val="00F75989"/>
    <w:rsid w:val="00F75DAD"/>
    <w:rsid w:val="00F7775A"/>
    <w:rsid w:val="00F80A0A"/>
    <w:rsid w:val="00F80C35"/>
    <w:rsid w:val="00F817F9"/>
    <w:rsid w:val="00F828A4"/>
    <w:rsid w:val="00F82B19"/>
    <w:rsid w:val="00F83B14"/>
    <w:rsid w:val="00F84657"/>
    <w:rsid w:val="00F8537C"/>
    <w:rsid w:val="00F853B8"/>
    <w:rsid w:val="00F863F5"/>
    <w:rsid w:val="00F87CC7"/>
    <w:rsid w:val="00F90523"/>
    <w:rsid w:val="00F90B96"/>
    <w:rsid w:val="00F90E9C"/>
    <w:rsid w:val="00F91BED"/>
    <w:rsid w:val="00F9212D"/>
    <w:rsid w:val="00F92574"/>
    <w:rsid w:val="00F94D7E"/>
    <w:rsid w:val="00F95C62"/>
    <w:rsid w:val="00F95CA5"/>
    <w:rsid w:val="00F965DA"/>
    <w:rsid w:val="00F96772"/>
    <w:rsid w:val="00F96C76"/>
    <w:rsid w:val="00F96E47"/>
    <w:rsid w:val="00F970C4"/>
    <w:rsid w:val="00F97A47"/>
    <w:rsid w:val="00F97FA8"/>
    <w:rsid w:val="00FA0E37"/>
    <w:rsid w:val="00FA2CC8"/>
    <w:rsid w:val="00FA35B8"/>
    <w:rsid w:val="00FA3B42"/>
    <w:rsid w:val="00FA406A"/>
    <w:rsid w:val="00FA486C"/>
    <w:rsid w:val="00FA5A99"/>
    <w:rsid w:val="00FA6633"/>
    <w:rsid w:val="00FA72DF"/>
    <w:rsid w:val="00FB2A65"/>
    <w:rsid w:val="00FB503A"/>
    <w:rsid w:val="00FB516C"/>
    <w:rsid w:val="00FB66DF"/>
    <w:rsid w:val="00FC2CFB"/>
    <w:rsid w:val="00FC3A79"/>
    <w:rsid w:val="00FC5F6B"/>
    <w:rsid w:val="00FC6FCB"/>
    <w:rsid w:val="00FC7D0B"/>
    <w:rsid w:val="00FD0005"/>
    <w:rsid w:val="00FD0236"/>
    <w:rsid w:val="00FD1044"/>
    <w:rsid w:val="00FD156E"/>
    <w:rsid w:val="00FD18C6"/>
    <w:rsid w:val="00FD18F4"/>
    <w:rsid w:val="00FD190D"/>
    <w:rsid w:val="00FD1ADC"/>
    <w:rsid w:val="00FD4C67"/>
    <w:rsid w:val="00FD51D8"/>
    <w:rsid w:val="00FD54DB"/>
    <w:rsid w:val="00FD619F"/>
    <w:rsid w:val="00FD7D94"/>
    <w:rsid w:val="00FE1FFA"/>
    <w:rsid w:val="00FE25D7"/>
    <w:rsid w:val="00FE31A3"/>
    <w:rsid w:val="00FE6370"/>
    <w:rsid w:val="00FE63D1"/>
    <w:rsid w:val="00FE7C08"/>
    <w:rsid w:val="00FF0637"/>
    <w:rsid w:val="00FF1D4D"/>
    <w:rsid w:val="00FF3186"/>
    <w:rsid w:val="00FF33A0"/>
    <w:rsid w:val="00FF464B"/>
    <w:rsid w:val="00FF6ECF"/>
    <w:rsid w:val="01050F22"/>
    <w:rsid w:val="01066CBA"/>
    <w:rsid w:val="01080A12"/>
    <w:rsid w:val="010B2DA4"/>
    <w:rsid w:val="01144CF0"/>
    <w:rsid w:val="012515C4"/>
    <w:rsid w:val="01273DE6"/>
    <w:rsid w:val="012810B4"/>
    <w:rsid w:val="01290F7E"/>
    <w:rsid w:val="01453A14"/>
    <w:rsid w:val="01547517"/>
    <w:rsid w:val="015D1E09"/>
    <w:rsid w:val="01782127"/>
    <w:rsid w:val="018619F9"/>
    <w:rsid w:val="01A65C35"/>
    <w:rsid w:val="01AD5116"/>
    <w:rsid w:val="01ED6C80"/>
    <w:rsid w:val="01FD26C6"/>
    <w:rsid w:val="022A16E3"/>
    <w:rsid w:val="02435A79"/>
    <w:rsid w:val="024806E1"/>
    <w:rsid w:val="024A681D"/>
    <w:rsid w:val="02565A1B"/>
    <w:rsid w:val="02664B74"/>
    <w:rsid w:val="02697903"/>
    <w:rsid w:val="02745421"/>
    <w:rsid w:val="027D55FE"/>
    <w:rsid w:val="027D5898"/>
    <w:rsid w:val="02871F00"/>
    <w:rsid w:val="028A325A"/>
    <w:rsid w:val="028C4E61"/>
    <w:rsid w:val="029949C8"/>
    <w:rsid w:val="02A86B9B"/>
    <w:rsid w:val="02B7624C"/>
    <w:rsid w:val="02C22783"/>
    <w:rsid w:val="02D83F93"/>
    <w:rsid w:val="02E35293"/>
    <w:rsid w:val="02F96569"/>
    <w:rsid w:val="030479D6"/>
    <w:rsid w:val="03234A29"/>
    <w:rsid w:val="03362040"/>
    <w:rsid w:val="033E071B"/>
    <w:rsid w:val="034E307D"/>
    <w:rsid w:val="036F39FE"/>
    <w:rsid w:val="037C1244"/>
    <w:rsid w:val="037E6D6A"/>
    <w:rsid w:val="03BE7AAE"/>
    <w:rsid w:val="03D251BA"/>
    <w:rsid w:val="03EA7B21"/>
    <w:rsid w:val="03F02558"/>
    <w:rsid w:val="04194CE4"/>
    <w:rsid w:val="042C0EBC"/>
    <w:rsid w:val="042F62B6"/>
    <w:rsid w:val="04385E02"/>
    <w:rsid w:val="043C4889"/>
    <w:rsid w:val="044770D9"/>
    <w:rsid w:val="045D50AA"/>
    <w:rsid w:val="04671F7C"/>
    <w:rsid w:val="04724BCD"/>
    <w:rsid w:val="047463C1"/>
    <w:rsid w:val="04853C8E"/>
    <w:rsid w:val="0485672C"/>
    <w:rsid w:val="048E46C0"/>
    <w:rsid w:val="048F5BED"/>
    <w:rsid w:val="04936845"/>
    <w:rsid w:val="049A5E25"/>
    <w:rsid w:val="049E2D80"/>
    <w:rsid w:val="049F2B84"/>
    <w:rsid w:val="04A40FDF"/>
    <w:rsid w:val="04B1013C"/>
    <w:rsid w:val="04B1433B"/>
    <w:rsid w:val="04BE5FB8"/>
    <w:rsid w:val="04E06C39"/>
    <w:rsid w:val="04E55230"/>
    <w:rsid w:val="04EF43C3"/>
    <w:rsid w:val="04F62D89"/>
    <w:rsid w:val="05096B07"/>
    <w:rsid w:val="050D5709"/>
    <w:rsid w:val="052E47BF"/>
    <w:rsid w:val="0570087F"/>
    <w:rsid w:val="05997E8B"/>
    <w:rsid w:val="05A93B7D"/>
    <w:rsid w:val="05BE1FE7"/>
    <w:rsid w:val="05CA273A"/>
    <w:rsid w:val="05D41B5B"/>
    <w:rsid w:val="05F83EAE"/>
    <w:rsid w:val="05FD185F"/>
    <w:rsid w:val="06127C3D"/>
    <w:rsid w:val="061E4834"/>
    <w:rsid w:val="06345A6B"/>
    <w:rsid w:val="063E7D85"/>
    <w:rsid w:val="0664204A"/>
    <w:rsid w:val="0671551F"/>
    <w:rsid w:val="0680426A"/>
    <w:rsid w:val="06861184"/>
    <w:rsid w:val="06A30464"/>
    <w:rsid w:val="06CB0980"/>
    <w:rsid w:val="06CE5785"/>
    <w:rsid w:val="06E21E94"/>
    <w:rsid w:val="06E75F4D"/>
    <w:rsid w:val="06E7699B"/>
    <w:rsid w:val="06FA6BB9"/>
    <w:rsid w:val="071C4BB4"/>
    <w:rsid w:val="0721337D"/>
    <w:rsid w:val="07293586"/>
    <w:rsid w:val="07295285"/>
    <w:rsid w:val="072B17C6"/>
    <w:rsid w:val="072C6E2A"/>
    <w:rsid w:val="074E5C55"/>
    <w:rsid w:val="07585940"/>
    <w:rsid w:val="07593D76"/>
    <w:rsid w:val="07636392"/>
    <w:rsid w:val="076E3F95"/>
    <w:rsid w:val="07770C56"/>
    <w:rsid w:val="07926933"/>
    <w:rsid w:val="07BB0B92"/>
    <w:rsid w:val="07BE7A54"/>
    <w:rsid w:val="07D4246E"/>
    <w:rsid w:val="07DF4813"/>
    <w:rsid w:val="07E35D35"/>
    <w:rsid w:val="07F32D51"/>
    <w:rsid w:val="0822060B"/>
    <w:rsid w:val="084A7B62"/>
    <w:rsid w:val="08570A06"/>
    <w:rsid w:val="085B58CB"/>
    <w:rsid w:val="08607DC9"/>
    <w:rsid w:val="087911A9"/>
    <w:rsid w:val="087E15BA"/>
    <w:rsid w:val="088E0478"/>
    <w:rsid w:val="089464D1"/>
    <w:rsid w:val="089470F2"/>
    <w:rsid w:val="08A11AEE"/>
    <w:rsid w:val="08A90D2D"/>
    <w:rsid w:val="08AC61C8"/>
    <w:rsid w:val="08B03E69"/>
    <w:rsid w:val="08B62ACD"/>
    <w:rsid w:val="08CC153B"/>
    <w:rsid w:val="08D77E5A"/>
    <w:rsid w:val="08E13A59"/>
    <w:rsid w:val="08E53698"/>
    <w:rsid w:val="08F0568F"/>
    <w:rsid w:val="092217DD"/>
    <w:rsid w:val="0932487E"/>
    <w:rsid w:val="093A6F3E"/>
    <w:rsid w:val="093A7294"/>
    <w:rsid w:val="09441CCD"/>
    <w:rsid w:val="09523172"/>
    <w:rsid w:val="0962641F"/>
    <w:rsid w:val="097327A7"/>
    <w:rsid w:val="097B0722"/>
    <w:rsid w:val="0983332C"/>
    <w:rsid w:val="098D41AA"/>
    <w:rsid w:val="099A0675"/>
    <w:rsid w:val="099F1469"/>
    <w:rsid w:val="099F5C8C"/>
    <w:rsid w:val="09BC6226"/>
    <w:rsid w:val="09BF760C"/>
    <w:rsid w:val="09C6146A"/>
    <w:rsid w:val="09D43B87"/>
    <w:rsid w:val="09D75426"/>
    <w:rsid w:val="09DD4245"/>
    <w:rsid w:val="09E40A2E"/>
    <w:rsid w:val="09ED4C49"/>
    <w:rsid w:val="09F1204C"/>
    <w:rsid w:val="09F576CC"/>
    <w:rsid w:val="0A0425BF"/>
    <w:rsid w:val="0A17197D"/>
    <w:rsid w:val="0A263993"/>
    <w:rsid w:val="0A2D3AC2"/>
    <w:rsid w:val="0A2D4D74"/>
    <w:rsid w:val="0A364394"/>
    <w:rsid w:val="0A59349D"/>
    <w:rsid w:val="0A5B091F"/>
    <w:rsid w:val="0A5C036F"/>
    <w:rsid w:val="0A682522"/>
    <w:rsid w:val="0A6A629A"/>
    <w:rsid w:val="0A8E70B7"/>
    <w:rsid w:val="0A9B3FE8"/>
    <w:rsid w:val="0A9F23E7"/>
    <w:rsid w:val="0AA755DF"/>
    <w:rsid w:val="0AEB62EA"/>
    <w:rsid w:val="0AFD62EC"/>
    <w:rsid w:val="0B0C1C72"/>
    <w:rsid w:val="0B120D44"/>
    <w:rsid w:val="0B195150"/>
    <w:rsid w:val="0B2D6095"/>
    <w:rsid w:val="0B3448FF"/>
    <w:rsid w:val="0B59666F"/>
    <w:rsid w:val="0BA564C0"/>
    <w:rsid w:val="0BB75BE2"/>
    <w:rsid w:val="0BCC288D"/>
    <w:rsid w:val="0BD27BF6"/>
    <w:rsid w:val="0BD47E6F"/>
    <w:rsid w:val="0BD92F9C"/>
    <w:rsid w:val="0C232BA4"/>
    <w:rsid w:val="0C265996"/>
    <w:rsid w:val="0C3B3C7D"/>
    <w:rsid w:val="0C405504"/>
    <w:rsid w:val="0C590374"/>
    <w:rsid w:val="0C706DAE"/>
    <w:rsid w:val="0C743400"/>
    <w:rsid w:val="0C7C448E"/>
    <w:rsid w:val="0C811AD0"/>
    <w:rsid w:val="0C84018E"/>
    <w:rsid w:val="0C987030"/>
    <w:rsid w:val="0CA830A9"/>
    <w:rsid w:val="0CAB2EAE"/>
    <w:rsid w:val="0CD24497"/>
    <w:rsid w:val="0CDE4E9F"/>
    <w:rsid w:val="0CE628C0"/>
    <w:rsid w:val="0CED0A04"/>
    <w:rsid w:val="0CFD1647"/>
    <w:rsid w:val="0CFD16C3"/>
    <w:rsid w:val="0D2F4041"/>
    <w:rsid w:val="0D374A50"/>
    <w:rsid w:val="0D3B5CCB"/>
    <w:rsid w:val="0D5D05D7"/>
    <w:rsid w:val="0D621C7D"/>
    <w:rsid w:val="0DAB2E51"/>
    <w:rsid w:val="0DB735A4"/>
    <w:rsid w:val="0E255633"/>
    <w:rsid w:val="0E2D1CED"/>
    <w:rsid w:val="0E2F48E5"/>
    <w:rsid w:val="0E423700"/>
    <w:rsid w:val="0E5378BC"/>
    <w:rsid w:val="0E587F28"/>
    <w:rsid w:val="0E73034D"/>
    <w:rsid w:val="0E76345F"/>
    <w:rsid w:val="0EC465C4"/>
    <w:rsid w:val="0EC7425B"/>
    <w:rsid w:val="0ECA6962"/>
    <w:rsid w:val="0ECB7C45"/>
    <w:rsid w:val="0EDC4568"/>
    <w:rsid w:val="0EDF65A9"/>
    <w:rsid w:val="0EE8197F"/>
    <w:rsid w:val="0EF5508C"/>
    <w:rsid w:val="0F13775A"/>
    <w:rsid w:val="0F1618B7"/>
    <w:rsid w:val="0F205179"/>
    <w:rsid w:val="0F2F6409"/>
    <w:rsid w:val="0F384BB8"/>
    <w:rsid w:val="0F5337A0"/>
    <w:rsid w:val="0F5F45FE"/>
    <w:rsid w:val="0F802F7C"/>
    <w:rsid w:val="0F8F2AAD"/>
    <w:rsid w:val="0F9A112B"/>
    <w:rsid w:val="0FC621C4"/>
    <w:rsid w:val="10123E05"/>
    <w:rsid w:val="101740AC"/>
    <w:rsid w:val="101D2797"/>
    <w:rsid w:val="105248E6"/>
    <w:rsid w:val="10524E07"/>
    <w:rsid w:val="106D2F64"/>
    <w:rsid w:val="108D1FF8"/>
    <w:rsid w:val="108F3E4B"/>
    <w:rsid w:val="10932E5E"/>
    <w:rsid w:val="10A43A84"/>
    <w:rsid w:val="10AD01F7"/>
    <w:rsid w:val="10B63710"/>
    <w:rsid w:val="10B75AD1"/>
    <w:rsid w:val="10D820B6"/>
    <w:rsid w:val="10E943BC"/>
    <w:rsid w:val="10F10820"/>
    <w:rsid w:val="10FC6E9D"/>
    <w:rsid w:val="11107C6D"/>
    <w:rsid w:val="1111168F"/>
    <w:rsid w:val="111C2F7A"/>
    <w:rsid w:val="11270EAC"/>
    <w:rsid w:val="112F46CC"/>
    <w:rsid w:val="11317F2A"/>
    <w:rsid w:val="11634EF1"/>
    <w:rsid w:val="11665CA1"/>
    <w:rsid w:val="117F1EBD"/>
    <w:rsid w:val="11883CAB"/>
    <w:rsid w:val="119D2042"/>
    <w:rsid w:val="119D20F1"/>
    <w:rsid w:val="119E2561"/>
    <w:rsid w:val="11A734D1"/>
    <w:rsid w:val="11A83289"/>
    <w:rsid w:val="11B61690"/>
    <w:rsid w:val="11B71995"/>
    <w:rsid w:val="11C71018"/>
    <w:rsid w:val="11D54941"/>
    <w:rsid w:val="11EE155E"/>
    <w:rsid w:val="11F55534"/>
    <w:rsid w:val="12266F4A"/>
    <w:rsid w:val="12535865"/>
    <w:rsid w:val="128976BA"/>
    <w:rsid w:val="129A78EC"/>
    <w:rsid w:val="12B52914"/>
    <w:rsid w:val="12BA148B"/>
    <w:rsid w:val="12BA5054"/>
    <w:rsid w:val="12C233B6"/>
    <w:rsid w:val="12C7219E"/>
    <w:rsid w:val="12D43DCA"/>
    <w:rsid w:val="130A3328"/>
    <w:rsid w:val="130E4D2D"/>
    <w:rsid w:val="13171475"/>
    <w:rsid w:val="132774FA"/>
    <w:rsid w:val="132E7A49"/>
    <w:rsid w:val="13385187"/>
    <w:rsid w:val="13620456"/>
    <w:rsid w:val="13951726"/>
    <w:rsid w:val="139F6B87"/>
    <w:rsid w:val="13B66003"/>
    <w:rsid w:val="13E76FAC"/>
    <w:rsid w:val="13EF4084"/>
    <w:rsid w:val="13FE6FD6"/>
    <w:rsid w:val="13FF7A53"/>
    <w:rsid w:val="140F45EF"/>
    <w:rsid w:val="142033BF"/>
    <w:rsid w:val="14233F79"/>
    <w:rsid w:val="14396509"/>
    <w:rsid w:val="14436503"/>
    <w:rsid w:val="144A310D"/>
    <w:rsid w:val="144D0512"/>
    <w:rsid w:val="146B158C"/>
    <w:rsid w:val="146B2919"/>
    <w:rsid w:val="14746EFA"/>
    <w:rsid w:val="147D1D41"/>
    <w:rsid w:val="147E4E1C"/>
    <w:rsid w:val="148175FC"/>
    <w:rsid w:val="14A0610D"/>
    <w:rsid w:val="14A44C48"/>
    <w:rsid w:val="14C342C9"/>
    <w:rsid w:val="14D00800"/>
    <w:rsid w:val="14DD2C3C"/>
    <w:rsid w:val="14FA7025"/>
    <w:rsid w:val="14FE52C0"/>
    <w:rsid w:val="152432F4"/>
    <w:rsid w:val="15361A83"/>
    <w:rsid w:val="15365E39"/>
    <w:rsid w:val="15396F94"/>
    <w:rsid w:val="155A2235"/>
    <w:rsid w:val="156A62C2"/>
    <w:rsid w:val="15803D0A"/>
    <w:rsid w:val="15A22D8C"/>
    <w:rsid w:val="15A93F92"/>
    <w:rsid w:val="15B66837"/>
    <w:rsid w:val="15CD601C"/>
    <w:rsid w:val="15D838CB"/>
    <w:rsid w:val="160817F3"/>
    <w:rsid w:val="16087E1D"/>
    <w:rsid w:val="160B0A7C"/>
    <w:rsid w:val="160C6457"/>
    <w:rsid w:val="162310EC"/>
    <w:rsid w:val="16236B8C"/>
    <w:rsid w:val="16307B27"/>
    <w:rsid w:val="16322ECB"/>
    <w:rsid w:val="163910C4"/>
    <w:rsid w:val="164912EE"/>
    <w:rsid w:val="167E55A7"/>
    <w:rsid w:val="16831B2A"/>
    <w:rsid w:val="168F6E60"/>
    <w:rsid w:val="169C5A2D"/>
    <w:rsid w:val="16BB57E9"/>
    <w:rsid w:val="16BD7EC5"/>
    <w:rsid w:val="16CC6DC0"/>
    <w:rsid w:val="16E178E4"/>
    <w:rsid w:val="16E701D2"/>
    <w:rsid w:val="16E92565"/>
    <w:rsid w:val="170B50DF"/>
    <w:rsid w:val="172B3FC8"/>
    <w:rsid w:val="173A2F3A"/>
    <w:rsid w:val="175C2E16"/>
    <w:rsid w:val="17701D14"/>
    <w:rsid w:val="17735226"/>
    <w:rsid w:val="17863588"/>
    <w:rsid w:val="1787616E"/>
    <w:rsid w:val="17902794"/>
    <w:rsid w:val="179D7CAF"/>
    <w:rsid w:val="17AD199B"/>
    <w:rsid w:val="17AE3C6A"/>
    <w:rsid w:val="17B31C71"/>
    <w:rsid w:val="17B45A93"/>
    <w:rsid w:val="17B551A8"/>
    <w:rsid w:val="17DA2C8B"/>
    <w:rsid w:val="182112E5"/>
    <w:rsid w:val="182B19A1"/>
    <w:rsid w:val="1858727D"/>
    <w:rsid w:val="18814952"/>
    <w:rsid w:val="189F1A11"/>
    <w:rsid w:val="189F624C"/>
    <w:rsid w:val="18A10AB5"/>
    <w:rsid w:val="18A5130E"/>
    <w:rsid w:val="18B34C51"/>
    <w:rsid w:val="18C7014D"/>
    <w:rsid w:val="18C722DC"/>
    <w:rsid w:val="18C96881"/>
    <w:rsid w:val="18D72D4C"/>
    <w:rsid w:val="18EC54BB"/>
    <w:rsid w:val="18F41ADC"/>
    <w:rsid w:val="18F46E44"/>
    <w:rsid w:val="19153DA8"/>
    <w:rsid w:val="191F64A1"/>
    <w:rsid w:val="192D03BE"/>
    <w:rsid w:val="192E2002"/>
    <w:rsid w:val="192F5006"/>
    <w:rsid w:val="19483F54"/>
    <w:rsid w:val="197D7D98"/>
    <w:rsid w:val="19AA1893"/>
    <w:rsid w:val="19DB6335"/>
    <w:rsid w:val="19E80F89"/>
    <w:rsid w:val="19FA23B2"/>
    <w:rsid w:val="1A1C66C0"/>
    <w:rsid w:val="1A256F32"/>
    <w:rsid w:val="1A3A39F7"/>
    <w:rsid w:val="1A3B7614"/>
    <w:rsid w:val="1A3E51A9"/>
    <w:rsid w:val="1A42393B"/>
    <w:rsid w:val="1A485509"/>
    <w:rsid w:val="1A5A4C8D"/>
    <w:rsid w:val="1A694281"/>
    <w:rsid w:val="1A694427"/>
    <w:rsid w:val="1A6C533E"/>
    <w:rsid w:val="1A7F4978"/>
    <w:rsid w:val="1A8140F1"/>
    <w:rsid w:val="1A884241"/>
    <w:rsid w:val="1A8C41FE"/>
    <w:rsid w:val="1A98650B"/>
    <w:rsid w:val="1AA2382E"/>
    <w:rsid w:val="1AAD45DE"/>
    <w:rsid w:val="1AB02CBB"/>
    <w:rsid w:val="1AB249D3"/>
    <w:rsid w:val="1AB65826"/>
    <w:rsid w:val="1AC306D2"/>
    <w:rsid w:val="1AE1489F"/>
    <w:rsid w:val="1AE879F1"/>
    <w:rsid w:val="1AEE4BDE"/>
    <w:rsid w:val="1B0105E7"/>
    <w:rsid w:val="1B015E1B"/>
    <w:rsid w:val="1B046F80"/>
    <w:rsid w:val="1B115DD6"/>
    <w:rsid w:val="1B152FFB"/>
    <w:rsid w:val="1B171077"/>
    <w:rsid w:val="1B1A33C4"/>
    <w:rsid w:val="1B3267B5"/>
    <w:rsid w:val="1B40161D"/>
    <w:rsid w:val="1B441859"/>
    <w:rsid w:val="1B4A1757"/>
    <w:rsid w:val="1B4D6FA0"/>
    <w:rsid w:val="1B6606B1"/>
    <w:rsid w:val="1B747238"/>
    <w:rsid w:val="1B8C10B5"/>
    <w:rsid w:val="1B93683E"/>
    <w:rsid w:val="1B9D6AB2"/>
    <w:rsid w:val="1BA76AC6"/>
    <w:rsid w:val="1BBE6D5D"/>
    <w:rsid w:val="1BCD0437"/>
    <w:rsid w:val="1C1E1134"/>
    <w:rsid w:val="1C2045CA"/>
    <w:rsid w:val="1C204A0A"/>
    <w:rsid w:val="1C316C17"/>
    <w:rsid w:val="1C4A7CD9"/>
    <w:rsid w:val="1C5E7925"/>
    <w:rsid w:val="1C6F6673"/>
    <w:rsid w:val="1C846F5A"/>
    <w:rsid w:val="1C895236"/>
    <w:rsid w:val="1C8C6544"/>
    <w:rsid w:val="1C951630"/>
    <w:rsid w:val="1CA47DEB"/>
    <w:rsid w:val="1CCE50AB"/>
    <w:rsid w:val="1CDD6D9F"/>
    <w:rsid w:val="1CEE1205"/>
    <w:rsid w:val="1CFD070F"/>
    <w:rsid w:val="1D287E01"/>
    <w:rsid w:val="1D5F6196"/>
    <w:rsid w:val="1D6132A5"/>
    <w:rsid w:val="1D620B98"/>
    <w:rsid w:val="1D740886"/>
    <w:rsid w:val="1D776676"/>
    <w:rsid w:val="1D8E56D5"/>
    <w:rsid w:val="1D9E3217"/>
    <w:rsid w:val="1DB96EC4"/>
    <w:rsid w:val="1DE31E5A"/>
    <w:rsid w:val="1DF602E0"/>
    <w:rsid w:val="1DF92FC9"/>
    <w:rsid w:val="1E4B018D"/>
    <w:rsid w:val="1E4C01D3"/>
    <w:rsid w:val="1E546BED"/>
    <w:rsid w:val="1E6E5F01"/>
    <w:rsid w:val="1E7A43DA"/>
    <w:rsid w:val="1E9A4F48"/>
    <w:rsid w:val="1EBC3110"/>
    <w:rsid w:val="1EBC7CC7"/>
    <w:rsid w:val="1EC71104"/>
    <w:rsid w:val="1EDE3D00"/>
    <w:rsid w:val="1EED151B"/>
    <w:rsid w:val="1EFB1CF5"/>
    <w:rsid w:val="1F051509"/>
    <w:rsid w:val="1F091FF2"/>
    <w:rsid w:val="1F0927BC"/>
    <w:rsid w:val="1F316F2E"/>
    <w:rsid w:val="1F9959A8"/>
    <w:rsid w:val="1FB305F2"/>
    <w:rsid w:val="1FC77B73"/>
    <w:rsid w:val="1FE03F28"/>
    <w:rsid w:val="1FE7539E"/>
    <w:rsid w:val="1FF53625"/>
    <w:rsid w:val="200143C1"/>
    <w:rsid w:val="201A56E7"/>
    <w:rsid w:val="201C198C"/>
    <w:rsid w:val="202418EF"/>
    <w:rsid w:val="202A1341"/>
    <w:rsid w:val="202A5D88"/>
    <w:rsid w:val="20305758"/>
    <w:rsid w:val="203B2D77"/>
    <w:rsid w:val="206055C9"/>
    <w:rsid w:val="20671BE0"/>
    <w:rsid w:val="20686980"/>
    <w:rsid w:val="206A5E09"/>
    <w:rsid w:val="206B270D"/>
    <w:rsid w:val="20705D1F"/>
    <w:rsid w:val="2095609D"/>
    <w:rsid w:val="20963CB8"/>
    <w:rsid w:val="20A02BB3"/>
    <w:rsid w:val="20A81A1B"/>
    <w:rsid w:val="20B07FB6"/>
    <w:rsid w:val="20B21AD0"/>
    <w:rsid w:val="20B437BD"/>
    <w:rsid w:val="20B646FB"/>
    <w:rsid w:val="20C938C2"/>
    <w:rsid w:val="21077B46"/>
    <w:rsid w:val="2126190A"/>
    <w:rsid w:val="213B74B1"/>
    <w:rsid w:val="21470C8B"/>
    <w:rsid w:val="215A2310"/>
    <w:rsid w:val="215E34A1"/>
    <w:rsid w:val="21A05B57"/>
    <w:rsid w:val="21B24356"/>
    <w:rsid w:val="21B85553"/>
    <w:rsid w:val="21C901CC"/>
    <w:rsid w:val="21CE59BC"/>
    <w:rsid w:val="21D00C81"/>
    <w:rsid w:val="21DD6EFA"/>
    <w:rsid w:val="21DE318A"/>
    <w:rsid w:val="21E27009"/>
    <w:rsid w:val="21EF5B80"/>
    <w:rsid w:val="221F4B4E"/>
    <w:rsid w:val="22282780"/>
    <w:rsid w:val="222A0391"/>
    <w:rsid w:val="222F59A7"/>
    <w:rsid w:val="22576990"/>
    <w:rsid w:val="22723AE6"/>
    <w:rsid w:val="22883CE1"/>
    <w:rsid w:val="2298203B"/>
    <w:rsid w:val="22AB3EE3"/>
    <w:rsid w:val="22AF51D1"/>
    <w:rsid w:val="22B832E7"/>
    <w:rsid w:val="22C71C26"/>
    <w:rsid w:val="22CD4F54"/>
    <w:rsid w:val="22D40567"/>
    <w:rsid w:val="22D451FE"/>
    <w:rsid w:val="22F47480"/>
    <w:rsid w:val="23084E6B"/>
    <w:rsid w:val="232512A2"/>
    <w:rsid w:val="23256C77"/>
    <w:rsid w:val="232F5B09"/>
    <w:rsid w:val="233D5BD4"/>
    <w:rsid w:val="23424E86"/>
    <w:rsid w:val="234C4337"/>
    <w:rsid w:val="23700025"/>
    <w:rsid w:val="23865A9B"/>
    <w:rsid w:val="239969B1"/>
    <w:rsid w:val="23C363E4"/>
    <w:rsid w:val="23D07D6C"/>
    <w:rsid w:val="23D762F6"/>
    <w:rsid w:val="23DC1119"/>
    <w:rsid w:val="23DD5EA2"/>
    <w:rsid w:val="23DE1C48"/>
    <w:rsid w:val="240210CD"/>
    <w:rsid w:val="240D1D18"/>
    <w:rsid w:val="24124DB7"/>
    <w:rsid w:val="242C0E82"/>
    <w:rsid w:val="242D23BA"/>
    <w:rsid w:val="24493D64"/>
    <w:rsid w:val="244A15E4"/>
    <w:rsid w:val="24715D06"/>
    <w:rsid w:val="24977478"/>
    <w:rsid w:val="249F53E0"/>
    <w:rsid w:val="24B258B6"/>
    <w:rsid w:val="24BF09F7"/>
    <w:rsid w:val="24C3687B"/>
    <w:rsid w:val="24D177AE"/>
    <w:rsid w:val="24D214AD"/>
    <w:rsid w:val="24D310CA"/>
    <w:rsid w:val="24EB791B"/>
    <w:rsid w:val="250A2E0B"/>
    <w:rsid w:val="252D53FE"/>
    <w:rsid w:val="254A74D2"/>
    <w:rsid w:val="254C4AC2"/>
    <w:rsid w:val="256E67DE"/>
    <w:rsid w:val="25AA0769"/>
    <w:rsid w:val="25B56073"/>
    <w:rsid w:val="25C06E8E"/>
    <w:rsid w:val="25C428AA"/>
    <w:rsid w:val="25D47606"/>
    <w:rsid w:val="25D7576B"/>
    <w:rsid w:val="25DA3E7C"/>
    <w:rsid w:val="25E35426"/>
    <w:rsid w:val="25EC2D81"/>
    <w:rsid w:val="25FB3CA3"/>
    <w:rsid w:val="262A2531"/>
    <w:rsid w:val="263667DF"/>
    <w:rsid w:val="26396DF4"/>
    <w:rsid w:val="2671418E"/>
    <w:rsid w:val="267E7EE2"/>
    <w:rsid w:val="268418C0"/>
    <w:rsid w:val="26940053"/>
    <w:rsid w:val="26A050C5"/>
    <w:rsid w:val="26A23775"/>
    <w:rsid w:val="26A847D9"/>
    <w:rsid w:val="26A86D7E"/>
    <w:rsid w:val="26BD46ED"/>
    <w:rsid w:val="26CE647A"/>
    <w:rsid w:val="26EE177B"/>
    <w:rsid w:val="26F90AB8"/>
    <w:rsid w:val="27102BDD"/>
    <w:rsid w:val="2720370E"/>
    <w:rsid w:val="274176DD"/>
    <w:rsid w:val="276866B9"/>
    <w:rsid w:val="277057A2"/>
    <w:rsid w:val="2776084C"/>
    <w:rsid w:val="27836B11"/>
    <w:rsid w:val="27AB1172"/>
    <w:rsid w:val="27AC5CEC"/>
    <w:rsid w:val="27B04E16"/>
    <w:rsid w:val="27E04587"/>
    <w:rsid w:val="27E1545A"/>
    <w:rsid w:val="27EE1E60"/>
    <w:rsid w:val="27EE6010"/>
    <w:rsid w:val="27F31225"/>
    <w:rsid w:val="27F65ABF"/>
    <w:rsid w:val="28055AF4"/>
    <w:rsid w:val="28064053"/>
    <w:rsid w:val="282C0DB2"/>
    <w:rsid w:val="28482963"/>
    <w:rsid w:val="284D302B"/>
    <w:rsid w:val="2866105A"/>
    <w:rsid w:val="287700A8"/>
    <w:rsid w:val="287B0392"/>
    <w:rsid w:val="287E1436"/>
    <w:rsid w:val="289724F8"/>
    <w:rsid w:val="28AF3EC8"/>
    <w:rsid w:val="28B63551"/>
    <w:rsid w:val="28CF2BD2"/>
    <w:rsid w:val="28DC1557"/>
    <w:rsid w:val="28E026ED"/>
    <w:rsid w:val="28EA1A02"/>
    <w:rsid w:val="28F03A8F"/>
    <w:rsid w:val="28F74D45"/>
    <w:rsid w:val="28FB3ABC"/>
    <w:rsid w:val="2907119B"/>
    <w:rsid w:val="291E49C7"/>
    <w:rsid w:val="29206EB8"/>
    <w:rsid w:val="294B3ED5"/>
    <w:rsid w:val="294B722E"/>
    <w:rsid w:val="294E318E"/>
    <w:rsid w:val="295169CB"/>
    <w:rsid w:val="29595666"/>
    <w:rsid w:val="296D5106"/>
    <w:rsid w:val="296F3EFA"/>
    <w:rsid w:val="29777DA0"/>
    <w:rsid w:val="298407B3"/>
    <w:rsid w:val="29874881"/>
    <w:rsid w:val="29931071"/>
    <w:rsid w:val="29B37DAB"/>
    <w:rsid w:val="29C63095"/>
    <w:rsid w:val="29D320A2"/>
    <w:rsid w:val="29E325E0"/>
    <w:rsid w:val="29F33EBA"/>
    <w:rsid w:val="29FA40D1"/>
    <w:rsid w:val="2A093A28"/>
    <w:rsid w:val="2A187658"/>
    <w:rsid w:val="2A30050E"/>
    <w:rsid w:val="2A452503"/>
    <w:rsid w:val="2A4E7AC6"/>
    <w:rsid w:val="2A5E4A57"/>
    <w:rsid w:val="2A647A65"/>
    <w:rsid w:val="2A8D1AFD"/>
    <w:rsid w:val="2A917554"/>
    <w:rsid w:val="2AAD559C"/>
    <w:rsid w:val="2AB949A8"/>
    <w:rsid w:val="2AEF743B"/>
    <w:rsid w:val="2AF15811"/>
    <w:rsid w:val="2AF27EBA"/>
    <w:rsid w:val="2AF53506"/>
    <w:rsid w:val="2AFB228A"/>
    <w:rsid w:val="2AFD0BD7"/>
    <w:rsid w:val="2B2008F3"/>
    <w:rsid w:val="2B2D760C"/>
    <w:rsid w:val="2B3D76F4"/>
    <w:rsid w:val="2B471FB3"/>
    <w:rsid w:val="2B492495"/>
    <w:rsid w:val="2B7B3A0B"/>
    <w:rsid w:val="2BA2368E"/>
    <w:rsid w:val="2BA936A8"/>
    <w:rsid w:val="2BAB463E"/>
    <w:rsid w:val="2BCD020C"/>
    <w:rsid w:val="2BD019F8"/>
    <w:rsid w:val="2BE00C32"/>
    <w:rsid w:val="2BFA344F"/>
    <w:rsid w:val="2C071743"/>
    <w:rsid w:val="2C0D7B3C"/>
    <w:rsid w:val="2C1F083A"/>
    <w:rsid w:val="2C291D45"/>
    <w:rsid w:val="2C315A5A"/>
    <w:rsid w:val="2C35087A"/>
    <w:rsid w:val="2C4B1C25"/>
    <w:rsid w:val="2C5A1E80"/>
    <w:rsid w:val="2C73502A"/>
    <w:rsid w:val="2CD06DD8"/>
    <w:rsid w:val="2D2B1461"/>
    <w:rsid w:val="2D515D13"/>
    <w:rsid w:val="2D5E2847"/>
    <w:rsid w:val="2D7D1F20"/>
    <w:rsid w:val="2D8446FB"/>
    <w:rsid w:val="2D9E56F5"/>
    <w:rsid w:val="2DC06E51"/>
    <w:rsid w:val="2DEB4CD4"/>
    <w:rsid w:val="2DF301D1"/>
    <w:rsid w:val="2DF638C1"/>
    <w:rsid w:val="2E0423DE"/>
    <w:rsid w:val="2E0C4DEE"/>
    <w:rsid w:val="2E1429AD"/>
    <w:rsid w:val="2E1D6FFC"/>
    <w:rsid w:val="2E667F96"/>
    <w:rsid w:val="2E7C769A"/>
    <w:rsid w:val="2E8226AB"/>
    <w:rsid w:val="2E882A64"/>
    <w:rsid w:val="2E9B6998"/>
    <w:rsid w:val="2EA22EAE"/>
    <w:rsid w:val="2EB144ED"/>
    <w:rsid w:val="2EC155B6"/>
    <w:rsid w:val="2ED718A0"/>
    <w:rsid w:val="2F052C4D"/>
    <w:rsid w:val="2F0C35AE"/>
    <w:rsid w:val="2F3E4F4E"/>
    <w:rsid w:val="2F877EB6"/>
    <w:rsid w:val="2F8F287B"/>
    <w:rsid w:val="2F920DA6"/>
    <w:rsid w:val="2FB25651"/>
    <w:rsid w:val="2FBE130D"/>
    <w:rsid w:val="2FC0696A"/>
    <w:rsid w:val="2FC55B9D"/>
    <w:rsid w:val="2FD065E6"/>
    <w:rsid w:val="2FD96870"/>
    <w:rsid w:val="302537F2"/>
    <w:rsid w:val="3025663B"/>
    <w:rsid w:val="30332B06"/>
    <w:rsid w:val="303845C1"/>
    <w:rsid w:val="30534132"/>
    <w:rsid w:val="30580BC9"/>
    <w:rsid w:val="30591C95"/>
    <w:rsid w:val="30635978"/>
    <w:rsid w:val="307C2874"/>
    <w:rsid w:val="307F5D4C"/>
    <w:rsid w:val="30DE08DF"/>
    <w:rsid w:val="30E90748"/>
    <w:rsid w:val="311E2ED7"/>
    <w:rsid w:val="312E1520"/>
    <w:rsid w:val="315619EE"/>
    <w:rsid w:val="315C449C"/>
    <w:rsid w:val="31615451"/>
    <w:rsid w:val="31A74E02"/>
    <w:rsid w:val="31B82709"/>
    <w:rsid w:val="31C205E6"/>
    <w:rsid w:val="31D05482"/>
    <w:rsid w:val="31D25E0E"/>
    <w:rsid w:val="31DD04C4"/>
    <w:rsid w:val="32002EBC"/>
    <w:rsid w:val="32020031"/>
    <w:rsid w:val="320B411A"/>
    <w:rsid w:val="32126C92"/>
    <w:rsid w:val="322256B8"/>
    <w:rsid w:val="32315262"/>
    <w:rsid w:val="32400B34"/>
    <w:rsid w:val="3250281F"/>
    <w:rsid w:val="325925CC"/>
    <w:rsid w:val="325A6A70"/>
    <w:rsid w:val="325D43BB"/>
    <w:rsid w:val="32607B18"/>
    <w:rsid w:val="326E6078"/>
    <w:rsid w:val="32741B8D"/>
    <w:rsid w:val="32757937"/>
    <w:rsid w:val="32951856"/>
    <w:rsid w:val="3296737C"/>
    <w:rsid w:val="329E4165"/>
    <w:rsid w:val="329E6876"/>
    <w:rsid w:val="32D77A01"/>
    <w:rsid w:val="32D82802"/>
    <w:rsid w:val="32F35FF0"/>
    <w:rsid w:val="332C42D3"/>
    <w:rsid w:val="332E3A59"/>
    <w:rsid w:val="333015F2"/>
    <w:rsid w:val="334B6320"/>
    <w:rsid w:val="33512F20"/>
    <w:rsid w:val="335E1849"/>
    <w:rsid w:val="33645A78"/>
    <w:rsid w:val="337211F8"/>
    <w:rsid w:val="33763D86"/>
    <w:rsid w:val="337A22EF"/>
    <w:rsid w:val="338002AD"/>
    <w:rsid w:val="33B51A84"/>
    <w:rsid w:val="33C4081F"/>
    <w:rsid w:val="33D934D4"/>
    <w:rsid w:val="33E439B3"/>
    <w:rsid w:val="33F64577"/>
    <w:rsid w:val="33F872EF"/>
    <w:rsid w:val="33F94596"/>
    <w:rsid w:val="33FC5905"/>
    <w:rsid w:val="33FE2F6A"/>
    <w:rsid w:val="340814E3"/>
    <w:rsid w:val="340842AA"/>
    <w:rsid w:val="340E07E5"/>
    <w:rsid w:val="34235BF7"/>
    <w:rsid w:val="3445105A"/>
    <w:rsid w:val="344A43D0"/>
    <w:rsid w:val="34603251"/>
    <w:rsid w:val="346533D1"/>
    <w:rsid w:val="348845FB"/>
    <w:rsid w:val="34893C68"/>
    <w:rsid w:val="34983880"/>
    <w:rsid w:val="34987BEA"/>
    <w:rsid w:val="34CE205D"/>
    <w:rsid w:val="34DA79F4"/>
    <w:rsid w:val="34DF1D69"/>
    <w:rsid w:val="34E26D79"/>
    <w:rsid w:val="34F97F9B"/>
    <w:rsid w:val="350B5E00"/>
    <w:rsid w:val="35156C7E"/>
    <w:rsid w:val="3540620C"/>
    <w:rsid w:val="354B4447"/>
    <w:rsid w:val="35632B4A"/>
    <w:rsid w:val="35840E7D"/>
    <w:rsid w:val="358C5FA8"/>
    <w:rsid w:val="35906305"/>
    <w:rsid w:val="35971747"/>
    <w:rsid w:val="35A52AAF"/>
    <w:rsid w:val="35C15DF1"/>
    <w:rsid w:val="35C568AA"/>
    <w:rsid w:val="35D94948"/>
    <w:rsid w:val="35E054DE"/>
    <w:rsid w:val="35F569E2"/>
    <w:rsid w:val="36074A7F"/>
    <w:rsid w:val="36157648"/>
    <w:rsid w:val="361B7FC4"/>
    <w:rsid w:val="3656754F"/>
    <w:rsid w:val="36923549"/>
    <w:rsid w:val="369B1E7D"/>
    <w:rsid w:val="36A76ECE"/>
    <w:rsid w:val="36AF19C0"/>
    <w:rsid w:val="36B75FBF"/>
    <w:rsid w:val="36BD0C45"/>
    <w:rsid w:val="372B24D5"/>
    <w:rsid w:val="373D34D1"/>
    <w:rsid w:val="374D7F37"/>
    <w:rsid w:val="37765B78"/>
    <w:rsid w:val="378620B5"/>
    <w:rsid w:val="379259E7"/>
    <w:rsid w:val="37A81E80"/>
    <w:rsid w:val="37B207B5"/>
    <w:rsid w:val="37D56B99"/>
    <w:rsid w:val="37E00298"/>
    <w:rsid w:val="37E779B3"/>
    <w:rsid w:val="37F9211A"/>
    <w:rsid w:val="37FD0066"/>
    <w:rsid w:val="37FD20A0"/>
    <w:rsid w:val="380934C1"/>
    <w:rsid w:val="38201256"/>
    <w:rsid w:val="383C0516"/>
    <w:rsid w:val="387C6968"/>
    <w:rsid w:val="3880505C"/>
    <w:rsid w:val="38855CBD"/>
    <w:rsid w:val="389F5471"/>
    <w:rsid w:val="38B302F9"/>
    <w:rsid w:val="38C80380"/>
    <w:rsid w:val="38F12CD3"/>
    <w:rsid w:val="38F94775"/>
    <w:rsid w:val="390206C8"/>
    <w:rsid w:val="3909468E"/>
    <w:rsid w:val="3913791C"/>
    <w:rsid w:val="39294C83"/>
    <w:rsid w:val="392971ED"/>
    <w:rsid w:val="3932058D"/>
    <w:rsid w:val="39325651"/>
    <w:rsid w:val="394979EB"/>
    <w:rsid w:val="3974491E"/>
    <w:rsid w:val="397F0B6A"/>
    <w:rsid w:val="398664FD"/>
    <w:rsid w:val="398D18C1"/>
    <w:rsid w:val="39952BFB"/>
    <w:rsid w:val="39965EB4"/>
    <w:rsid w:val="399E6467"/>
    <w:rsid w:val="399F2A10"/>
    <w:rsid w:val="39B3514F"/>
    <w:rsid w:val="39D013C6"/>
    <w:rsid w:val="39D54E8F"/>
    <w:rsid w:val="39E44E71"/>
    <w:rsid w:val="39F160C9"/>
    <w:rsid w:val="3A077FC5"/>
    <w:rsid w:val="3A1313B0"/>
    <w:rsid w:val="3A163157"/>
    <w:rsid w:val="3A184B1B"/>
    <w:rsid w:val="3A333270"/>
    <w:rsid w:val="3A480BD6"/>
    <w:rsid w:val="3A63757C"/>
    <w:rsid w:val="3A69012D"/>
    <w:rsid w:val="3A6A35C8"/>
    <w:rsid w:val="3A872856"/>
    <w:rsid w:val="3A910DA6"/>
    <w:rsid w:val="3A9D6DFE"/>
    <w:rsid w:val="3AB605BC"/>
    <w:rsid w:val="3ACF792B"/>
    <w:rsid w:val="3ADD2A8E"/>
    <w:rsid w:val="3AE07A50"/>
    <w:rsid w:val="3B017D29"/>
    <w:rsid w:val="3B084B8F"/>
    <w:rsid w:val="3B2174CA"/>
    <w:rsid w:val="3B3763D1"/>
    <w:rsid w:val="3B385475"/>
    <w:rsid w:val="3B441832"/>
    <w:rsid w:val="3B4F3A56"/>
    <w:rsid w:val="3B781D15"/>
    <w:rsid w:val="3B852886"/>
    <w:rsid w:val="3B865374"/>
    <w:rsid w:val="3B876C93"/>
    <w:rsid w:val="3BA21FE3"/>
    <w:rsid w:val="3BB96F01"/>
    <w:rsid w:val="3BE22603"/>
    <w:rsid w:val="3BE63123"/>
    <w:rsid w:val="3BF06538"/>
    <w:rsid w:val="3C187054"/>
    <w:rsid w:val="3C2F6E1E"/>
    <w:rsid w:val="3C4F64BA"/>
    <w:rsid w:val="3C573C04"/>
    <w:rsid w:val="3C7921E9"/>
    <w:rsid w:val="3C9A337B"/>
    <w:rsid w:val="3C9F0607"/>
    <w:rsid w:val="3CA54D8C"/>
    <w:rsid w:val="3CAB4D7A"/>
    <w:rsid w:val="3CC04440"/>
    <w:rsid w:val="3CC1024D"/>
    <w:rsid w:val="3CDA245A"/>
    <w:rsid w:val="3CDA4925"/>
    <w:rsid w:val="3CDF5594"/>
    <w:rsid w:val="3CF947C0"/>
    <w:rsid w:val="3D054AB0"/>
    <w:rsid w:val="3D0D6937"/>
    <w:rsid w:val="3D10178E"/>
    <w:rsid w:val="3D1E06B7"/>
    <w:rsid w:val="3D290A1D"/>
    <w:rsid w:val="3D64137B"/>
    <w:rsid w:val="3D720E4F"/>
    <w:rsid w:val="3D7D1865"/>
    <w:rsid w:val="3D842BF3"/>
    <w:rsid w:val="3DCE20C0"/>
    <w:rsid w:val="3DD173DA"/>
    <w:rsid w:val="3E0040D5"/>
    <w:rsid w:val="3E056C77"/>
    <w:rsid w:val="3E1245DE"/>
    <w:rsid w:val="3E257BE7"/>
    <w:rsid w:val="3E4707A5"/>
    <w:rsid w:val="3E495252"/>
    <w:rsid w:val="3E78390E"/>
    <w:rsid w:val="3E8E24F6"/>
    <w:rsid w:val="3E9A1FA2"/>
    <w:rsid w:val="3EA177D5"/>
    <w:rsid w:val="3EAF647B"/>
    <w:rsid w:val="3EBC460F"/>
    <w:rsid w:val="3EDA0523"/>
    <w:rsid w:val="3EDD1E7C"/>
    <w:rsid w:val="3EF618CF"/>
    <w:rsid w:val="3F0044FB"/>
    <w:rsid w:val="3F294A3B"/>
    <w:rsid w:val="3F2A5A1C"/>
    <w:rsid w:val="3F3E7665"/>
    <w:rsid w:val="3F4E170B"/>
    <w:rsid w:val="3F4F24BF"/>
    <w:rsid w:val="3F765D66"/>
    <w:rsid w:val="3F7A478F"/>
    <w:rsid w:val="3F87756C"/>
    <w:rsid w:val="3F8954F2"/>
    <w:rsid w:val="3FA67B26"/>
    <w:rsid w:val="3FC217B1"/>
    <w:rsid w:val="3FCD7432"/>
    <w:rsid w:val="3FE91433"/>
    <w:rsid w:val="3FF31494"/>
    <w:rsid w:val="403C77B5"/>
    <w:rsid w:val="404364B8"/>
    <w:rsid w:val="404674AC"/>
    <w:rsid w:val="406239BE"/>
    <w:rsid w:val="407A6407"/>
    <w:rsid w:val="408C3F57"/>
    <w:rsid w:val="409E3FCC"/>
    <w:rsid w:val="40A26E24"/>
    <w:rsid w:val="40AA4719"/>
    <w:rsid w:val="40AC406D"/>
    <w:rsid w:val="40B21825"/>
    <w:rsid w:val="40B61907"/>
    <w:rsid w:val="40B97058"/>
    <w:rsid w:val="40B977E5"/>
    <w:rsid w:val="40EA475D"/>
    <w:rsid w:val="40F57529"/>
    <w:rsid w:val="40F879F4"/>
    <w:rsid w:val="41214B61"/>
    <w:rsid w:val="41263DF8"/>
    <w:rsid w:val="41474915"/>
    <w:rsid w:val="414A5F02"/>
    <w:rsid w:val="414C48C3"/>
    <w:rsid w:val="41572C26"/>
    <w:rsid w:val="415A0DB4"/>
    <w:rsid w:val="4175100E"/>
    <w:rsid w:val="417F2655"/>
    <w:rsid w:val="418B68D2"/>
    <w:rsid w:val="41951F30"/>
    <w:rsid w:val="41A76EB0"/>
    <w:rsid w:val="41AA395D"/>
    <w:rsid w:val="41B15F81"/>
    <w:rsid w:val="41BE1C6A"/>
    <w:rsid w:val="41C76FD1"/>
    <w:rsid w:val="41EA404E"/>
    <w:rsid w:val="41FA1643"/>
    <w:rsid w:val="4200449D"/>
    <w:rsid w:val="423A3BCC"/>
    <w:rsid w:val="423B40EB"/>
    <w:rsid w:val="424E57D2"/>
    <w:rsid w:val="42625A84"/>
    <w:rsid w:val="42707E35"/>
    <w:rsid w:val="42711138"/>
    <w:rsid w:val="42756FAE"/>
    <w:rsid w:val="42820812"/>
    <w:rsid w:val="428B4A24"/>
    <w:rsid w:val="429A6F20"/>
    <w:rsid w:val="42A72759"/>
    <w:rsid w:val="42B26C49"/>
    <w:rsid w:val="42C55F33"/>
    <w:rsid w:val="42F9198D"/>
    <w:rsid w:val="43282273"/>
    <w:rsid w:val="432B6F3E"/>
    <w:rsid w:val="432C5DBA"/>
    <w:rsid w:val="43372938"/>
    <w:rsid w:val="433A6FE6"/>
    <w:rsid w:val="43480868"/>
    <w:rsid w:val="4350713C"/>
    <w:rsid w:val="436653E0"/>
    <w:rsid w:val="43811983"/>
    <w:rsid w:val="43BA29DA"/>
    <w:rsid w:val="43BB5C29"/>
    <w:rsid w:val="43C4431A"/>
    <w:rsid w:val="43D97042"/>
    <w:rsid w:val="43DC1241"/>
    <w:rsid w:val="4410282B"/>
    <w:rsid w:val="442849DD"/>
    <w:rsid w:val="4453331F"/>
    <w:rsid w:val="44562E10"/>
    <w:rsid w:val="44590382"/>
    <w:rsid w:val="446258EF"/>
    <w:rsid w:val="447339C1"/>
    <w:rsid w:val="447A6AFE"/>
    <w:rsid w:val="44873867"/>
    <w:rsid w:val="44887B44"/>
    <w:rsid w:val="4495119B"/>
    <w:rsid w:val="44986F84"/>
    <w:rsid w:val="44B951CC"/>
    <w:rsid w:val="44C47D79"/>
    <w:rsid w:val="44CD14E0"/>
    <w:rsid w:val="44F20B0B"/>
    <w:rsid w:val="450E44FF"/>
    <w:rsid w:val="45137D99"/>
    <w:rsid w:val="45157819"/>
    <w:rsid w:val="451E1B7F"/>
    <w:rsid w:val="452D090C"/>
    <w:rsid w:val="452E5F4C"/>
    <w:rsid w:val="454E6A62"/>
    <w:rsid w:val="455E3D2A"/>
    <w:rsid w:val="45612018"/>
    <w:rsid w:val="45682D36"/>
    <w:rsid w:val="458946E9"/>
    <w:rsid w:val="458B0E76"/>
    <w:rsid w:val="45967968"/>
    <w:rsid w:val="459679F6"/>
    <w:rsid w:val="45A47C0E"/>
    <w:rsid w:val="45D466E2"/>
    <w:rsid w:val="45DA1CC9"/>
    <w:rsid w:val="45F145F1"/>
    <w:rsid w:val="45F83A10"/>
    <w:rsid w:val="45F92A41"/>
    <w:rsid w:val="45FC0D57"/>
    <w:rsid w:val="46426D37"/>
    <w:rsid w:val="46484442"/>
    <w:rsid w:val="464A34FF"/>
    <w:rsid w:val="46577FD6"/>
    <w:rsid w:val="468A6DA0"/>
    <w:rsid w:val="469F284C"/>
    <w:rsid w:val="46BC7D3E"/>
    <w:rsid w:val="46D02A05"/>
    <w:rsid w:val="46D3270E"/>
    <w:rsid w:val="46D955A7"/>
    <w:rsid w:val="46F663C7"/>
    <w:rsid w:val="4707756A"/>
    <w:rsid w:val="471054F8"/>
    <w:rsid w:val="47133957"/>
    <w:rsid w:val="472B2331"/>
    <w:rsid w:val="47467E5F"/>
    <w:rsid w:val="474B300D"/>
    <w:rsid w:val="475278BE"/>
    <w:rsid w:val="47A07E0C"/>
    <w:rsid w:val="47AB458B"/>
    <w:rsid w:val="47D66741"/>
    <w:rsid w:val="47E55AEB"/>
    <w:rsid w:val="47F32B33"/>
    <w:rsid w:val="480703C5"/>
    <w:rsid w:val="480A038D"/>
    <w:rsid w:val="480E039E"/>
    <w:rsid w:val="48210086"/>
    <w:rsid w:val="48265D0F"/>
    <w:rsid w:val="4832149E"/>
    <w:rsid w:val="48330957"/>
    <w:rsid w:val="483B7532"/>
    <w:rsid w:val="484D104C"/>
    <w:rsid w:val="485E533F"/>
    <w:rsid w:val="486D24D6"/>
    <w:rsid w:val="4870272E"/>
    <w:rsid w:val="48916F56"/>
    <w:rsid w:val="48B06F92"/>
    <w:rsid w:val="48BF2D31"/>
    <w:rsid w:val="48C03BEC"/>
    <w:rsid w:val="48C11CA1"/>
    <w:rsid w:val="48C54C77"/>
    <w:rsid w:val="48CA1AC2"/>
    <w:rsid w:val="48D43A0A"/>
    <w:rsid w:val="48EC5EC6"/>
    <w:rsid w:val="49171A5B"/>
    <w:rsid w:val="491A08B0"/>
    <w:rsid w:val="491F7C74"/>
    <w:rsid w:val="493549A4"/>
    <w:rsid w:val="49584B47"/>
    <w:rsid w:val="498F0DCF"/>
    <w:rsid w:val="499C726F"/>
    <w:rsid w:val="49A53305"/>
    <w:rsid w:val="49A85744"/>
    <w:rsid w:val="49DC7715"/>
    <w:rsid w:val="49ED7E75"/>
    <w:rsid w:val="49F3632E"/>
    <w:rsid w:val="4A023139"/>
    <w:rsid w:val="4A040D5F"/>
    <w:rsid w:val="4A070E34"/>
    <w:rsid w:val="4A0F1A96"/>
    <w:rsid w:val="4A1406D1"/>
    <w:rsid w:val="4A197F73"/>
    <w:rsid w:val="4A2F37DA"/>
    <w:rsid w:val="4A3964C8"/>
    <w:rsid w:val="4A4631FF"/>
    <w:rsid w:val="4A4756D4"/>
    <w:rsid w:val="4A5110F7"/>
    <w:rsid w:val="4A6218F1"/>
    <w:rsid w:val="4A7364C9"/>
    <w:rsid w:val="4A7B0D46"/>
    <w:rsid w:val="4A7B576F"/>
    <w:rsid w:val="4AAC44A6"/>
    <w:rsid w:val="4AB21E46"/>
    <w:rsid w:val="4ADC2574"/>
    <w:rsid w:val="4ADD1A9D"/>
    <w:rsid w:val="4AF561A9"/>
    <w:rsid w:val="4AFA44F5"/>
    <w:rsid w:val="4B014367"/>
    <w:rsid w:val="4B090BDC"/>
    <w:rsid w:val="4B43415E"/>
    <w:rsid w:val="4B63653E"/>
    <w:rsid w:val="4B792520"/>
    <w:rsid w:val="4B8D2671"/>
    <w:rsid w:val="4B9366F7"/>
    <w:rsid w:val="4BA75B50"/>
    <w:rsid w:val="4BB643A6"/>
    <w:rsid w:val="4BC263BF"/>
    <w:rsid w:val="4BCA672F"/>
    <w:rsid w:val="4C0935FD"/>
    <w:rsid w:val="4C0956F2"/>
    <w:rsid w:val="4C0B5B76"/>
    <w:rsid w:val="4C3479F8"/>
    <w:rsid w:val="4C3B47FB"/>
    <w:rsid w:val="4C4A0649"/>
    <w:rsid w:val="4C4D3E18"/>
    <w:rsid w:val="4C6F4479"/>
    <w:rsid w:val="4C7E5ECA"/>
    <w:rsid w:val="4C876AA5"/>
    <w:rsid w:val="4CAA019C"/>
    <w:rsid w:val="4CB879A3"/>
    <w:rsid w:val="4CB92FD6"/>
    <w:rsid w:val="4CBE5084"/>
    <w:rsid w:val="4CBF59F6"/>
    <w:rsid w:val="4CCE20AB"/>
    <w:rsid w:val="4CF60F16"/>
    <w:rsid w:val="4D0E00FB"/>
    <w:rsid w:val="4D176606"/>
    <w:rsid w:val="4D1C7595"/>
    <w:rsid w:val="4D2B308B"/>
    <w:rsid w:val="4D397978"/>
    <w:rsid w:val="4D3D3A13"/>
    <w:rsid w:val="4D431D30"/>
    <w:rsid w:val="4D87448C"/>
    <w:rsid w:val="4DA27D5E"/>
    <w:rsid w:val="4DA57322"/>
    <w:rsid w:val="4DEC4FB0"/>
    <w:rsid w:val="4DFC4629"/>
    <w:rsid w:val="4E075D8A"/>
    <w:rsid w:val="4E087FAC"/>
    <w:rsid w:val="4E125FF9"/>
    <w:rsid w:val="4E1F1A2D"/>
    <w:rsid w:val="4E2238DD"/>
    <w:rsid w:val="4E275B42"/>
    <w:rsid w:val="4E287D9F"/>
    <w:rsid w:val="4E3046D1"/>
    <w:rsid w:val="4E345F70"/>
    <w:rsid w:val="4E352978"/>
    <w:rsid w:val="4E555EE6"/>
    <w:rsid w:val="4E6A6478"/>
    <w:rsid w:val="4E7B78F8"/>
    <w:rsid w:val="4E9C6DE7"/>
    <w:rsid w:val="4EA36C51"/>
    <w:rsid w:val="4EC00FAD"/>
    <w:rsid w:val="4EE72DF2"/>
    <w:rsid w:val="4EF3571C"/>
    <w:rsid w:val="4F1D6A04"/>
    <w:rsid w:val="4F1E452A"/>
    <w:rsid w:val="4F3E4570"/>
    <w:rsid w:val="4F560E75"/>
    <w:rsid w:val="4F5C725A"/>
    <w:rsid w:val="4F652159"/>
    <w:rsid w:val="4F713D1D"/>
    <w:rsid w:val="4F754A92"/>
    <w:rsid w:val="4F775585"/>
    <w:rsid w:val="4F7B7070"/>
    <w:rsid w:val="4F862A4E"/>
    <w:rsid w:val="4F9843DC"/>
    <w:rsid w:val="4FB1010F"/>
    <w:rsid w:val="4FB437DA"/>
    <w:rsid w:val="4FC62A8C"/>
    <w:rsid w:val="4FE20F0D"/>
    <w:rsid w:val="4FE51552"/>
    <w:rsid w:val="4FE5477A"/>
    <w:rsid w:val="4FE90FDC"/>
    <w:rsid w:val="50005571"/>
    <w:rsid w:val="50203C86"/>
    <w:rsid w:val="502A507C"/>
    <w:rsid w:val="502B6EFE"/>
    <w:rsid w:val="50314234"/>
    <w:rsid w:val="50355FCF"/>
    <w:rsid w:val="5037387C"/>
    <w:rsid w:val="50374974"/>
    <w:rsid w:val="504D330B"/>
    <w:rsid w:val="504E51B2"/>
    <w:rsid w:val="504E6B1F"/>
    <w:rsid w:val="50504C4B"/>
    <w:rsid w:val="507854AE"/>
    <w:rsid w:val="507C1E50"/>
    <w:rsid w:val="507F5F99"/>
    <w:rsid w:val="509204BC"/>
    <w:rsid w:val="50922EB6"/>
    <w:rsid w:val="509C6E7C"/>
    <w:rsid w:val="51112598"/>
    <w:rsid w:val="51256043"/>
    <w:rsid w:val="512B127B"/>
    <w:rsid w:val="512F030E"/>
    <w:rsid w:val="513700D8"/>
    <w:rsid w:val="51414CD9"/>
    <w:rsid w:val="51426BF5"/>
    <w:rsid w:val="514B3415"/>
    <w:rsid w:val="514D7CC5"/>
    <w:rsid w:val="515C7664"/>
    <w:rsid w:val="515F7D50"/>
    <w:rsid w:val="5160707C"/>
    <w:rsid w:val="5162104E"/>
    <w:rsid w:val="517C574B"/>
    <w:rsid w:val="518756B6"/>
    <w:rsid w:val="518F1542"/>
    <w:rsid w:val="51916A23"/>
    <w:rsid w:val="51D14315"/>
    <w:rsid w:val="51F464B0"/>
    <w:rsid w:val="51F51889"/>
    <w:rsid w:val="51F9065D"/>
    <w:rsid w:val="51FA3520"/>
    <w:rsid w:val="52035925"/>
    <w:rsid w:val="522B768A"/>
    <w:rsid w:val="52304CA0"/>
    <w:rsid w:val="525E7A5F"/>
    <w:rsid w:val="525F7333"/>
    <w:rsid w:val="52A352A4"/>
    <w:rsid w:val="52BF52BB"/>
    <w:rsid w:val="52CA25D7"/>
    <w:rsid w:val="52F5095B"/>
    <w:rsid w:val="53061A08"/>
    <w:rsid w:val="532507D7"/>
    <w:rsid w:val="53383662"/>
    <w:rsid w:val="53431FA1"/>
    <w:rsid w:val="53513B4E"/>
    <w:rsid w:val="535B4C30"/>
    <w:rsid w:val="537E6021"/>
    <w:rsid w:val="5391176E"/>
    <w:rsid w:val="539B083F"/>
    <w:rsid w:val="53A039CC"/>
    <w:rsid w:val="53A1505A"/>
    <w:rsid w:val="54063E08"/>
    <w:rsid w:val="540D125C"/>
    <w:rsid w:val="542C1497"/>
    <w:rsid w:val="543437E8"/>
    <w:rsid w:val="543D1EA4"/>
    <w:rsid w:val="5452339C"/>
    <w:rsid w:val="546B7FD4"/>
    <w:rsid w:val="5490662A"/>
    <w:rsid w:val="54C918DE"/>
    <w:rsid w:val="54D01DC4"/>
    <w:rsid w:val="54DF2BA9"/>
    <w:rsid w:val="54EF0DE9"/>
    <w:rsid w:val="54F73313"/>
    <w:rsid w:val="54F80955"/>
    <w:rsid w:val="54FE7421"/>
    <w:rsid w:val="55070075"/>
    <w:rsid w:val="551B736A"/>
    <w:rsid w:val="552D6F21"/>
    <w:rsid w:val="55464EF7"/>
    <w:rsid w:val="55472A2C"/>
    <w:rsid w:val="555170A7"/>
    <w:rsid w:val="5565284B"/>
    <w:rsid w:val="556C08BE"/>
    <w:rsid w:val="557D256D"/>
    <w:rsid w:val="55824D99"/>
    <w:rsid w:val="5587536D"/>
    <w:rsid w:val="558F1CDD"/>
    <w:rsid w:val="55900347"/>
    <w:rsid w:val="55933E69"/>
    <w:rsid w:val="55983288"/>
    <w:rsid w:val="559B174B"/>
    <w:rsid w:val="559D43FA"/>
    <w:rsid w:val="55A34937"/>
    <w:rsid w:val="55A82D9F"/>
    <w:rsid w:val="55AF7187"/>
    <w:rsid w:val="55B97200"/>
    <w:rsid w:val="55BA7DEA"/>
    <w:rsid w:val="55CE0CF4"/>
    <w:rsid w:val="55D80E3C"/>
    <w:rsid w:val="55D939C0"/>
    <w:rsid w:val="55DB0405"/>
    <w:rsid w:val="55DE387E"/>
    <w:rsid w:val="55FD24BD"/>
    <w:rsid w:val="560B101B"/>
    <w:rsid w:val="56153315"/>
    <w:rsid w:val="56186ADD"/>
    <w:rsid w:val="5632548A"/>
    <w:rsid w:val="56586573"/>
    <w:rsid w:val="5661367A"/>
    <w:rsid w:val="56670CF5"/>
    <w:rsid w:val="56A423C5"/>
    <w:rsid w:val="56AC4AAC"/>
    <w:rsid w:val="56B22A9C"/>
    <w:rsid w:val="56B673EE"/>
    <w:rsid w:val="56DC6175"/>
    <w:rsid w:val="56E741A3"/>
    <w:rsid w:val="56F73FDE"/>
    <w:rsid w:val="570021F2"/>
    <w:rsid w:val="570941E0"/>
    <w:rsid w:val="5719600E"/>
    <w:rsid w:val="571F7A33"/>
    <w:rsid w:val="57571CBA"/>
    <w:rsid w:val="576C6E5F"/>
    <w:rsid w:val="57943602"/>
    <w:rsid w:val="57AA3821"/>
    <w:rsid w:val="57B72A76"/>
    <w:rsid w:val="57C3426C"/>
    <w:rsid w:val="57C52BDD"/>
    <w:rsid w:val="57CE1F93"/>
    <w:rsid w:val="580A59C7"/>
    <w:rsid w:val="5818245E"/>
    <w:rsid w:val="58284D01"/>
    <w:rsid w:val="583F3870"/>
    <w:rsid w:val="58460242"/>
    <w:rsid w:val="585039A6"/>
    <w:rsid w:val="585C4FE1"/>
    <w:rsid w:val="58796E5D"/>
    <w:rsid w:val="588743D1"/>
    <w:rsid w:val="5887701A"/>
    <w:rsid w:val="588834ED"/>
    <w:rsid w:val="58A13D20"/>
    <w:rsid w:val="58A817F1"/>
    <w:rsid w:val="58B2640F"/>
    <w:rsid w:val="58C6004A"/>
    <w:rsid w:val="58D63B5A"/>
    <w:rsid w:val="58ED2777"/>
    <w:rsid w:val="58F15088"/>
    <w:rsid w:val="58F234A3"/>
    <w:rsid w:val="58F660A9"/>
    <w:rsid w:val="59001A74"/>
    <w:rsid w:val="590B15D2"/>
    <w:rsid w:val="59407EBE"/>
    <w:rsid w:val="595E20F3"/>
    <w:rsid w:val="59784286"/>
    <w:rsid w:val="59872B83"/>
    <w:rsid w:val="599C0E6D"/>
    <w:rsid w:val="59A852A6"/>
    <w:rsid w:val="59B817D3"/>
    <w:rsid w:val="59C040E4"/>
    <w:rsid w:val="59C0439F"/>
    <w:rsid w:val="5A0B3BB4"/>
    <w:rsid w:val="5A0F0DB2"/>
    <w:rsid w:val="5A2B70A5"/>
    <w:rsid w:val="5A341CC9"/>
    <w:rsid w:val="5A4A5760"/>
    <w:rsid w:val="5A4E660B"/>
    <w:rsid w:val="5A563FA9"/>
    <w:rsid w:val="5A60641C"/>
    <w:rsid w:val="5A6F16B8"/>
    <w:rsid w:val="5A865DA5"/>
    <w:rsid w:val="5A912C2B"/>
    <w:rsid w:val="5AA77AC9"/>
    <w:rsid w:val="5ABE2233"/>
    <w:rsid w:val="5AE058C3"/>
    <w:rsid w:val="5AEB1B85"/>
    <w:rsid w:val="5AFE7845"/>
    <w:rsid w:val="5B0550DD"/>
    <w:rsid w:val="5B1C04B7"/>
    <w:rsid w:val="5B43450C"/>
    <w:rsid w:val="5B5F3211"/>
    <w:rsid w:val="5B652F32"/>
    <w:rsid w:val="5B800A46"/>
    <w:rsid w:val="5B880141"/>
    <w:rsid w:val="5BA34735"/>
    <w:rsid w:val="5BAA7875"/>
    <w:rsid w:val="5BC07095"/>
    <w:rsid w:val="5BDF5D95"/>
    <w:rsid w:val="5BE8250F"/>
    <w:rsid w:val="5BE83C06"/>
    <w:rsid w:val="5BF1724E"/>
    <w:rsid w:val="5BF3746A"/>
    <w:rsid w:val="5BFE7528"/>
    <w:rsid w:val="5C133134"/>
    <w:rsid w:val="5C1719D9"/>
    <w:rsid w:val="5C2515ED"/>
    <w:rsid w:val="5C464A46"/>
    <w:rsid w:val="5C62014C"/>
    <w:rsid w:val="5C6E2DE7"/>
    <w:rsid w:val="5CBB6420"/>
    <w:rsid w:val="5CDD269C"/>
    <w:rsid w:val="5D07719D"/>
    <w:rsid w:val="5D3B233B"/>
    <w:rsid w:val="5D4D55B1"/>
    <w:rsid w:val="5D4F6922"/>
    <w:rsid w:val="5D577585"/>
    <w:rsid w:val="5D5E4DB7"/>
    <w:rsid w:val="5D700646"/>
    <w:rsid w:val="5D7D733E"/>
    <w:rsid w:val="5D7F6ADB"/>
    <w:rsid w:val="5D9500AD"/>
    <w:rsid w:val="5DA7203B"/>
    <w:rsid w:val="5DB46785"/>
    <w:rsid w:val="5DD501CB"/>
    <w:rsid w:val="5DE439D4"/>
    <w:rsid w:val="5DED073C"/>
    <w:rsid w:val="5DF02F39"/>
    <w:rsid w:val="5E077B85"/>
    <w:rsid w:val="5E0F7F19"/>
    <w:rsid w:val="5E2467F1"/>
    <w:rsid w:val="5E287173"/>
    <w:rsid w:val="5E373AEB"/>
    <w:rsid w:val="5E631301"/>
    <w:rsid w:val="5E6B6216"/>
    <w:rsid w:val="5E947C3F"/>
    <w:rsid w:val="5E953B5B"/>
    <w:rsid w:val="5EC7698C"/>
    <w:rsid w:val="5EDE3BFC"/>
    <w:rsid w:val="5EE7005F"/>
    <w:rsid w:val="5F053934"/>
    <w:rsid w:val="5F1A2B43"/>
    <w:rsid w:val="5F3E2D22"/>
    <w:rsid w:val="5F5A7813"/>
    <w:rsid w:val="5F5C5FB8"/>
    <w:rsid w:val="5F6D710E"/>
    <w:rsid w:val="5F7843F6"/>
    <w:rsid w:val="5F7D704B"/>
    <w:rsid w:val="5F84662B"/>
    <w:rsid w:val="5FA82319"/>
    <w:rsid w:val="5FB50182"/>
    <w:rsid w:val="5FB837BB"/>
    <w:rsid w:val="5FB84304"/>
    <w:rsid w:val="5FBD28A9"/>
    <w:rsid w:val="5FD13B7F"/>
    <w:rsid w:val="5FD362BC"/>
    <w:rsid w:val="5FD73BF9"/>
    <w:rsid w:val="5FF4555F"/>
    <w:rsid w:val="60077F11"/>
    <w:rsid w:val="602045A6"/>
    <w:rsid w:val="60255718"/>
    <w:rsid w:val="603154C1"/>
    <w:rsid w:val="605B738C"/>
    <w:rsid w:val="605D52A5"/>
    <w:rsid w:val="606F5B12"/>
    <w:rsid w:val="608B350E"/>
    <w:rsid w:val="60CC405A"/>
    <w:rsid w:val="60CE3AEC"/>
    <w:rsid w:val="60D1764E"/>
    <w:rsid w:val="60D55390"/>
    <w:rsid w:val="60DC5CFA"/>
    <w:rsid w:val="60DD718A"/>
    <w:rsid w:val="60E26F9B"/>
    <w:rsid w:val="60E850CD"/>
    <w:rsid w:val="60EB178E"/>
    <w:rsid w:val="61241E74"/>
    <w:rsid w:val="6126113D"/>
    <w:rsid w:val="614D33DD"/>
    <w:rsid w:val="615A288F"/>
    <w:rsid w:val="6166248C"/>
    <w:rsid w:val="616D4883"/>
    <w:rsid w:val="61761FA3"/>
    <w:rsid w:val="617933A9"/>
    <w:rsid w:val="61902430"/>
    <w:rsid w:val="619A727D"/>
    <w:rsid w:val="61A53AC4"/>
    <w:rsid w:val="61AD74AB"/>
    <w:rsid w:val="61BA29D7"/>
    <w:rsid w:val="61C471B3"/>
    <w:rsid w:val="61E215D8"/>
    <w:rsid w:val="61F5736C"/>
    <w:rsid w:val="621A0074"/>
    <w:rsid w:val="621A411B"/>
    <w:rsid w:val="621B3775"/>
    <w:rsid w:val="62364782"/>
    <w:rsid w:val="623D2190"/>
    <w:rsid w:val="623D288E"/>
    <w:rsid w:val="62480E43"/>
    <w:rsid w:val="624C4EB5"/>
    <w:rsid w:val="624E03C1"/>
    <w:rsid w:val="62824B7F"/>
    <w:rsid w:val="62BD2580"/>
    <w:rsid w:val="62DF1370"/>
    <w:rsid w:val="63025B9A"/>
    <w:rsid w:val="63185A08"/>
    <w:rsid w:val="634C0CCC"/>
    <w:rsid w:val="63674026"/>
    <w:rsid w:val="63926B24"/>
    <w:rsid w:val="6394356A"/>
    <w:rsid w:val="63953D64"/>
    <w:rsid w:val="639C0C65"/>
    <w:rsid w:val="63B07D2A"/>
    <w:rsid w:val="63B66999"/>
    <w:rsid w:val="63C60E3E"/>
    <w:rsid w:val="63C61B2C"/>
    <w:rsid w:val="63D40BE9"/>
    <w:rsid w:val="64085523"/>
    <w:rsid w:val="640D6C65"/>
    <w:rsid w:val="64102431"/>
    <w:rsid w:val="64133D6A"/>
    <w:rsid w:val="642D6B6D"/>
    <w:rsid w:val="643B6113"/>
    <w:rsid w:val="64454028"/>
    <w:rsid w:val="64550596"/>
    <w:rsid w:val="64596145"/>
    <w:rsid w:val="645962D8"/>
    <w:rsid w:val="646507D9"/>
    <w:rsid w:val="647C5B23"/>
    <w:rsid w:val="64803D7C"/>
    <w:rsid w:val="64892A0D"/>
    <w:rsid w:val="649D498A"/>
    <w:rsid w:val="64A5243A"/>
    <w:rsid w:val="64C509D8"/>
    <w:rsid w:val="64C840C5"/>
    <w:rsid w:val="64C86FBA"/>
    <w:rsid w:val="64CA0F84"/>
    <w:rsid w:val="64CB6D70"/>
    <w:rsid w:val="64E33DF4"/>
    <w:rsid w:val="64EA091A"/>
    <w:rsid w:val="64F531DE"/>
    <w:rsid w:val="650439E7"/>
    <w:rsid w:val="651346D9"/>
    <w:rsid w:val="651455B5"/>
    <w:rsid w:val="65373578"/>
    <w:rsid w:val="653D0230"/>
    <w:rsid w:val="655C70C7"/>
    <w:rsid w:val="658E1FB1"/>
    <w:rsid w:val="658E7089"/>
    <w:rsid w:val="659A2E3D"/>
    <w:rsid w:val="65A77447"/>
    <w:rsid w:val="65AC068A"/>
    <w:rsid w:val="65D81CFA"/>
    <w:rsid w:val="65E9368C"/>
    <w:rsid w:val="65FD6C47"/>
    <w:rsid w:val="66072A7A"/>
    <w:rsid w:val="661907B4"/>
    <w:rsid w:val="661A3964"/>
    <w:rsid w:val="66520A4C"/>
    <w:rsid w:val="66647EF9"/>
    <w:rsid w:val="666B3FED"/>
    <w:rsid w:val="666B77CE"/>
    <w:rsid w:val="667C6A4B"/>
    <w:rsid w:val="667E2026"/>
    <w:rsid w:val="66A93CA2"/>
    <w:rsid w:val="66AD6467"/>
    <w:rsid w:val="66CD60E6"/>
    <w:rsid w:val="66D30B37"/>
    <w:rsid w:val="66E26E91"/>
    <w:rsid w:val="66E300DB"/>
    <w:rsid w:val="66E542DE"/>
    <w:rsid w:val="66E73E16"/>
    <w:rsid w:val="66F916AD"/>
    <w:rsid w:val="671F124A"/>
    <w:rsid w:val="67254250"/>
    <w:rsid w:val="672B281E"/>
    <w:rsid w:val="672B7E9F"/>
    <w:rsid w:val="67322410"/>
    <w:rsid w:val="673E700C"/>
    <w:rsid w:val="67425445"/>
    <w:rsid w:val="67684FD9"/>
    <w:rsid w:val="67696832"/>
    <w:rsid w:val="677A33C6"/>
    <w:rsid w:val="678646FA"/>
    <w:rsid w:val="678E44EB"/>
    <w:rsid w:val="679113F1"/>
    <w:rsid w:val="679B0B92"/>
    <w:rsid w:val="67A05F81"/>
    <w:rsid w:val="67B034DF"/>
    <w:rsid w:val="67D879B0"/>
    <w:rsid w:val="67E83A66"/>
    <w:rsid w:val="67FD6025"/>
    <w:rsid w:val="6804655B"/>
    <w:rsid w:val="681F6961"/>
    <w:rsid w:val="682744BD"/>
    <w:rsid w:val="682D3D04"/>
    <w:rsid w:val="684A4B9C"/>
    <w:rsid w:val="68573186"/>
    <w:rsid w:val="68610A2F"/>
    <w:rsid w:val="6865297F"/>
    <w:rsid w:val="687631E5"/>
    <w:rsid w:val="68805514"/>
    <w:rsid w:val="68835179"/>
    <w:rsid w:val="68A11FFC"/>
    <w:rsid w:val="68AA7FC8"/>
    <w:rsid w:val="68C63810"/>
    <w:rsid w:val="69041029"/>
    <w:rsid w:val="69076303"/>
    <w:rsid w:val="690F41B8"/>
    <w:rsid w:val="691F7A1C"/>
    <w:rsid w:val="69225065"/>
    <w:rsid w:val="69316E2F"/>
    <w:rsid w:val="69366BE8"/>
    <w:rsid w:val="694E2071"/>
    <w:rsid w:val="69535BCA"/>
    <w:rsid w:val="695B03FD"/>
    <w:rsid w:val="695B31AD"/>
    <w:rsid w:val="69662958"/>
    <w:rsid w:val="69673DB9"/>
    <w:rsid w:val="69766163"/>
    <w:rsid w:val="697A3B33"/>
    <w:rsid w:val="69812DD6"/>
    <w:rsid w:val="69863787"/>
    <w:rsid w:val="69CB43D3"/>
    <w:rsid w:val="69D44760"/>
    <w:rsid w:val="69D95770"/>
    <w:rsid w:val="69F61ED3"/>
    <w:rsid w:val="6A197154"/>
    <w:rsid w:val="6A1D108F"/>
    <w:rsid w:val="6A2871C3"/>
    <w:rsid w:val="6A520EC7"/>
    <w:rsid w:val="6A574FAB"/>
    <w:rsid w:val="6A682AA6"/>
    <w:rsid w:val="6A6C526D"/>
    <w:rsid w:val="6A780E67"/>
    <w:rsid w:val="6AD66324"/>
    <w:rsid w:val="6AE327BE"/>
    <w:rsid w:val="6AEC2747"/>
    <w:rsid w:val="6AED7C1E"/>
    <w:rsid w:val="6AF87E20"/>
    <w:rsid w:val="6B1271E1"/>
    <w:rsid w:val="6B144D07"/>
    <w:rsid w:val="6B2A2CBB"/>
    <w:rsid w:val="6B2D5DC9"/>
    <w:rsid w:val="6B2E0244"/>
    <w:rsid w:val="6B322639"/>
    <w:rsid w:val="6B330AD1"/>
    <w:rsid w:val="6B3A4F0F"/>
    <w:rsid w:val="6B5F2F1E"/>
    <w:rsid w:val="6B6130C6"/>
    <w:rsid w:val="6B622383"/>
    <w:rsid w:val="6B6F6C14"/>
    <w:rsid w:val="6B7D4B5D"/>
    <w:rsid w:val="6BB7653C"/>
    <w:rsid w:val="6BBC6F36"/>
    <w:rsid w:val="6BDA3241"/>
    <w:rsid w:val="6BE01659"/>
    <w:rsid w:val="6BE6506C"/>
    <w:rsid w:val="6BE73F54"/>
    <w:rsid w:val="6C013B0C"/>
    <w:rsid w:val="6C0B2260"/>
    <w:rsid w:val="6C0C0F25"/>
    <w:rsid w:val="6C2472D5"/>
    <w:rsid w:val="6C303DC2"/>
    <w:rsid w:val="6C39551B"/>
    <w:rsid w:val="6C3D203B"/>
    <w:rsid w:val="6C636C38"/>
    <w:rsid w:val="6C637BAE"/>
    <w:rsid w:val="6C8819C3"/>
    <w:rsid w:val="6C9111A2"/>
    <w:rsid w:val="6CE46926"/>
    <w:rsid w:val="6D335CEE"/>
    <w:rsid w:val="6D4772AC"/>
    <w:rsid w:val="6D4D1972"/>
    <w:rsid w:val="6D524917"/>
    <w:rsid w:val="6D527D69"/>
    <w:rsid w:val="6D621DCA"/>
    <w:rsid w:val="6D8F43A5"/>
    <w:rsid w:val="6D9B34BE"/>
    <w:rsid w:val="6DB34098"/>
    <w:rsid w:val="6DB545B6"/>
    <w:rsid w:val="6DCE5641"/>
    <w:rsid w:val="6DD8201C"/>
    <w:rsid w:val="6DE02FB4"/>
    <w:rsid w:val="6DEE183F"/>
    <w:rsid w:val="6E492F1A"/>
    <w:rsid w:val="6E494CC8"/>
    <w:rsid w:val="6E514CED"/>
    <w:rsid w:val="6E531FEA"/>
    <w:rsid w:val="6E864B7E"/>
    <w:rsid w:val="6EB563D5"/>
    <w:rsid w:val="6EBE4588"/>
    <w:rsid w:val="6ED1546C"/>
    <w:rsid w:val="6ED26A92"/>
    <w:rsid w:val="6ED92677"/>
    <w:rsid w:val="6EE113A4"/>
    <w:rsid w:val="6EE56993"/>
    <w:rsid w:val="6EE803D8"/>
    <w:rsid w:val="6EE9396B"/>
    <w:rsid w:val="6F0A19F8"/>
    <w:rsid w:val="6F197044"/>
    <w:rsid w:val="6F225983"/>
    <w:rsid w:val="6F2F65B3"/>
    <w:rsid w:val="6F396D33"/>
    <w:rsid w:val="6F5D6244"/>
    <w:rsid w:val="6F6E3439"/>
    <w:rsid w:val="6F76182F"/>
    <w:rsid w:val="6F851161"/>
    <w:rsid w:val="6F886897"/>
    <w:rsid w:val="6F8D7A1A"/>
    <w:rsid w:val="6FAD2FB8"/>
    <w:rsid w:val="6FB70357"/>
    <w:rsid w:val="6FCB196B"/>
    <w:rsid w:val="6FD90CB5"/>
    <w:rsid w:val="6FE27182"/>
    <w:rsid w:val="6FF869A5"/>
    <w:rsid w:val="6FFC5590"/>
    <w:rsid w:val="70111815"/>
    <w:rsid w:val="70161403"/>
    <w:rsid w:val="7022432C"/>
    <w:rsid w:val="702E686B"/>
    <w:rsid w:val="70495453"/>
    <w:rsid w:val="706D1DD0"/>
    <w:rsid w:val="707617CA"/>
    <w:rsid w:val="70856B87"/>
    <w:rsid w:val="70A04FBC"/>
    <w:rsid w:val="70A631D2"/>
    <w:rsid w:val="70C1148D"/>
    <w:rsid w:val="70D527EE"/>
    <w:rsid w:val="70E87E48"/>
    <w:rsid w:val="70EC22DD"/>
    <w:rsid w:val="70F324E3"/>
    <w:rsid w:val="70F52C1D"/>
    <w:rsid w:val="70FD695C"/>
    <w:rsid w:val="713A4D9B"/>
    <w:rsid w:val="714F0823"/>
    <w:rsid w:val="715B5300"/>
    <w:rsid w:val="715C2272"/>
    <w:rsid w:val="71662163"/>
    <w:rsid w:val="719751C3"/>
    <w:rsid w:val="71A1483A"/>
    <w:rsid w:val="71A44561"/>
    <w:rsid w:val="71A861A9"/>
    <w:rsid w:val="71C805F9"/>
    <w:rsid w:val="71D27F8A"/>
    <w:rsid w:val="71EA0570"/>
    <w:rsid w:val="71EE5510"/>
    <w:rsid w:val="72220E5E"/>
    <w:rsid w:val="723B0DCB"/>
    <w:rsid w:val="724B4950"/>
    <w:rsid w:val="72553024"/>
    <w:rsid w:val="72654D1A"/>
    <w:rsid w:val="726F6CC7"/>
    <w:rsid w:val="72914E8F"/>
    <w:rsid w:val="729329B5"/>
    <w:rsid w:val="72A77E64"/>
    <w:rsid w:val="72AD4E99"/>
    <w:rsid w:val="72C73B82"/>
    <w:rsid w:val="72D11D1B"/>
    <w:rsid w:val="72E8463D"/>
    <w:rsid w:val="72F33EDE"/>
    <w:rsid w:val="72FD42D3"/>
    <w:rsid w:val="73122968"/>
    <w:rsid w:val="73196B42"/>
    <w:rsid w:val="731F5D5E"/>
    <w:rsid w:val="73781C19"/>
    <w:rsid w:val="73922C6D"/>
    <w:rsid w:val="73C51AD5"/>
    <w:rsid w:val="73E319CB"/>
    <w:rsid w:val="73F676A0"/>
    <w:rsid w:val="740E77B5"/>
    <w:rsid w:val="741E793C"/>
    <w:rsid w:val="7423684C"/>
    <w:rsid w:val="74410516"/>
    <w:rsid w:val="744966C1"/>
    <w:rsid w:val="744F5002"/>
    <w:rsid w:val="74583EB6"/>
    <w:rsid w:val="745E3944"/>
    <w:rsid w:val="74687E72"/>
    <w:rsid w:val="74B50806"/>
    <w:rsid w:val="74B60BDD"/>
    <w:rsid w:val="74BA4618"/>
    <w:rsid w:val="74C54E45"/>
    <w:rsid w:val="74EC0A46"/>
    <w:rsid w:val="74F811F5"/>
    <w:rsid w:val="7537275F"/>
    <w:rsid w:val="755B4AFC"/>
    <w:rsid w:val="756D1BE3"/>
    <w:rsid w:val="75B25848"/>
    <w:rsid w:val="75B641FC"/>
    <w:rsid w:val="75BA13EC"/>
    <w:rsid w:val="75C360F8"/>
    <w:rsid w:val="75C813E0"/>
    <w:rsid w:val="75CA3AE8"/>
    <w:rsid w:val="75D97B49"/>
    <w:rsid w:val="75E04CA9"/>
    <w:rsid w:val="76022D28"/>
    <w:rsid w:val="760362F8"/>
    <w:rsid w:val="761262E7"/>
    <w:rsid w:val="76222B25"/>
    <w:rsid w:val="763044F2"/>
    <w:rsid w:val="76320737"/>
    <w:rsid w:val="7635099D"/>
    <w:rsid w:val="76362A9D"/>
    <w:rsid w:val="76393596"/>
    <w:rsid w:val="76746FA2"/>
    <w:rsid w:val="76781137"/>
    <w:rsid w:val="76AB3011"/>
    <w:rsid w:val="76B35133"/>
    <w:rsid w:val="76BF05FD"/>
    <w:rsid w:val="76C34356"/>
    <w:rsid w:val="76CA62E1"/>
    <w:rsid w:val="76CD21B1"/>
    <w:rsid w:val="76D65566"/>
    <w:rsid w:val="76FF3B43"/>
    <w:rsid w:val="771B3B06"/>
    <w:rsid w:val="77297643"/>
    <w:rsid w:val="772B58B2"/>
    <w:rsid w:val="773A3D47"/>
    <w:rsid w:val="77447D75"/>
    <w:rsid w:val="775363CA"/>
    <w:rsid w:val="77562203"/>
    <w:rsid w:val="77676E2F"/>
    <w:rsid w:val="77682FAC"/>
    <w:rsid w:val="77726FE0"/>
    <w:rsid w:val="77762421"/>
    <w:rsid w:val="77774482"/>
    <w:rsid w:val="778F69AA"/>
    <w:rsid w:val="7790212C"/>
    <w:rsid w:val="77A74C10"/>
    <w:rsid w:val="77B2296F"/>
    <w:rsid w:val="77B56B1F"/>
    <w:rsid w:val="77C508BF"/>
    <w:rsid w:val="77C80189"/>
    <w:rsid w:val="77D75C5A"/>
    <w:rsid w:val="77F71C38"/>
    <w:rsid w:val="77F959B0"/>
    <w:rsid w:val="780F09F4"/>
    <w:rsid w:val="78134AAA"/>
    <w:rsid w:val="7827149A"/>
    <w:rsid w:val="782E61C7"/>
    <w:rsid w:val="7832055F"/>
    <w:rsid w:val="783512AF"/>
    <w:rsid w:val="78493FEE"/>
    <w:rsid w:val="784C1F84"/>
    <w:rsid w:val="784D3606"/>
    <w:rsid w:val="78521B33"/>
    <w:rsid w:val="78686692"/>
    <w:rsid w:val="78850FF2"/>
    <w:rsid w:val="78A15AC0"/>
    <w:rsid w:val="78A90480"/>
    <w:rsid w:val="78AA2807"/>
    <w:rsid w:val="78BC0AF2"/>
    <w:rsid w:val="78BF2B80"/>
    <w:rsid w:val="78C42189"/>
    <w:rsid w:val="78CC573F"/>
    <w:rsid w:val="78CD4648"/>
    <w:rsid w:val="78CF42DD"/>
    <w:rsid w:val="78D5039A"/>
    <w:rsid w:val="78D9133E"/>
    <w:rsid w:val="78E23F4E"/>
    <w:rsid w:val="78E90CB1"/>
    <w:rsid w:val="78F62721"/>
    <w:rsid w:val="79055DDE"/>
    <w:rsid w:val="79100EF3"/>
    <w:rsid w:val="791C0B31"/>
    <w:rsid w:val="792271D9"/>
    <w:rsid w:val="79584959"/>
    <w:rsid w:val="7967694A"/>
    <w:rsid w:val="799040F2"/>
    <w:rsid w:val="79984959"/>
    <w:rsid w:val="79992BE7"/>
    <w:rsid w:val="79B32F99"/>
    <w:rsid w:val="7A09025D"/>
    <w:rsid w:val="7A1631C8"/>
    <w:rsid w:val="7A282746"/>
    <w:rsid w:val="7A301431"/>
    <w:rsid w:val="7A307366"/>
    <w:rsid w:val="7A364017"/>
    <w:rsid w:val="7A4047E0"/>
    <w:rsid w:val="7A49604F"/>
    <w:rsid w:val="7A6472C1"/>
    <w:rsid w:val="7A777060"/>
    <w:rsid w:val="7A7C4677"/>
    <w:rsid w:val="7A8265E1"/>
    <w:rsid w:val="7A902877"/>
    <w:rsid w:val="7AB11B64"/>
    <w:rsid w:val="7AB12572"/>
    <w:rsid w:val="7AB16063"/>
    <w:rsid w:val="7AB930CE"/>
    <w:rsid w:val="7AC46139"/>
    <w:rsid w:val="7AC71923"/>
    <w:rsid w:val="7B1112A8"/>
    <w:rsid w:val="7B1562C3"/>
    <w:rsid w:val="7B315461"/>
    <w:rsid w:val="7B391800"/>
    <w:rsid w:val="7B635683"/>
    <w:rsid w:val="7B641393"/>
    <w:rsid w:val="7B645FAA"/>
    <w:rsid w:val="7B686D42"/>
    <w:rsid w:val="7B787D2A"/>
    <w:rsid w:val="7B7A6E08"/>
    <w:rsid w:val="7B7B2A47"/>
    <w:rsid w:val="7B811411"/>
    <w:rsid w:val="7B841746"/>
    <w:rsid w:val="7B88353D"/>
    <w:rsid w:val="7BA50A03"/>
    <w:rsid w:val="7BAD5C1E"/>
    <w:rsid w:val="7BF001E1"/>
    <w:rsid w:val="7C096CB3"/>
    <w:rsid w:val="7C1A59E4"/>
    <w:rsid w:val="7C203715"/>
    <w:rsid w:val="7C2C2000"/>
    <w:rsid w:val="7C323BE8"/>
    <w:rsid w:val="7C4C3D9A"/>
    <w:rsid w:val="7C5021D2"/>
    <w:rsid w:val="7C6C5AC7"/>
    <w:rsid w:val="7CAD5B41"/>
    <w:rsid w:val="7CB11FEB"/>
    <w:rsid w:val="7CB63E70"/>
    <w:rsid w:val="7CC6544B"/>
    <w:rsid w:val="7CE16A13"/>
    <w:rsid w:val="7CEA105F"/>
    <w:rsid w:val="7CEF32D9"/>
    <w:rsid w:val="7CF54674"/>
    <w:rsid w:val="7D0239FF"/>
    <w:rsid w:val="7D095292"/>
    <w:rsid w:val="7D310761"/>
    <w:rsid w:val="7D380496"/>
    <w:rsid w:val="7D4C0002"/>
    <w:rsid w:val="7D5611AF"/>
    <w:rsid w:val="7D580EFC"/>
    <w:rsid w:val="7D5E40CD"/>
    <w:rsid w:val="7D6271A5"/>
    <w:rsid w:val="7D63574E"/>
    <w:rsid w:val="7D6609C0"/>
    <w:rsid w:val="7D6D2898"/>
    <w:rsid w:val="7D936795"/>
    <w:rsid w:val="7DAD494D"/>
    <w:rsid w:val="7DBD1D1A"/>
    <w:rsid w:val="7DC60B4C"/>
    <w:rsid w:val="7DCD56F2"/>
    <w:rsid w:val="7DDB16B4"/>
    <w:rsid w:val="7DEF7F3E"/>
    <w:rsid w:val="7E19586A"/>
    <w:rsid w:val="7E2D1F10"/>
    <w:rsid w:val="7E376901"/>
    <w:rsid w:val="7E597B57"/>
    <w:rsid w:val="7E6D6123"/>
    <w:rsid w:val="7E8B1BA5"/>
    <w:rsid w:val="7E8D048C"/>
    <w:rsid w:val="7ECA2D5D"/>
    <w:rsid w:val="7EE54876"/>
    <w:rsid w:val="7EF96326"/>
    <w:rsid w:val="7EFE4853"/>
    <w:rsid w:val="7F001CE7"/>
    <w:rsid w:val="7F006792"/>
    <w:rsid w:val="7F200F58"/>
    <w:rsid w:val="7F22183C"/>
    <w:rsid w:val="7F243BE2"/>
    <w:rsid w:val="7F2640B7"/>
    <w:rsid w:val="7F2C2210"/>
    <w:rsid w:val="7F3247A7"/>
    <w:rsid w:val="7F452515"/>
    <w:rsid w:val="7F4F1938"/>
    <w:rsid w:val="7F8055C2"/>
    <w:rsid w:val="7F9E0BEB"/>
    <w:rsid w:val="7FC64498"/>
    <w:rsid w:val="7FD90169"/>
    <w:rsid w:val="7FE47E50"/>
    <w:rsid w:val="7FF015C4"/>
    <w:rsid w:val="7FFA02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34"/>
    <w:qFormat/>
    <w:locked/>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6">
    <w:name w:val="heading 3"/>
    <w:basedOn w:val="1"/>
    <w:next w:val="1"/>
    <w:link w:val="35"/>
    <w:qFormat/>
    <w:locked/>
    <w:uiPriority w:val="0"/>
    <w:pPr>
      <w:keepNext/>
      <w:keepLines/>
      <w:spacing w:before="260" w:after="260" w:line="416" w:lineRule="auto"/>
      <w:outlineLvl w:val="2"/>
    </w:pPr>
    <w:rPr>
      <w:b/>
      <w:bCs/>
      <w:sz w:val="32"/>
      <w:szCs w:val="32"/>
    </w:rPr>
  </w:style>
  <w:style w:type="paragraph" w:styleId="7">
    <w:name w:val="heading 4"/>
    <w:basedOn w:val="1"/>
    <w:next w:val="1"/>
    <w:link w:val="36"/>
    <w:qFormat/>
    <w:locked/>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link w:val="32"/>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8">
    <w:name w:val="Normal Indent"/>
    <w:basedOn w:val="1"/>
    <w:next w:val="7"/>
    <w:qFormat/>
    <w:locked/>
    <w:uiPriority w:val="0"/>
    <w:pPr>
      <w:adjustRightInd w:val="0"/>
      <w:snapToGrid w:val="0"/>
      <w:spacing w:line="360" w:lineRule="exact"/>
      <w:ind w:firstLine="200" w:firstLineChars="200"/>
      <w:jc w:val="left"/>
    </w:pPr>
    <w:rPr>
      <w:rFonts w:hAnsi="Calibri"/>
      <w:szCs w:val="20"/>
    </w:rPr>
  </w:style>
  <w:style w:type="paragraph" w:styleId="9">
    <w:name w:val="annotation text"/>
    <w:basedOn w:val="1"/>
    <w:link w:val="37"/>
    <w:semiHidden/>
    <w:qFormat/>
    <w:uiPriority w:val="99"/>
    <w:pPr>
      <w:jc w:val="left"/>
    </w:pPr>
    <w:rPr>
      <w:kern w:val="0"/>
      <w:sz w:val="24"/>
      <w:szCs w:val="20"/>
    </w:rPr>
  </w:style>
  <w:style w:type="paragraph" w:styleId="10">
    <w:name w:val="Body Text Indent"/>
    <w:basedOn w:val="1"/>
    <w:next w:val="2"/>
    <w:link w:val="31"/>
    <w:qFormat/>
    <w:uiPriority w:val="0"/>
    <w:pPr>
      <w:spacing w:after="120"/>
      <w:ind w:left="420" w:leftChars="200"/>
    </w:pPr>
    <w:rPr>
      <w:kern w:val="0"/>
      <w:sz w:val="24"/>
      <w:szCs w:val="20"/>
    </w:rPr>
  </w:style>
  <w:style w:type="paragraph" w:styleId="11">
    <w:name w:val="Date"/>
    <w:basedOn w:val="1"/>
    <w:next w:val="1"/>
    <w:link w:val="38"/>
    <w:qFormat/>
    <w:uiPriority w:val="0"/>
    <w:pPr>
      <w:ind w:left="100" w:leftChars="2500"/>
    </w:pPr>
    <w:rPr>
      <w:kern w:val="0"/>
      <w:sz w:val="24"/>
      <w:szCs w:val="20"/>
    </w:rPr>
  </w:style>
  <w:style w:type="paragraph" w:styleId="12">
    <w:name w:val="Body Text Indent 2"/>
    <w:basedOn w:val="1"/>
    <w:next w:val="1"/>
    <w:link w:val="39"/>
    <w:qFormat/>
    <w:locked/>
    <w:uiPriority w:val="0"/>
    <w:pPr>
      <w:spacing w:after="120" w:line="480" w:lineRule="auto"/>
      <w:ind w:left="420" w:leftChars="200"/>
    </w:pPr>
  </w:style>
  <w:style w:type="paragraph" w:styleId="13">
    <w:name w:val="Balloon Text"/>
    <w:basedOn w:val="1"/>
    <w:link w:val="40"/>
    <w:semiHidden/>
    <w:qFormat/>
    <w:uiPriority w:val="0"/>
    <w:rPr>
      <w:kern w:val="0"/>
      <w:sz w:val="18"/>
      <w:szCs w:val="20"/>
    </w:rPr>
  </w:style>
  <w:style w:type="paragraph" w:styleId="14">
    <w:name w:val="footer"/>
    <w:basedOn w:val="1"/>
    <w:link w:val="41"/>
    <w:qFormat/>
    <w:uiPriority w:val="99"/>
    <w:pPr>
      <w:tabs>
        <w:tab w:val="center" w:pos="4153"/>
        <w:tab w:val="right" w:pos="8306"/>
      </w:tabs>
      <w:snapToGrid w:val="0"/>
      <w:jc w:val="left"/>
    </w:pPr>
    <w:rPr>
      <w:kern w:val="0"/>
      <w:sz w:val="18"/>
      <w:szCs w:val="20"/>
    </w:rPr>
  </w:style>
  <w:style w:type="paragraph" w:styleId="15">
    <w:name w:val="header"/>
    <w:basedOn w:val="1"/>
    <w:next w:val="16"/>
    <w:link w:val="42"/>
    <w:qFormat/>
    <w:uiPriority w:val="99"/>
    <w:pPr>
      <w:pBdr>
        <w:top w:val="none" w:color="auto" w:sz="0" w:space="1"/>
        <w:left w:val="none" w:color="auto" w:sz="0" w:space="4"/>
        <w:bottom w:val="none" w:color="auto" w:sz="0" w:space="1"/>
        <w:right w:val="none" w:color="auto" w:sz="0" w:space="4"/>
      </w:pBdr>
      <w:tabs>
        <w:tab w:val="center" w:pos="0"/>
        <w:tab w:val="center" w:pos="4153"/>
        <w:tab w:val="right" w:pos="8306"/>
      </w:tabs>
      <w:snapToGrid w:val="0"/>
      <w:spacing w:line="360" w:lineRule="auto"/>
      <w:ind w:firstLine="720" w:firstLineChars="200"/>
      <w:jc w:val="center"/>
    </w:pPr>
    <w:rPr>
      <w:rFonts w:ascii="Times New Roman" w:hAnsi="Times New Roman" w:eastAsia="宋体"/>
      <w:kern w:val="0"/>
      <w:sz w:val="24"/>
      <w:szCs w:val="20"/>
    </w:rPr>
  </w:style>
  <w:style w:type="paragraph" w:customStyle="1" w:styleId="16">
    <w:name w:val="样式5"/>
    <w:basedOn w:val="1"/>
    <w:qFormat/>
    <w:uiPriority w:val="0"/>
    <w:pPr>
      <w:snapToGrid w:val="0"/>
      <w:spacing w:line="360" w:lineRule="auto"/>
      <w:ind w:firstLine="510"/>
    </w:pPr>
    <w:rPr>
      <w:sz w:val="24"/>
    </w:rPr>
  </w:style>
  <w:style w:type="paragraph" w:styleId="17">
    <w:name w:val="toc 1"/>
    <w:basedOn w:val="1"/>
    <w:next w:val="1"/>
    <w:qFormat/>
    <w:locked/>
    <w:uiPriority w:val="39"/>
    <w:pPr>
      <w:tabs>
        <w:tab w:val="right" w:leader="dot" w:pos="8834"/>
      </w:tabs>
      <w:jc w:val="center"/>
    </w:pPr>
    <w:rPr>
      <w:rFonts w:ascii="黑体" w:hAnsi="黑体" w:eastAsia="黑体"/>
      <w:sz w:val="40"/>
      <w:szCs w:val="40"/>
    </w:rPr>
  </w:style>
  <w:style w:type="paragraph" w:styleId="18">
    <w:name w:val="List"/>
    <w:basedOn w:val="1"/>
    <w:qFormat/>
    <w:locked/>
    <w:uiPriority w:val="0"/>
    <w:pPr>
      <w:ind w:left="200" w:hanging="200" w:hangingChars="200"/>
    </w:pPr>
  </w:style>
  <w:style w:type="paragraph" w:styleId="19">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9"/>
    <w:next w:val="9"/>
    <w:link w:val="44"/>
    <w:semiHidden/>
    <w:qFormat/>
    <w:uiPriority w:val="0"/>
    <w:rPr>
      <w:b/>
      <w:sz w:val="24"/>
      <w:szCs w:val="20"/>
    </w:rPr>
  </w:style>
  <w:style w:type="paragraph" w:styleId="21">
    <w:name w:val="Body Text First Indent"/>
    <w:basedOn w:val="2"/>
    <w:next w:val="1"/>
    <w:link w:val="45"/>
    <w:qFormat/>
    <w:locked/>
    <w:uiPriority w:val="0"/>
    <w:pPr>
      <w:widowControl w:val="0"/>
      <w:snapToGrid/>
      <w:spacing w:before="0" w:after="120" w:line="240" w:lineRule="auto"/>
      <w:ind w:right="0" w:firstLine="420" w:firstLineChars="100"/>
    </w:pPr>
    <w:rPr>
      <w:kern w:val="2"/>
      <w:sz w:val="21"/>
      <w:szCs w:val="24"/>
    </w:rPr>
  </w:style>
  <w:style w:type="paragraph" w:styleId="22">
    <w:name w:val="Body Text First Indent 2"/>
    <w:basedOn w:val="10"/>
    <w:next w:val="1"/>
    <w:link w:val="33"/>
    <w:qFormat/>
    <w:locked/>
    <w:uiPriority w:val="0"/>
    <w:pPr>
      <w:ind w:firstLine="420" w:firstLineChars="200"/>
    </w:pPr>
    <w:rPr>
      <w:kern w:val="2"/>
      <w:sz w:val="21"/>
      <w:szCs w:val="24"/>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locked/>
    <w:uiPriority w:val="0"/>
    <w:rPr>
      <w:b/>
    </w:rPr>
  </w:style>
  <w:style w:type="character" w:styleId="27">
    <w:name w:val="page number"/>
    <w:qFormat/>
    <w:locked/>
    <w:uiPriority w:val="0"/>
  </w:style>
  <w:style w:type="character" w:styleId="28">
    <w:name w:val="Hyperlink"/>
    <w:unhideWhenUsed/>
    <w:qFormat/>
    <w:locked/>
    <w:uiPriority w:val="99"/>
    <w:rPr>
      <w:color w:val="0563C1"/>
      <w:u w:val="single"/>
    </w:rPr>
  </w:style>
  <w:style w:type="character" w:styleId="29">
    <w:name w:val="annotation reference"/>
    <w:semiHidden/>
    <w:qFormat/>
    <w:uiPriority w:val="0"/>
    <w:rPr>
      <w:sz w:val="21"/>
    </w:rPr>
  </w:style>
  <w:style w:type="paragraph" w:customStyle="1" w:styleId="30">
    <w:name w:val="正文 首行缩进:  2 字符"/>
    <w:basedOn w:val="1"/>
    <w:qFormat/>
    <w:uiPriority w:val="0"/>
    <w:pPr>
      <w:ind w:firstLine="579" w:firstLineChars="200"/>
    </w:pPr>
    <w:rPr>
      <w:sz w:val="28"/>
      <w:szCs w:val="20"/>
    </w:rPr>
  </w:style>
  <w:style w:type="character" w:customStyle="1" w:styleId="31">
    <w:name w:val="正文文本缩进 字符"/>
    <w:link w:val="10"/>
    <w:semiHidden/>
    <w:qFormat/>
    <w:locked/>
    <w:uiPriority w:val="0"/>
    <w:rPr>
      <w:rFonts w:ascii="Times New Roman" w:hAnsi="Times New Roman" w:eastAsia="宋体"/>
      <w:sz w:val="24"/>
    </w:rPr>
  </w:style>
  <w:style w:type="character" w:customStyle="1" w:styleId="32">
    <w:name w:val="正文文本 字符"/>
    <w:link w:val="2"/>
    <w:qFormat/>
    <w:locked/>
    <w:uiPriority w:val="0"/>
    <w:rPr>
      <w:sz w:val="18"/>
    </w:rPr>
  </w:style>
  <w:style w:type="character" w:customStyle="1" w:styleId="33">
    <w:name w:val="正文文本首行缩进 2 字符"/>
    <w:link w:val="22"/>
    <w:qFormat/>
    <w:uiPriority w:val="0"/>
    <w:rPr>
      <w:rFonts w:ascii="Times New Roman" w:hAnsi="Times New Roman" w:eastAsia="宋体"/>
      <w:kern w:val="2"/>
      <w:sz w:val="21"/>
      <w:szCs w:val="24"/>
    </w:rPr>
  </w:style>
  <w:style w:type="character" w:customStyle="1" w:styleId="34">
    <w:name w:val="标题 2 字符"/>
    <w:link w:val="5"/>
    <w:semiHidden/>
    <w:qFormat/>
    <w:uiPriority w:val="0"/>
    <w:rPr>
      <w:rFonts w:ascii="等线 Light" w:hAnsi="等线 Light" w:eastAsia="等线 Light" w:cs="Times New Roman"/>
      <w:b/>
      <w:bCs/>
      <w:kern w:val="2"/>
      <w:sz w:val="32"/>
      <w:szCs w:val="32"/>
    </w:rPr>
  </w:style>
  <w:style w:type="character" w:customStyle="1" w:styleId="35">
    <w:name w:val="标题 3 字符"/>
    <w:link w:val="6"/>
    <w:semiHidden/>
    <w:qFormat/>
    <w:uiPriority w:val="0"/>
    <w:rPr>
      <w:b/>
      <w:bCs/>
      <w:kern w:val="2"/>
      <w:sz w:val="32"/>
      <w:szCs w:val="32"/>
    </w:rPr>
  </w:style>
  <w:style w:type="character" w:customStyle="1" w:styleId="36">
    <w:name w:val="标题 4 字符"/>
    <w:link w:val="7"/>
    <w:semiHidden/>
    <w:qFormat/>
    <w:uiPriority w:val="0"/>
    <w:rPr>
      <w:rFonts w:ascii="等线 Light" w:hAnsi="等线 Light" w:eastAsia="等线 Light" w:cs="Times New Roman"/>
      <w:b/>
      <w:bCs/>
      <w:kern w:val="2"/>
      <w:sz w:val="28"/>
      <w:szCs w:val="28"/>
    </w:rPr>
  </w:style>
  <w:style w:type="character" w:customStyle="1" w:styleId="37">
    <w:name w:val="批注文字 字符"/>
    <w:link w:val="9"/>
    <w:qFormat/>
    <w:locked/>
    <w:uiPriority w:val="99"/>
    <w:rPr>
      <w:rFonts w:ascii="Times New Roman" w:hAnsi="Times New Roman" w:eastAsia="宋体"/>
      <w:sz w:val="24"/>
    </w:rPr>
  </w:style>
  <w:style w:type="character" w:customStyle="1" w:styleId="38">
    <w:name w:val="日期 字符1"/>
    <w:link w:val="11"/>
    <w:qFormat/>
    <w:locked/>
    <w:uiPriority w:val="0"/>
    <w:rPr>
      <w:rFonts w:ascii="Times New Roman" w:hAnsi="Times New Roman" w:eastAsia="宋体"/>
      <w:sz w:val="24"/>
    </w:rPr>
  </w:style>
  <w:style w:type="character" w:customStyle="1" w:styleId="39">
    <w:name w:val="正文文本缩进 2 字符"/>
    <w:link w:val="12"/>
    <w:qFormat/>
    <w:uiPriority w:val="0"/>
    <w:rPr>
      <w:kern w:val="2"/>
      <w:sz w:val="21"/>
      <w:szCs w:val="24"/>
    </w:rPr>
  </w:style>
  <w:style w:type="character" w:customStyle="1" w:styleId="40">
    <w:name w:val="批注框文本 字符"/>
    <w:link w:val="13"/>
    <w:semiHidden/>
    <w:qFormat/>
    <w:locked/>
    <w:uiPriority w:val="0"/>
    <w:rPr>
      <w:rFonts w:ascii="Times New Roman" w:hAnsi="Times New Roman" w:eastAsia="宋体"/>
      <w:sz w:val="18"/>
    </w:rPr>
  </w:style>
  <w:style w:type="character" w:customStyle="1" w:styleId="41">
    <w:name w:val="页脚 字符1"/>
    <w:link w:val="14"/>
    <w:qFormat/>
    <w:locked/>
    <w:uiPriority w:val="99"/>
    <w:rPr>
      <w:sz w:val="18"/>
    </w:rPr>
  </w:style>
  <w:style w:type="character" w:customStyle="1" w:styleId="42">
    <w:name w:val="页眉 字符"/>
    <w:link w:val="15"/>
    <w:qFormat/>
    <w:locked/>
    <w:uiPriority w:val="99"/>
    <w:rPr>
      <w:rFonts w:ascii="Times New Roman" w:hAnsi="Times New Roman" w:eastAsia="宋体"/>
      <w:sz w:val="24"/>
    </w:rPr>
  </w:style>
  <w:style w:type="character" w:customStyle="1" w:styleId="43">
    <w:name w:val="普通(网站) 字符"/>
    <w:link w:val="19"/>
    <w:qFormat/>
    <w:locked/>
    <w:uiPriority w:val="0"/>
    <w:rPr>
      <w:rFonts w:ascii="宋体" w:hAnsi="宋体" w:eastAsia="宋体"/>
      <w:sz w:val="24"/>
    </w:rPr>
  </w:style>
  <w:style w:type="character" w:customStyle="1" w:styleId="44">
    <w:name w:val="批注主题 字符"/>
    <w:link w:val="20"/>
    <w:semiHidden/>
    <w:qFormat/>
    <w:locked/>
    <w:uiPriority w:val="0"/>
    <w:rPr>
      <w:rFonts w:ascii="Times New Roman" w:hAnsi="Times New Roman" w:eastAsia="宋体"/>
      <w:b/>
      <w:kern w:val="2"/>
      <w:sz w:val="24"/>
    </w:rPr>
  </w:style>
  <w:style w:type="character" w:customStyle="1" w:styleId="45">
    <w:name w:val="正文文本首行缩进 字符"/>
    <w:link w:val="21"/>
    <w:qFormat/>
    <w:uiPriority w:val="0"/>
    <w:rPr>
      <w:kern w:val="2"/>
      <w:sz w:val="21"/>
      <w:szCs w:val="24"/>
    </w:rPr>
  </w:style>
  <w:style w:type="paragraph" w:customStyle="1" w:styleId="46">
    <w:name w:val="Default"/>
    <w:basedOn w:val="47"/>
    <w:next w:val="4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纯文本1"/>
    <w:basedOn w:val="1"/>
    <w:qFormat/>
    <w:uiPriority w:val="0"/>
    <w:pPr>
      <w:adjustRightInd w:val="0"/>
      <w:textAlignment w:val="baseline"/>
    </w:pPr>
    <w:rPr>
      <w:rFonts w:ascii="Courier New" w:hAnsi="Courier New"/>
      <w:sz w:val="15"/>
    </w:rPr>
  </w:style>
  <w:style w:type="paragraph" w:customStyle="1" w:styleId="48">
    <w:name w:val="xl44"/>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宋体"/>
      <w:kern w:val="0"/>
      <w:sz w:val="20"/>
      <w:szCs w:val="20"/>
    </w:rPr>
  </w:style>
  <w:style w:type="paragraph" w:customStyle="1" w:styleId="49">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50">
    <w:name w:val="常用表头样式 Char"/>
    <w:link w:val="51"/>
    <w:qFormat/>
    <w:uiPriority w:val="0"/>
    <w:rPr>
      <w:rFonts w:eastAsia="黑体"/>
      <w:snapToGrid/>
      <w:szCs w:val="18"/>
    </w:rPr>
  </w:style>
  <w:style w:type="paragraph" w:customStyle="1" w:styleId="51">
    <w:name w:val="常用表头样式"/>
    <w:basedOn w:val="21"/>
    <w:link w:val="50"/>
    <w:qFormat/>
    <w:uiPriority w:val="0"/>
    <w:pPr>
      <w:overflowPunct w:val="0"/>
      <w:autoSpaceDE w:val="0"/>
      <w:autoSpaceDN w:val="0"/>
      <w:adjustRightInd w:val="0"/>
      <w:snapToGrid w:val="0"/>
      <w:spacing w:after="0"/>
      <w:ind w:firstLine="0" w:firstLineChars="0"/>
      <w:jc w:val="center"/>
      <w:textAlignment w:val="baseline"/>
    </w:pPr>
    <w:rPr>
      <w:rFonts w:eastAsia="黑体"/>
      <w:snapToGrid w:val="0"/>
      <w:kern w:val="0"/>
      <w:sz w:val="20"/>
      <w:szCs w:val="18"/>
    </w:rPr>
  </w:style>
  <w:style w:type="character" w:customStyle="1" w:styleId="52">
    <w:name w:val="批注文字 字符1"/>
    <w:semiHidden/>
    <w:qFormat/>
    <w:uiPriority w:val="0"/>
    <w:rPr>
      <w:rFonts w:ascii="Times New Roman" w:hAnsi="Times New Roman" w:eastAsia="宋体"/>
      <w:sz w:val="24"/>
    </w:rPr>
  </w:style>
  <w:style w:type="character" w:customStyle="1" w:styleId="53">
    <w:name w:val="日期 字符"/>
    <w:semiHidden/>
    <w:qFormat/>
    <w:uiPriority w:val="0"/>
    <w:rPr>
      <w:rFonts w:ascii="Times New Roman" w:hAnsi="Times New Roman" w:eastAsia="宋体"/>
      <w:sz w:val="24"/>
    </w:rPr>
  </w:style>
  <w:style w:type="character" w:customStyle="1" w:styleId="54">
    <w:name w:val="标题1.1 字符"/>
    <w:link w:val="55"/>
    <w:qFormat/>
    <w:uiPriority w:val="0"/>
    <w:rPr>
      <w:rFonts w:eastAsia="黑体"/>
      <w:bCs/>
      <w:color w:val="000000"/>
      <w:kern w:val="2"/>
      <w:sz w:val="24"/>
      <w:szCs w:val="24"/>
    </w:rPr>
  </w:style>
  <w:style w:type="paragraph" w:customStyle="1" w:styleId="55">
    <w:name w:val="标题1.1"/>
    <w:basedOn w:val="1"/>
    <w:link w:val="54"/>
    <w:qFormat/>
    <w:uiPriority w:val="0"/>
    <w:pPr>
      <w:adjustRightInd w:val="0"/>
      <w:snapToGrid w:val="0"/>
      <w:spacing w:line="360" w:lineRule="auto"/>
      <w:jc w:val="left"/>
    </w:pPr>
    <w:rPr>
      <w:rFonts w:eastAsia="黑体"/>
      <w:bCs/>
      <w:color w:val="000000"/>
      <w:sz w:val="24"/>
    </w:rPr>
  </w:style>
  <w:style w:type="character" w:customStyle="1" w:styleId="56">
    <w:name w:val="表格 Char"/>
    <w:link w:val="57"/>
    <w:qFormat/>
    <w:locked/>
    <w:uiPriority w:val="0"/>
    <w:rPr>
      <w:rFonts w:ascii="宋体"/>
      <w:sz w:val="21"/>
    </w:rPr>
  </w:style>
  <w:style w:type="paragraph" w:customStyle="1" w:styleId="57">
    <w:name w:val="表格"/>
    <w:basedOn w:val="18"/>
    <w:next w:val="1"/>
    <w:link w:val="56"/>
    <w:qFormat/>
    <w:uiPriority w:val="0"/>
    <w:pPr>
      <w:adjustRightInd w:val="0"/>
      <w:snapToGrid w:val="0"/>
      <w:spacing w:beforeLines="10" w:afterLines="10" w:line="259" w:lineRule="auto"/>
      <w:jc w:val="center"/>
    </w:pPr>
    <w:rPr>
      <w:rFonts w:ascii="宋体"/>
      <w:kern w:val="0"/>
      <w:szCs w:val="20"/>
    </w:rPr>
  </w:style>
  <w:style w:type="character" w:customStyle="1" w:styleId="58">
    <w:name w:val="正文文本 字符1"/>
    <w:semiHidden/>
    <w:qFormat/>
    <w:uiPriority w:val="0"/>
    <w:rPr>
      <w:rFonts w:ascii="Times New Roman" w:hAnsi="Times New Roman" w:eastAsia="宋体"/>
      <w:sz w:val="24"/>
    </w:rPr>
  </w:style>
  <w:style w:type="character" w:customStyle="1" w:styleId="59">
    <w:name w:val="页脚 字符"/>
    <w:qFormat/>
    <w:uiPriority w:val="99"/>
  </w:style>
  <w:style w:type="character" w:customStyle="1" w:styleId="60">
    <w:name w:val="表格标题 字符"/>
    <w:link w:val="61"/>
    <w:qFormat/>
    <w:uiPriority w:val="0"/>
    <w:rPr>
      <w:rFonts w:eastAsia="黑体"/>
      <w:color w:val="000000"/>
      <w:kern w:val="2"/>
      <w:sz w:val="21"/>
      <w:szCs w:val="24"/>
    </w:rPr>
  </w:style>
  <w:style w:type="paragraph" w:customStyle="1" w:styleId="61">
    <w:name w:val="表格标题"/>
    <w:basedOn w:val="1"/>
    <w:link w:val="60"/>
    <w:qFormat/>
    <w:uiPriority w:val="0"/>
    <w:pPr>
      <w:adjustRightInd w:val="0"/>
      <w:snapToGrid w:val="0"/>
      <w:jc w:val="center"/>
    </w:pPr>
    <w:rPr>
      <w:rFonts w:eastAsia="黑体"/>
      <w:color w:val="000000"/>
    </w:rPr>
  </w:style>
  <w:style w:type="character" w:customStyle="1" w:styleId="62">
    <w:name w:val="样式10 Char"/>
    <w:link w:val="63"/>
    <w:qFormat/>
    <w:uiPriority w:val="0"/>
    <w:rPr>
      <w:rFonts w:ascii="Times New Roman" w:hAnsi="Times New Roman" w:eastAsia="宋体"/>
      <w:sz w:val="24"/>
    </w:rPr>
  </w:style>
  <w:style w:type="paragraph" w:customStyle="1" w:styleId="63">
    <w:name w:val="样式10"/>
    <w:basedOn w:val="61"/>
    <w:link w:val="62"/>
    <w:qFormat/>
    <w:uiPriority w:val="0"/>
    <w:pPr>
      <w:numPr>
        <w:ilvl w:val="0"/>
        <w:numId w:val="1"/>
      </w:numPr>
      <w:spacing w:line="360" w:lineRule="auto"/>
    </w:pPr>
    <w:rPr>
      <w:rFonts w:ascii="Times New Roman" w:hAnsi="Times New Roman" w:eastAsia="宋体"/>
      <w:sz w:val="24"/>
    </w:rPr>
  </w:style>
  <w:style w:type="character" w:customStyle="1" w:styleId="64">
    <w:name w:val="15"/>
    <w:qFormat/>
    <w:uiPriority w:val="0"/>
    <w:rPr>
      <w:rFonts w:hint="default" w:ascii="Times New Roman" w:hAnsi="Times New Roman" w:cs="Times New Roman"/>
    </w:rPr>
  </w:style>
  <w:style w:type="paragraph" w:customStyle="1" w:styleId="65">
    <w:name w:val="表头"/>
    <w:basedOn w:val="8"/>
    <w:qFormat/>
    <w:uiPriority w:val="0"/>
    <w:pPr>
      <w:adjustRightInd w:val="0"/>
      <w:ind w:firstLine="0"/>
      <w:jc w:val="center"/>
      <w:textAlignment w:val="baseline"/>
    </w:pPr>
    <w:rPr>
      <w:rFonts w:ascii="宋体"/>
      <w:snapToGrid w:val="0"/>
      <w:spacing w:val="4"/>
      <w:kern w:val="18"/>
      <w:sz w:val="24"/>
    </w:rPr>
  </w:style>
  <w:style w:type="paragraph" w:customStyle="1" w:styleId="66">
    <w:name w:val="样式9"/>
    <w:basedOn w:val="1"/>
    <w:next w:val="1"/>
    <w:qFormat/>
    <w:uiPriority w:val="0"/>
    <w:pPr>
      <w:numPr>
        <w:ilvl w:val="0"/>
        <w:numId w:val="2"/>
      </w:numPr>
      <w:adjustRightInd w:val="0"/>
      <w:snapToGrid w:val="0"/>
      <w:spacing w:line="360" w:lineRule="auto"/>
      <w:ind w:firstLine="480" w:firstLineChars="200"/>
      <w:jc w:val="center"/>
    </w:pPr>
    <w:rPr>
      <w:rFonts w:ascii="Times New Roman" w:hAnsi="Times New Roman" w:eastAsia="宋体"/>
      <w:sz w:val="24"/>
    </w:rPr>
  </w:style>
  <w:style w:type="paragraph" w:customStyle="1" w:styleId="67">
    <w:name w:val="样式1"/>
    <w:basedOn w:val="1"/>
    <w:qFormat/>
    <w:uiPriority w:val="0"/>
    <w:pPr>
      <w:numPr>
        <w:ilvl w:val="0"/>
        <w:numId w:val="3"/>
      </w:numPr>
      <w:tabs>
        <w:tab w:val="left" w:pos="420"/>
        <w:tab w:val="clear" w:pos="0"/>
      </w:tabs>
      <w:spacing w:line="360" w:lineRule="auto"/>
      <w:jc w:val="center"/>
    </w:pPr>
    <w:rPr>
      <w:rFonts w:ascii="Times New Roman" w:hAnsi="Times New Roman" w:eastAsia="宋体"/>
      <w:sz w:val="24"/>
      <w:szCs w:val="24"/>
    </w:rPr>
  </w:style>
  <w:style w:type="paragraph" w:customStyle="1" w:styleId="68">
    <w:name w:val="表2"/>
    <w:basedOn w:val="1"/>
    <w:qFormat/>
    <w:uiPriority w:val="0"/>
    <w:pPr>
      <w:numPr>
        <w:ilvl w:val="0"/>
        <w:numId w:val="4"/>
      </w:numPr>
      <w:spacing w:line="240" w:lineRule="auto"/>
      <w:jc w:val="center"/>
    </w:pPr>
    <w:rPr>
      <w:b/>
    </w:rPr>
  </w:style>
  <w:style w:type="paragraph" w:customStyle="1" w:styleId="6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样式"/>
    <w:basedOn w:val="1"/>
    <w:qFormat/>
    <w:uiPriority w:val="0"/>
    <w:pPr>
      <w:autoSpaceDE/>
      <w:autoSpaceDN/>
      <w:spacing w:line="360" w:lineRule="auto"/>
      <w:ind w:right="0" w:firstLine="824" w:firstLineChars="200"/>
    </w:pPr>
    <w:rPr>
      <w:rFonts w:ascii="Times New Roman" w:hAnsi="Times New Roman" w:eastAsia="宋体"/>
      <w:sz w:val="24"/>
    </w:rPr>
  </w:style>
  <w:style w:type="paragraph" w:customStyle="1" w:styleId="71">
    <w:name w:val="表格正文"/>
    <w:basedOn w:val="1"/>
    <w:next w:val="1"/>
    <w:qFormat/>
    <w:uiPriority w:val="0"/>
    <w:pPr>
      <w:adjustRightInd w:val="0"/>
      <w:snapToGrid w:val="0"/>
      <w:spacing w:line="240" w:lineRule="auto"/>
      <w:ind w:firstLine="0"/>
      <w:jc w:val="center"/>
      <w:textAlignment w:val="baseline"/>
    </w:pPr>
    <w:rPr>
      <w:rFonts w:ascii="宋体"/>
      <w:snapToGrid w:val="0"/>
      <w:spacing w:val="4"/>
      <w:kern w:val="0"/>
      <w:sz w:val="21"/>
      <w:szCs w:val="21"/>
    </w:rPr>
  </w:style>
  <w:style w:type="paragraph" w:customStyle="1" w:styleId="72">
    <w:name w:val="表格内容"/>
    <w:basedOn w:val="57"/>
    <w:next w:val="1"/>
    <w:qFormat/>
    <w:uiPriority w:val="99"/>
    <w:pPr>
      <w:widowControl/>
      <w:adjustRightInd/>
      <w:snapToGrid/>
      <w:spacing w:before="60" w:after="60"/>
    </w:pPr>
    <w:rPr>
      <w:rFonts w:eastAsia="宋体" w:cs="宋体"/>
      <w:b/>
      <w:sz w:val="24"/>
    </w:rPr>
  </w:style>
  <w:style w:type="paragraph" w:customStyle="1" w:styleId="7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4">
    <w:name w:val="ECS表格文字"/>
    <w:qFormat/>
    <w:uiPriority w:val="0"/>
    <w:pPr>
      <w:adjustRightInd w:val="0"/>
      <w:snapToGrid w:val="0"/>
      <w:jc w:val="center"/>
    </w:pPr>
    <w:rPr>
      <w:rFonts w:ascii="Times New Roman" w:hAnsi="Times New Roman" w:eastAsia="宋体" w:cs="Times New Roman"/>
      <w:snapToGrid w:val="0"/>
      <w:sz w:val="21"/>
      <w:szCs w:val="24"/>
      <w:lang w:val="en-US" w:eastAsia="zh-CN" w:bidi="ar-SA"/>
    </w:rPr>
  </w:style>
  <w:style w:type="paragraph" w:customStyle="1" w:styleId="75">
    <w:name w:val="yt表内"/>
    <w:basedOn w:val="1"/>
    <w:next w:val="1"/>
    <w:qFormat/>
    <w:uiPriority w:val="0"/>
    <w:pPr>
      <w:adjustRightInd w:val="0"/>
      <w:spacing w:line="240" w:lineRule="atLeast"/>
      <w:jc w:val="center"/>
      <w:textAlignment w:val="baseline"/>
    </w:pPr>
    <w:rPr>
      <w:kern w:val="0"/>
      <w:szCs w:val="21"/>
    </w:rPr>
  </w:style>
  <w:style w:type="paragraph" w:customStyle="1" w:styleId="76">
    <w:name w:val="Table Paragraph"/>
    <w:basedOn w:val="1"/>
    <w:qFormat/>
    <w:uiPriority w:val="0"/>
    <w:pPr>
      <w:jc w:val="left"/>
    </w:pPr>
    <w:rPr>
      <w:rFonts w:ascii="等线" w:hAnsi="等线" w:eastAsia="等线"/>
      <w:sz w:val="22"/>
      <w:szCs w:val="22"/>
      <w:lang w:eastAsia="en-US"/>
    </w:rPr>
  </w:style>
  <w:style w:type="paragraph" w:customStyle="1" w:styleId="77">
    <w:name w:val="表中标题"/>
    <w:basedOn w:val="1"/>
    <w:qFormat/>
    <w:uiPriority w:val="0"/>
    <w:pPr>
      <w:jc w:val="center"/>
    </w:pPr>
    <w:rPr>
      <w:rFonts w:hint="eastAsia"/>
      <w:b/>
      <w:szCs w:val="28"/>
    </w:rPr>
  </w:style>
  <w:style w:type="paragraph" w:customStyle="1" w:styleId="78">
    <w:name w:val="表格正文 Char"/>
    <w:basedOn w:val="65"/>
    <w:qFormat/>
    <w:uiPriority w:val="0"/>
    <w:pPr>
      <w:spacing w:line="240" w:lineRule="auto"/>
    </w:pPr>
    <w:rPr>
      <w:sz w:val="21"/>
    </w:rPr>
  </w:style>
  <w:style w:type="paragraph" w:customStyle="1" w:styleId="79">
    <w:name w:val="A表内"/>
    <w:basedOn w:val="1"/>
    <w:qFormat/>
    <w:uiPriority w:val="0"/>
    <w:pPr>
      <w:jc w:val="center"/>
    </w:pPr>
    <w:rPr>
      <w:rFonts w:cs="宋体"/>
      <w:szCs w:val="20"/>
    </w:rPr>
  </w:style>
  <w:style w:type="paragraph" w:customStyle="1" w:styleId="80">
    <w:name w:val="样式8"/>
    <w:basedOn w:val="1"/>
    <w:next w:val="1"/>
    <w:qFormat/>
    <w:uiPriority w:val="0"/>
    <w:pPr>
      <w:numPr>
        <w:ilvl w:val="0"/>
        <w:numId w:val="5"/>
      </w:numPr>
      <w:spacing w:line="360" w:lineRule="auto"/>
      <w:jc w:val="center"/>
    </w:pPr>
    <w:rPr>
      <w:rFonts w:ascii="Times New Roman" w:hAnsi="Times New Roman"/>
      <w:sz w:val="24"/>
    </w:rPr>
  </w:style>
  <w:style w:type="paragraph" w:customStyle="1" w:styleId="81">
    <w:name w:val="CB表头4"/>
    <w:basedOn w:val="1"/>
    <w:next w:val="1"/>
    <w:qFormat/>
    <w:uiPriority w:val="0"/>
    <w:pPr>
      <w:numPr>
        <w:ilvl w:val="0"/>
        <w:numId w:val="6"/>
      </w:numPr>
      <w:autoSpaceDE w:val="0"/>
      <w:autoSpaceDN w:val="0"/>
      <w:adjustRightInd w:val="0"/>
      <w:snapToGrid w:val="0"/>
      <w:spacing w:before="50" w:beforeLines="50"/>
      <w:jc w:val="center"/>
    </w:pPr>
    <w:rPr>
      <w:rFonts w:hint="eastAsia"/>
      <w:b/>
      <w:bCs/>
      <w:color w:val="000000"/>
      <w:szCs w:val="18"/>
    </w:rPr>
  </w:style>
  <w:style w:type="paragraph" w:customStyle="1" w:styleId="82">
    <w:name w:val="00000000000000000000000"/>
    <w:basedOn w:val="1"/>
    <w:qFormat/>
    <w:uiPriority w:val="0"/>
    <w:pPr>
      <w:spacing w:before="0" w:after="0" w:line="360" w:lineRule="auto"/>
      <w:ind w:firstLine="480" w:firstLineChars="200"/>
      <w:outlineLvl w:val="9"/>
    </w:pPr>
    <w:rPr>
      <w:rFonts w:ascii="Times New Roman" w:hAnsi="Times New Roman" w:eastAsia="宋体"/>
      <w:snapToGrid w:val="0"/>
      <w:sz w:val="24"/>
    </w:rPr>
  </w:style>
  <w:style w:type="paragraph" w:customStyle="1" w:styleId="83">
    <w:name w:val="样式6"/>
    <w:basedOn w:val="1"/>
    <w:next w:val="1"/>
    <w:qFormat/>
    <w:uiPriority w:val="0"/>
    <w:pPr>
      <w:widowControl/>
      <w:numPr>
        <w:ilvl w:val="0"/>
        <w:numId w:val="7"/>
      </w:numPr>
      <w:spacing w:line="360" w:lineRule="auto"/>
      <w:jc w:val="center"/>
    </w:pPr>
    <w:rPr>
      <w:b/>
      <w:color w:val="000000"/>
      <w:sz w:val="24"/>
      <w:szCs w:val="21"/>
      <w:lang w:val="zh-CN"/>
    </w:rPr>
  </w:style>
  <w:style w:type="paragraph" w:customStyle="1" w:styleId="84">
    <w:name w:val="表中正文标题"/>
    <w:basedOn w:val="1"/>
    <w:qFormat/>
    <w:uiPriority w:val="0"/>
    <w:pPr>
      <w:jc w:val="center"/>
    </w:pPr>
    <w:rPr>
      <w:rFonts w:hint="eastAsia"/>
      <w:spacing w:val="4"/>
    </w:rPr>
  </w:style>
  <w:style w:type="paragraph" w:customStyle="1" w:styleId="85">
    <w:name w:val="样式7"/>
    <w:basedOn w:val="61"/>
    <w:qFormat/>
    <w:uiPriority w:val="0"/>
    <w:pPr>
      <w:numPr>
        <w:ilvl w:val="0"/>
        <w:numId w:val="8"/>
      </w:numPr>
      <w:spacing w:line="360" w:lineRule="auto"/>
    </w:pPr>
    <w:rPr>
      <w:rFonts w:ascii="Times New Roman" w:hAnsi="Times New Roman" w:eastAsia="宋体"/>
      <w:sz w:val="24"/>
    </w:rPr>
  </w:style>
  <w:style w:type="paragraph" w:customStyle="1" w:styleId="86">
    <w:name w:val="中文报告书样式"/>
    <w:basedOn w:val="1"/>
    <w:qFormat/>
    <w:uiPriority w:val="0"/>
    <w:pPr>
      <w:adjustRightInd w:val="0"/>
      <w:spacing w:line="420" w:lineRule="atLeast"/>
      <w:textAlignment w:val="baseline"/>
    </w:pPr>
    <w:rPr>
      <w:kern w:val="24"/>
      <w:sz w:val="24"/>
    </w:rPr>
  </w:style>
  <w:style w:type="paragraph" w:customStyle="1" w:styleId="87">
    <w:name w:val="Default1"/>
    <w:basedOn w:val="88"/>
    <w:next w:val="1"/>
    <w:qFormat/>
    <w:uiPriority w:val="0"/>
    <w:pPr>
      <w:widowControl w:val="0"/>
      <w:autoSpaceDE w:val="0"/>
      <w:autoSpaceDN w:val="0"/>
      <w:adjustRightInd w:val="0"/>
      <w:spacing w:line="360" w:lineRule="auto"/>
    </w:pPr>
    <w:rPr>
      <w:rFonts w:ascii="宋体" w:hAnsi="宋体" w:eastAsia="宋体" w:cs="宋体"/>
      <w:color w:val="000000"/>
      <w:sz w:val="24"/>
      <w:szCs w:val="24"/>
      <w:lang w:val="en-US" w:eastAsia="zh-CN"/>
    </w:rPr>
  </w:style>
  <w:style w:type="paragraph" w:customStyle="1" w:styleId="88">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89">
    <w:name w:val="S表格文字"/>
    <w:basedOn w:val="21"/>
    <w:qFormat/>
    <w:uiPriority w:val="0"/>
    <w:pPr>
      <w:adjustRightInd w:val="0"/>
      <w:snapToGrid w:val="0"/>
      <w:spacing w:before="20" w:after="20"/>
      <w:ind w:firstLine="0" w:firstLineChars="0"/>
      <w:jc w:val="center"/>
    </w:pPr>
    <w:rPr>
      <w:szCs w:val="20"/>
    </w:rPr>
  </w:style>
  <w:style w:type="paragraph" w:customStyle="1" w:styleId="90">
    <w:name w:val="S报告正文"/>
    <w:basedOn w:val="1"/>
    <w:qFormat/>
    <w:uiPriority w:val="0"/>
    <w:pPr>
      <w:adjustRightInd w:val="0"/>
      <w:snapToGrid w:val="0"/>
      <w:spacing w:line="480" w:lineRule="exact"/>
      <w:ind w:firstLine="510"/>
      <w:jc w:val="left"/>
    </w:pPr>
    <w:rPr>
      <w:sz w:val="24"/>
    </w:rPr>
  </w:style>
  <w:style w:type="paragraph" w:customStyle="1" w:styleId="91">
    <w:name w:val="_Style 45"/>
    <w:basedOn w:val="2"/>
    <w:next w:val="21"/>
    <w:unhideWhenUsed/>
    <w:qFormat/>
    <w:uiPriority w:val="99"/>
    <w:pPr>
      <w:widowControl w:val="0"/>
      <w:snapToGrid/>
      <w:spacing w:before="0" w:after="120" w:line="360" w:lineRule="auto"/>
      <w:ind w:right="0" w:firstLine="420" w:firstLineChars="100"/>
    </w:pPr>
    <w:rPr>
      <w:kern w:val="2"/>
      <w:sz w:val="24"/>
      <w:szCs w:val="22"/>
    </w:rPr>
  </w:style>
  <w:style w:type="paragraph" w:customStyle="1" w:styleId="92">
    <w:name w:val="表"/>
    <w:basedOn w:val="1"/>
    <w:qFormat/>
    <w:uiPriority w:val="0"/>
    <w:pPr>
      <w:snapToGrid w:val="0"/>
      <w:spacing w:line="240" w:lineRule="auto"/>
      <w:ind w:firstLine="0" w:firstLineChars="0"/>
      <w:jc w:val="center"/>
    </w:pPr>
    <w:rPr>
      <w:spacing w:val="2"/>
      <w:sz w:val="21"/>
    </w:rPr>
  </w:style>
  <w:style w:type="paragraph" w:customStyle="1" w:styleId="93">
    <w:name w:val="报告正文"/>
    <w:basedOn w:val="1"/>
    <w:qFormat/>
    <w:uiPriority w:val="0"/>
    <w:pPr>
      <w:adjustRightInd w:val="0"/>
      <w:snapToGrid w:val="0"/>
      <w:spacing w:line="360" w:lineRule="auto"/>
      <w:ind w:firstLine="200" w:firstLineChars="200"/>
    </w:pPr>
    <w:rPr>
      <w:rFonts w:ascii="宋体" w:cs="宋体"/>
      <w:sz w:val="24"/>
    </w:rPr>
  </w:style>
  <w:style w:type="paragraph" w:customStyle="1" w:styleId="94">
    <w:name w:val="BG-表头"/>
    <w:basedOn w:val="1"/>
    <w:qFormat/>
    <w:uiPriority w:val="0"/>
    <w:pPr>
      <w:spacing w:line="240" w:lineRule="auto"/>
      <w:ind w:firstLine="0" w:firstLineChars="0"/>
      <w:jc w:val="center"/>
    </w:pPr>
    <w:rPr>
      <w:b/>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微软中国</Company>
  <Pages>57</Pages>
  <Words>31985</Words>
  <Characters>36456</Characters>
  <Lines>711</Lines>
  <Paragraphs>200</Paragraphs>
  <TotalTime>1</TotalTime>
  <ScaleCrop>false</ScaleCrop>
  <LinksUpToDate>false</LinksUpToDate>
  <CharactersWithSpaces>36732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2022-09-01T07:31:00Z</cp:lastPrinted>
  <dcterms:modified xsi:type="dcterms:W3CDTF">2023-05-09T07:41:30Z</dcterms:modified>
  <dc:title>附件2</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D83A54EE1E084C58948D9C0F52518FCD</vt:lpwstr>
  </property>
</Properties>
</file>